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1F7B" w14:textId="110BC8C3" w:rsidR="00CE4E40" w:rsidRPr="00EE4F2D" w:rsidRDefault="00CE4E40" w:rsidP="00CE4E40">
      <w:pPr>
        <w:spacing w:after="0" w:line="240" w:lineRule="auto"/>
        <w:jc w:val="center"/>
        <w:rPr>
          <w:rStyle w:val="Textoennegrita"/>
          <w:rFonts w:ascii="Arial" w:eastAsia="Times New Roman" w:hAnsi="Arial" w:cs="Arial"/>
          <w:color w:val="000000"/>
          <w:sz w:val="24"/>
          <w:szCs w:val="24"/>
          <w:shd w:val="clear" w:color="auto" w:fill="FFFFFF"/>
          <w:lang w:val="es-ES_tradnl" w:eastAsia="es-ES_tradnl"/>
        </w:rPr>
      </w:pPr>
      <w:r w:rsidRPr="00EE4F2D">
        <w:rPr>
          <w:rFonts w:ascii="Arial" w:hAnsi="Arial" w:cs="Arial"/>
          <w:b/>
          <w:i/>
          <w:sz w:val="24"/>
          <w:szCs w:val="24"/>
        </w:rPr>
        <w:t>SEGUIMIENTO, CONSOLIDACIÓN, MEDICIÓN Y ANÁLISIS DE AVANCE DE LA POLÍTICA PÚBLICA DE GENERACIÓN DE INGRESOS DEL DEPARTAMENTO</w:t>
      </w:r>
      <w:r w:rsidRPr="00EE4F2D">
        <w:rPr>
          <w:rFonts w:ascii="Arial" w:hAnsi="Arial" w:cs="Arial"/>
          <w:i/>
          <w:sz w:val="24"/>
          <w:szCs w:val="24"/>
        </w:rPr>
        <w:t xml:space="preserve"> </w:t>
      </w:r>
      <w:r w:rsidRPr="00EE4F2D">
        <w:rPr>
          <w:rFonts w:ascii="Arial" w:hAnsi="Arial" w:cs="Arial"/>
          <w:b/>
          <w:i/>
          <w:sz w:val="24"/>
          <w:szCs w:val="24"/>
        </w:rPr>
        <w:t>DEL QUINDÍO 2015 – 202</w:t>
      </w:r>
      <w:r w:rsidR="00461335">
        <w:rPr>
          <w:rFonts w:ascii="Arial" w:hAnsi="Arial" w:cs="Arial"/>
          <w:b/>
          <w:i/>
          <w:sz w:val="24"/>
          <w:szCs w:val="24"/>
        </w:rPr>
        <w:t>4</w:t>
      </w:r>
      <w:r w:rsidRPr="00EE4F2D">
        <w:rPr>
          <w:rFonts w:ascii="Arial" w:eastAsia="Times New Roman" w:hAnsi="Arial" w:cs="Arial"/>
          <w:b/>
          <w:bCs/>
          <w:color w:val="000000"/>
          <w:sz w:val="24"/>
          <w:szCs w:val="24"/>
          <w:shd w:val="clear" w:color="auto" w:fill="FFFFFF"/>
          <w:lang w:val="es-ES_tradnl" w:eastAsia="es-ES_tradnl"/>
        </w:rPr>
        <w:t xml:space="preserve"> </w:t>
      </w:r>
      <w:r w:rsidRPr="00EE4F2D">
        <w:rPr>
          <w:rFonts w:ascii="Arial" w:hAnsi="Arial" w:cs="Arial"/>
          <w:b/>
          <w:sz w:val="24"/>
          <w:szCs w:val="24"/>
        </w:rPr>
        <w:t>“100% FIRMES CON EL DESARROLLO HUMANO Y PRODUCTIVO DEL QUINDÍO</w:t>
      </w:r>
      <w:r w:rsidR="00BA1F7E" w:rsidRPr="00EE4F2D">
        <w:rPr>
          <w:rFonts w:ascii="Arial" w:hAnsi="Arial" w:cs="Arial"/>
          <w:b/>
          <w:sz w:val="24"/>
          <w:szCs w:val="24"/>
        </w:rPr>
        <w:t>”</w:t>
      </w:r>
    </w:p>
    <w:p w14:paraId="32C2A4B3" w14:textId="77777777" w:rsidR="00CE4E40" w:rsidRPr="00EE4F2D" w:rsidRDefault="00CE4E40" w:rsidP="00CE4E40">
      <w:pPr>
        <w:spacing w:after="0" w:line="240" w:lineRule="auto"/>
        <w:jc w:val="center"/>
        <w:rPr>
          <w:rFonts w:ascii="Arial" w:hAnsi="Arial" w:cs="Arial"/>
          <w:b/>
          <w:color w:val="000000"/>
          <w:sz w:val="24"/>
          <w:szCs w:val="24"/>
        </w:rPr>
      </w:pPr>
    </w:p>
    <w:p w14:paraId="703539F8" w14:textId="77777777" w:rsidR="00CE4E40" w:rsidRPr="00EE4F2D" w:rsidRDefault="00CE4E40" w:rsidP="00CE4E40">
      <w:pPr>
        <w:rPr>
          <w:rFonts w:ascii="Arial" w:hAnsi="Arial" w:cs="Arial"/>
          <w:sz w:val="24"/>
          <w:szCs w:val="24"/>
        </w:rPr>
      </w:pPr>
    </w:p>
    <w:p w14:paraId="44FDE238" w14:textId="0BBA930B" w:rsidR="00CE4E40" w:rsidRPr="00EE4F2D" w:rsidRDefault="00CE4E40" w:rsidP="00CE4E40">
      <w:pPr>
        <w:jc w:val="center"/>
        <w:rPr>
          <w:rFonts w:ascii="Arial" w:hAnsi="Arial" w:cs="Arial"/>
          <w:sz w:val="24"/>
          <w:szCs w:val="24"/>
        </w:rPr>
      </w:pPr>
    </w:p>
    <w:p w14:paraId="0FA7BBE8" w14:textId="30E05B85" w:rsidR="00BA1F7E" w:rsidRPr="00EE4F2D" w:rsidRDefault="00BA1F7E" w:rsidP="00CE4E40">
      <w:pPr>
        <w:jc w:val="center"/>
        <w:rPr>
          <w:rFonts w:ascii="Arial" w:hAnsi="Arial" w:cs="Arial"/>
          <w:sz w:val="24"/>
          <w:szCs w:val="24"/>
        </w:rPr>
      </w:pPr>
    </w:p>
    <w:p w14:paraId="2A23C58D" w14:textId="395E6998" w:rsidR="00BA1F7E" w:rsidRPr="00EE4F2D" w:rsidRDefault="00BA1F7E" w:rsidP="00CE4E40">
      <w:pPr>
        <w:jc w:val="center"/>
        <w:rPr>
          <w:rFonts w:ascii="Arial" w:hAnsi="Arial" w:cs="Arial"/>
          <w:sz w:val="24"/>
          <w:szCs w:val="24"/>
        </w:rPr>
      </w:pPr>
    </w:p>
    <w:p w14:paraId="7605CEF9" w14:textId="57E20FBB" w:rsidR="00BA1F7E" w:rsidRPr="00EE4F2D" w:rsidRDefault="00BA1F7E" w:rsidP="00CE4E40">
      <w:pPr>
        <w:jc w:val="center"/>
        <w:rPr>
          <w:rFonts w:ascii="Arial" w:hAnsi="Arial" w:cs="Arial"/>
          <w:sz w:val="24"/>
          <w:szCs w:val="24"/>
        </w:rPr>
      </w:pPr>
    </w:p>
    <w:p w14:paraId="16825AB8" w14:textId="21DEF9E5" w:rsidR="00BA1F7E" w:rsidRPr="00EE4F2D" w:rsidRDefault="00BA1F7E" w:rsidP="00CE4E40">
      <w:pPr>
        <w:jc w:val="center"/>
        <w:rPr>
          <w:rFonts w:ascii="Arial" w:hAnsi="Arial" w:cs="Arial"/>
          <w:sz w:val="24"/>
          <w:szCs w:val="24"/>
        </w:rPr>
      </w:pPr>
    </w:p>
    <w:p w14:paraId="022590C0" w14:textId="762EBEF5" w:rsidR="00BA1F7E" w:rsidRPr="00EE4F2D" w:rsidRDefault="00BA1F7E" w:rsidP="00CE4E40">
      <w:pPr>
        <w:jc w:val="center"/>
        <w:rPr>
          <w:rFonts w:ascii="Arial" w:hAnsi="Arial" w:cs="Arial"/>
          <w:sz w:val="24"/>
          <w:szCs w:val="24"/>
        </w:rPr>
      </w:pPr>
    </w:p>
    <w:p w14:paraId="7A60B975" w14:textId="3B22B1F0" w:rsidR="00BA1F7E" w:rsidRPr="00EE4F2D" w:rsidRDefault="00BA1F7E" w:rsidP="00CE4E40">
      <w:pPr>
        <w:jc w:val="center"/>
        <w:rPr>
          <w:rFonts w:ascii="Arial" w:hAnsi="Arial" w:cs="Arial"/>
          <w:b/>
          <w:bCs/>
          <w:sz w:val="24"/>
          <w:szCs w:val="24"/>
        </w:rPr>
      </w:pPr>
      <w:r w:rsidRPr="00EE4F2D">
        <w:rPr>
          <w:rFonts w:ascii="Arial" w:hAnsi="Arial" w:cs="Arial"/>
          <w:b/>
          <w:bCs/>
          <w:sz w:val="24"/>
          <w:szCs w:val="24"/>
        </w:rPr>
        <w:t>AÑO 202</w:t>
      </w:r>
      <w:r w:rsidR="001928B9">
        <w:rPr>
          <w:rFonts w:ascii="Arial" w:hAnsi="Arial" w:cs="Arial"/>
          <w:b/>
          <w:bCs/>
          <w:sz w:val="24"/>
          <w:szCs w:val="24"/>
        </w:rPr>
        <w:t>3</w:t>
      </w:r>
    </w:p>
    <w:p w14:paraId="04B60654" w14:textId="56DB7414" w:rsidR="00BA1F7E" w:rsidRPr="00EE4F2D" w:rsidRDefault="00BA1F7E" w:rsidP="00CE4E40">
      <w:pPr>
        <w:jc w:val="center"/>
        <w:rPr>
          <w:rFonts w:ascii="Arial" w:hAnsi="Arial" w:cs="Arial"/>
          <w:b/>
          <w:bCs/>
          <w:sz w:val="24"/>
          <w:szCs w:val="24"/>
        </w:rPr>
      </w:pPr>
    </w:p>
    <w:p w14:paraId="45F28187" w14:textId="035FFA21" w:rsidR="00BA1F7E" w:rsidRPr="00EE4F2D" w:rsidRDefault="00BA1F7E" w:rsidP="00CE4E40">
      <w:pPr>
        <w:jc w:val="center"/>
        <w:rPr>
          <w:rFonts w:ascii="Arial" w:hAnsi="Arial" w:cs="Arial"/>
          <w:sz w:val="24"/>
          <w:szCs w:val="24"/>
        </w:rPr>
      </w:pPr>
    </w:p>
    <w:p w14:paraId="140B6E8D" w14:textId="159CD14C" w:rsidR="00BA1F7E" w:rsidRPr="00EE4F2D" w:rsidRDefault="00BA1F7E" w:rsidP="00CE4E40">
      <w:pPr>
        <w:jc w:val="center"/>
        <w:rPr>
          <w:rFonts w:ascii="Arial" w:hAnsi="Arial" w:cs="Arial"/>
          <w:sz w:val="24"/>
          <w:szCs w:val="24"/>
        </w:rPr>
      </w:pPr>
    </w:p>
    <w:p w14:paraId="3C15FB52" w14:textId="325740CC" w:rsidR="00BA1F7E" w:rsidRPr="00EE4F2D" w:rsidRDefault="00BA1F7E" w:rsidP="00CE4E40">
      <w:pPr>
        <w:jc w:val="center"/>
        <w:rPr>
          <w:rFonts w:ascii="Arial" w:hAnsi="Arial" w:cs="Arial"/>
          <w:sz w:val="24"/>
          <w:szCs w:val="24"/>
        </w:rPr>
      </w:pPr>
    </w:p>
    <w:p w14:paraId="585D9AF0" w14:textId="1A0DD84F" w:rsidR="00BA1F7E" w:rsidRPr="00EE4F2D" w:rsidRDefault="00BA1F7E" w:rsidP="00CE4E40">
      <w:pPr>
        <w:jc w:val="center"/>
        <w:rPr>
          <w:rFonts w:ascii="Arial" w:hAnsi="Arial" w:cs="Arial"/>
          <w:sz w:val="24"/>
          <w:szCs w:val="24"/>
        </w:rPr>
      </w:pPr>
    </w:p>
    <w:p w14:paraId="2030107D" w14:textId="6EF55151" w:rsidR="00BA1F7E" w:rsidRPr="00EE4F2D" w:rsidRDefault="00BA1F7E" w:rsidP="00CE4E40">
      <w:pPr>
        <w:jc w:val="center"/>
        <w:rPr>
          <w:rFonts w:ascii="Arial" w:hAnsi="Arial" w:cs="Arial"/>
          <w:sz w:val="24"/>
          <w:szCs w:val="24"/>
        </w:rPr>
      </w:pPr>
    </w:p>
    <w:p w14:paraId="543D7C52" w14:textId="55D74535" w:rsidR="00BA1F7E" w:rsidRPr="00EE4F2D" w:rsidRDefault="00BA1F7E" w:rsidP="00CE4E40">
      <w:pPr>
        <w:jc w:val="center"/>
        <w:rPr>
          <w:rFonts w:ascii="Arial" w:hAnsi="Arial" w:cs="Arial"/>
          <w:sz w:val="24"/>
          <w:szCs w:val="24"/>
        </w:rPr>
      </w:pPr>
    </w:p>
    <w:p w14:paraId="3E86DFEA" w14:textId="5748EFCB" w:rsidR="00BA1F7E" w:rsidRPr="00EE4F2D" w:rsidRDefault="00BA1F7E" w:rsidP="00CE4E40">
      <w:pPr>
        <w:jc w:val="center"/>
        <w:rPr>
          <w:rFonts w:ascii="Arial" w:hAnsi="Arial" w:cs="Arial"/>
          <w:sz w:val="24"/>
          <w:szCs w:val="24"/>
        </w:rPr>
      </w:pPr>
    </w:p>
    <w:p w14:paraId="24242C25" w14:textId="1ABE426A" w:rsidR="00BA1F7E" w:rsidRPr="00EE4F2D" w:rsidRDefault="00BA1F7E" w:rsidP="00CE4E40">
      <w:pPr>
        <w:jc w:val="center"/>
        <w:rPr>
          <w:rFonts w:ascii="Arial" w:hAnsi="Arial" w:cs="Arial"/>
          <w:sz w:val="24"/>
          <w:szCs w:val="24"/>
        </w:rPr>
      </w:pPr>
    </w:p>
    <w:p w14:paraId="10068E1D" w14:textId="6686AB73" w:rsidR="00BA1F7E" w:rsidRDefault="00BA1F7E" w:rsidP="00CE4E40">
      <w:pPr>
        <w:jc w:val="center"/>
        <w:rPr>
          <w:rFonts w:ascii="Arial" w:hAnsi="Arial" w:cs="Arial"/>
          <w:sz w:val="24"/>
          <w:szCs w:val="24"/>
        </w:rPr>
      </w:pPr>
    </w:p>
    <w:p w14:paraId="13F7728C" w14:textId="77777777" w:rsidR="00B70168" w:rsidRPr="00EE4F2D" w:rsidRDefault="00B70168" w:rsidP="00CE4E40">
      <w:pPr>
        <w:jc w:val="center"/>
        <w:rPr>
          <w:rFonts w:ascii="Arial" w:hAnsi="Arial" w:cs="Arial"/>
          <w:sz w:val="24"/>
          <w:szCs w:val="24"/>
        </w:rPr>
      </w:pPr>
    </w:p>
    <w:p w14:paraId="4FE38D7E" w14:textId="77777777" w:rsidR="00BA1F7E" w:rsidRPr="00EE4F2D" w:rsidRDefault="00BA1F7E" w:rsidP="00B70168">
      <w:pPr>
        <w:spacing w:after="0"/>
        <w:jc w:val="center"/>
        <w:rPr>
          <w:rFonts w:ascii="Arial" w:hAnsi="Arial" w:cs="Arial"/>
          <w:b/>
          <w:bCs/>
          <w:sz w:val="24"/>
          <w:szCs w:val="24"/>
        </w:rPr>
      </w:pPr>
      <w:r w:rsidRPr="00EE4F2D">
        <w:rPr>
          <w:rFonts w:ascii="Arial" w:hAnsi="Arial" w:cs="Arial"/>
          <w:b/>
          <w:bCs/>
          <w:sz w:val="24"/>
          <w:szCs w:val="24"/>
        </w:rPr>
        <w:t>SECRETARÍA DE TURISMO, INDUSTRIA Y COMERCIO</w:t>
      </w:r>
    </w:p>
    <w:p w14:paraId="67B804A5" w14:textId="3464709D" w:rsidR="00BA1F7E" w:rsidRPr="00EE4F2D" w:rsidRDefault="00F91D58" w:rsidP="00B70168">
      <w:pPr>
        <w:spacing w:after="0"/>
        <w:jc w:val="center"/>
        <w:rPr>
          <w:rFonts w:ascii="Arial" w:hAnsi="Arial" w:cs="Arial"/>
          <w:b/>
          <w:bCs/>
          <w:sz w:val="24"/>
          <w:szCs w:val="24"/>
        </w:rPr>
      </w:pPr>
      <w:r>
        <w:rPr>
          <w:rFonts w:ascii="Arial" w:hAnsi="Arial" w:cs="Arial"/>
          <w:b/>
          <w:bCs/>
          <w:sz w:val="24"/>
          <w:szCs w:val="24"/>
        </w:rPr>
        <w:t>CARLOS FABIO ÀLVARE</w:t>
      </w:r>
      <w:r w:rsidR="00761DB2">
        <w:rPr>
          <w:rFonts w:ascii="Arial" w:hAnsi="Arial" w:cs="Arial"/>
          <w:b/>
          <w:bCs/>
          <w:sz w:val="24"/>
          <w:szCs w:val="24"/>
        </w:rPr>
        <w:t>Z</w:t>
      </w:r>
      <w:r>
        <w:rPr>
          <w:rFonts w:ascii="Arial" w:hAnsi="Arial" w:cs="Arial"/>
          <w:b/>
          <w:bCs/>
          <w:sz w:val="24"/>
          <w:szCs w:val="24"/>
        </w:rPr>
        <w:t xml:space="preserve"> ÀNGEL</w:t>
      </w:r>
    </w:p>
    <w:p w14:paraId="2A5ED3BD" w14:textId="7B875070" w:rsidR="00BA1F7E" w:rsidRPr="00EE4F2D" w:rsidRDefault="00BA1F7E" w:rsidP="00B70168">
      <w:pPr>
        <w:spacing w:after="0"/>
        <w:jc w:val="center"/>
        <w:rPr>
          <w:rFonts w:ascii="Arial" w:hAnsi="Arial" w:cs="Arial"/>
          <w:sz w:val="24"/>
          <w:szCs w:val="24"/>
        </w:rPr>
      </w:pPr>
      <w:r w:rsidRPr="00EE4F2D">
        <w:rPr>
          <w:rFonts w:ascii="Arial" w:hAnsi="Arial" w:cs="Arial"/>
          <w:b/>
          <w:sz w:val="24"/>
          <w:szCs w:val="24"/>
        </w:rPr>
        <w:t>SECRETARI</w:t>
      </w:r>
      <w:r w:rsidR="00F91D58">
        <w:rPr>
          <w:rFonts w:ascii="Arial" w:hAnsi="Arial" w:cs="Arial"/>
          <w:b/>
          <w:sz w:val="24"/>
          <w:szCs w:val="24"/>
        </w:rPr>
        <w:t>O</w:t>
      </w:r>
    </w:p>
    <w:p w14:paraId="43CA215E" w14:textId="3C6EF993" w:rsidR="00BA1F7E" w:rsidRPr="00EE4F2D" w:rsidRDefault="00BA1F7E" w:rsidP="00CE4E40">
      <w:pPr>
        <w:jc w:val="center"/>
        <w:rPr>
          <w:rFonts w:ascii="Arial" w:hAnsi="Arial" w:cs="Arial"/>
          <w:sz w:val="24"/>
          <w:szCs w:val="24"/>
        </w:rPr>
      </w:pPr>
    </w:p>
    <w:p w14:paraId="086961DC" w14:textId="77777777" w:rsidR="00BA1F7E" w:rsidRPr="00EE4F2D" w:rsidRDefault="00BA1F7E" w:rsidP="00CE4E40">
      <w:pPr>
        <w:jc w:val="center"/>
        <w:rPr>
          <w:rFonts w:ascii="Arial" w:hAnsi="Arial" w:cs="Arial"/>
          <w:sz w:val="24"/>
          <w:szCs w:val="24"/>
        </w:rPr>
      </w:pPr>
    </w:p>
    <w:p w14:paraId="5375E955" w14:textId="77777777" w:rsidR="002F7053" w:rsidRPr="00EE4F2D" w:rsidRDefault="002F7053" w:rsidP="00BD00D5">
      <w:pPr>
        <w:ind w:left="360"/>
        <w:jc w:val="right"/>
        <w:rPr>
          <w:rStyle w:val="Ttulo2Car"/>
          <w:rFonts w:ascii="Arial" w:hAnsi="Arial" w:cs="Arial"/>
          <w:b w:val="0"/>
          <w:i/>
          <w:iCs/>
          <w:color w:val="000000"/>
          <w:sz w:val="24"/>
          <w:szCs w:val="24"/>
        </w:rPr>
      </w:pPr>
    </w:p>
    <w:p w14:paraId="5D83B75C" w14:textId="77777777" w:rsidR="00BA1F7E" w:rsidRPr="00EE4F2D" w:rsidRDefault="00BA1F7E" w:rsidP="00BA1F7E">
      <w:pPr>
        <w:numPr>
          <w:ilvl w:val="0"/>
          <w:numId w:val="1"/>
        </w:numPr>
        <w:jc w:val="both"/>
        <w:rPr>
          <w:rFonts w:ascii="Arial" w:hAnsi="Arial" w:cs="Arial"/>
          <w:b/>
          <w:sz w:val="24"/>
          <w:szCs w:val="24"/>
        </w:rPr>
      </w:pPr>
      <w:r w:rsidRPr="00EE4F2D">
        <w:rPr>
          <w:rFonts w:ascii="Arial" w:hAnsi="Arial" w:cs="Arial"/>
          <w:b/>
          <w:sz w:val="24"/>
          <w:szCs w:val="24"/>
        </w:rPr>
        <w:lastRenderedPageBreak/>
        <w:t>INTRODUCCIÓN</w:t>
      </w:r>
    </w:p>
    <w:p w14:paraId="211E2DD9" w14:textId="0DA31609" w:rsidR="00BA1F7E" w:rsidRPr="00EE4F2D" w:rsidRDefault="00BA1F7E" w:rsidP="00BA1F7E">
      <w:pPr>
        <w:jc w:val="both"/>
        <w:rPr>
          <w:rFonts w:ascii="Arial" w:eastAsia="Times New Roman" w:hAnsi="Arial" w:cs="Arial"/>
          <w:bCs/>
          <w:color w:val="000000"/>
          <w:sz w:val="24"/>
          <w:szCs w:val="24"/>
          <w:shd w:val="clear" w:color="auto" w:fill="FFFFFF"/>
          <w:lang w:val="es-ES_tradnl" w:eastAsia="es-ES_tradnl"/>
        </w:rPr>
      </w:pPr>
      <w:r w:rsidRPr="00EE4F2D">
        <w:rPr>
          <w:rFonts w:ascii="Arial" w:hAnsi="Arial" w:cs="Arial"/>
          <w:sz w:val="24"/>
          <w:szCs w:val="24"/>
        </w:rPr>
        <w:t>La Gobernación del Quindío, a través de la Secretaría de Turismo, Industria y Comercio Departamental, dando cumplimiento al Plan Departamental de Desarrollo “</w:t>
      </w:r>
      <w:r w:rsidRPr="00EE4F2D">
        <w:rPr>
          <w:rFonts w:ascii="Arial" w:hAnsi="Arial" w:cs="Arial"/>
          <w:i/>
          <w:sz w:val="24"/>
          <w:szCs w:val="24"/>
        </w:rPr>
        <w:t>TU Y YO SOMOS QUINDIO 2020-2023</w:t>
      </w:r>
      <w:r w:rsidRPr="00EE4F2D">
        <w:rPr>
          <w:rFonts w:ascii="Arial" w:hAnsi="Arial" w:cs="Arial"/>
          <w:sz w:val="24"/>
          <w:szCs w:val="24"/>
        </w:rPr>
        <w:t xml:space="preserve">” y a la </w:t>
      </w:r>
      <w:r w:rsidRPr="00EE4F2D">
        <w:rPr>
          <w:rFonts w:ascii="Arial" w:hAnsi="Arial" w:cs="Arial"/>
          <w:bCs/>
          <w:sz w:val="24"/>
          <w:szCs w:val="24"/>
        </w:rPr>
        <w:t xml:space="preserve">ordenanza 009 del 2015 </w:t>
      </w:r>
      <w:r w:rsidRPr="00EE4F2D">
        <w:rPr>
          <w:rFonts w:ascii="Arial" w:hAnsi="Arial" w:cs="Arial"/>
          <w:b/>
          <w:i/>
          <w:sz w:val="24"/>
          <w:szCs w:val="24"/>
        </w:rPr>
        <w:t>“Por medio de la cual se adopta la Política Pública de Generación de Ingresos del Departamento</w:t>
      </w:r>
      <w:r w:rsidRPr="00EE4F2D">
        <w:rPr>
          <w:rFonts w:ascii="Arial" w:hAnsi="Arial" w:cs="Arial"/>
          <w:i/>
          <w:sz w:val="24"/>
          <w:szCs w:val="24"/>
        </w:rPr>
        <w:t xml:space="preserve"> </w:t>
      </w:r>
      <w:r w:rsidRPr="00EE4F2D">
        <w:rPr>
          <w:rFonts w:ascii="Arial" w:hAnsi="Arial" w:cs="Arial"/>
          <w:b/>
          <w:i/>
          <w:sz w:val="24"/>
          <w:szCs w:val="24"/>
        </w:rPr>
        <w:t>del Quindío 2015 – 202</w:t>
      </w:r>
      <w:r w:rsidR="00A63AC9">
        <w:rPr>
          <w:rFonts w:ascii="Arial" w:hAnsi="Arial" w:cs="Arial"/>
          <w:b/>
          <w:i/>
          <w:sz w:val="24"/>
          <w:szCs w:val="24"/>
        </w:rPr>
        <w:t>4</w:t>
      </w:r>
      <w:r w:rsidRPr="00EE4F2D">
        <w:rPr>
          <w:rFonts w:ascii="Arial" w:eastAsia="Times New Roman" w:hAnsi="Arial" w:cs="Arial"/>
          <w:b/>
          <w:bCs/>
          <w:i/>
          <w:color w:val="000000"/>
          <w:sz w:val="24"/>
          <w:szCs w:val="24"/>
          <w:shd w:val="clear" w:color="auto" w:fill="FFFFFF"/>
          <w:lang w:val="es-ES_tradnl" w:eastAsia="es-ES_tradnl"/>
        </w:rPr>
        <w:t>”</w:t>
      </w:r>
      <w:r w:rsidRPr="00EE4F2D">
        <w:rPr>
          <w:rFonts w:ascii="Arial" w:eastAsia="Times New Roman" w:hAnsi="Arial" w:cs="Arial"/>
          <w:b/>
          <w:bCs/>
          <w:color w:val="000000"/>
          <w:sz w:val="24"/>
          <w:szCs w:val="24"/>
          <w:shd w:val="clear" w:color="auto" w:fill="FFFFFF"/>
          <w:lang w:eastAsia="es-ES_tradnl"/>
        </w:rPr>
        <w:t>,</w:t>
      </w:r>
      <w:r w:rsidRPr="00EE4F2D">
        <w:rPr>
          <w:rFonts w:ascii="Arial" w:eastAsia="Times New Roman" w:hAnsi="Arial" w:cs="Arial"/>
          <w:bCs/>
          <w:color w:val="000000"/>
          <w:sz w:val="24"/>
          <w:szCs w:val="24"/>
          <w:shd w:val="clear" w:color="auto" w:fill="FFFFFF"/>
          <w:lang w:eastAsia="es-ES_tradnl"/>
        </w:rPr>
        <w:t xml:space="preserve"> elabora el presente documento, con el propósito de realizar el seguimiento y evaluación a la matri</w:t>
      </w:r>
      <w:r w:rsidR="00756DFB" w:rsidRPr="00EE4F2D">
        <w:rPr>
          <w:rFonts w:ascii="Arial" w:eastAsia="Times New Roman" w:hAnsi="Arial" w:cs="Arial"/>
          <w:bCs/>
          <w:color w:val="000000"/>
          <w:sz w:val="24"/>
          <w:szCs w:val="24"/>
          <w:shd w:val="clear" w:color="auto" w:fill="FFFFFF"/>
          <w:lang w:eastAsia="es-ES_tradnl"/>
        </w:rPr>
        <w:t xml:space="preserve">z de planificación, respecto </w:t>
      </w:r>
      <w:r w:rsidR="00597EBF">
        <w:rPr>
          <w:rFonts w:ascii="Arial" w:eastAsia="Times New Roman" w:hAnsi="Arial" w:cs="Arial"/>
          <w:bCs/>
          <w:color w:val="000000"/>
          <w:sz w:val="24"/>
          <w:szCs w:val="24"/>
          <w:shd w:val="clear" w:color="auto" w:fill="FFFFFF"/>
          <w:lang w:eastAsia="es-ES_tradnl"/>
        </w:rPr>
        <w:t>a</w:t>
      </w:r>
      <w:r w:rsidR="00756DFB" w:rsidRPr="00EE4F2D">
        <w:rPr>
          <w:rFonts w:ascii="Arial" w:eastAsia="Times New Roman" w:hAnsi="Arial" w:cs="Arial"/>
          <w:bCs/>
          <w:color w:val="000000"/>
          <w:sz w:val="24"/>
          <w:szCs w:val="24"/>
          <w:shd w:val="clear" w:color="auto" w:fill="FFFFFF"/>
          <w:lang w:eastAsia="es-ES_tradnl"/>
        </w:rPr>
        <w:t xml:space="preserve"> </w:t>
      </w:r>
      <w:r w:rsidR="00996E72" w:rsidRPr="00EE4F2D">
        <w:rPr>
          <w:rFonts w:ascii="Arial" w:eastAsia="Times New Roman" w:hAnsi="Arial" w:cs="Arial"/>
          <w:bCs/>
          <w:color w:val="000000"/>
          <w:sz w:val="24"/>
          <w:szCs w:val="24"/>
          <w:shd w:val="clear" w:color="auto" w:fill="FFFFFF"/>
          <w:lang w:eastAsia="es-ES_tradnl"/>
        </w:rPr>
        <w:t>la vigencia</w:t>
      </w:r>
      <w:r w:rsidR="00756DFB" w:rsidRPr="00EE4F2D">
        <w:rPr>
          <w:rFonts w:ascii="Arial" w:eastAsia="Times New Roman" w:hAnsi="Arial" w:cs="Arial"/>
          <w:bCs/>
          <w:color w:val="000000"/>
          <w:sz w:val="24"/>
          <w:szCs w:val="24"/>
          <w:shd w:val="clear" w:color="auto" w:fill="FFFFFF"/>
          <w:lang w:eastAsia="es-ES_tradnl"/>
        </w:rPr>
        <w:t xml:space="preserve"> </w:t>
      </w:r>
      <w:r w:rsidR="00195ED3" w:rsidRPr="00EE4F2D">
        <w:rPr>
          <w:rFonts w:ascii="Arial" w:eastAsia="Times New Roman" w:hAnsi="Arial" w:cs="Arial"/>
          <w:b/>
          <w:bCs/>
          <w:color w:val="000000" w:themeColor="text1"/>
          <w:sz w:val="24"/>
          <w:szCs w:val="24"/>
          <w:shd w:val="clear" w:color="auto" w:fill="FFFFFF"/>
          <w:lang w:eastAsia="es-ES_tradnl"/>
        </w:rPr>
        <w:t>2</w:t>
      </w:r>
      <w:r w:rsidR="003E5162" w:rsidRPr="00EE4F2D">
        <w:rPr>
          <w:rFonts w:ascii="Arial" w:eastAsia="Times New Roman" w:hAnsi="Arial" w:cs="Arial"/>
          <w:b/>
          <w:bCs/>
          <w:color w:val="000000" w:themeColor="text1"/>
          <w:sz w:val="24"/>
          <w:szCs w:val="24"/>
          <w:shd w:val="clear" w:color="auto" w:fill="FFFFFF"/>
          <w:lang w:eastAsia="es-ES_tradnl"/>
        </w:rPr>
        <w:t>02</w:t>
      </w:r>
      <w:r w:rsidR="001928B9">
        <w:rPr>
          <w:rFonts w:ascii="Arial" w:eastAsia="Times New Roman" w:hAnsi="Arial" w:cs="Arial"/>
          <w:b/>
          <w:bCs/>
          <w:color w:val="000000" w:themeColor="text1"/>
          <w:sz w:val="24"/>
          <w:szCs w:val="24"/>
          <w:shd w:val="clear" w:color="auto" w:fill="FFFFFF"/>
          <w:lang w:eastAsia="es-ES_tradnl"/>
        </w:rPr>
        <w:t>3</w:t>
      </w:r>
      <w:r w:rsidRPr="00EE4F2D">
        <w:rPr>
          <w:rFonts w:ascii="Arial" w:eastAsia="Times New Roman" w:hAnsi="Arial" w:cs="Arial"/>
          <w:bCs/>
          <w:color w:val="000000"/>
          <w:sz w:val="24"/>
          <w:szCs w:val="24"/>
          <w:shd w:val="clear" w:color="auto" w:fill="FFFFFF"/>
          <w:lang w:eastAsia="es-ES_tradnl"/>
        </w:rPr>
        <w:t xml:space="preserve">, </w:t>
      </w:r>
      <w:r w:rsidR="00D509AD" w:rsidRPr="00F279CC">
        <w:rPr>
          <w:rFonts w:ascii="Arial" w:eastAsia="Times New Roman" w:hAnsi="Arial" w:cs="Arial"/>
          <w:bCs/>
          <w:color w:val="000000"/>
          <w:sz w:val="24"/>
          <w:szCs w:val="24"/>
          <w:shd w:val="clear" w:color="auto" w:fill="FFFFFF"/>
          <w:lang w:val="es-ES_tradnl" w:eastAsia="es-ES_tradnl"/>
        </w:rPr>
        <w:t xml:space="preserve">haciendo énfasis que de los actores responsables del proceso de implementación, </w:t>
      </w:r>
      <w:r w:rsidR="00D509AD">
        <w:rPr>
          <w:rFonts w:ascii="Arial" w:eastAsia="Times New Roman" w:hAnsi="Arial" w:cs="Arial"/>
          <w:bCs/>
          <w:color w:val="000000"/>
          <w:sz w:val="24"/>
          <w:szCs w:val="24"/>
          <w:shd w:val="clear" w:color="auto" w:fill="FFFFFF"/>
          <w:lang w:val="es-ES_tradnl" w:eastAsia="es-ES_tradnl"/>
        </w:rPr>
        <w:t>uno</w:t>
      </w:r>
      <w:r w:rsidR="00D509AD" w:rsidRPr="00F279CC">
        <w:rPr>
          <w:rFonts w:ascii="Arial" w:eastAsia="Times New Roman" w:hAnsi="Arial" w:cs="Arial"/>
          <w:bCs/>
          <w:color w:val="000000"/>
          <w:sz w:val="24"/>
          <w:szCs w:val="24"/>
          <w:shd w:val="clear" w:color="auto" w:fill="FFFFFF"/>
          <w:lang w:val="es-ES_tradnl" w:eastAsia="es-ES_tradnl"/>
        </w:rPr>
        <w:t xml:space="preserve"> de ellos corresponden al Centro Administrativo Departamental y </w:t>
      </w:r>
      <w:r w:rsidR="00D509AD">
        <w:rPr>
          <w:rFonts w:ascii="Arial" w:eastAsia="Times New Roman" w:hAnsi="Arial" w:cs="Arial"/>
          <w:bCs/>
          <w:color w:val="000000"/>
          <w:sz w:val="24"/>
          <w:szCs w:val="24"/>
          <w:shd w:val="clear" w:color="auto" w:fill="FFFFFF"/>
          <w:lang w:val="es-ES_tradnl" w:eastAsia="es-ES_tradnl"/>
        </w:rPr>
        <w:t xml:space="preserve">otros </w:t>
      </w:r>
      <w:r w:rsidR="00D509AD" w:rsidRPr="00F279CC">
        <w:rPr>
          <w:rFonts w:ascii="Arial" w:eastAsia="Times New Roman" w:hAnsi="Arial" w:cs="Arial"/>
          <w:bCs/>
          <w:color w:val="000000"/>
          <w:sz w:val="24"/>
          <w:szCs w:val="24"/>
          <w:shd w:val="clear" w:color="auto" w:fill="FFFFFF"/>
          <w:lang w:val="es-ES_tradnl" w:eastAsia="es-ES_tradnl"/>
        </w:rPr>
        <w:t>son entes externos.</w:t>
      </w:r>
    </w:p>
    <w:p w14:paraId="0F04CFBE" w14:textId="29513AFA" w:rsidR="00BA1F7E" w:rsidRPr="00EE4F2D" w:rsidRDefault="00BA1F7E" w:rsidP="00996E72">
      <w:pPr>
        <w:jc w:val="both"/>
        <w:rPr>
          <w:rFonts w:ascii="Arial" w:hAnsi="Arial" w:cs="Arial"/>
          <w:sz w:val="24"/>
          <w:szCs w:val="24"/>
        </w:rPr>
      </w:pPr>
      <w:r w:rsidRPr="00EE4F2D">
        <w:rPr>
          <w:rFonts w:ascii="Arial" w:hAnsi="Arial" w:cs="Arial"/>
          <w:sz w:val="24"/>
          <w:szCs w:val="24"/>
        </w:rPr>
        <w:t xml:space="preserve">Para tales efectos, se tuvo en cuenta el Decreto 386 del 26 de junio de 2019: </w:t>
      </w:r>
      <w:r w:rsidRPr="00EE4F2D">
        <w:rPr>
          <w:rFonts w:ascii="Arial" w:hAnsi="Arial" w:cs="Arial"/>
          <w:b/>
          <w:bCs/>
          <w:i/>
          <w:sz w:val="24"/>
          <w:szCs w:val="24"/>
        </w:rPr>
        <w:t>“Por medio del cual se reglamenta el seguimiento y evaluación de las políticas públicas, planes y programas del departamento del Quindío”,</w:t>
      </w:r>
      <w:r w:rsidRPr="00EE4F2D">
        <w:rPr>
          <w:rFonts w:ascii="Arial" w:hAnsi="Arial" w:cs="Arial"/>
          <w:i/>
          <w:sz w:val="24"/>
          <w:szCs w:val="24"/>
        </w:rPr>
        <w:t xml:space="preserve"> </w:t>
      </w:r>
      <w:r w:rsidRPr="00EE4F2D">
        <w:rPr>
          <w:rFonts w:ascii="Arial" w:hAnsi="Arial" w:cs="Arial"/>
          <w:sz w:val="24"/>
          <w:szCs w:val="24"/>
        </w:rPr>
        <w:t xml:space="preserve">con el propósito de monitorear el avance físico y la inversión de los recursos de la Política Pública Departamental de Generación de Ingresos, a través de la evaluación permanente, tal y como se estipula en el artículo sexto, punto 2. </w:t>
      </w:r>
    </w:p>
    <w:p w14:paraId="46A25516" w14:textId="77777777" w:rsidR="00BA1F7E" w:rsidRPr="00EE4F2D" w:rsidRDefault="00BA1F7E" w:rsidP="00BA1F7E">
      <w:pPr>
        <w:numPr>
          <w:ilvl w:val="0"/>
          <w:numId w:val="1"/>
        </w:numPr>
        <w:jc w:val="both"/>
        <w:rPr>
          <w:rStyle w:val="Ttulo2Car"/>
          <w:rFonts w:ascii="Arial" w:hAnsi="Arial" w:cs="Arial"/>
          <w:bCs w:val="0"/>
          <w:color w:val="000000"/>
          <w:sz w:val="24"/>
          <w:szCs w:val="24"/>
        </w:rPr>
      </w:pPr>
      <w:r w:rsidRPr="00EE4F2D">
        <w:rPr>
          <w:rStyle w:val="Ttulo2Car"/>
          <w:rFonts w:ascii="Arial" w:hAnsi="Arial" w:cs="Arial"/>
          <w:bCs w:val="0"/>
          <w:color w:val="000000"/>
          <w:sz w:val="24"/>
          <w:szCs w:val="24"/>
        </w:rPr>
        <w:t>ANÁLISIS EJES ESTRATÉGICOS.</w:t>
      </w:r>
    </w:p>
    <w:p w14:paraId="5CA6F526" w14:textId="77777777" w:rsidR="00BA1F7E" w:rsidRPr="00F1339E" w:rsidRDefault="00BA1F7E" w:rsidP="00BA1F7E">
      <w:pPr>
        <w:jc w:val="both"/>
        <w:rPr>
          <w:rFonts w:ascii="Arial" w:eastAsia="Times New Roman" w:hAnsi="Arial" w:cs="Arial"/>
          <w:b/>
          <w:bCs/>
          <w:i/>
          <w:iCs/>
          <w:color w:val="000000"/>
          <w:kern w:val="24"/>
          <w:sz w:val="24"/>
          <w:szCs w:val="24"/>
        </w:rPr>
      </w:pPr>
      <w:r w:rsidRPr="00EE4F2D">
        <w:rPr>
          <w:rFonts w:ascii="Arial" w:hAnsi="Arial" w:cs="Arial"/>
          <w:bCs/>
          <w:sz w:val="24"/>
          <w:szCs w:val="24"/>
        </w:rPr>
        <w:t>Para llevar a cabo el análisis del cumplimiento de los indicadores de la Política Pública de Generación de Ingresos del Quindío, se emplea el instrumento implementado para medir los avances del Plan de Desarrollo Departamental, adoptado mediante Decreto</w:t>
      </w:r>
      <w:r w:rsidRPr="00EE4F2D">
        <w:rPr>
          <w:rFonts w:ascii="Arial" w:eastAsia="Times New Roman" w:hAnsi="Arial" w:cs="Arial"/>
          <w:color w:val="000000"/>
          <w:kern w:val="24"/>
          <w:sz w:val="24"/>
          <w:szCs w:val="24"/>
        </w:rPr>
        <w:t xml:space="preserve"> 1061 de 2016 </w:t>
      </w:r>
      <w:r w:rsidRPr="00F1339E">
        <w:rPr>
          <w:rFonts w:ascii="Arial" w:eastAsia="Times New Roman" w:hAnsi="Arial" w:cs="Arial"/>
          <w:b/>
          <w:bCs/>
          <w:i/>
          <w:iCs/>
          <w:color w:val="000000"/>
          <w:kern w:val="24"/>
          <w:sz w:val="24"/>
          <w:szCs w:val="24"/>
        </w:rPr>
        <w:t>“Por medio del cual se reglamenta el seguimiento y evaluación al Plan de Desarrollo Departamental”, de acuerdo con la siguiente semaforización:</w:t>
      </w:r>
    </w:p>
    <w:p w14:paraId="0C178993" w14:textId="77777777" w:rsidR="00BA1F7E" w:rsidRPr="00EE4F2D" w:rsidRDefault="00BA1F7E" w:rsidP="00BA1F7E">
      <w:pPr>
        <w:jc w:val="both"/>
        <w:rPr>
          <w:rFonts w:ascii="Arial" w:eastAsia="Times New Roman" w:hAnsi="Arial" w:cs="Arial"/>
          <w:color w:val="000000"/>
          <w:kern w:val="2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03"/>
      </w:tblGrid>
      <w:tr w:rsidR="00BA1F7E" w:rsidRPr="00EE4F2D" w14:paraId="194A0A83" w14:textId="77777777" w:rsidTr="00677C3F">
        <w:trPr>
          <w:trHeight w:val="180"/>
          <w:jc w:val="center"/>
        </w:trPr>
        <w:tc>
          <w:tcPr>
            <w:tcW w:w="0" w:type="auto"/>
            <w:shd w:val="clear" w:color="auto" w:fill="auto"/>
            <w:vAlign w:val="center"/>
          </w:tcPr>
          <w:p w14:paraId="7E058CEA" w14:textId="77777777" w:rsidR="00BA1F7E" w:rsidRPr="00EE4F2D" w:rsidRDefault="00BA1F7E" w:rsidP="00677C3F">
            <w:pPr>
              <w:jc w:val="both"/>
              <w:rPr>
                <w:rFonts w:ascii="Arial" w:hAnsi="Arial" w:cs="Arial"/>
                <w:b/>
                <w:sz w:val="24"/>
                <w:szCs w:val="24"/>
              </w:rPr>
            </w:pPr>
            <w:r w:rsidRPr="00EE4F2D">
              <w:rPr>
                <w:rFonts w:ascii="Arial" w:hAnsi="Arial" w:cs="Arial"/>
                <w:b/>
                <w:sz w:val="24"/>
                <w:szCs w:val="24"/>
              </w:rPr>
              <w:t>CUMPLIMIENTO</w:t>
            </w:r>
          </w:p>
        </w:tc>
        <w:tc>
          <w:tcPr>
            <w:tcW w:w="0" w:type="auto"/>
            <w:shd w:val="clear" w:color="auto" w:fill="auto"/>
            <w:vAlign w:val="center"/>
          </w:tcPr>
          <w:p w14:paraId="35FBD5E9" w14:textId="77777777" w:rsidR="00BA1F7E" w:rsidRPr="00EE4F2D" w:rsidRDefault="00BA1F7E" w:rsidP="00677C3F">
            <w:pPr>
              <w:jc w:val="both"/>
              <w:rPr>
                <w:rFonts w:ascii="Arial" w:hAnsi="Arial" w:cs="Arial"/>
                <w:b/>
                <w:sz w:val="24"/>
                <w:szCs w:val="24"/>
              </w:rPr>
            </w:pPr>
            <w:r w:rsidRPr="00EE4F2D">
              <w:rPr>
                <w:rFonts w:ascii="Arial" w:hAnsi="Arial" w:cs="Arial"/>
                <w:b/>
                <w:sz w:val="24"/>
                <w:szCs w:val="24"/>
              </w:rPr>
              <w:t>SEMAFORIZACIÓN</w:t>
            </w:r>
          </w:p>
        </w:tc>
      </w:tr>
      <w:tr w:rsidR="00BA1F7E" w:rsidRPr="00EE4F2D" w14:paraId="53CC0E06" w14:textId="77777777" w:rsidTr="00677C3F">
        <w:trPr>
          <w:trHeight w:val="20"/>
          <w:jc w:val="center"/>
        </w:trPr>
        <w:tc>
          <w:tcPr>
            <w:tcW w:w="0" w:type="auto"/>
            <w:shd w:val="clear" w:color="auto" w:fill="auto"/>
          </w:tcPr>
          <w:p w14:paraId="48820647" w14:textId="77777777" w:rsidR="00BA1F7E" w:rsidRPr="00EE4F2D" w:rsidRDefault="00BA1F7E" w:rsidP="00677C3F">
            <w:pPr>
              <w:jc w:val="both"/>
              <w:rPr>
                <w:rFonts w:ascii="Arial" w:hAnsi="Arial" w:cs="Arial"/>
                <w:sz w:val="24"/>
                <w:szCs w:val="24"/>
              </w:rPr>
            </w:pPr>
            <w:r w:rsidRPr="00EE4F2D">
              <w:rPr>
                <w:rFonts w:ascii="Arial" w:hAnsi="Arial" w:cs="Arial"/>
                <w:sz w:val="24"/>
                <w:szCs w:val="24"/>
              </w:rPr>
              <w:t>Verde Oscuro (80% 100%)</w:t>
            </w:r>
          </w:p>
        </w:tc>
        <w:tc>
          <w:tcPr>
            <w:tcW w:w="0" w:type="auto"/>
            <w:shd w:val="clear" w:color="auto" w:fill="00B050"/>
            <w:vAlign w:val="center"/>
          </w:tcPr>
          <w:p w14:paraId="3F379E98" w14:textId="77777777" w:rsidR="00BA1F7E" w:rsidRPr="00EE4F2D" w:rsidRDefault="00BA1F7E" w:rsidP="00677C3F">
            <w:pPr>
              <w:jc w:val="center"/>
              <w:rPr>
                <w:rFonts w:ascii="Arial" w:hAnsi="Arial" w:cs="Arial"/>
                <w:sz w:val="24"/>
                <w:szCs w:val="24"/>
              </w:rPr>
            </w:pPr>
            <w:r w:rsidRPr="00EE4F2D">
              <w:rPr>
                <w:rFonts w:ascii="Arial" w:hAnsi="Arial" w:cs="Arial"/>
                <w:sz w:val="24"/>
                <w:szCs w:val="24"/>
              </w:rPr>
              <w:t>Sobresaliente</w:t>
            </w:r>
          </w:p>
        </w:tc>
      </w:tr>
      <w:tr w:rsidR="00BA1F7E" w:rsidRPr="00EE4F2D" w14:paraId="16C339C1" w14:textId="77777777" w:rsidTr="00677C3F">
        <w:trPr>
          <w:trHeight w:val="20"/>
          <w:jc w:val="center"/>
        </w:trPr>
        <w:tc>
          <w:tcPr>
            <w:tcW w:w="0" w:type="auto"/>
            <w:shd w:val="clear" w:color="auto" w:fill="auto"/>
          </w:tcPr>
          <w:p w14:paraId="5642F018" w14:textId="77777777" w:rsidR="00BA1F7E" w:rsidRPr="00EE4F2D" w:rsidRDefault="00BA1F7E" w:rsidP="00677C3F">
            <w:pPr>
              <w:jc w:val="both"/>
              <w:rPr>
                <w:rFonts w:ascii="Arial" w:hAnsi="Arial" w:cs="Arial"/>
                <w:sz w:val="24"/>
                <w:szCs w:val="24"/>
              </w:rPr>
            </w:pPr>
            <w:r w:rsidRPr="00EE4F2D">
              <w:rPr>
                <w:rFonts w:ascii="Arial" w:hAnsi="Arial" w:cs="Arial"/>
                <w:sz w:val="24"/>
                <w:szCs w:val="24"/>
              </w:rPr>
              <w:t>Verde Claro (70% 79%)</w:t>
            </w:r>
          </w:p>
        </w:tc>
        <w:tc>
          <w:tcPr>
            <w:tcW w:w="0" w:type="auto"/>
            <w:shd w:val="clear" w:color="auto" w:fill="92D050"/>
            <w:vAlign w:val="center"/>
          </w:tcPr>
          <w:p w14:paraId="6101A27B" w14:textId="77777777" w:rsidR="00BA1F7E" w:rsidRPr="00EE4F2D" w:rsidRDefault="00BA1F7E" w:rsidP="00677C3F">
            <w:pPr>
              <w:jc w:val="center"/>
              <w:rPr>
                <w:rFonts w:ascii="Arial" w:hAnsi="Arial" w:cs="Arial"/>
                <w:sz w:val="24"/>
                <w:szCs w:val="24"/>
              </w:rPr>
            </w:pPr>
            <w:r w:rsidRPr="00EE4F2D">
              <w:rPr>
                <w:rFonts w:ascii="Arial" w:hAnsi="Arial" w:cs="Arial"/>
                <w:sz w:val="24"/>
                <w:szCs w:val="24"/>
              </w:rPr>
              <w:t>Satisfactorio</w:t>
            </w:r>
          </w:p>
        </w:tc>
      </w:tr>
      <w:tr w:rsidR="00BA1F7E" w:rsidRPr="00EE4F2D" w14:paraId="75D0B712" w14:textId="77777777" w:rsidTr="00677C3F">
        <w:trPr>
          <w:trHeight w:val="20"/>
          <w:jc w:val="center"/>
        </w:trPr>
        <w:tc>
          <w:tcPr>
            <w:tcW w:w="0" w:type="auto"/>
            <w:shd w:val="clear" w:color="auto" w:fill="auto"/>
          </w:tcPr>
          <w:p w14:paraId="5A8B5842" w14:textId="77777777" w:rsidR="00BA1F7E" w:rsidRPr="00EE4F2D" w:rsidRDefault="00BA1F7E" w:rsidP="00677C3F">
            <w:pPr>
              <w:jc w:val="both"/>
              <w:rPr>
                <w:rFonts w:ascii="Arial" w:hAnsi="Arial" w:cs="Arial"/>
                <w:sz w:val="24"/>
                <w:szCs w:val="24"/>
              </w:rPr>
            </w:pPr>
            <w:r w:rsidRPr="00EE4F2D">
              <w:rPr>
                <w:rFonts w:ascii="Arial" w:hAnsi="Arial" w:cs="Arial"/>
                <w:sz w:val="24"/>
                <w:szCs w:val="24"/>
              </w:rPr>
              <w:t>Amarillo (60% 69%)</w:t>
            </w:r>
          </w:p>
        </w:tc>
        <w:tc>
          <w:tcPr>
            <w:tcW w:w="0" w:type="auto"/>
            <w:shd w:val="clear" w:color="auto" w:fill="FFFF00"/>
            <w:vAlign w:val="center"/>
          </w:tcPr>
          <w:p w14:paraId="2EC5D031" w14:textId="77777777" w:rsidR="00BA1F7E" w:rsidRPr="00EE4F2D" w:rsidRDefault="00BA1F7E" w:rsidP="00677C3F">
            <w:pPr>
              <w:jc w:val="center"/>
              <w:rPr>
                <w:rFonts w:ascii="Arial" w:hAnsi="Arial" w:cs="Arial"/>
                <w:sz w:val="24"/>
                <w:szCs w:val="24"/>
              </w:rPr>
            </w:pPr>
            <w:r w:rsidRPr="00EE4F2D">
              <w:rPr>
                <w:rFonts w:ascii="Arial" w:hAnsi="Arial" w:cs="Arial"/>
                <w:sz w:val="24"/>
                <w:szCs w:val="24"/>
              </w:rPr>
              <w:t>Medio</w:t>
            </w:r>
          </w:p>
        </w:tc>
      </w:tr>
      <w:tr w:rsidR="00BA1F7E" w:rsidRPr="00EE4F2D" w14:paraId="33AFD716" w14:textId="77777777" w:rsidTr="00677C3F">
        <w:trPr>
          <w:trHeight w:val="20"/>
          <w:jc w:val="center"/>
        </w:trPr>
        <w:tc>
          <w:tcPr>
            <w:tcW w:w="0" w:type="auto"/>
            <w:shd w:val="clear" w:color="auto" w:fill="auto"/>
          </w:tcPr>
          <w:p w14:paraId="630C347C" w14:textId="77777777" w:rsidR="00BA1F7E" w:rsidRPr="00EE4F2D" w:rsidRDefault="00BA1F7E" w:rsidP="00677C3F">
            <w:pPr>
              <w:jc w:val="both"/>
              <w:rPr>
                <w:rFonts w:ascii="Arial" w:hAnsi="Arial" w:cs="Arial"/>
                <w:sz w:val="24"/>
                <w:szCs w:val="24"/>
              </w:rPr>
            </w:pPr>
            <w:r w:rsidRPr="00EE4F2D">
              <w:rPr>
                <w:rFonts w:ascii="Arial" w:hAnsi="Arial" w:cs="Arial"/>
                <w:sz w:val="24"/>
                <w:szCs w:val="24"/>
              </w:rPr>
              <w:t>Naranja (40% 59%)</w:t>
            </w:r>
          </w:p>
        </w:tc>
        <w:tc>
          <w:tcPr>
            <w:tcW w:w="0" w:type="auto"/>
            <w:shd w:val="clear" w:color="auto" w:fill="ED7D31"/>
            <w:vAlign w:val="center"/>
          </w:tcPr>
          <w:p w14:paraId="66465821" w14:textId="77777777" w:rsidR="00BA1F7E" w:rsidRPr="00EE4F2D" w:rsidRDefault="00BA1F7E" w:rsidP="00677C3F">
            <w:pPr>
              <w:jc w:val="center"/>
              <w:rPr>
                <w:rFonts w:ascii="Arial" w:hAnsi="Arial" w:cs="Arial"/>
                <w:sz w:val="24"/>
                <w:szCs w:val="24"/>
              </w:rPr>
            </w:pPr>
            <w:r w:rsidRPr="00EE4F2D">
              <w:rPr>
                <w:rFonts w:ascii="Arial" w:hAnsi="Arial" w:cs="Arial"/>
                <w:sz w:val="24"/>
                <w:szCs w:val="24"/>
              </w:rPr>
              <w:t>Bajo</w:t>
            </w:r>
          </w:p>
        </w:tc>
      </w:tr>
      <w:tr w:rsidR="00BA1F7E" w:rsidRPr="00EE4F2D" w14:paraId="50F23300" w14:textId="77777777" w:rsidTr="00677C3F">
        <w:trPr>
          <w:trHeight w:val="20"/>
          <w:jc w:val="center"/>
        </w:trPr>
        <w:tc>
          <w:tcPr>
            <w:tcW w:w="0" w:type="auto"/>
            <w:shd w:val="clear" w:color="auto" w:fill="auto"/>
          </w:tcPr>
          <w:p w14:paraId="7BDB2C73" w14:textId="77777777" w:rsidR="00BA1F7E" w:rsidRPr="00EE4F2D" w:rsidRDefault="00BA1F7E" w:rsidP="00677C3F">
            <w:pPr>
              <w:jc w:val="both"/>
              <w:rPr>
                <w:rFonts w:ascii="Arial" w:hAnsi="Arial" w:cs="Arial"/>
                <w:sz w:val="24"/>
                <w:szCs w:val="24"/>
              </w:rPr>
            </w:pPr>
            <w:r w:rsidRPr="00EE4F2D">
              <w:rPr>
                <w:rFonts w:ascii="Arial" w:hAnsi="Arial" w:cs="Arial"/>
                <w:sz w:val="24"/>
                <w:szCs w:val="24"/>
              </w:rPr>
              <w:t>Rojo (0% 39%)</w:t>
            </w:r>
          </w:p>
        </w:tc>
        <w:tc>
          <w:tcPr>
            <w:tcW w:w="0" w:type="auto"/>
            <w:shd w:val="clear" w:color="auto" w:fill="FF0000"/>
            <w:vAlign w:val="center"/>
          </w:tcPr>
          <w:p w14:paraId="2245203B" w14:textId="77777777" w:rsidR="00BA1F7E" w:rsidRPr="00EE4F2D" w:rsidRDefault="00BA1F7E" w:rsidP="00677C3F">
            <w:pPr>
              <w:jc w:val="center"/>
              <w:rPr>
                <w:rFonts w:ascii="Arial" w:hAnsi="Arial" w:cs="Arial"/>
                <w:sz w:val="24"/>
                <w:szCs w:val="24"/>
              </w:rPr>
            </w:pPr>
            <w:r w:rsidRPr="00EE4F2D">
              <w:rPr>
                <w:rFonts w:ascii="Arial" w:hAnsi="Arial" w:cs="Arial"/>
                <w:sz w:val="24"/>
                <w:szCs w:val="24"/>
              </w:rPr>
              <w:t>Critico</w:t>
            </w:r>
          </w:p>
        </w:tc>
      </w:tr>
    </w:tbl>
    <w:p w14:paraId="769B7059" w14:textId="77777777" w:rsidR="00BA1F7E" w:rsidRPr="00EE4F2D" w:rsidRDefault="00BA1F7E" w:rsidP="00BA1F7E">
      <w:pPr>
        <w:jc w:val="both"/>
        <w:rPr>
          <w:rFonts w:ascii="Arial" w:eastAsia="Times New Roman" w:hAnsi="Arial" w:cs="Arial"/>
          <w:color w:val="000000"/>
          <w:kern w:val="24"/>
          <w:sz w:val="24"/>
          <w:szCs w:val="24"/>
        </w:rPr>
      </w:pPr>
    </w:p>
    <w:p w14:paraId="4431EF02" w14:textId="61D45F91" w:rsidR="00BA1F7E" w:rsidRPr="00EE4F2D" w:rsidRDefault="00BA1F7E" w:rsidP="00BA1F7E">
      <w:pPr>
        <w:jc w:val="both"/>
        <w:rPr>
          <w:rFonts w:ascii="Arial" w:eastAsia="Times New Roman" w:hAnsi="Arial" w:cs="Arial"/>
          <w:color w:val="000000"/>
          <w:kern w:val="24"/>
          <w:sz w:val="24"/>
          <w:szCs w:val="24"/>
        </w:rPr>
      </w:pPr>
      <w:r w:rsidRPr="00EE4F2D">
        <w:rPr>
          <w:rFonts w:ascii="Arial" w:eastAsia="Times New Roman" w:hAnsi="Arial" w:cs="Arial"/>
          <w:color w:val="000000"/>
          <w:kern w:val="24"/>
          <w:sz w:val="24"/>
          <w:szCs w:val="24"/>
        </w:rPr>
        <w:t xml:space="preserve">La Política Pública, cuenta con un total de </w:t>
      </w:r>
      <w:r w:rsidR="003550CA" w:rsidRPr="00EE4F2D">
        <w:rPr>
          <w:rFonts w:ascii="Arial" w:eastAsia="Times New Roman" w:hAnsi="Arial" w:cs="Arial"/>
          <w:color w:val="000000"/>
          <w:kern w:val="24"/>
          <w:sz w:val="24"/>
          <w:szCs w:val="24"/>
        </w:rPr>
        <w:t>10</w:t>
      </w:r>
      <w:r w:rsidR="00BC0EFA">
        <w:rPr>
          <w:rFonts w:ascii="Arial" w:eastAsia="Times New Roman" w:hAnsi="Arial" w:cs="Arial"/>
          <w:color w:val="000000"/>
          <w:kern w:val="24"/>
          <w:sz w:val="24"/>
          <w:szCs w:val="24"/>
        </w:rPr>
        <w:t>2</w:t>
      </w:r>
      <w:r w:rsidRPr="00EE4F2D">
        <w:rPr>
          <w:rFonts w:ascii="Arial" w:eastAsia="Times New Roman" w:hAnsi="Arial" w:cs="Arial"/>
          <w:color w:val="000000"/>
          <w:kern w:val="24"/>
          <w:sz w:val="24"/>
          <w:szCs w:val="24"/>
        </w:rPr>
        <w:t xml:space="preserve"> indicadores, los cuales se encuentran divididos en tres (3) ejes estratégicos. El </w:t>
      </w:r>
      <w:r w:rsidRPr="00EE4F2D">
        <w:rPr>
          <w:rFonts w:ascii="Arial" w:eastAsia="Times New Roman" w:hAnsi="Arial" w:cs="Arial"/>
          <w:b/>
          <w:color w:val="000000"/>
          <w:kern w:val="24"/>
          <w:sz w:val="24"/>
          <w:szCs w:val="24"/>
        </w:rPr>
        <w:t>primer eje estratégico</w:t>
      </w:r>
      <w:r w:rsidRPr="00EE4F2D">
        <w:rPr>
          <w:rFonts w:ascii="Arial" w:eastAsia="Times New Roman" w:hAnsi="Arial" w:cs="Arial"/>
          <w:color w:val="000000"/>
          <w:kern w:val="24"/>
          <w:sz w:val="24"/>
          <w:szCs w:val="24"/>
        </w:rPr>
        <w:t xml:space="preserve">, denominado </w:t>
      </w:r>
      <w:r w:rsidRPr="00EE4F2D">
        <w:rPr>
          <w:rFonts w:ascii="Arial" w:eastAsia="Times New Roman" w:hAnsi="Arial" w:cs="Arial"/>
          <w:b/>
          <w:color w:val="000000"/>
          <w:kern w:val="24"/>
          <w:sz w:val="24"/>
          <w:szCs w:val="24"/>
        </w:rPr>
        <w:t>“</w:t>
      </w:r>
      <w:r w:rsidRPr="00EE4F2D">
        <w:rPr>
          <w:rFonts w:ascii="Arial" w:eastAsia="Times New Roman" w:hAnsi="Arial" w:cs="Arial"/>
          <w:b/>
          <w:i/>
          <w:color w:val="000000"/>
          <w:kern w:val="24"/>
          <w:sz w:val="24"/>
          <w:szCs w:val="24"/>
        </w:rPr>
        <w:t>Desarrollo de Capacidades y Acceso a Servicios”</w:t>
      </w:r>
      <w:r w:rsidRPr="00EE4F2D">
        <w:rPr>
          <w:rFonts w:ascii="Arial" w:eastAsia="Times New Roman" w:hAnsi="Arial" w:cs="Arial"/>
          <w:color w:val="000000"/>
          <w:kern w:val="24"/>
          <w:sz w:val="24"/>
          <w:szCs w:val="24"/>
        </w:rPr>
        <w:t xml:space="preserve">, contempla </w:t>
      </w:r>
      <w:r w:rsidR="00BC0EFA">
        <w:rPr>
          <w:rFonts w:ascii="Arial" w:eastAsia="Times New Roman" w:hAnsi="Arial" w:cs="Arial"/>
          <w:color w:val="000000"/>
          <w:kern w:val="24"/>
          <w:sz w:val="24"/>
          <w:szCs w:val="24"/>
        </w:rPr>
        <w:t>24</w:t>
      </w:r>
      <w:r w:rsidRPr="00EE4F2D">
        <w:rPr>
          <w:rFonts w:ascii="Arial" w:eastAsia="Times New Roman" w:hAnsi="Arial" w:cs="Arial"/>
          <w:color w:val="000000"/>
          <w:kern w:val="24"/>
          <w:sz w:val="24"/>
          <w:szCs w:val="24"/>
        </w:rPr>
        <w:t xml:space="preserve"> indicadores, </w:t>
      </w:r>
      <w:r w:rsidRPr="00EE4F2D">
        <w:rPr>
          <w:rFonts w:ascii="Arial" w:eastAsia="Times New Roman" w:hAnsi="Arial" w:cs="Arial"/>
          <w:color w:val="000000"/>
          <w:kern w:val="24"/>
          <w:sz w:val="24"/>
          <w:szCs w:val="24"/>
        </w:rPr>
        <w:lastRenderedPageBreak/>
        <w:t xml:space="preserve">que representan el </w:t>
      </w:r>
      <w:r w:rsidR="00BC0EFA">
        <w:rPr>
          <w:rFonts w:ascii="Arial" w:eastAsia="Times New Roman" w:hAnsi="Arial" w:cs="Arial"/>
          <w:color w:val="000000"/>
          <w:kern w:val="24"/>
          <w:sz w:val="24"/>
          <w:szCs w:val="24"/>
        </w:rPr>
        <w:t>23</w:t>
      </w:r>
      <w:r w:rsidR="00BC0EFA" w:rsidRPr="00EE4F2D">
        <w:rPr>
          <w:rFonts w:ascii="Arial" w:eastAsia="Times New Roman" w:hAnsi="Arial" w:cs="Arial"/>
          <w:color w:val="000000"/>
          <w:kern w:val="24"/>
          <w:sz w:val="24"/>
          <w:szCs w:val="24"/>
        </w:rPr>
        <w:t>,</w:t>
      </w:r>
      <w:r w:rsidR="00BC0EFA">
        <w:rPr>
          <w:rFonts w:ascii="Arial" w:eastAsia="Times New Roman" w:hAnsi="Arial" w:cs="Arial"/>
          <w:color w:val="000000"/>
          <w:kern w:val="24"/>
          <w:sz w:val="24"/>
          <w:szCs w:val="24"/>
        </w:rPr>
        <w:t>5</w:t>
      </w:r>
      <w:r w:rsidR="00BC0EFA" w:rsidRPr="00EE4F2D">
        <w:rPr>
          <w:rFonts w:ascii="Arial" w:eastAsia="Times New Roman" w:hAnsi="Arial" w:cs="Arial"/>
          <w:color w:val="000000"/>
          <w:kern w:val="24"/>
          <w:sz w:val="24"/>
          <w:szCs w:val="24"/>
        </w:rPr>
        <w:t xml:space="preserve">% </w:t>
      </w:r>
      <w:r w:rsidRPr="00EE4F2D">
        <w:rPr>
          <w:rFonts w:ascii="Arial" w:eastAsia="Times New Roman" w:hAnsi="Arial" w:cs="Arial"/>
          <w:color w:val="000000"/>
          <w:kern w:val="24"/>
          <w:sz w:val="24"/>
          <w:szCs w:val="24"/>
        </w:rPr>
        <w:t xml:space="preserve">del total de las metas; el </w:t>
      </w:r>
      <w:r w:rsidRPr="00EE4F2D">
        <w:rPr>
          <w:rFonts w:ascii="Arial" w:eastAsia="Times New Roman" w:hAnsi="Arial" w:cs="Arial"/>
          <w:b/>
          <w:color w:val="000000"/>
          <w:kern w:val="24"/>
          <w:sz w:val="24"/>
          <w:szCs w:val="24"/>
        </w:rPr>
        <w:t>segundo eje</w:t>
      </w:r>
      <w:r w:rsidRPr="00EE4F2D">
        <w:rPr>
          <w:rFonts w:ascii="Arial" w:eastAsia="Times New Roman" w:hAnsi="Arial" w:cs="Arial"/>
          <w:color w:val="000000"/>
          <w:kern w:val="24"/>
          <w:sz w:val="24"/>
          <w:szCs w:val="24"/>
        </w:rPr>
        <w:t xml:space="preserve">, se denomina </w:t>
      </w:r>
      <w:r w:rsidRPr="00EE4F2D">
        <w:rPr>
          <w:rFonts w:ascii="Arial" w:eastAsia="Times New Roman" w:hAnsi="Arial" w:cs="Arial"/>
          <w:b/>
          <w:color w:val="000000"/>
          <w:kern w:val="24"/>
          <w:sz w:val="24"/>
          <w:szCs w:val="24"/>
        </w:rPr>
        <w:t>“</w:t>
      </w:r>
      <w:r w:rsidRPr="00EE4F2D">
        <w:rPr>
          <w:rFonts w:ascii="Arial" w:eastAsia="Times New Roman" w:hAnsi="Arial" w:cs="Arial"/>
          <w:b/>
          <w:i/>
          <w:color w:val="000000"/>
          <w:kern w:val="24"/>
          <w:sz w:val="24"/>
          <w:szCs w:val="24"/>
        </w:rPr>
        <w:t>Oportunidad para la Formalización, la Inclusión Laboral y el Ahorro</w:t>
      </w:r>
      <w:r w:rsidRPr="00EE4F2D">
        <w:rPr>
          <w:rFonts w:ascii="Arial" w:eastAsia="Times New Roman" w:hAnsi="Arial" w:cs="Arial"/>
          <w:b/>
          <w:color w:val="000000"/>
          <w:kern w:val="24"/>
          <w:sz w:val="24"/>
          <w:szCs w:val="24"/>
        </w:rPr>
        <w:t>”</w:t>
      </w:r>
      <w:r w:rsidRPr="00EE4F2D">
        <w:rPr>
          <w:rFonts w:ascii="Arial" w:eastAsia="Times New Roman" w:hAnsi="Arial" w:cs="Arial"/>
          <w:color w:val="000000"/>
          <w:kern w:val="24"/>
          <w:sz w:val="24"/>
          <w:szCs w:val="24"/>
        </w:rPr>
        <w:t xml:space="preserve"> y contempla </w:t>
      </w:r>
      <w:r w:rsidR="003550CA" w:rsidRPr="00EE4F2D">
        <w:rPr>
          <w:rFonts w:ascii="Arial" w:eastAsia="Times New Roman" w:hAnsi="Arial" w:cs="Arial"/>
          <w:color w:val="000000"/>
          <w:kern w:val="24"/>
          <w:sz w:val="24"/>
          <w:szCs w:val="24"/>
        </w:rPr>
        <w:t>2</w:t>
      </w:r>
      <w:r w:rsidR="00BC0EFA">
        <w:rPr>
          <w:rFonts w:ascii="Arial" w:eastAsia="Times New Roman" w:hAnsi="Arial" w:cs="Arial"/>
          <w:color w:val="000000"/>
          <w:kern w:val="24"/>
          <w:sz w:val="24"/>
          <w:szCs w:val="24"/>
        </w:rPr>
        <w:t>3</w:t>
      </w:r>
      <w:r w:rsidRPr="00EE4F2D">
        <w:rPr>
          <w:rFonts w:ascii="Arial" w:eastAsia="Times New Roman" w:hAnsi="Arial" w:cs="Arial"/>
          <w:color w:val="000000"/>
          <w:kern w:val="24"/>
          <w:sz w:val="24"/>
          <w:szCs w:val="24"/>
        </w:rPr>
        <w:t xml:space="preserve"> indicadores, que representan el </w:t>
      </w:r>
      <w:r w:rsidR="00BC0EFA">
        <w:rPr>
          <w:rFonts w:ascii="Arial" w:eastAsia="Times New Roman" w:hAnsi="Arial" w:cs="Arial"/>
          <w:color w:val="000000"/>
          <w:kern w:val="24"/>
          <w:sz w:val="24"/>
          <w:szCs w:val="24"/>
        </w:rPr>
        <w:t>22.5</w:t>
      </w:r>
      <w:r w:rsidR="00BC0EFA" w:rsidRPr="00EE4F2D">
        <w:rPr>
          <w:rFonts w:ascii="Arial" w:eastAsia="Times New Roman" w:hAnsi="Arial" w:cs="Arial"/>
          <w:color w:val="000000"/>
          <w:kern w:val="24"/>
          <w:sz w:val="24"/>
          <w:szCs w:val="24"/>
        </w:rPr>
        <w:t xml:space="preserve">% </w:t>
      </w:r>
      <w:r w:rsidRPr="00EE4F2D">
        <w:rPr>
          <w:rFonts w:ascii="Arial" w:eastAsia="Times New Roman" w:hAnsi="Arial" w:cs="Arial"/>
          <w:color w:val="000000"/>
          <w:kern w:val="24"/>
          <w:sz w:val="24"/>
          <w:szCs w:val="24"/>
        </w:rPr>
        <w:t xml:space="preserve">y, por último, se cuenta con el </w:t>
      </w:r>
      <w:r w:rsidRPr="00096CBE">
        <w:rPr>
          <w:rFonts w:ascii="Arial" w:eastAsia="Times New Roman" w:hAnsi="Arial" w:cs="Arial"/>
          <w:bCs/>
          <w:color w:val="000000"/>
          <w:kern w:val="24"/>
          <w:sz w:val="24"/>
          <w:szCs w:val="24"/>
        </w:rPr>
        <w:t>tercer eje</w:t>
      </w:r>
      <w:r w:rsidRPr="00EE4F2D">
        <w:rPr>
          <w:rFonts w:ascii="Arial" w:eastAsia="Times New Roman" w:hAnsi="Arial" w:cs="Arial"/>
          <w:color w:val="000000"/>
          <w:kern w:val="24"/>
          <w:sz w:val="24"/>
          <w:szCs w:val="24"/>
        </w:rPr>
        <w:t xml:space="preserve"> estratégico de </w:t>
      </w:r>
      <w:r w:rsidRPr="00EE4F2D">
        <w:rPr>
          <w:rFonts w:ascii="Arial" w:eastAsia="Times New Roman" w:hAnsi="Arial" w:cs="Arial"/>
          <w:b/>
          <w:color w:val="000000"/>
          <w:kern w:val="24"/>
          <w:sz w:val="24"/>
          <w:szCs w:val="24"/>
        </w:rPr>
        <w:t>“</w:t>
      </w:r>
      <w:r w:rsidRPr="00EE4F2D">
        <w:rPr>
          <w:rFonts w:ascii="Arial" w:eastAsia="Times New Roman" w:hAnsi="Arial" w:cs="Arial"/>
          <w:b/>
          <w:i/>
          <w:color w:val="000000"/>
          <w:kern w:val="24"/>
          <w:sz w:val="24"/>
          <w:szCs w:val="24"/>
        </w:rPr>
        <w:t>Fomento de la Productividad</w:t>
      </w:r>
      <w:r w:rsidRPr="00EE4F2D">
        <w:rPr>
          <w:rFonts w:ascii="Arial" w:eastAsia="Times New Roman" w:hAnsi="Arial" w:cs="Arial"/>
          <w:i/>
          <w:color w:val="000000"/>
          <w:kern w:val="24"/>
          <w:sz w:val="24"/>
          <w:szCs w:val="24"/>
        </w:rPr>
        <w:t xml:space="preserve"> </w:t>
      </w:r>
      <w:r w:rsidRPr="00EE4F2D">
        <w:rPr>
          <w:rFonts w:ascii="Arial" w:eastAsia="Times New Roman" w:hAnsi="Arial" w:cs="Arial"/>
          <w:b/>
          <w:i/>
          <w:color w:val="000000"/>
          <w:kern w:val="24"/>
          <w:sz w:val="24"/>
          <w:szCs w:val="24"/>
        </w:rPr>
        <w:t>para la Competitividad y el Crecimiento Económico</w:t>
      </w:r>
      <w:r w:rsidRPr="00EE4F2D">
        <w:rPr>
          <w:rFonts w:ascii="Arial" w:eastAsia="Times New Roman" w:hAnsi="Arial" w:cs="Arial"/>
          <w:b/>
          <w:color w:val="000000"/>
          <w:kern w:val="24"/>
          <w:sz w:val="24"/>
          <w:szCs w:val="24"/>
        </w:rPr>
        <w:t>”</w:t>
      </w:r>
      <w:r w:rsidRPr="00EE4F2D">
        <w:rPr>
          <w:rFonts w:ascii="Arial" w:eastAsia="Times New Roman" w:hAnsi="Arial" w:cs="Arial"/>
          <w:color w:val="000000"/>
          <w:kern w:val="24"/>
          <w:sz w:val="24"/>
          <w:szCs w:val="24"/>
        </w:rPr>
        <w:t xml:space="preserve">, que cuenta con </w:t>
      </w:r>
      <w:r w:rsidR="00BC0EFA">
        <w:rPr>
          <w:rFonts w:ascii="Arial" w:eastAsia="Times New Roman" w:hAnsi="Arial" w:cs="Arial"/>
          <w:color w:val="000000"/>
          <w:kern w:val="24"/>
          <w:sz w:val="24"/>
          <w:szCs w:val="24"/>
        </w:rPr>
        <w:t>55</w:t>
      </w:r>
      <w:r w:rsidRPr="00EE4F2D">
        <w:rPr>
          <w:rFonts w:ascii="Arial" w:eastAsia="Times New Roman" w:hAnsi="Arial" w:cs="Arial"/>
          <w:color w:val="000000"/>
          <w:kern w:val="24"/>
          <w:sz w:val="24"/>
          <w:szCs w:val="24"/>
        </w:rPr>
        <w:t xml:space="preserve"> indicadores, los cuales representan el </w:t>
      </w:r>
      <w:r w:rsidR="00BC0EFA" w:rsidRPr="00BC0EFA">
        <w:rPr>
          <w:rFonts w:ascii="Arial" w:eastAsia="Times New Roman" w:hAnsi="Arial" w:cs="Arial"/>
          <w:color w:val="000000"/>
          <w:kern w:val="24"/>
          <w:sz w:val="24"/>
          <w:szCs w:val="24"/>
        </w:rPr>
        <w:t xml:space="preserve">53,9% </w:t>
      </w:r>
      <w:r w:rsidRPr="00EE4F2D">
        <w:rPr>
          <w:rFonts w:ascii="Arial" w:eastAsia="Times New Roman" w:hAnsi="Arial" w:cs="Arial"/>
          <w:color w:val="000000"/>
          <w:kern w:val="24"/>
          <w:sz w:val="24"/>
          <w:szCs w:val="24"/>
        </w:rPr>
        <w:t>del total de metas establecidas en la matriz de planificación. El presente informe técnico, da respuesta al comportamiento de estos indicadores, en el proceso de seguimiento y evaluación de la Política Pública, como se muestra a continuación:</w:t>
      </w:r>
    </w:p>
    <w:p w14:paraId="4F20A948" w14:textId="4011ED7A" w:rsidR="00EE4F2D" w:rsidRPr="00CA1965" w:rsidRDefault="00EE4F2D" w:rsidP="00BA1F7E">
      <w:pPr>
        <w:jc w:val="both"/>
        <w:rPr>
          <w:rFonts w:ascii="Arial" w:eastAsia="Times New Roman" w:hAnsi="Arial" w:cs="Arial"/>
          <w:color w:val="000000" w:themeColor="text1"/>
          <w:kern w:val="24"/>
          <w:sz w:val="24"/>
          <w:szCs w:val="24"/>
        </w:rPr>
      </w:pPr>
      <w:r w:rsidRPr="00CA1965">
        <w:rPr>
          <w:rFonts w:ascii="Arial" w:eastAsia="Times New Roman" w:hAnsi="Arial" w:cs="Arial"/>
          <w:b/>
          <w:bCs/>
          <w:color w:val="000000" w:themeColor="text1"/>
          <w:kern w:val="24"/>
          <w:sz w:val="24"/>
          <w:szCs w:val="24"/>
        </w:rPr>
        <w:t>Tabla 1:</w:t>
      </w:r>
      <w:r w:rsidRPr="00CA1965">
        <w:rPr>
          <w:rFonts w:ascii="Arial" w:eastAsia="Times New Roman" w:hAnsi="Arial" w:cs="Arial"/>
          <w:color w:val="000000" w:themeColor="text1"/>
          <w:kern w:val="24"/>
          <w:sz w:val="24"/>
          <w:szCs w:val="24"/>
        </w:rPr>
        <w:t xml:space="preserve"> Semaforización ejes estratégicos Política Pública de Generación de Ingresos del Quindío </w:t>
      </w:r>
      <w:r w:rsidR="00995DFF" w:rsidRPr="00CA1965">
        <w:rPr>
          <w:rFonts w:ascii="Arial" w:eastAsia="Times New Roman" w:hAnsi="Arial" w:cs="Arial"/>
          <w:color w:val="000000" w:themeColor="text1"/>
          <w:kern w:val="24"/>
          <w:sz w:val="24"/>
          <w:szCs w:val="24"/>
        </w:rPr>
        <w:t xml:space="preserve">- </w:t>
      </w:r>
      <w:r w:rsidR="00B202FB" w:rsidRPr="00CA1965">
        <w:rPr>
          <w:rFonts w:ascii="Arial" w:eastAsia="Times New Roman" w:hAnsi="Arial" w:cs="Arial"/>
          <w:color w:val="000000" w:themeColor="text1"/>
          <w:kern w:val="24"/>
          <w:sz w:val="24"/>
          <w:szCs w:val="24"/>
        </w:rPr>
        <w:t>v</w:t>
      </w:r>
      <w:r w:rsidRPr="00CA1965">
        <w:rPr>
          <w:rFonts w:ascii="Arial" w:eastAsia="Times New Roman" w:hAnsi="Arial" w:cs="Arial"/>
          <w:color w:val="000000" w:themeColor="text1"/>
          <w:kern w:val="24"/>
          <w:sz w:val="24"/>
          <w:szCs w:val="24"/>
        </w:rPr>
        <w:t>igencia 202</w:t>
      </w:r>
      <w:r w:rsidR="001928B9" w:rsidRPr="00CA1965">
        <w:rPr>
          <w:rFonts w:ascii="Arial" w:eastAsia="Times New Roman" w:hAnsi="Arial" w:cs="Arial"/>
          <w:color w:val="000000" w:themeColor="text1"/>
          <w:kern w:val="24"/>
          <w:sz w:val="24"/>
          <w:szCs w:val="24"/>
        </w:rPr>
        <w:t>3</w:t>
      </w:r>
      <w:r w:rsidRPr="00CA1965">
        <w:rPr>
          <w:rFonts w:ascii="Arial" w:eastAsia="Times New Roman" w:hAnsi="Arial" w:cs="Arial"/>
          <w:color w:val="000000" w:themeColor="text1"/>
          <w:kern w:val="24"/>
          <w:sz w:val="24"/>
          <w:szCs w:val="24"/>
        </w:rPr>
        <w:t>.</w:t>
      </w:r>
    </w:p>
    <w:p w14:paraId="57DA95BB" w14:textId="0F16F945" w:rsidR="00CA1965" w:rsidRDefault="00CA1965" w:rsidP="00BA1F7E">
      <w:pPr>
        <w:jc w:val="both"/>
        <w:rPr>
          <w:noProof/>
        </w:rPr>
      </w:pPr>
      <w:r w:rsidRPr="00CA1965">
        <w:rPr>
          <w:noProof/>
        </w:rPr>
        <w:drawing>
          <wp:inline distT="0" distB="0" distL="0" distR="0" wp14:anchorId="7F657A98" wp14:editId="136B5C17">
            <wp:extent cx="5612130" cy="1782656"/>
            <wp:effectExtent l="19050" t="19050" r="26670" b="27305"/>
            <wp:docPr id="2837565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56527" name=""/>
                    <pic:cNvPicPr/>
                  </pic:nvPicPr>
                  <pic:blipFill>
                    <a:blip r:embed="rId8"/>
                    <a:stretch>
                      <a:fillRect/>
                    </a:stretch>
                  </pic:blipFill>
                  <pic:spPr>
                    <a:xfrm>
                      <a:off x="0" y="0"/>
                      <a:ext cx="5634400" cy="1789730"/>
                    </a:xfrm>
                    <a:prstGeom prst="rect">
                      <a:avLst/>
                    </a:prstGeom>
                    <a:ln>
                      <a:solidFill>
                        <a:schemeClr val="tx1"/>
                      </a:solidFill>
                    </a:ln>
                  </pic:spPr>
                </pic:pic>
              </a:graphicData>
            </a:graphic>
          </wp:inline>
        </w:drawing>
      </w:r>
    </w:p>
    <w:p w14:paraId="38BE7E0A" w14:textId="70466697" w:rsidR="00EE4F2D" w:rsidRPr="00CA3C5E" w:rsidRDefault="00EE4F2D" w:rsidP="00BA1F7E">
      <w:pPr>
        <w:jc w:val="both"/>
        <w:rPr>
          <w:rFonts w:asciiTheme="minorHAnsi" w:eastAsia="Times New Roman" w:hAnsiTheme="minorHAnsi" w:cstheme="minorHAnsi"/>
          <w:color w:val="000000"/>
          <w:kern w:val="24"/>
          <w:sz w:val="20"/>
          <w:szCs w:val="20"/>
        </w:rPr>
      </w:pPr>
      <w:r w:rsidRPr="00EE4F2D">
        <w:rPr>
          <w:rFonts w:ascii="Arial" w:eastAsia="Times New Roman" w:hAnsi="Arial" w:cs="Arial"/>
          <w:b/>
          <w:bCs/>
          <w:color w:val="000000" w:themeColor="text1"/>
          <w:kern w:val="24"/>
          <w:sz w:val="16"/>
          <w:szCs w:val="16"/>
        </w:rPr>
        <w:t>Fuente: Elaboración propia</w:t>
      </w:r>
    </w:p>
    <w:p w14:paraId="1ACAD1A5" w14:textId="3F127A77" w:rsidR="00BA1F7E" w:rsidRPr="00A840F2" w:rsidRDefault="00BA1F7E" w:rsidP="00BA1F7E">
      <w:pPr>
        <w:jc w:val="both"/>
        <w:rPr>
          <w:rFonts w:ascii="Arial" w:eastAsia="Times New Roman" w:hAnsi="Arial" w:cs="Arial"/>
          <w:color w:val="000000" w:themeColor="text1"/>
          <w:kern w:val="24"/>
          <w:sz w:val="24"/>
          <w:szCs w:val="24"/>
        </w:rPr>
      </w:pPr>
      <w:r w:rsidRPr="00A840F2">
        <w:rPr>
          <w:rFonts w:ascii="Arial" w:eastAsia="Times New Roman" w:hAnsi="Arial" w:cs="Arial"/>
          <w:color w:val="000000" w:themeColor="text1"/>
          <w:kern w:val="24"/>
          <w:sz w:val="24"/>
          <w:szCs w:val="24"/>
        </w:rPr>
        <w:t>La anterior tabla, nos muestra el comportamiento general con corte al 3</w:t>
      </w:r>
      <w:r w:rsidR="00857C5D" w:rsidRPr="00A840F2">
        <w:rPr>
          <w:rFonts w:ascii="Arial" w:eastAsia="Times New Roman" w:hAnsi="Arial" w:cs="Arial"/>
          <w:color w:val="000000" w:themeColor="text1"/>
          <w:kern w:val="24"/>
          <w:sz w:val="24"/>
          <w:szCs w:val="24"/>
        </w:rPr>
        <w:t>1</w:t>
      </w:r>
      <w:r w:rsidR="006F200A" w:rsidRPr="00A840F2">
        <w:rPr>
          <w:rFonts w:ascii="Arial" w:eastAsia="Times New Roman" w:hAnsi="Arial" w:cs="Arial"/>
          <w:color w:val="000000" w:themeColor="text1"/>
          <w:kern w:val="24"/>
          <w:sz w:val="24"/>
          <w:szCs w:val="24"/>
        </w:rPr>
        <w:t xml:space="preserve"> </w:t>
      </w:r>
      <w:r w:rsidRPr="00A840F2">
        <w:rPr>
          <w:rFonts w:ascii="Arial" w:eastAsia="Times New Roman" w:hAnsi="Arial" w:cs="Arial"/>
          <w:color w:val="000000" w:themeColor="text1"/>
          <w:kern w:val="24"/>
          <w:sz w:val="24"/>
          <w:szCs w:val="24"/>
        </w:rPr>
        <w:t>de</w:t>
      </w:r>
      <w:r w:rsidR="009723FD" w:rsidRPr="00A840F2">
        <w:rPr>
          <w:rFonts w:ascii="Arial" w:eastAsia="Times New Roman" w:hAnsi="Arial" w:cs="Arial"/>
          <w:color w:val="000000" w:themeColor="text1"/>
          <w:kern w:val="24"/>
          <w:sz w:val="24"/>
          <w:szCs w:val="24"/>
        </w:rPr>
        <w:t xml:space="preserve"> </w:t>
      </w:r>
      <w:r w:rsidR="00857C5D" w:rsidRPr="00A840F2">
        <w:rPr>
          <w:rFonts w:ascii="Arial" w:eastAsia="Times New Roman" w:hAnsi="Arial" w:cs="Arial"/>
          <w:color w:val="000000" w:themeColor="text1"/>
          <w:kern w:val="24"/>
          <w:sz w:val="24"/>
          <w:szCs w:val="24"/>
        </w:rPr>
        <w:t>diciembre</w:t>
      </w:r>
      <w:r w:rsidRPr="00A840F2">
        <w:rPr>
          <w:rFonts w:ascii="Arial" w:eastAsia="Times New Roman" w:hAnsi="Arial" w:cs="Arial"/>
          <w:color w:val="000000" w:themeColor="text1"/>
          <w:kern w:val="24"/>
          <w:sz w:val="24"/>
          <w:szCs w:val="24"/>
        </w:rPr>
        <w:t xml:space="preserve"> del 202</w:t>
      </w:r>
      <w:r w:rsidR="001928B9" w:rsidRPr="00A840F2">
        <w:rPr>
          <w:rFonts w:ascii="Arial" w:eastAsia="Times New Roman" w:hAnsi="Arial" w:cs="Arial"/>
          <w:color w:val="000000" w:themeColor="text1"/>
          <w:kern w:val="24"/>
          <w:sz w:val="24"/>
          <w:szCs w:val="24"/>
        </w:rPr>
        <w:t>3</w:t>
      </w:r>
      <w:r w:rsidRPr="00A840F2">
        <w:rPr>
          <w:rFonts w:ascii="Arial" w:eastAsia="Times New Roman" w:hAnsi="Arial" w:cs="Arial"/>
          <w:color w:val="000000" w:themeColor="text1"/>
          <w:kern w:val="24"/>
          <w:sz w:val="24"/>
          <w:szCs w:val="24"/>
        </w:rPr>
        <w:t>, de acuerdo con el reporte de los actores estratégicos de la Política Pública</w:t>
      </w:r>
      <w:r w:rsidR="00DE2C6D" w:rsidRPr="00A840F2">
        <w:rPr>
          <w:rFonts w:ascii="Arial" w:eastAsia="Times New Roman" w:hAnsi="Arial" w:cs="Arial"/>
          <w:color w:val="000000" w:themeColor="text1"/>
          <w:kern w:val="24"/>
          <w:sz w:val="24"/>
          <w:szCs w:val="24"/>
        </w:rPr>
        <w:t xml:space="preserve"> de Generación de Ingresos</w:t>
      </w:r>
      <w:r w:rsidRPr="00A840F2">
        <w:rPr>
          <w:rFonts w:ascii="Arial" w:eastAsia="Times New Roman" w:hAnsi="Arial" w:cs="Arial"/>
          <w:color w:val="000000" w:themeColor="text1"/>
          <w:kern w:val="24"/>
          <w:sz w:val="24"/>
          <w:szCs w:val="24"/>
        </w:rPr>
        <w:t xml:space="preserve">. En este sentido, se observa que </w:t>
      </w:r>
      <w:r w:rsidR="00227209" w:rsidRPr="00A840F2">
        <w:rPr>
          <w:rFonts w:ascii="Arial" w:eastAsia="Times New Roman" w:hAnsi="Arial" w:cs="Arial"/>
          <w:color w:val="000000" w:themeColor="text1"/>
          <w:kern w:val="24"/>
          <w:sz w:val="24"/>
          <w:szCs w:val="24"/>
        </w:rPr>
        <w:t>32</w:t>
      </w:r>
      <w:r w:rsidRPr="00A840F2">
        <w:rPr>
          <w:rFonts w:ascii="Arial" w:eastAsia="Times New Roman" w:hAnsi="Arial" w:cs="Arial"/>
          <w:color w:val="000000" w:themeColor="text1"/>
          <w:kern w:val="24"/>
          <w:sz w:val="24"/>
          <w:szCs w:val="24"/>
        </w:rPr>
        <w:t xml:space="preserve"> indicadores se encuentran en estado crítico, de acuerdo con la escala de semaforización propuesta por el Departamento Nacional de Planeación, que corresponden al </w:t>
      </w:r>
      <w:r w:rsidR="00227209" w:rsidRPr="00A840F2">
        <w:rPr>
          <w:rFonts w:ascii="Arial" w:eastAsia="Times New Roman" w:hAnsi="Arial" w:cs="Arial"/>
          <w:color w:val="000000" w:themeColor="text1"/>
          <w:kern w:val="24"/>
          <w:sz w:val="24"/>
          <w:szCs w:val="24"/>
        </w:rPr>
        <w:t>31</w:t>
      </w:r>
      <w:r w:rsidRPr="00A840F2">
        <w:rPr>
          <w:rFonts w:ascii="Arial" w:eastAsia="Times New Roman" w:hAnsi="Arial" w:cs="Arial"/>
          <w:color w:val="000000" w:themeColor="text1"/>
          <w:kern w:val="24"/>
          <w:sz w:val="24"/>
          <w:szCs w:val="24"/>
        </w:rPr>
        <w:t>% del total de metas</w:t>
      </w:r>
      <w:r w:rsidR="00CB4255" w:rsidRPr="00A840F2">
        <w:rPr>
          <w:rFonts w:ascii="Arial" w:eastAsia="Times New Roman" w:hAnsi="Arial" w:cs="Arial"/>
          <w:color w:val="000000" w:themeColor="text1"/>
          <w:kern w:val="24"/>
          <w:sz w:val="24"/>
          <w:szCs w:val="24"/>
        </w:rPr>
        <w:t>;</w:t>
      </w:r>
      <w:r w:rsidR="00EC3272" w:rsidRPr="00A840F2">
        <w:rPr>
          <w:rFonts w:ascii="Arial" w:eastAsia="Times New Roman" w:hAnsi="Arial" w:cs="Arial"/>
          <w:color w:val="000000" w:themeColor="text1"/>
          <w:kern w:val="24"/>
          <w:sz w:val="24"/>
          <w:szCs w:val="24"/>
        </w:rPr>
        <w:t xml:space="preserve"> </w:t>
      </w:r>
      <w:r w:rsidR="00CB4255" w:rsidRPr="00A840F2">
        <w:rPr>
          <w:rFonts w:ascii="Arial" w:eastAsia="Times New Roman" w:hAnsi="Arial" w:cs="Arial"/>
          <w:color w:val="000000" w:themeColor="text1"/>
          <w:kern w:val="24"/>
          <w:sz w:val="24"/>
          <w:szCs w:val="24"/>
        </w:rPr>
        <w:t>en estado bajo</w:t>
      </w:r>
      <w:r w:rsidR="00227209" w:rsidRPr="00A840F2">
        <w:rPr>
          <w:rFonts w:ascii="Arial" w:eastAsia="Times New Roman" w:hAnsi="Arial" w:cs="Arial"/>
          <w:color w:val="000000" w:themeColor="text1"/>
          <w:kern w:val="24"/>
          <w:sz w:val="24"/>
          <w:szCs w:val="24"/>
        </w:rPr>
        <w:t xml:space="preserve"> y medio</w:t>
      </w:r>
      <w:r w:rsidR="00A840F2">
        <w:rPr>
          <w:rFonts w:ascii="Arial" w:eastAsia="Times New Roman" w:hAnsi="Arial" w:cs="Arial"/>
          <w:color w:val="000000" w:themeColor="text1"/>
          <w:kern w:val="24"/>
          <w:sz w:val="24"/>
          <w:szCs w:val="24"/>
        </w:rPr>
        <w:t xml:space="preserve"> no se identificaron </w:t>
      </w:r>
      <w:r w:rsidR="00A840F2" w:rsidRPr="00A840F2">
        <w:rPr>
          <w:rFonts w:ascii="Arial" w:eastAsia="Times New Roman" w:hAnsi="Arial" w:cs="Arial"/>
          <w:color w:val="000000" w:themeColor="text1"/>
          <w:kern w:val="24"/>
          <w:sz w:val="24"/>
          <w:szCs w:val="24"/>
        </w:rPr>
        <w:t>indicador</w:t>
      </w:r>
      <w:r w:rsidR="00A840F2">
        <w:rPr>
          <w:rFonts w:ascii="Arial" w:eastAsia="Times New Roman" w:hAnsi="Arial" w:cs="Arial"/>
          <w:color w:val="000000" w:themeColor="text1"/>
          <w:kern w:val="24"/>
          <w:sz w:val="24"/>
          <w:szCs w:val="24"/>
        </w:rPr>
        <w:t>es,</w:t>
      </w:r>
      <w:r w:rsidR="00CB4255" w:rsidRPr="00A840F2">
        <w:rPr>
          <w:rFonts w:ascii="Arial" w:eastAsia="Times New Roman" w:hAnsi="Arial" w:cs="Arial"/>
          <w:color w:val="000000" w:themeColor="text1"/>
          <w:kern w:val="24"/>
          <w:sz w:val="24"/>
          <w:szCs w:val="24"/>
        </w:rPr>
        <w:t xml:space="preserve"> representando un </w:t>
      </w:r>
      <w:r w:rsidR="00227209" w:rsidRPr="00A840F2">
        <w:rPr>
          <w:rFonts w:ascii="Arial" w:eastAsia="Times New Roman" w:hAnsi="Arial" w:cs="Arial"/>
          <w:color w:val="000000" w:themeColor="text1"/>
          <w:kern w:val="24"/>
          <w:sz w:val="24"/>
          <w:szCs w:val="24"/>
        </w:rPr>
        <w:t>0</w:t>
      </w:r>
      <w:r w:rsidR="00CB4255" w:rsidRPr="00A840F2">
        <w:rPr>
          <w:rFonts w:ascii="Arial" w:eastAsia="Times New Roman" w:hAnsi="Arial" w:cs="Arial"/>
          <w:color w:val="000000" w:themeColor="text1"/>
          <w:kern w:val="24"/>
          <w:sz w:val="24"/>
          <w:szCs w:val="24"/>
        </w:rPr>
        <w:t>%</w:t>
      </w:r>
      <w:r w:rsidR="00B76ED6" w:rsidRPr="00A840F2">
        <w:rPr>
          <w:rFonts w:ascii="Arial" w:eastAsia="Times New Roman" w:hAnsi="Arial" w:cs="Arial"/>
          <w:color w:val="000000" w:themeColor="text1"/>
          <w:kern w:val="24"/>
          <w:sz w:val="24"/>
          <w:szCs w:val="24"/>
        </w:rPr>
        <w:t xml:space="preserve">; </w:t>
      </w:r>
      <w:r w:rsidR="00EC7BA8" w:rsidRPr="00A840F2">
        <w:rPr>
          <w:rFonts w:ascii="Arial" w:eastAsia="Times New Roman" w:hAnsi="Arial" w:cs="Arial"/>
          <w:color w:val="000000" w:themeColor="text1"/>
          <w:kern w:val="24"/>
          <w:sz w:val="24"/>
          <w:szCs w:val="24"/>
        </w:rPr>
        <w:t>1</w:t>
      </w:r>
      <w:r w:rsidR="00B76ED6" w:rsidRPr="00A840F2">
        <w:rPr>
          <w:rFonts w:ascii="Arial" w:eastAsia="Times New Roman" w:hAnsi="Arial" w:cs="Arial"/>
          <w:color w:val="000000" w:themeColor="text1"/>
          <w:kern w:val="24"/>
          <w:sz w:val="24"/>
          <w:szCs w:val="24"/>
        </w:rPr>
        <w:t xml:space="preserve"> </w:t>
      </w:r>
      <w:r w:rsidR="00096CBE" w:rsidRPr="00A840F2">
        <w:rPr>
          <w:rFonts w:ascii="Arial" w:eastAsia="Times New Roman" w:hAnsi="Arial" w:cs="Arial"/>
          <w:color w:val="000000" w:themeColor="text1"/>
          <w:kern w:val="24"/>
          <w:sz w:val="24"/>
          <w:szCs w:val="24"/>
        </w:rPr>
        <w:t xml:space="preserve">indicador </w:t>
      </w:r>
      <w:r w:rsidR="00B76ED6" w:rsidRPr="00A840F2">
        <w:rPr>
          <w:rFonts w:ascii="Arial" w:eastAsia="Times New Roman" w:hAnsi="Arial" w:cs="Arial"/>
          <w:color w:val="000000" w:themeColor="text1"/>
          <w:kern w:val="24"/>
          <w:sz w:val="24"/>
          <w:szCs w:val="24"/>
        </w:rPr>
        <w:t xml:space="preserve">en estado </w:t>
      </w:r>
      <w:r w:rsidR="00227209" w:rsidRPr="00A840F2">
        <w:rPr>
          <w:rFonts w:ascii="Arial" w:eastAsia="Times New Roman" w:hAnsi="Arial" w:cs="Arial"/>
          <w:color w:val="000000" w:themeColor="text1"/>
          <w:kern w:val="24"/>
          <w:sz w:val="24"/>
          <w:szCs w:val="24"/>
        </w:rPr>
        <w:t>satisfactorio</w:t>
      </w:r>
      <w:r w:rsidR="00B76ED6" w:rsidRPr="00A840F2">
        <w:rPr>
          <w:rFonts w:ascii="Arial" w:eastAsia="Times New Roman" w:hAnsi="Arial" w:cs="Arial"/>
          <w:color w:val="000000" w:themeColor="text1"/>
          <w:kern w:val="24"/>
          <w:sz w:val="24"/>
          <w:szCs w:val="24"/>
        </w:rPr>
        <w:t xml:space="preserve">, que representa un </w:t>
      </w:r>
      <w:r w:rsidR="00EC7BA8" w:rsidRPr="00A840F2">
        <w:rPr>
          <w:rFonts w:ascii="Arial" w:eastAsia="Times New Roman" w:hAnsi="Arial" w:cs="Arial"/>
          <w:color w:val="000000" w:themeColor="text1"/>
          <w:kern w:val="24"/>
          <w:sz w:val="24"/>
          <w:szCs w:val="24"/>
        </w:rPr>
        <w:t>1</w:t>
      </w:r>
      <w:r w:rsidR="00B76ED6" w:rsidRPr="00A840F2">
        <w:rPr>
          <w:rFonts w:ascii="Arial" w:eastAsia="Times New Roman" w:hAnsi="Arial" w:cs="Arial"/>
          <w:color w:val="000000" w:themeColor="text1"/>
          <w:kern w:val="24"/>
          <w:sz w:val="24"/>
          <w:szCs w:val="24"/>
        </w:rPr>
        <w:t>%</w:t>
      </w:r>
      <w:r w:rsidR="000764F8" w:rsidRPr="00A840F2">
        <w:rPr>
          <w:rFonts w:ascii="Arial" w:eastAsia="Times New Roman" w:hAnsi="Arial" w:cs="Arial"/>
          <w:color w:val="000000" w:themeColor="text1"/>
          <w:kern w:val="24"/>
          <w:sz w:val="24"/>
          <w:szCs w:val="24"/>
        </w:rPr>
        <w:t xml:space="preserve">; </w:t>
      </w:r>
      <w:r w:rsidR="00227209" w:rsidRPr="00A840F2">
        <w:rPr>
          <w:rFonts w:ascii="Arial" w:eastAsia="Times New Roman" w:hAnsi="Arial" w:cs="Arial"/>
          <w:color w:val="000000" w:themeColor="text1"/>
          <w:kern w:val="24"/>
          <w:sz w:val="24"/>
          <w:szCs w:val="24"/>
        </w:rPr>
        <w:t>y</w:t>
      </w:r>
      <w:r w:rsidRPr="00A840F2">
        <w:rPr>
          <w:rFonts w:ascii="Arial" w:eastAsia="Times New Roman" w:hAnsi="Arial" w:cs="Arial"/>
          <w:color w:val="000000" w:themeColor="text1"/>
          <w:kern w:val="24"/>
          <w:sz w:val="24"/>
          <w:szCs w:val="24"/>
        </w:rPr>
        <w:t xml:space="preserve"> </w:t>
      </w:r>
      <w:r w:rsidR="00227209" w:rsidRPr="00A840F2">
        <w:rPr>
          <w:rFonts w:ascii="Arial" w:eastAsia="Times New Roman" w:hAnsi="Arial" w:cs="Arial"/>
          <w:color w:val="000000" w:themeColor="text1"/>
          <w:kern w:val="24"/>
          <w:sz w:val="24"/>
          <w:szCs w:val="24"/>
        </w:rPr>
        <w:t>69</w:t>
      </w:r>
      <w:r w:rsidR="00073F86" w:rsidRPr="00A840F2">
        <w:rPr>
          <w:rFonts w:ascii="Arial" w:eastAsia="Times New Roman" w:hAnsi="Arial" w:cs="Arial"/>
          <w:color w:val="000000" w:themeColor="text1"/>
          <w:kern w:val="24"/>
          <w:sz w:val="24"/>
          <w:szCs w:val="24"/>
        </w:rPr>
        <w:t xml:space="preserve"> </w:t>
      </w:r>
      <w:r w:rsidRPr="00A840F2">
        <w:rPr>
          <w:rFonts w:ascii="Arial" w:eastAsia="Times New Roman" w:hAnsi="Arial" w:cs="Arial"/>
          <w:color w:val="000000" w:themeColor="text1"/>
          <w:kern w:val="24"/>
          <w:sz w:val="24"/>
          <w:szCs w:val="24"/>
        </w:rPr>
        <w:t xml:space="preserve">indicadores que representan el </w:t>
      </w:r>
      <w:r w:rsidR="00A840F2" w:rsidRPr="00A840F2">
        <w:rPr>
          <w:rFonts w:ascii="Arial" w:eastAsia="Times New Roman" w:hAnsi="Arial" w:cs="Arial"/>
          <w:color w:val="000000" w:themeColor="text1"/>
          <w:kern w:val="24"/>
          <w:sz w:val="24"/>
          <w:szCs w:val="24"/>
        </w:rPr>
        <w:t>68</w:t>
      </w:r>
      <w:r w:rsidRPr="00A840F2">
        <w:rPr>
          <w:rFonts w:ascii="Arial" w:eastAsia="Times New Roman" w:hAnsi="Arial" w:cs="Arial"/>
          <w:color w:val="000000" w:themeColor="text1"/>
          <w:kern w:val="24"/>
          <w:sz w:val="24"/>
          <w:szCs w:val="24"/>
        </w:rPr>
        <w:t>%, se encuentran en situación sobresaliente. A continuación, se observa gráficamente la presente descripción:</w:t>
      </w:r>
    </w:p>
    <w:p w14:paraId="71D96E7F" w14:textId="0A52E19A" w:rsidR="00BA1F7E" w:rsidRPr="00C76863" w:rsidRDefault="00227209" w:rsidP="00BA1F7E">
      <w:pPr>
        <w:jc w:val="center"/>
        <w:rPr>
          <w:rFonts w:asciiTheme="minorHAnsi" w:eastAsia="Times New Roman" w:hAnsiTheme="minorHAnsi" w:cstheme="minorHAnsi"/>
          <w:color w:val="000000"/>
          <w:kern w:val="24"/>
          <w:sz w:val="20"/>
          <w:szCs w:val="20"/>
        </w:rPr>
      </w:pPr>
      <w:r>
        <w:rPr>
          <w:rFonts w:asciiTheme="minorHAnsi" w:eastAsia="Times New Roman" w:hAnsiTheme="minorHAnsi" w:cstheme="minorHAnsi"/>
          <w:noProof/>
          <w:color w:val="000000"/>
          <w:kern w:val="24"/>
          <w:sz w:val="20"/>
          <w:szCs w:val="20"/>
        </w:rPr>
        <w:lastRenderedPageBreak/>
        <w:drawing>
          <wp:inline distT="0" distB="0" distL="0" distR="0" wp14:anchorId="4541A6FA" wp14:editId="1961454C">
            <wp:extent cx="5594773" cy="2346960"/>
            <wp:effectExtent l="0" t="0" r="0" b="0"/>
            <wp:docPr id="8350602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1894" cy="2349947"/>
                    </a:xfrm>
                    <a:prstGeom prst="rect">
                      <a:avLst/>
                    </a:prstGeom>
                    <a:noFill/>
                  </pic:spPr>
                </pic:pic>
              </a:graphicData>
            </a:graphic>
          </wp:inline>
        </w:drawing>
      </w:r>
    </w:p>
    <w:p w14:paraId="3D70E9E2" w14:textId="73972522" w:rsidR="007D3915" w:rsidRPr="00B76ED6" w:rsidRDefault="00BA1F7E" w:rsidP="00227209">
      <w:pPr>
        <w:jc w:val="center"/>
        <w:rPr>
          <w:rFonts w:ascii="Arial" w:eastAsia="Times New Roman" w:hAnsi="Arial" w:cs="Arial"/>
          <w:b/>
          <w:bCs/>
          <w:color w:val="000000"/>
          <w:kern w:val="24"/>
          <w:sz w:val="14"/>
          <w:szCs w:val="14"/>
        </w:rPr>
        <w:sectPr w:rsidR="007D3915" w:rsidRPr="00B76ED6" w:rsidSect="001A1C6B">
          <w:headerReference w:type="default" r:id="rId10"/>
          <w:footerReference w:type="default" r:id="rId11"/>
          <w:type w:val="continuous"/>
          <w:pgSz w:w="12240" w:h="15840"/>
          <w:pgMar w:top="1701" w:right="1701" w:bottom="1701" w:left="1701" w:header="709" w:footer="709" w:gutter="0"/>
          <w:cols w:space="708"/>
          <w:docGrid w:linePitch="360"/>
        </w:sectPr>
      </w:pPr>
      <w:r w:rsidRPr="00B76ED6">
        <w:rPr>
          <w:rFonts w:ascii="Arial" w:eastAsia="Times New Roman" w:hAnsi="Arial" w:cs="Arial"/>
          <w:b/>
          <w:bCs/>
          <w:color w:val="000000"/>
          <w:kern w:val="24"/>
          <w:sz w:val="14"/>
          <w:szCs w:val="14"/>
        </w:rPr>
        <w:t>Gráfica 1: Panorama general vigencia 202</w:t>
      </w:r>
      <w:r w:rsidR="00F179B1">
        <w:rPr>
          <w:rFonts w:ascii="Arial" w:eastAsia="Times New Roman" w:hAnsi="Arial" w:cs="Arial"/>
          <w:b/>
          <w:bCs/>
          <w:color w:val="000000"/>
          <w:kern w:val="24"/>
          <w:sz w:val="14"/>
          <w:szCs w:val="14"/>
        </w:rPr>
        <w:t>3</w:t>
      </w:r>
    </w:p>
    <w:p w14:paraId="2FC964BC" w14:textId="74AB100B" w:rsidR="00BA1F7E" w:rsidRPr="00A13E55" w:rsidRDefault="00BA1F7E" w:rsidP="00BA1F7E">
      <w:pPr>
        <w:jc w:val="both"/>
        <w:rPr>
          <w:rFonts w:ascii="Arial" w:eastAsia="Times New Roman" w:hAnsi="Arial" w:cs="Arial"/>
          <w:color w:val="000000"/>
          <w:kern w:val="24"/>
          <w:sz w:val="24"/>
          <w:szCs w:val="24"/>
        </w:rPr>
      </w:pPr>
      <w:r w:rsidRPr="00A13E55">
        <w:rPr>
          <w:rFonts w:ascii="Arial" w:eastAsia="Times New Roman" w:hAnsi="Arial" w:cs="Arial"/>
          <w:color w:val="000000"/>
          <w:kern w:val="24"/>
          <w:sz w:val="24"/>
          <w:szCs w:val="24"/>
        </w:rPr>
        <w:t>Ahora bien, el comportamiento para cada uno de los ejes estratégicos es el siguiente:</w:t>
      </w:r>
    </w:p>
    <w:p w14:paraId="5C2A4DC5" w14:textId="77777777" w:rsidR="00BA1F7E" w:rsidRPr="00A13E55" w:rsidRDefault="00BA1F7E" w:rsidP="00BA1F7E">
      <w:pPr>
        <w:jc w:val="both"/>
        <w:rPr>
          <w:rFonts w:ascii="Arial" w:eastAsia="Times New Roman" w:hAnsi="Arial" w:cs="Arial"/>
          <w:b/>
          <w:bCs/>
          <w:color w:val="000000"/>
          <w:kern w:val="24"/>
          <w:sz w:val="24"/>
          <w:szCs w:val="24"/>
        </w:rPr>
      </w:pPr>
      <w:r w:rsidRPr="00A13E55">
        <w:rPr>
          <w:rFonts w:ascii="Arial" w:eastAsia="Times New Roman" w:hAnsi="Arial" w:cs="Arial"/>
          <w:b/>
          <w:bCs/>
          <w:color w:val="000000"/>
          <w:kern w:val="24"/>
          <w:sz w:val="24"/>
          <w:szCs w:val="24"/>
        </w:rPr>
        <w:t>2.1. EJE I: DESARROLLO DE CAPACIDADES Y ACCESO A SERVICIOS</w:t>
      </w:r>
    </w:p>
    <w:p w14:paraId="5DF677B9" w14:textId="2EAAE421" w:rsidR="00BA1F7E" w:rsidRPr="00C7536B" w:rsidRDefault="00A840F2" w:rsidP="00BA1F7E">
      <w:pPr>
        <w:jc w:val="center"/>
        <w:rPr>
          <w:rFonts w:asciiTheme="minorHAnsi" w:eastAsia="Times New Roman" w:hAnsiTheme="minorHAnsi" w:cstheme="minorHAnsi"/>
          <w:color w:val="FF0000"/>
          <w:kern w:val="24"/>
          <w:sz w:val="20"/>
          <w:szCs w:val="20"/>
        </w:rPr>
      </w:pPr>
      <w:r>
        <w:rPr>
          <w:rFonts w:asciiTheme="minorHAnsi" w:eastAsia="Times New Roman" w:hAnsiTheme="minorHAnsi" w:cstheme="minorHAnsi"/>
          <w:noProof/>
          <w:color w:val="FF0000"/>
          <w:kern w:val="24"/>
          <w:sz w:val="20"/>
          <w:szCs w:val="20"/>
        </w:rPr>
        <w:drawing>
          <wp:inline distT="0" distB="0" distL="0" distR="0" wp14:anchorId="20397FA6" wp14:editId="2541325F">
            <wp:extent cx="2554817" cy="1781175"/>
            <wp:effectExtent l="19050" t="19050" r="17145" b="9525"/>
            <wp:docPr id="12172792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3395" cy="1787155"/>
                    </a:xfrm>
                    <a:prstGeom prst="rect">
                      <a:avLst/>
                    </a:prstGeom>
                    <a:noFill/>
                    <a:ln>
                      <a:solidFill>
                        <a:schemeClr val="tx1"/>
                      </a:solidFill>
                    </a:ln>
                  </pic:spPr>
                </pic:pic>
              </a:graphicData>
            </a:graphic>
          </wp:inline>
        </w:drawing>
      </w:r>
    </w:p>
    <w:p w14:paraId="535BE965" w14:textId="77777777" w:rsidR="00BA1F7E" w:rsidRPr="00A13E55" w:rsidRDefault="00BA1F7E" w:rsidP="00BA1F7E">
      <w:pPr>
        <w:jc w:val="center"/>
        <w:rPr>
          <w:rFonts w:ascii="Arial" w:eastAsia="Times New Roman" w:hAnsi="Arial" w:cs="Arial"/>
          <w:color w:val="000000"/>
          <w:kern w:val="24"/>
          <w:sz w:val="16"/>
          <w:szCs w:val="16"/>
        </w:rPr>
      </w:pPr>
      <w:r w:rsidRPr="00A13E55">
        <w:rPr>
          <w:rFonts w:ascii="Arial" w:eastAsia="Times New Roman" w:hAnsi="Arial" w:cs="Arial"/>
          <w:color w:val="000000"/>
          <w:kern w:val="24"/>
          <w:sz w:val="16"/>
          <w:szCs w:val="16"/>
        </w:rPr>
        <w:t>Gráfica 2: Comportamiento Eje I – Desarrollo de Capacidades y Acceso a Servicios</w:t>
      </w:r>
    </w:p>
    <w:p w14:paraId="7D6BACAF" w14:textId="511E055B" w:rsidR="0042590E" w:rsidRPr="00A13E55" w:rsidRDefault="00BA1F7E" w:rsidP="00BA1F7E">
      <w:pPr>
        <w:jc w:val="both"/>
        <w:rPr>
          <w:rFonts w:ascii="Arial" w:hAnsi="Arial" w:cs="Arial"/>
          <w:sz w:val="24"/>
          <w:szCs w:val="24"/>
        </w:rPr>
      </w:pPr>
      <w:r w:rsidRPr="00A13E55">
        <w:rPr>
          <w:rFonts w:ascii="Arial" w:hAnsi="Arial" w:cs="Arial"/>
          <w:sz w:val="24"/>
          <w:szCs w:val="24"/>
        </w:rPr>
        <w:t xml:space="preserve">De los </w:t>
      </w:r>
      <w:r w:rsidR="00FB304D">
        <w:rPr>
          <w:rFonts w:ascii="Arial" w:hAnsi="Arial" w:cs="Arial"/>
          <w:sz w:val="24"/>
          <w:szCs w:val="24"/>
        </w:rPr>
        <w:t>24</w:t>
      </w:r>
      <w:r w:rsidRPr="00A13E55">
        <w:rPr>
          <w:rFonts w:ascii="Arial" w:hAnsi="Arial" w:cs="Arial"/>
          <w:sz w:val="24"/>
          <w:szCs w:val="24"/>
        </w:rPr>
        <w:t xml:space="preserve"> indicadores que comprenden este eje, </w:t>
      </w:r>
      <w:r w:rsidR="00945A4A">
        <w:rPr>
          <w:rFonts w:ascii="Arial" w:hAnsi="Arial" w:cs="Arial"/>
          <w:sz w:val="24"/>
          <w:szCs w:val="24"/>
        </w:rPr>
        <w:t>1</w:t>
      </w:r>
      <w:r w:rsidR="00A840F2">
        <w:rPr>
          <w:rFonts w:ascii="Arial" w:hAnsi="Arial" w:cs="Arial"/>
          <w:sz w:val="24"/>
          <w:szCs w:val="24"/>
        </w:rPr>
        <w:t>9</w:t>
      </w:r>
      <w:r w:rsidRPr="00A13E55">
        <w:rPr>
          <w:rFonts w:ascii="Arial" w:hAnsi="Arial" w:cs="Arial"/>
          <w:sz w:val="24"/>
          <w:szCs w:val="24"/>
        </w:rPr>
        <w:t xml:space="preserve"> de ellos se encuentran en sobresaliente, representando el </w:t>
      </w:r>
      <w:r w:rsidR="00624124">
        <w:rPr>
          <w:rFonts w:ascii="Arial" w:hAnsi="Arial" w:cs="Arial"/>
          <w:sz w:val="24"/>
          <w:szCs w:val="24"/>
        </w:rPr>
        <w:t>79</w:t>
      </w:r>
      <w:r w:rsidRPr="00A13E55">
        <w:rPr>
          <w:rFonts w:ascii="Arial" w:hAnsi="Arial" w:cs="Arial"/>
          <w:sz w:val="24"/>
          <w:szCs w:val="24"/>
        </w:rPr>
        <w:t>%</w:t>
      </w:r>
      <w:r w:rsidR="0042590E" w:rsidRPr="00A13E55">
        <w:rPr>
          <w:rFonts w:ascii="Arial" w:hAnsi="Arial" w:cs="Arial"/>
          <w:sz w:val="24"/>
          <w:szCs w:val="24"/>
        </w:rPr>
        <w:t>.</w:t>
      </w:r>
    </w:p>
    <w:p w14:paraId="30ACB081" w14:textId="5AF7797F" w:rsidR="0042590E" w:rsidRPr="00C7536B" w:rsidRDefault="00624124" w:rsidP="00BA1F7E">
      <w:pPr>
        <w:jc w:val="both"/>
        <w:rPr>
          <w:rFonts w:asciiTheme="minorHAnsi" w:hAnsiTheme="minorHAnsi" w:cstheme="minorHAnsi"/>
          <w:color w:val="FF0000"/>
          <w:sz w:val="20"/>
          <w:szCs w:val="20"/>
        </w:rPr>
      </w:pPr>
      <w:r w:rsidRPr="00624124">
        <w:rPr>
          <w:noProof/>
        </w:rPr>
        <w:drawing>
          <wp:inline distT="0" distB="0" distL="0" distR="0" wp14:anchorId="62FCDFAA" wp14:editId="56EAC635">
            <wp:extent cx="2577108" cy="1776378"/>
            <wp:effectExtent l="19050" t="19050" r="13970" b="14605"/>
            <wp:docPr id="16634522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52232" name=""/>
                    <pic:cNvPicPr/>
                  </pic:nvPicPr>
                  <pic:blipFill>
                    <a:blip r:embed="rId13"/>
                    <a:stretch>
                      <a:fillRect/>
                    </a:stretch>
                  </pic:blipFill>
                  <pic:spPr>
                    <a:xfrm>
                      <a:off x="0" y="0"/>
                      <a:ext cx="2589285" cy="1784771"/>
                    </a:xfrm>
                    <a:prstGeom prst="rect">
                      <a:avLst/>
                    </a:prstGeom>
                    <a:ln>
                      <a:solidFill>
                        <a:schemeClr val="tx1"/>
                      </a:solidFill>
                    </a:ln>
                  </pic:spPr>
                </pic:pic>
              </a:graphicData>
            </a:graphic>
          </wp:inline>
        </w:drawing>
      </w:r>
    </w:p>
    <w:p w14:paraId="0815A4D5" w14:textId="433D518E" w:rsidR="00BA1F7E" w:rsidRPr="00A13E55" w:rsidRDefault="00624124" w:rsidP="00BA1F7E">
      <w:pPr>
        <w:jc w:val="both"/>
        <w:rPr>
          <w:rFonts w:ascii="Arial" w:hAnsi="Arial" w:cs="Arial"/>
          <w:sz w:val="24"/>
          <w:szCs w:val="24"/>
        </w:rPr>
      </w:pPr>
      <w:r>
        <w:rPr>
          <w:rFonts w:ascii="Arial" w:hAnsi="Arial" w:cs="Arial"/>
          <w:sz w:val="24"/>
          <w:szCs w:val="24"/>
        </w:rPr>
        <w:t>E</w:t>
      </w:r>
      <w:r w:rsidR="006D55C8" w:rsidRPr="00A13E55">
        <w:rPr>
          <w:rFonts w:ascii="Arial" w:hAnsi="Arial" w:cs="Arial"/>
          <w:sz w:val="24"/>
          <w:szCs w:val="24"/>
        </w:rPr>
        <w:t>n estado</w:t>
      </w:r>
      <w:r w:rsidR="00D0448D">
        <w:rPr>
          <w:rFonts w:ascii="Arial" w:hAnsi="Arial" w:cs="Arial"/>
          <w:sz w:val="24"/>
          <w:szCs w:val="24"/>
        </w:rPr>
        <w:t xml:space="preserve"> bajo</w:t>
      </w:r>
      <w:r w:rsidR="006D55C8" w:rsidRPr="00A13E55">
        <w:rPr>
          <w:rFonts w:ascii="Arial" w:hAnsi="Arial" w:cs="Arial"/>
          <w:sz w:val="24"/>
          <w:szCs w:val="24"/>
        </w:rPr>
        <w:t xml:space="preserve"> </w:t>
      </w:r>
      <w:r>
        <w:rPr>
          <w:rFonts w:ascii="Arial" w:hAnsi="Arial" w:cs="Arial"/>
          <w:sz w:val="24"/>
          <w:szCs w:val="24"/>
        </w:rPr>
        <w:t xml:space="preserve">y medio no </w:t>
      </w:r>
      <w:r w:rsidR="001753C0">
        <w:rPr>
          <w:rFonts w:ascii="Arial" w:hAnsi="Arial" w:cs="Arial"/>
          <w:sz w:val="24"/>
          <w:szCs w:val="24"/>
        </w:rPr>
        <w:t>s</w:t>
      </w:r>
      <w:r>
        <w:rPr>
          <w:rFonts w:ascii="Arial" w:hAnsi="Arial" w:cs="Arial"/>
          <w:sz w:val="24"/>
          <w:szCs w:val="24"/>
        </w:rPr>
        <w:t xml:space="preserve">e identificaron indicadores </w:t>
      </w:r>
      <w:r w:rsidRPr="00A13E55">
        <w:rPr>
          <w:rFonts w:ascii="Arial" w:hAnsi="Arial" w:cs="Arial"/>
          <w:sz w:val="24"/>
          <w:szCs w:val="24"/>
        </w:rPr>
        <w:t>correspondientes</w:t>
      </w:r>
      <w:r w:rsidR="006D55C8" w:rsidRPr="00A13E55">
        <w:rPr>
          <w:rFonts w:ascii="Arial" w:hAnsi="Arial" w:cs="Arial"/>
          <w:sz w:val="24"/>
          <w:szCs w:val="24"/>
        </w:rPr>
        <w:t xml:space="preserve"> al </w:t>
      </w:r>
      <w:r>
        <w:rPr>
          <w:rFonts w:ascii="Arial" w:hAnsi="Arial" w:cs="Arial"/>
          <w:sz w:val="24"/>
          <w:szCs w:val="24"/>
        </w:rPr>
        <w:t>0</w:t>
      </w:r>
      <w:r w:rsidR="006D55C8" w:rsidRPr="00A13E55">
        <w:rPr>
          <w:rFonts w:ascii="Arial" w:hAnsi="Arial" w:cs="Arial"/>
          <w:sz w:val="24"/>
          <w:szCs w:val="24"/>
        </w:rPr>
        <w:t>%</w:t>
      </w:r>
      <w:r w:rsidR="00024D0F">
        <w:rPr>
          <w:rFonts w:ascii="Arial" w:hAnsi="Arial" w:cs="Arial"/>
          <w:sz w:val="24"/>
          <w:szCs w:val="24"/>
        </w:rPr>
        <w:t>; 1 indicador en estado satisfactorio, representando un 4%</w:t>
      </w:r>
      <w:r>
        <w:rPr>
          <w:rFonts w:ascii="Arial" w:hAnsi="Arial" w:cs="Arial"/>
          <w:sz w:val="24"/>
          <w:szCs w:val="24"/>
        </w:rPr>
        <w:t>. M</w:t>
      </w:r>
      <w:r w:rsidR="00BA1F7E" w:rsidRPr="00A13E55">
        <w:rPr>
          <w:rFonts w:ascii="Arial" w:hAnsi="Arial" w:cs="Arial"/>
          <w:sz w:val="24"/>
          <w:szCs w:val="24"/>
        </w:rPr>
        <w:t xml:space="preserve">ientras que los otros </w:t>
      </w:r>
      <w:r>
        <w:rPr>
          <w:rFonts w:ascii="Arial" w:hAnsi="Arial" w:cs="Arial"/>
          <w:sz w:val="24"/>
          <w:szCs w:val="24"/>
        </w:rPr>
        <w:t>4</w:t>
      </w:r>
      <w:r w:rsidR="00BA1F7E" w:rsidRPr="00A13E55">
        <w:rPr>
          <w:rFonts w:ascii="Arial" w:hAnsi="Arial" w:cs="Arial"/>
          <w:sz w:val="24"/>
          <w:szCs w:val="24"/>
        </w:rPr>
        <w:t xml:space="preserve">, se encuentran en estado crítico, representando el </w:t>
      </w:r>
      <w:r>
        <w:rPr>
          <w:rFonts w:ascii="Arial" w:hAnsi="Arial" w:cs="Arial"/>
          <w:sz w:val="24"/>
          <w:szCs w:val="24"/>
        </w:rPr>
        <w:t>17</w:t>
      </w:r>
      <w:r w:rsidR="00BA1F7E" w:rsidRPr="00A13E55">
        <w:rPr>
          <w:rFonts w:ascii="Arial" w:hAnsi="Arial" w:cs="Arial"/>
          <w:sz w:val="24"/>
          <w:szCs w:val="24"/>
        </w:rPr>
        <w:t xml:space="preserve">% restante del primer eje estratégico.  </w:t>
      </w:r>
    </w:p>
    <w:p w14:paraId="39D73267" w14:textId="55AC6B4E" w:rsidR="00BC5180" w:rsidRPr="00C7536B" w:rsidRDefault="004031D4" w:rsidP="00BA1F7E">
      <w:pPr>
        <w:jc w:val="both"/>
        <w:rPr>
          <w:rFonts w:asciiTheme="minorHAnsi" w:hAnsiTheme="minorHAnsi" w:cstheme="minorHAnsi"/>
          <w:color w:val="FF0000"/>
          <w:sz w:val="20"/>
          <w:szCs w:val="20"/>
        </w:rPr>
      </w:pPr>
      <w:r w:rsidRPr="004031D4">
        <w:rPr>
          <w:noProof/>
        </w:rPr>
        <w:drawing>
          <wp:inline distT="0" distB="0" distL="0" distR="0" wp14:anchorId="529D6B0C" wp14:editId="49ACF5DB">
            <wp:extent cx="2577465" cy="541604"/>
            <wp:effectExtent l="19050" t="19050" r="13335" b="11430"/>
            <wp:docPr id="5348951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95164" name=""/>
                    <pic:cNvPicPr/>
                  </pic:nvPicPr>
                  <pic:blipFill>
                    <a:blip r:embed="rId14"/>
                    <a:stretch>
                      <a:fillRect/>
                    </a:stretch>
                  </pic:blipFill>
                  <pic:spPr>
                    <a:xfrm>
                      <a:off x="0" y="0"/>
                      <a:ext cx="2612815" cy="549032"/>
                    </a:xfrm>
                    <a:prstGeom prst="rect">
                      <a:avLst/>
                    </a:prstGeom>
                    <a:ln>
                      <a:solidFill>
                        <a:schemeClr val="tx1"/>
                      </a:solidFill>
                    </a:ln>
                  </pic:spPr>
                </pic:pic>
              </a:graphicData>
            </a:graphic>
          </wp:inline>
        </w:drawing>
      </w:r>
    </w:p>
    <w:p w14:paraId="47A3FBD8" w14:textId="77777777" w:rsidR="00BA1F7E" w:rsidRPr="00A13E55" w:rsidRDefault="00BA1F7E" w:rsidP="00A13E55">
      <w:pPr>
        <w:jc w:val="both"/>
        <w:rPr>
          <w:rFonts w:ascii="Arial" w:hAnsi="Arial" w:cs="Arial"/>
          <w:b/>
          <w:sz w:val="24"/>
          <w:szCs w:val="24"/>
        </w:rPr>
      </w:pPr>
      <w:r w:rsidRPr="00A13E55">
        <w:rPr>
          <w:rFonts w:ascii="Arial" w:hAnsi="Arial" w:cs="Arial"/>
          <w:b/>
          <w:sz w:val="24"/>
          <w:szCs w:val="24"/>
        </w:rPr>
        <w:t>2.2 EJE II: OPORTUNIDAD PARA LA FORMALIZACIÓN, LA INCLUSIÓN LABORAL Y EL AHORRO</w:t>
      </w:r>
    </w:p>
    <w:p w14:paraId="79016C2D" w14:textId="1661B41B" w:rsidR="00BA1F7E" w:rsidRPr="00C7536B" w:rsidRDefault="00601156" w:rsidP="00A13E55">
      <w:pPr>
        <w:jc w:val="both"/>
        <w:rPr>
          <w:rFonts w:ascii="Arial" w:hAnsi="Arial" w:cs="Arial"/>
          <w:b/>
          <w:color w:val="FF0000"/>
          <w:sz w:val="24"/>
          <w:szCs w:val="24"/>
        </w:rPr>
      </w:pPr>
      <w:r>
        <w:rPr>
          <w:rFonts w:ascii="Arial" w:hAnsi="Arial" w:cs="Arial"/>
          <w:b/>
          <w:noProof/>
          <w:color w:val="FF0000"/>
          <w:sz w:val="24"/>
          <w:szCs w:val="24"/>
        </w:rPr>
        <w:lastRenderedPageBreak/>
        <w:drawing>
          <wp:inline distT="0" distB="0" distL="0" distR="0" wp14:anchorId="191E1B9A" wp14:editId="59DD4B89">
            <wp:extent cx="2517140" cy="1648393"/>
            <wp:effectExtent l="19050" t="19050" r="16510" b="28575"/>
            <wp:docPr id="1466754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6792" cy="1661262"/>
                    </a:xfrm>
                    <a:prstGeom prst="rect">
                      <a:avLst/>
                    </a:prstGeom>
                    <a:noFill/>
                    <a:ln>
                      <a:solidFill>
                        <a:schemeClr val="tx1"/>
                      </a:solidFill>
                    </a:ln>
                  </pic:spPr>
                </pic:pic>
              </a:graphicData>
            </a:graphic>
          </wp:inline>
        </w:drawing>
      </w:r>
    </w:p>
    <w:p w14:paraId="469FEAF7" w14:textId="61E4E644" w:rsidR="00BA1F7E" w:rsidRPr="00A13E55" w:rsidRDefault="00BA1F7E" w:rsidP="00A13E55">
      <w:pPr>
        <w:pStyle w:val="Descripcin"/>
        <w:jc w:val="center"/>
        <w:rPr>
          <w:rFonts w:ascii="Arial" w:hAnsi="Arial" w:cs="Arial"/>
          <w:i w:val="0"/>
          <w:iCs w:val="0"/>
          <w:color w:val="auto"/>
          <w:sz w:val="16"/>
          <w:szCs w:val="16"/>
        </w:rPr>
      </w:pPr>
      <w:r w:rsidRPr="00A13E55">
        <w:rPr>
          <w:rFonts w:ascii="Arial" w:hAnsi="Arial" w:cs="Arial"/>
          <w:i w:val="0"/>
          <w:iCs w:val="0"/>
          <w:color w:val="auto"/>
          <w:sz w:val="16"/>
          <w:szCs w:val="16"/>
        </w:rPr>
        <w:t xml:space="preserve">Gráfica </w:t>
      </w:r>
      <w:r w:rsidR="00601156">
        <w:rPr>
          <w:rFonts w:ascii="Arial" w:hAnsi="Arial" w:cs="Arial"/>
          <w:i w:val="0"/>
          <w:iCs w:val="0"/>
          <w:color w:val="auto"/>
          <w:sz w:val="16"/>
          <w:szCs w:val="16"/>
        </w:rPr>
        <w:t>3</w:t>
      </w:r>
      <w:r w:rsidRPr="00A13E55">
        <w:rPr>
          <w:rFonts w:ascii="Arial" w:hAnsi="Arial" w:cs="Arial"/>
          <w:i w:val="0"/>
          <w:iCs w:val="0"/>
          <w:color w:val="auto"/>
          <w:sz w:val="16"/>
          <w:szCs w:val="16"/>
        </w:rPr>
        <w:t>: Comportamiento Eje II – Oportunidad para la formalización, la inclusión laboral y el ahorro</w:t>
      </w:r>
    </w:p>
    <w:p w14:paraId="0D13223B" w14:textId="4C697D9C" w:rsidR="007A3BA5" w:rsidRDefault="00BA1F7E" w:rsidP="00A13E55">
      <w:pPr>
        <w:jc w:val="both"/>
        <w:rPr>
          <w:rFonts w:ascii="Arial" w:hAnsi="Arial" w:cs="Arial"/>
          <w:sz w:val="24"/>
          <w:szCs w:val="24"/>
        </w:rPr>
      </w:pPr>
      <w:r w:rsidRPr="00A13E55">
        <w:rPr>
          <w:rFonts w:ascii="Arial" w:hAnsi="Arial" w:cs="Arial"/>
          <w:sz w:val="24"/>
          <w:szCs w:val="24"/>
        </w:rPr>
        <w:t xml:space="preserve">El segundo eje está compuesto por </w:t>
      </w:r>
      <w:r w:rsidR="00A13E55">
        <w:rPr>
          <w:rFonts w:ascii="Arial" w:hAnsi="Arial" w:cs="Arial"/>
          <w:sz w:val="24"/>
          <w:szCs w:val="24"/>
        </w:rPr>
        <w:t>2</w:t>
      </w:r>
      <w:r w:rsidR="00AD69FE">
        <w:rPr>
          <w:rFonts w:ascii="Arial" w:hAnsi="Arial" w:cs="Arial"/>
          <w:sz w:val="24"/>
          <w:szCs w:val="24"/>
        </w:rPr>
        <w:t>3</w:t>
      </w:r>
      <w:r w:rsidRPr="00A13E55">
        <w:rPr>
          <w:rFonts w:ascii="Arial" w:hAnsi="Arial" w:cs="Arial"/>
          <w:sz w:val="24"/>
          <w:szCs w:val="24"/>
        </w:rPr>
        <w:t xml:space="preserve"> indicadores, d</w:t>
      </w:r>
      <w:r w:rsidR="00A13E55">
        <w:rPr>
          <w:rFonts w:ascii="Arial" w:hAnsi="Arial" w:cs="Arial"/>
          <w:sz w:val="24"/>
          <w:szCs w:val="24"/>
        </w:rPr>
        <w:t xml:space="preserve">onde </w:t>
      </w:r>
      <w:r w:rsidR="00601156">
        <w:rPr>
          <w:rFonts w:ascii="Arial" w:hAnsi="Arial" w:cs="Arial"/>
          <w:sz w:val="24"/>
          <w:szCs w:val="24"/>
        </w:rPr>
        <w:t>14</w:t>
      </w:r>
      <w:r w:rsidRPr="00A13E55">
        <w:rPr>
          <w:rFonts w:ascii="Arial" w:hAnsi="Arial" w:cs="Arial"/>
          <w:sz w:val="24"/>
          <w:szCs w:val="24"/>
        </w:rPr>
        <w:t xml:space="preserve"> </w:t>
      </w:r>
      <w:r w:rsidR="00096CBE">
        <w:rPr>
          <w:rFonts w:ascii="Arial" w:hAnsi="Arial" w:cs="Arial"/>
          <w:sz w:val="24"/>
          <w:szCs w:val="24"/>
        </w:rPr>
        <w:t xml:space="preserve">indicadores </w:t>
      </w:r>
      <w:r w:rsidRPr="00A13E55">
        <w:rPr>
          <w:rFonts w:ascii="Arial" w:hAnsi="Arial" w:cs="Arial"/>
          <w:sz w:val="24"/>
          <w:szCs w:val="24"/>
        </w:rPr>
        <w:t>se encuentran en situación sobresaliente, lo</w:t>
      </w:r>
      <w:r w:rsidR="00061EAD">
        <w:rPr>
          <w:rFonts w:ascii="Arial" w:hAnsi="Arial" w:cs="Arial"/>
          <w:sz w:val="24"/>
          <w:szCs w:val="24"/>
        </w:rPr>
        <w:t>s</w:t>
      </w:r>
      <w:r w:rsidRPr="00A13E55">
        <w:rPr>
          <w:rFonts w:ascii="Arial" w:hAnsi="Arial" w:cs="Arial"/>
          <w:sz w:val="24"/>
          <w:szCs w:val="24"/>
        </w:rPr>
        <w:t xml:space="preserve"> cual</w:t>
      </w:r>
      <w:r w:rsidR="00061EAD">
        <w:rPr>
          <w:rFonts w:ascii="Arial" w:hAnsi="Arial" w:cs="Arial"/>
          <w:sz w:val="24"/>
          <w:szCs w:val="24"/>
        </w:rPr>
        <w:t>es</w:t>
      </w:r>
      <w:r w:rsidRPr="00A13E55">
        <w:rPr>
          <w:rFonts w:ascii="Arial" w:hAnsi="Arial" w:cs="Arial"/>
          <w:sz w:val="24"/>
          <w:szCs w:val="24"/>
        </w:rPr>
        <w:t xml:space="preserve"> representa</w:t>
      </w:r>
      <w:r w:rsidR="00061EAD">
        <w:rPr>
          <w:rFonts w:ascii="Arial" w:hAnsi="Arial" w:cs="Arial"/>
          <w:sz w:val="24"/>
          <w:szCs w:val="24"/>
        </w:rPr>
        <w:t>n</w:t>
      </w:r>
      <w:r w:rsidRPr="00A13E55">
        <w:rPr>
          <w:rFonts w:ascii="Arial" w:hAnsi="Arial" w:cs="Arial"/>
          <w:sz w:val="24"/>
          <w:szCs w:val="24"/>
        </w:rPr>
        <w:t xml:space="preserve"> el </w:t>
      </w:r>
      <w:r w:rsidR="00601156">
        <w:rPr>
          <w:rFonts w:ascii="Arial" w:hAnsi="Arial" w:cs="Arial"/>
          <w:sz w:val="24"/>
          <w:szCs w:val="24"/>
        </w:rPr>
        <w:t>61</w:t>
      </w:r>
      <w:r w:rsidRPr="00A13E55">
        <w:rPr>
          <w:rFonts w:ascii="Arial" w:hAnsi="Arial" w:cs="Arial"/>
          <w:sz w:val="24"/>
          <w:szCs w:val="24"/>
        </w:rPr>
        <w:t>%</w:t>
      </w:r>
      <w:r w:rsidR="007A3BA5">
        <w:rPr>
          <w:rFonts w:ascii="Arial" w:hAnsi="Arial" w:cs="Arial"/>
          <w:sz w:val="24"/>
          <w:szCs w:val="24"/>
        </w:rPr>
        <w:t>.</w:t>
      </w:r>
    </w:p>
    <w:p w14:paraId="0C7EE8BF" w14:textId="6F7C9B42" w:rsidR="007A3BA5" w:rsidRPr="00D0448D" w:rsidRDefault="00147AD1" w:rsidP="00A13E55">
      <w:pPr>
        <w:jc w:val="both"/>
        <w:rPr>
          <w:rFonts w:ascii="Arial" w:hAnsi="Arial" w:cs="Arial"/>
          <w:color w:val="FF0000"/>
          <w:sz w:val="24"/>
          <w:szCs w:val="24"/>
        </w:rPr>
      </w:pPr>
      <w:r w:rsidRPr="00147AD1">
        <w:rPr>
          <w:noProof/>
        </w:rPr>
        <w:drawing>
          <wp:inline distT="0" distB="0" distL="0" distR="0" wp14:anchorId="1A5D2C5D" wp14:editId="705B9249">
            <wp:extent cx="2577465" cy="1175677"/>
            <wp:effectExtent l="19050" t="19050" r="13335" b="24765"/>
            <wp:docPr id="7553213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21371" name=""/>
                    <pic:cNvPicPr/>
                  </pic:nvPicPr>
                  <pic:blipFill>
                    <a:blip r:embed="rId16"/>
                    <a:stretch>
                      <a:fillRect/>
                    </a:stretch>
                  </pic:blipFill>
                  <pic:spPr>
                    <a:xfrm>
                      <a:off x="0" y="0"/>
                      <a:ext cx="2588015" cy="1180489"/>
                    </a:xfrm>
                    <a:prstGeom prst="rect">
                      <a:avLst/>
                    </a:prstGeom>
                    <a:ln>
                      <a:solidFill>
                        <a:schemeClr val="tx1"/>
                      </a:solidFill>
                    </a:ln>
                  </pic:spPr>
                </pic:pic>
              </a:graphicData>
            </a:graphic>
          </wp:inline>
        </w:drawing>
      </w:r>
    </w:p>
    <w:p w14:paraId="0005DFE0" w14:textId="1B99BC20" w:rsidR="00BA1F7E" w:rsidRDefault="00061EAD" w:rsidP="00A13E55">
      <w:pPr>
        <w:jc w:val="both"/>
        <w:rPr>
          <w:rFonts w:ascii="Arial" w:hAnsi="Arial" w:cs="Arial"/>
          <w:sz w:val="24"/>
          <w:szCs w:val="24"/>
        </w:rPr>
      </w:pPr>
      <w:r>
        <w:rPr>
          <w:rFonts w:ascii="Arial" w:hAnsi="Arial" w:cs="Arial"/>
          <w:sz w:val="24"/>
          <w:szCs w:val="24"/>
        </w:rPr>
        <w:t>En el eje 2, n</w:t>
      </w:r>
      <w:r w:rsidR="00AD69FE">
        <w:rPr>
          <w:rFonts w:ascii="Arial" w:hAnsi="Arial" w:cs="Arial"/>
          <w:sz w:val="24"/>
          <w:szCs w:val="24"/>
        </w:rPr>
        <w:t>o</w:t>
      </w:r>
      <w:r w:rsidR="00F1339E">
        <w:rPr>
          <w:rFonts w:ascii="Arial" w:hAnsi="Arial" w:cs="Arial"/>
          <w:sz w:val="24"/>
          <w:szCs w:val="24"/>
        </w:rPr>
        <w:t xml:space="preserve"> </w:t>
      </w:r>
      <w:r w:rsidR="00AD69FE">
        <w:rPr>
          <w:rFonts w:ascii="Arial" w:hAnsi="Arial" w:cs="Arial"/>
          <w:sz w:val="24"/>
          <w:szCs w:val="24"/>
        </w:rPr>
        <w:t xml:space="preserve">se </w:t>
      </w:r>
      <w:r w:rsidR="00F1339E">
        <w:rPr>
          <w:rFonts w:ascii="Arial" w:hAnsi="Arial" w:cs="Arial"/>
          <w:sz w:val="24"/>
          <w:szCs w:val="24"/>
        </w:rPr>
        <w:t>identifican indicadores</w:t>
      </w:r>
      <w:r w:rsidR="007A3BA5">
        <w:rPr>
          <w:rFonts w:ascii="Arial" w:hAnsi="Arial" w:cs="Arial"/>
          <w:sz w:val="24"/>
          <w:szCs w:val="24"/>
        </w:rPr>
        <w:t xml:space="preserve"> </w:t>
      </w:r>
      <w:r w:rsidR="00BA1F7E" w:rsidRPr="00A13E55">
        <w:rPr>
          <w:rFonts w:ascii="Arial" w:hAnsi="Arial" w:cs="Arial"/>
          <w:sz w:val="24"/>
          <w:szCs w:val="24"/>
        </w:rPr>
        <w:t>en estado bajo</w:t>
      </w:r>
      <w:r w:rsidR="00AD69FE">
        <w:rPr>
          <w:rFonts w:ascii="Arial" w:hAnsi="Arial" w:cs="Arial"/>
          <w:sz w:val="24"/>
          <w:szCs w:val="24"/>
        </w:rPr>
        <w:t>, medio y satisfactorio</w:t>
      </w:r>
      <w:r w:rsidR="00D0448D">
        <w:rPr>
          <w:rFonts w:ascii="Arial" w:hAnsi="Arial" w:cs="Arial"/>
          <w:sz w:val="24"/>
          <w:szCs w:val="24"/>
        </w:rPr>
        <w:t xml:space="preserve"> representando un </w:t>
      </w:r>
      <w:r w:rsidR="00AD69FE">
        <w:rPr>
          <w:rFonts w:ascii="Arial" w:hAnsi="Arial" w:cs="Arial"/>
          <w:sz w:val="24"/>
          <w:szCs w:val="24"/>
        </w:rPr>
        <w:t>0</w:t>
      </w:r>
      <w:r w:rsidR="00D0448D">
        <w:rPr>
          <w:rFonts w:ascii="Arial" w:hAnsi="Arial" w:cs="Arial"/>
          <w:sz w:val="24"/>
          <w:szCs w:val="24"/>
        </w:rPr>
        <w:t>%</w:t>
      </w:r>
      <w:r w:rsidR="00F1339E">
        <w:rPr>
          <w:rFonts w:ascii="Arial" w:hAnsi="Arial" w:cs="Arial"/>
          <w:sz w:val="24"/>
          <w:szCs w:val="24"/>
        </w:rPr>
        <w:t>; sin embargo</w:t>
      </w:r>
      <w:r w:rsidR="0043202D">
        <w:rPr>
          <w:rFonts w:ascii="Arial" w:hAnsi="Arial" w:cs="Arial"/>
          <w:sz w:val="24"/>
          <w:szCs w:val="24"/>
        </w:rPr>
        <w:t>,</w:t>
      </w:r>
      <w:r w:rsidR="00BA1F7E" w:rsidRPr="00A13E55">
        <w:rPr>
          <w:rFonts w:ascii="Arial" w:hAnsi="Arial" w:cs="Arial"/>
          <w:sz w:val="24"/>
          <w:szCs w:val="24"/>
        </w:rPr>
        <w:t xml:space="preserve"> </w:t>
      </w:r>
      <w:r w:rsidR="008A3B63">
        <w:rPr>
          <w:rFonts w:ascii="Arial" w:hAnsi="Arial" w:cs="Arial"/>
          <w:sz w:val="24"/>
          <w:szCs w:val="24"/>
        </w:rPr>
        <w:t>9</w:t>
      </w:r>
      <w:r w:rsidR="00BA1F7E" w:rsidRPr="00A13E55">
        <w:rPr>
          <w:rFonts w:ascii="Arial" w:hAnsi="Arial" w:cs="Arial"/>
          <w:sz w:val="24"/>
          <w:szCs w:val="24"/>
        </w:rPr>
        <w:t xml:space="preserve"> </w:t>
      </w:r>
      <w:r w:rsidR="00F1339E">
        <w:rPr>
          <w:rFonts w:ascii="Arial" w:hAnsi="Arial" w:cs="Arial"/>
          <w:sz w:val="24"/>
          <w:szCs w:val="24"/>
        </w:rPr>
        <w:t xml:space="preserve">indicadores están </w:t>
      </w:r>
      <w:r w:rsidR="00BA1F7E" w:rsidRPr="00A13E55">
        <w:rPr>
          <w:rFonts w:ascii="Arial" w:hAnsi="Arial" w:cs="Arial"/>
          <w:sz w:val="24"/>
          <w:szCs w:val="24"/>
        </w:rPr>
        <w:t xml:space="preserve">en estado crítico, representando el </w:t>
      </w:r>
      <w:r w:rsidR="008A3B63">
        <w:rPr>
          <w:rFonts w:ascii="Arial" w:hAnsi="Arial" w:cs="Arial"/>
          <w:sz w:val="24"/>
          <w:szCs w:val="24"/>
        </w:rPr>
        <w:t>39</w:t>
      </w:r>
      <w:r w:rsidR="00BA1F7E" w:rsidRPr="00A13E55">
        <w:rPr>
          <w:rFonts w:ascii="Arial" w:hAnsi="Arial" w:cs="Arial"/>
          <w:sz w:val="24"/>
          <w:szCs w:val="24"/>
        </w:rPr>
        <w:t>% restante</w:t>
      </w:r>
      <w:r w:rsidR="007A3BA5">
        <w:rPr>
          <w:rFonts w:ascii="Arial" w:hAnsi="Arial" w:cs="Arial"/>
          <w:sz w:val="24"/>
          <w:szCs w:val="24"/>
        </w:rPr>
        <w:t>.</w:t>
      </w:r>
    </w:p>
    <w:p w14:paraId="0AFD003D" w14:textId="2D5749C7" w:rsidR="007A3BA5" w:rsidRPr="00C7536B" w:rsidRDefault="008A3B63" w:rsidP="00A13E55">
      <w:pPr>
        <w:jc w:val="both"/>
        <w:rPr>
          <w:rFonts w:ascii="Arial" w:hAnsi="Arial" w:cs="Arial"/>
          <w:color w:val="FF0000"/>
          <w:sz w:val="24"/>
          <w:szCs w:val="24"/>
        </w:rPr>
      </w:pPr>
      <w:r w:rsidRPr="008A3B63">
        <w:rPr>
          <w:noProof/>
        </w:rPr>
        <w:drawing>
          <wp:inline distT="0" distB="0" distL="0" distR="0" wp14:anchorId="08B614BD" wp14:editId="4B13C804">
            <wp:extent cx="2577465" cy="801908"/>
            <wp:effectExtent l="19050" t="19050" r="13335" b="17780"/>
            <wp:docPr id="1519634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34556" name=""/>
                    <pic:cNvPicPr/>
                  </pic:nvPicPr>
                  <pic:blipFill>
                    <a:blip r:embed="rId17"/>
                    <a:stretch>
                      <a:fillRect/>
                    </a:stretch>
                  </pic:blipFill>
                  <pic:spPr>
                    <a:xfrm>
                      <a:off x="0" y="0"/>
                      <a:ext cx="2586136" cy="804606"/>
                    </a:xfrm>
                    <a:prstGeom prst="rect">
                      <a:avLst/>
                    </a:prstGeom>
                    <a:ln>
                      <a:solidFill>
                        <a:schemeClr val="tx1"/>
                      </a:solidFill>
                    </a:ln>
                  </pic:spPr>
                </pic:pic>
              </a:graphicData>
            </a:graphic>
          </wp:inline>
        </w:drawing>
      </w:r>
    </w:p>
    <w:p w14:paraId="11878813" w14:textId="77777777" w:rsidR="00BA1F7E" w:rsidRPr="00A13E55" w:rsidRDefault="00BA1F7E" w:rsidP="00A13E55">
      <w:pPr>
        <w:jc w:val="both"/>
        <w:rPr>
          <w:rFonts w:ascii="Arial" w:hAnsi="Arial" w:cs="Arial"/>
          <w:b/>
          <w:sz w:val="24"/>
          <w:szCs w:val="24"/>
        </w:rPr>
      </w:pPr>
      <w:r w:rsidRPr="00A13E55">
        <w:rPr>
          <w:rFonts w:ascii="Arial" w:hAnsi="Arial" w:cs="Arial"/>
          <w:b/>
          <w:sz w:val="24"/>
          <w:szCs w:val="24"/>
        </w:rPr>
        <w:t>2.3 EJE III: FOMENTO DE LA PRODUCTIVIDAD PARA LA COMPETITIVIDAD Y EL CRECIMIENTO ECONÓMICO</w:t>
      </w:r>
    </w:p>
    <w:p w14:paraId="177BF821" w14:textId="67C158AC" w:rsidR="00BA1F7E" w:rsidRPr="00C7536B" w:rsidRDefault="00DB565D" w:rsidP="00BA1F7E">
      <w:pPr>
        <w:jc w:val="center"/>
        <w:rPr>
          <w:rFonts w:asciiTheme="minorHAnsi" w:hAnsiTheme="minorHAnsi" w:cstheme="minorHAnsi"/>
          <w:color w:val="FF0000"/>
          <w:sz w:val="20"/>
          <w:szCs w:val="20"/>
        </w:rPr>
      </w:pPr>
      <w:r>
        <w:rPr>
          <w:rFonts w:asciiTheme="minorHAnsi" w:hAnsiTheme="minorHAnsi" w:cstheme="minorHAnsi"/>
          <w:noProof/>
          <w:color w:val="FF0000"/>
          <w:sz w:val="20"/>
          <w:szCs w:val="20"/>
        </w:rPr>
        <w:drawing>
          <wp:inline distT="0" distB="0" distL="0" distR="0" wp14:anchorId="14BE7003" wp14:editId="65073CB4">
            <wp:extent cx="2543810" cy="1647825"/>
            <wp:effectExtent l="19050" t="19050" r="27940" b="28575"/>
            <wp:docPr id="77693262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371" cy="1665678"/>
                    </a:xfrm>
                    <a:prstGeom prst="rect">
                      <a:avLst/>
                    </a:prstGeom>
                    <a:noFill/>
                    <a:ln>
                      <a:solidFill>
                        <a:schemeClr val="tx1"/>
                      </a:solidFill>
                    </a:ln>
                  </pic:spPr>
                </pic:pic>
              </a:graphicData>
            </a:graphic>
          </wp:inline>
        </w:drawing>
      </w:r>
    </w:p>
    <w:p w14:paraId="09EAB873" w14:textId="0DC55F9D" w:rsidR="00BA1F7E" w:rsidRPr="007A3BA5" w:rsidRDefault="00BA1F7E" w:rsidP="00BA1F7E">
      <w:pPr>
        <w:pStyle w:val="Descripcin"/>
        <w:jc w:val="center"/>
        <w:rPr>
          <w:rFonts w:ascii="Arial" w:hAnsi="Arial" w:cs="Arial"/>
          <w:i w:val="0"/>
          <w:iCs w:val="0"/>
          <w:color w:val="auto"/>
          <w:sz w:val="16"/>
          <w:szCs w:val="16"/>
        </w:rPr>
      </w:pPr>
      <w:r w:rsidRPr="007A3BA5">
        <w:rPr>
          <w:rFonts w:ascii="Arial" w:hAnsi="Arial" w:cs="Arial"/>
          <w:i w:val="0"/>
          <w:iCs w:val="0"/>
          <w:color w:val="auto"/>
          <w:sz w:val="16"/>
          <w:szCs w:val="16"/>
        </w:rPr>
        <w:t xml:space="preserve">Gráfica </w:t>
      </w:r>
      <w:r w:rsidR="005A6920">
        <w:rPr>
          <w:rFonts w:ascii="Arial" w:hAnsi="Arial" w:cs="Arial"/>
          <w:i w:val="0"/>
          <w:iCs w:val="0"/>
          <w:color w:val="auto"/>
          <w:sz w:val="16"/>
          <w:szCs w:val="16"/>
        </w:rPr>
        <w:t>4</w:t>
      </w:r>
      <w:r w:rsidRPr="007A3BA5">
        <w:rPr>
          <w:rFonts w:ascii="Arial" w:hAnsi="Arial" w:cs="Arial"/>
          <w:i w:val="0"/>
          <w:iCs w:val="0"/>
          <w:color w:val="auto"/>
          <w:sz w:val="16"/>
          <w:szCs w:val="16"/>
        </w:rPr>
        <w:t>: Comportamiento eje III – Fomento de la Productividad para la Competitividad y el Crecimiento Económico</w:t>
      </w:r>
    </w:p>
    <w:p w14:paraId="3437761B" w14:textId="5AD39AA8" w:rsidR="007A3BA5" w:rsidRPr="006A2AB3" w:rsidRDefault="00BA1F7E" w:rsidP="00BA1F7E">
      <w:pPr>
        <w:jc w:val="both"/>
        <w:rPr>
          <w:rFonts w:ascii="Arial" w:hAnsi="Arial" w:cs="Arial"/>
          <w:sz w:val="24"/>
          <w:szCs w:val="24"/>
        </w:rPr>
      </w:pPr>
      <w:r w:rsidRPr="006A2AB3">
        <w:rPr>
          <w:rFonts w:ascii="Arial" w:hAnsi="Arial" w:cs="Arial"/>
          <w:sz w:val="24"/>
          <w:szCs w:val="24"/>
        </w:rPr>
        <w:t xml:space="preserve">El tercer y último eje, está compuesto por </w:t>
      </w:r>
      <w:r w:rsidR="00B36B5F">
        <w:rPr>
          <w:rFonts w:ascii="Arial" w:hAnsi="Arial" w:cs="Arial"/>
          <w:sz w:val="24"/>
          <w:szCs w:val="24"/>
        </w:rPr>
        <w:t>55</w:t>
      </w:r>
      <w:r w:rsidRPr="006A2AB3">
        <w:rPr>
          <w:rFonts w:ascii="Arial" w:hAnsi="Arial" w:cs="Arial"/>
          <w:sz w:val="24"/>
          <w:szCs w:val="24"/>
        </w:rPr>
        <w:t xml:space="preserve"> indicadores, de los cuales </w:t>
      </w:r>
      <w:r w:rsidR="005A6920">
        <w:rPr>
          <w:rFonts w:ascii="Arial" w:hAnsi="Arial" w:cs="Arial"/>
          <w:sz w:val="24"/>
          <w:szCs w:val="24"/>
        </w:rPr>
        <w:t>36</w:t>
      </w:r>
      <w:r w:rsidRPr="006A2AB3">
        <w:rPr>
          <w:rFonts w:ascii="Arial" w:hAnsi="Arial" w:cs="Arial"/>
          <w:sz w:val="24"/>
          <w:szCs w:val="24"/>
        </w:rPr>
        <w:t xml:space="preserve"> se encuentran en estado sobresaliente</w:t>
      </w:r>
      <w:r w:rsidR="007A3BA5" w:rsidRPr="006A2AB3">
        <w:rPr>
          <w:rFonts w:ascii="Arial" w:hAnsi="Arial" w:cs="Arial"/>
          <w:sz w:val="24"/>
          <w:szCs w:val="24"/>
        </w:rPr>
        <w:t xml:space="preserve">, representando un </w:t>
      </w:r>
      <w:r w:rsidR="00B36B5F">
        <w:rPr>
          <w:rFonts w:ascii="Arial" w:hAnsi="Arial" w:cs="Arial"/>
          <w:sz w:val="24"/>
          <w:szCs w:val="24"/>
        </w:rPr>
        <w:t>6</w:t>
      </w:r>
      <w:r w:rsidR="005A6920">
        <w:rPr>
          <w:rFonts w:ascii="Arial" w:hAnsi="Arial" w:cs="Arial"/>
          <w:sz w:val="24"/>
          <w:szCs w:val="24"/>
        </w:rPr>
        <w:t>5</w:t>
      </w:r>
      <w:r w:rsidR="007A3BA5" w:rsidRPr="006A2AB3">
        <w:rPr>
          <w:rFonts w:ascii="Arial" w:hAnsi="Arial" w:cs="Arial"/>
          <w:sz w:val="24"/>
          <w:szCs w:val="24"/>
        </w:rPr>
        <w:t>%.</w:t>
      </w:r>
    </w:p>
    <w:p w14:paraId="6B4467C1" w14:textId="3611A2C1" w:rsidR="007A3BA5" w:rsidRPr="00C7536B" w:rsidRDefault="00935F80" w:rsidP="00BA1F7E">
      <w:pPr>
        <w:jc w:val="both"/>
        <w:rPr>
          <w:rFonts w:asciiTheme="minorHAnsi" w:hAnsiTheme="minorHAnsi" w:cstheme="minorHAnsi"/>
          <w:color w:val="FF0000"/>
          <w:sz w:val="20"/>
          <w:szCs w:val="20"/>
        </w:rPr>
      </w:pPr>
      <w:r w:rsidRPr="00935F80">
        <w:rPr>
          <w:noProof/>
        </w:rPr>
        <w:drawing>
          <wp:inline distT="0" distB="0" distL="0" distR="0" wp14:anchorId="5D9DA63F" wp14:editId="3B2C7D4A">
            <wp:extent cx="2577465" cy="2386330"/>
            <wp:effectExtent l="19050" t="19050" r="13335" b="13970"/>
            <wp:docPr id="1745467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67888" name=""/>
                    <pic:cNvPicPr/>
                  </pic:nvPicPr>
                  <pic:blipFill>
                    <a:blip r:embed="rId19"/>
                    <a:stretch>
                      <a:fillRect/>
                    </a:stretch>
                  </pic:blipFill>
                  <pic:spPr>
                    <a:xfrm>
                      <a:off x="0" y="0"/>
                      <a:ext cx="2577465" cy="2386330"/>
                    </a:xfrm>
                    <a:prstGeom prst="rect">
                      <a:avLst/>
                    </a:prstGeom>
                    <a:ln>
                      <a:solidFill>
                        <a:schemeClr val="tx1"/>
                      </a:solidFill>
                    </a:ln>
                  </pic:spPr>
                </pic:pic>
              </a:graphicData>
            </a:graphic>
          </wp:inline>
        </w:drawing>
      </w:r>
    </w:p>
    <w:p w14:paraId="0CB2B892" w14:textId="7EF713AC" w:rsidR="00BA1F7E" w:rsidRPr="006A2AB3" w:rsidRDefault="00935F80" w:rsidP="00BA1F7E">
      <w:pPr>
        <w:jc w:val="both"/>
        <w:rPr>
          <w:rFonts w:ascii="Arial" w:hAnsi="Arial" w:cs="Arial"/>
          <w:sz w:val="24"/>
          <w:szCs w:val="24"/>
        </w:rPr>
      </w:pPr>
      <w:r>
        <w:rPr>
          <w:rFonts w:ascii="Arial" w:hAnsi="Arial" w:cs="Arial"/>
          <w:sz w:val="24"/>
          <w:szCs w:val="24"/>
        </w:rPr>
        <w:t xml:space="preserve">No </w:t>
      </w:r>
      <w:r w:rsidR="00421740">
        <w:rPr>
          <w:rFonts w:ascii="Arial" w:hAnsi="Arial" w:cs="Arial"/>
          <w:sz w:val="24"/>
          <w:szCs w:val="24"/>
        </w:rPr>
        <w:t>se</w:t>
      </w:r>
      <w:r>
        <w:rPr>
          <w:rFonts w:ascii="Arial" w:hAnsi="Arial" w:cs="Arial"/>
          <w:sz w:val="24"/>
          <w:szCs w:val="24"/>
        </w:rPr>
        <w:t xml:space="preserve"> identificaron </w:t>
      </w:r>
      <w:r w:rsidR="00E66142" w:rsidRPr="006A2AB3">
        <w:rPr>
          <w:rFonts w:ascii="Arial" w:hAnsi="Arial" w:cs="Arial"/>
          <w:sz w:val="24"/>
          <w:szCs w:val="24"/>
        </w:rPr>
        <w:t>indicador</w:t>
      </w:r>
      <w:r>
        <w:rPr>
          <w:rFonts w:ascii="Arial" w:hAnsi="Arial" w:cs="Arial"/>
          <w:sz w:val="24"/>
          <w:szCs w:val="24"/>
        </w:rPr>
        <w:t>es</w:t>
      </w:r>
      <w:r w:rsidR="00E66142" w:rsidRPr="006A2AB3">
        <w:rPr>
          <w:rFonts w:ascii="Arial" w:hAnsi="Arial" w:cs="Arial"/>
          <w:sz w:val="24"/>
          <w:szCs w:val="24"/>
        </w:rPr>
        <w:t xml:space="preserve"> </w:t>
      </w:r>
      <w:r w:rsidR="00B35632" w:rsidRPr="006A2AB3">
        <w:rPr>
          <w:rFonts w:ascii="Arial" w:hAnsi="Arial" w:cs="Arial"/>
          <w:sz w:val="24"/>
          <w:szCs w:val="24"/>
        </w:rPr>
        <w:t>en</w:t>
      </w:r>
      <w:r w:rsidR="006A2AB3" w:rsidRPr="006A2AB3">
        <w:rPr>
          <w:rFonts w:ascii="Arial" w:hAnsi="Arial" w:cs="Arial"/>
          <w:sz w:val="24"/>
          <w:szCs w:val="24"/>
        </w:rPr>
        <w:t xml:space="preserve"> </w:t>
      </w:r>
      <w:r w:rsidR="00B35632" w:rsidRPr="006A2AB3">
        <w:rPr>
          <w:rFonts w:ascii="Arial" w:hAnsi="Arial" w:cs="Arial"/>
          <w:sz w:val="24"/>
          <w:szCs w:val="24"/>
        </w:rPr>
        <w:t xml:space="preserve">estado </w:t>
      </w:r>
      <w:r w:rsidR="003672B2">
        <w:rPr>
          <w:rFonts w:ascii="Arial" w:hAnsi="Arial" w:cs="Arial"/>
          <w:sz w:val="24"/>
          <w:szCs w:val="24"/>
        </w:rPr>
        <w:t>medio</w:t>
      </w:r>
      <w:r w:rsidR="00BA1F7E" w:rsidRPr="006A2AB3">
        <w:rPr>
          <w:rFonts w:ascii="Arial" w:hAnsi="Arial" w:cs="Arial"/>
          <w:sz w:val="24"/>
          <w:szCs w:val="24"/>
        </w:rPr>
        <w:t>,</w:t>
      </w:r>
      <w:r>
        <w:rPr>
          <w:rFonts w:ascii="Arial" w:hAnsi="Arial" w:cs="Arial"/>
          <w:sz w:val="24"/>
          <w:szCs w:val="24"/>
        </w:rPr>
        <w:t xml:space="preserve"> bajo y satisfactorio</w:t>
      </w:r>
      <w:r w:rsidR="00BA1F7E" w:rsidRPr="006A2AB3">
        <w:rPr>
          <w:rFonts w:ascii="Arial" w:hAnsi="Arial" w:cs="Arial"/>
          <w:sz w:val="24"/>
          <w:szCs w:val="24"/>
        </w:rPr>
        <w:t xml:space="preserve"> </w:t>
      </w:r>
      <w:r>
        <w:rPr>
          <w:rFonts w:ascii="Arial" w:hAnsi="Arial" w:cs="Arial"/>
          <w:sz w:val="24"/>
          <w:szCs w:val="24"/>
        </w:rPr>
        <w:t xml:space="preserve">en </w:t>
      </w:r>
      <w:r w:rsidR="00BA1F7E" w:rsidRPr="006A2AB3">
        <w:rPr>
          <w:rFonts w:ascii="Arial" w:hAnsi="Arial" w:cs="Arial"/>
          <w:sz w:val="24"/>
          <w:szCs w:val="24"/>
        </w:rPr>
        <w:t>este eje estratégico</w:t>
      </w:r>
      <w:r w:rsidR="00E22D5A">
        <w:rPr>
          <w:rFonts w:ascii="Arial" w:hAnsi="Arial" w:cs="Arial"/>
          <w:sz w:val="24"/>
          <w:szCs w:val="24"/>
        </w:rPr>
        <w:t>;</w:t>
      </w:r>
      <w:r>
        <w:rPr>
          <w:rFonts w:ascii="Arial" w:hAnsi="Arial" w:cs="Arial"/>
          <w:sz w:val="24"/>
          <w:szCs w:val="24"/>
        </w:rPr>
        <w:t xml:space="preserve"> </w:t>
      </w:r>
      <w:r w:rsidR="00BA1F7E" w:rsidRPr="006A2AB3">
        <w:rPr>
          <w:rFonts w:ascii="Arial" w:hAnsi="Arial" w:cs="Arial"/>
          <w:sz w:val="24"/>
          <w:szCs w:val="24"/>
        </w:rPr>
        <w:t>los</w:t>
      </w:r>
      <w:r w:rsidR="006A2AB3">
        <w:rPr>
          <w:rFonts w:ascii="Arial" w:hAnsi="Arial" w:cs="Arial"/>
          <w:sz w:val="24"/>
          <w:szCs w:val="24"/>
        </w:rPr>
        <w:t xml:space="preserve"> otros</w:t>
      </w:r>
      <w:r w:rsidR="00BA1F7E" w:rsidRPr="006A2AB3">
        <w:rPr>
          <w:rFonts w:ascii="Arial" w:hAnsi="Arial" w:cs="Arial"/>
          <w:sz w:val="24"/>
          <w:szCs w:val="24"/>
        </w:rPr>
        <w:t xml:space="preserve"> </w:t>
      </w:r>
      <w:r>
        <w:rPr>
          <w:rFonts w:ascii="Arial" w:hAnsi="Arial" w:cs="Arial"/>
          <w:sz w:val="24"/>
          <w:szCs w:val="24"/>
        </w:rPr>
        <w:t>19</w:t>
      </w:r>
      <w:r w:rsidR="00BA1F7E" w:rsidRPr="006A2AB3">
        <w:rPr>
          <w:rFonts w:ascii="Arial" w:hAnsi="Arial" w:cs="Arial"/>
          <w:sz w:val="24"/>
          <w:szCs w:val="24"/>
        </w:rPr>
        <w:t xml:space="preserve"> indicadores restantes se encuentran en estado crítico, o sea el </w:t>
      </w:r>
      <w:r w:rsidR="00031279">
        <w:rPr>
          <w:rFonts w:ascii="Arial" w:hAnsi="Arial" w:cs="Arial"/>
          <w:sz w:val="24"/>
          <w:szCs w:val="24"/>
        </w:rPr>
        <w:t>35</w:t>
      </w:r>
      <w:r w:rsidR="00BA1F7E" w:rsidRPr="006A2AB3">
        <w:rPr>
          <w:rFonts w:ascii="Arial" w:hAnsi="Arial" w:cs="Arial"/>
          <w:sz w:val="24"/>
          <w:szCs w:val="24"/>
        </w:rPr>
        <w:t xml:space="preserve">%. </w:t>
      </w:r>
    </w:p>
    <w:p w14:paraId="03216133" w14:textId="0D8CC667" w:rsidR="006A2AB3" w:rsidRPr="00C7536B" w:rsidRDefault="00E22D5A" w:rsidP="00BA1F7E">
      <w:pPr>
        <w:jc w:val="both"/>
        <w:rPr>
          <w:rFonts w:asciiTheme="minorHAnsi" w:hAnsiTheme="minorHAnsi" w:cstheme="minorHAnsi"/>
          <w:color w:val="FF0000"/>
          <w:sz w:val="20"/>
          <w:szCs w:val="20"/>
        </w:rPr>
      </w:pPr>
      <w:r w:rsidRPr="00E22D5A">
        <w:rPr>
          <w:noProof/>
        </w:rPr>
        <w:lastRenderedPageBreak/>
        <w:drawing>
          <wp:inline distT="0" distB="0" distL="0" distR="0" wp14:anchorId="6CA41CE1" wp14:editId="4928506B">
            <wp:extent cx="2577465" cy="1532659"/>
            <wp:effectExtent l="19050" t="19050" r="13335" b="10795"/>
            <wp:docPr id="16080828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82810" name=""/>
                    <pic:cNvPicPr/>
                  </pic:nvPicPr>
                  <pic:blipFill>
                    <a:blip r:embed="rId20"/>
                    <a:stretch>
                      <a:fillRect/>
                    </a:stretch>
                  </pic:blipFill>
                  <pic:spPr>
                    <a:xfrm>
                      <a:off x="0" y="0"/>
                      <a:ext cx="2585265" cy="1537297"/>
                    </a:xfrm>
                    <a:prstGeom prst="rect">
                      <a:avLst/>
                    </a:prstGeom>
                    <a:ln>
                      <a:solidFill>
                        <a:schemeClr val="tx1"/>
                      </a:solidFill>
                    </a:ln>
                  </pic:spPr>
                </pic:pic>
              </a:graphicData>
            </a:graphic>
          </wp:inline>
        </w:drawing>
      </w:r>
    </w:p>
    <w:p w14:paraId="3F5F73A2" w14:textId="74A0E818" w:rsidR="00BA1F7E" w:rsidRPr="00F62319" w:rsidRDefault="00F62319" w:rsidP="00F62319">
      <w:pPr>
        <w:pStyle w:val="Prrafodelista"/>
        <w:numPr>
          <w:ilvl w:val="0"/>
          <w:numId w:val="1"/>
        </w:numPr>
        <w:rPr>
          <w:rFonts w:ascii="Arial" w:hAnsi="Arial" w:cs="Arial"/>
          <w:b/>
          <w:sz w:val="24"/>
          <w:szCs w:val="24"/>
        </w:rPr>
      </w:pPr>
      <w:r w:rsidRPr="00F62319">
        <w:rPr>
          <w:rFonts w:ascii="Arial" w:hAnsi="Arial" w:cs="Arial"/>
          <w:b/>
          <w:sz w:val="24"/>
          <w:szCs w:val="24"/>
        </w:rPr>
        <w:t xml:space="preserve">CONCLUSIONES </w:t>
      </w:r>
    </w:p>
    <w:p w14:paraId="354D6177" w14:textId="26485DCB" w:rsidR="00F62319" w:rsidRDefault="00F62319" w:rsidP="00F62319">
      <w:pPr>
        <w:jc w:val="both"/>
        <w:rPr>
          <w:rFonts w:ascii="Arial" w:hAnsi="Arial" w:cs="Arial"/>
          <w:sz w:val="24"/>
          <w:szCs w:val="24"/>
        </w:rPr>
      </w:pPr>
      <w:r w:rsidRPr="00F62319">
        <w:rPr>
          <w:rFonts w:ascii="Arial" w:hAnsi="Arial" w:cs="Arial"/>
          <w:sz w:val="24"/>
          <w:szCs w:val="24"/>
        </w:rPr>
        <w:t xml:space="preserve">Se </w:t>
      </w:r>
      <w:r w:rsidR="001753C0">
        <w:rPr>
          <w:rFonts w:ascii="Arial" w:hAnsi="Arial" w:cs="Arial"/>
          <w:sz w:val="24"/>
          <w:szCs w:val="24"/>
        </w:rPr>
        <w:t>identificaron</w:t>
      </w:r>
      <w:r w:rsidRPr="00F62319">
        <w:rPr>
          <w:rFonts w:ascii="Arial" w:hAnsi="Arial" w:cs="Arial"/>
          <w:sz w:val="24"/>
          <w:szCs w:val="24"/>
        </w:rPr>
        <w:t xml:space="preserve"> </w:t>
      </w:r>
      <w:r w:rsidR="00304251">
        <w:rPr>
          <w:rFonts w:ascii="Arial" w:hAnsi="Arial" w:cs="Arial"/>
          <w:sz w:val="24"/>
          <w:szCs w:val="24"/>
        </w:rPr>
        <w:t>inconsistencias</w:t>
      </w:r>
      <w:r w:rsidRPr="00F62319">
        <w:rPr>
          <w:rFonts w:ascii="Arial" w:hAnsi="Arial" w:cs="Arial"/>
          <w:sz w:val="24"/>
          <w:szCs w:val="24"/>
        </w:rPr>
        <w:t xml:space="preserve"> en </w:t>
      </w:r>
      <w:r w:rsidR="002113E0">
        <w:rPr>
          <w:rFonts w:ascii="Arial" w:hAnsi="Arial" w:cs="Arial"/>
          <w:sz w:val="24"/>
          <w:szCs w:val="24"/>
        </w:rPr>
        <w:t>algunos</w:t>
      </w:r>
      <w:r w:rsidRPr="00F62319">
        <w:rPr>
          <w:rFonts w:ascii="Arial" w:hAnsi="Arial" w:cs="Arial"/>
          <w:sz w:val="24"/>
          <w:szCs w:val="24"/>
        </w:rPr>
        <w:t xml:space="preserve"> indicadores</w:t>
      </w:r>
      <w:r w:rsidR="002113E0">
        <w:rPr>
          <w:rFonts w:ascii="Arial" w:hAnsi="Arial" w:cs="Arial"/>
          <w:sz w:val="24"/>
          <w:szCs w:val="24"/>
        </w:rPr>
        <w:t xml:space="preserve"> críticos</w:t>
      </w:r>
      <w:r w:rsidRPr="00F62319">
        <w:rPr>
          <w:rFonts w:ascii="Arial" w:hAnsi="Arial" w:cs="Arial"/>
          <w:sz w:val="24"/>
          <w:szCs w:val="24"/>
        </w:rPr>
        <w:t xml:space="preserve"> de la política</w:t>
      </w:r>
      <w:r w:rsidR="002113E0">
        <w:rPr>
          <w:rFonts w:ascii="Arial" w:hAnsi="Arial" w:cs="Arial"/>
          <w:sz w:val="24"/>
          <w:szCs w:val="24"/>
        </w:rPr>
        <w:t xml:space="preserve"> pública</w:t>
      </w:r>
      <w:r w:rsidR="008B36DE">
        <w:rPr>
          <w:rFonts w:ascii="Arial" w:hAnsi="Arial" w:cs="Arial"/>
          <w:sz w:val="24"/>
          <w:szCs w:val="24"/>
        </w:rPr>
        <w:t xml:space="preserve">; no obstante, se identifica un porcentaje favorable de indicadores en estado </w:t>
      </w:r>
      <w:r w:rsidR="00304251">
        <w:rPr>
          <w:rFonts w:ascii="Arial" w:hAnsi="Arial" w:cs="Arial"/>
          <w:sz w:val="24"/>
          <w:szCs w:val="24"/>
        </w:rPr>
        <w:t>sobresaliente;</w:t>
      </w:r>
      <w:r>
        <w:rPr>
          <w:rFonts w:ascii="Arial" w:hAnsi="Arial" w:cs="Arial"/>
          <w:sz w:val="24"/>
          <w:szCs w:val="24"/>
        </w:rPr>
        <w:t xml:space="preserve"> sin embargo, para corresponder a</w:t>
      </w:r>
      <w:r w:rsidR="00697C2F">
        <w:rPr>
          <w:rFonts w:ascii="Arial" w:hAnsi="Arial" w:cs="Arial"/>
          <w:sz w:val="24"/>
          <w:szCs w:val="24"/>
        </w:rPr>
        <w:t xml:space="preserve"> </w:t>
      </w:r>
      <w:r w:rsidR="00E2113E">
        <w:rPr>
          <w:rFonts w:ascii="Arial" w:hAnsi="Arial" w:cs="Arial"/>
          <w:sz w:val="24"/>
          <w:szCs w:val="24"/>
        </w:rPr>
        <w:t xml:space="preserve">los seguimientos de </w:t>
      </w:r>
      <w:r w:rsidR="00697C2F">
        <w:rPr>
          <w:rFonts w:ascii="Arial" w:hAnsi="Arial" w:cs="Arial"/>
          <w:sz w:val="24"/>
          <w:szCs w:val="24"/>
        </w:rPr>
        <w:t>las últimas</w:t>
      </w:r>
      <w:r>
        <w:rPr>
          <w:rFonts w:ascii="Arial" w:hAnsi="Arial" w:cs="Arial"/>
          <w:sz w:val="24"/>
          <w:szCs w:val="24"/>
        </w:rPr>
        <w:t xml:space="preserve"> </w:t>
      </w:r>
      <w:r w:rsidR="00697C2F">
        <w:rPr>
          <w:rFonts w:ascii="Arial" w:hAnsi="Arial" w:cs="Arial"/>
          <w:sz w:val="24"/>
          <w:szCs w:val="24"/>
        </w:rPr>
        <w:t xml:space="preserve">vigencias de </w:t>
      </w:r>
      <w:r>
        <w:rPr>
          <w:rFonts w:ascii="Arial" w:hAnsi="Arial" w:cs="Arial"/>
          <w:sz w:val="24"/>
          <w:szCs w:val="24"/>
        </w:rPr>
        <w:t xml:space="preserve">la política </w:t>
      </w:r>
      <w:r w:rsidR="00697C2F">
        <w:rPr>
          <w:rFonts w:ascii="Arial" w:hAnsi="Arial" w:cs="Arial"/>
          <w:sz w:val="24"/>
          <w:szCs w:val="24"/>
        </w:rPr>
        <w:t xml:space="preserve">pública </w:t>
      </w:r>
      <w:r w:rsidR="008B36DE">
        <w:rPr>
          <w:rFonts w:ascii="Arial" w:hAnsi="Arial" w:cs="Arial"/>
          <w:sz w:val="24"/>
          <w:szCs w:val="24"/>
        </w:rPr>
        <w:t>de generación de ingresos</w:t>
      </w:r>
      <w:r w:rsidR="00E81276">
        <w:rPr>
          <w:rFonts w:ascii="Arial" w:hAnsi="Arial" w:cs="Arial"/>
          <w:sz w:val="24"/>
          <w:szCs w:val="24"/>
        </w:rPr>
        <w:t>,</w:t>
      </w:r>
      <w:r w:rsidR="008B36DE">
        <w:rPr>
          <w:rFonts w:ascii="Arial" w:hAnsi="Arial" w:cs="Arial"/>
          <w:sz w:val="24"/>
          <w:szCs w:val="24"/>
        </w:rPr>
        <w:t xml:space="preserve"> se </w:t>
      </w:r>
      <w:r>
        <w:rPr>
          <w:rFonts w:ascii="Arial" w:hAnsi="Arial" w:cs="Arial"/>
          <w:sz w:val="24"/>
          <w:szCs w:val="24"/>
        </w:rPr>
        <w:t>debería tener un avance</w:t>
      </w:r>
      <w:r w:rsidR="00E2113E">
        <w:rPr>
          <w:rFonts w:ascii="Arial" w:hAnsi="Arial" w:cs="Arial"/>
          <w:sz w:val="24"/>
          <w:szCs w:val="24"/>
        </w:rPr>
        <w:t xml:space="preserve"> significativo y</w:t>
      </w:r>
      <w:r>
        <w:rPr>
          <w:rFonts w:ascii="Arial" w:hAnsi="Arial" w:cs="Arial"/>
          <w:sz w:val="24"/>
          <w:szCs w:val="24"/>
        </w:rPr>
        <w:t xml:space="preserve"> sobresaliente sobre sus indicadores con relación a</w:t>
      </w:r>
      <w:r w:rsidR="00697C2F">
        <w:rPr>
          <w:rFonts w:ascii="Arial" w:hAnsi="Arial" w:cs="Arial"/>
          <w:sz w:val="24"/>
          <w:szCs w:val="24"/>
        </w:rPr>
        <w:t xml:space="preserve"> las vigencias anteriores</w:t>
      </w:r>
      <w:r>
        <w:rPr>
          <w:rFonts w:ascii="Arial" w:hAnsi="Arial" w:cs="Arial"/>
          <w:sz w:val="24"/>
          <w:szCs w:val="24"/>
        </w:rPr>
        <w:t>.</w:t>
      </w:r>
    </w:p>
    <w:p w14:paraId="2D5D6490" w14:textId="58BE6578" w:rsidR="00F62319" w:rsidRPr="00F62319" w:rsidRDefault="00F62319" w:rsidP="00F62319">
      <w:pPr>
        <w:jc w:val="both"/>
        <w:rPr>
          <w:rFonts w:ascii="Arial" w:hAnsi="Arial" w:cs="Arial"/>
          <w:sz w:val="24"/>
          <w:szCs w:val="24"/>
        </w:rPr>
      </w:pPr>
      <w:r>
        <w:rPr>
          <w:rFonts w:ascii="Arial" w:hAnsi="Arial" w:cs="Arial"/>
          <w:sz w:val="24"/>
          <w:szCs w:val="24"/>
        </w:rPr>
        <w:t xml:space="preserve">Lo anterior puede corresponder al proceso coyuntural de </w:t>
      </w:r>
      <w:r w:rsidR="0035646D">
        <w:rPr>
          <w:rFonts w:ascii="Arial" w:hAnsi="Arial" w:cs="Arial"/>
          <w:sz w:val="24"/>
          <w:szCs w:val="24"/>
        </w:rPr>
        <w:t xml:space="preserve">los </w:t>
      </w:r>
      <w:r>
        <w:rPr>
          <w:rFonts w:ascii="Arial" w:hAnsi="Arial" w:cs="Arial"/>
          <w:sz w:val="24"/>
          <w:szCs w:val="24"/>
        </w:rPr>
        <w:t>último</w:t>
      </w:r>
      <w:r w:rsidR="0035646D">
        <w:rPr>
          <w:rFonts w:ascii="Arial" w:hAnsi="Arial" w:cs="Arial"/>
          <w:sz w:val="24"/>
          <w:szCs w:val="24"/>
        </w:rPr>
        <w:t>s</w:t>
      </w:r>
      <w:r>
        <w:rPr>
          <w:rFonts w:ascii="Arial" w:hAnsi="Arial" w:cs="Arial"/>
          <w:sz w:val="24"/>
          <w:szCs w:val="24"/>
        </w:rPr>
        <w:t xml:space="preserve"> año</w:t>
      </w:r>
      <w:r w:rsidR="0035646D">
        <w:rPr>
          <w:rFonts w:ascii="Arial" w:hAnsi="Arial" w:cs="Arial"/>
          <w:sz w:val="24"/>
          <w:szCs w:val="24"/>
        </w:rPr>
        <w:t>s</w:t>
      </w:r>
      <w:r>
        <w:rPr>
          <w:rFonts w:ascii="Arial" w:hAnsi="Arial" w:cs="Arial"/>
          <w:sz w:val="24"/>
          <w:szCs w:val="24"/>
        </w:rPr>
        <w:t xml:space="preserve"> de administración departamental. Se espera contar con un rendimiento favorable en </w:t>
      </w:r>
      <w:r w:rsidR="008B36DE">
        <w:rPr>
          <w:rFonts w:ascii="Arial" w:hAnsi="Arial" w:cs="Arial"/>
          <w:sz w:val="24"/>
          <w:szCs w:val="24"/>
        </w:rPr>
        <w:t>el</w:t>
      </w:r>
      <w:r w:rsidR="0035646D">
        <w:rPr>
          <w:rFonts w:ascii="Arial" w:hAnsi="Arial" w:cs="Arial"/>
          <w:sz w:val="24"/>
          <w:szCs w:val="24"/>
        </w:rPr>
        <w:t xml:space="preserve"> último año de vigencia de la misma</w:t>
      </w:r>
      <w:r>
        <w:rPr>
          <w:rFonts w:ascii="Arial" w:hAnsi="Arial" w:cs="Arial"/>
          <w:sz w:val="24"/>
          <w:szCs w:val="24"/>
        </w:rPr>
        <w:t>.</w:t>
      </w:r>
    </w:p>
    <w:p w14:paraId="7DE75E29" w14:textId="3E032D45" w:rsidR="009206EF" w:rsidRPr="005D0F73" w:rsidRDefault="0035646D" w:rsidP="009206EF">
      <w:pPr>
        <w:jc w:val="both"/>
        <w:rPr>
          <w:rFonts w:ascii="Arial" w:hAnsi="Arial" w:cs="Arial"/>
          <w:b/>
          <w:bCs/>
          <w:sz w:val="24"/>
          <w:szCs w:val="24"/>
        </w:rPr>
      </w:pPr>
      <w:r>
        <w:rPr>
          <w:rFonts w:ascii="Arial" w:hAnsi="Arial" w:cs="Arial"/>
          <w:b/>
          <w:bCs/>
          <w:sz w:val="24"/>
          <w:szCs w:val="24"/>
        </w:rPr>
        <w:t xml:space="preserve">3.1. </w:t>
      </w:r>
      <w:r w:rsidR="009206EF" w:rsidRPr="005D0F73">
        <w:rPr>
          <w:rFonts w:ascii="Arial" w:hAnsi="Arial" w:cs="Arial"/>
          <w:b/>
          <w:bCs/>
          <w:sz w:val="24"/>
          <w:szCs w:val="24"/>
        </w:rPr>
        <w:t>ACCIONES REALIZADAS DURANTE EL SEGUIMIENTO DE LA PPGI VIGENCIA 202</w:t>
      </w:r>
      <w:r w:rsidR="009206EF">
        <w:rPr>
          <w:rFonts w:ascii="Arial" w:hAnsi="Arial" w:cs="Arial"/>
          <w:b/>
          <w:bCs/>
          <w:sz w:val="24"/>
          <w:szCs w:val="24"/>
        </w:rPr>
        <w:t>3</w:t>
      </w:r>
      <w:r w:rsidR="009206EF" w:rsidRPr="005D0F73">
        <w:rPr>
          <w:rFonts w:ascii="Arial" w:hAnsi="Arial" w:cs="Arial"/>
          <w:b/>
          <w:bCs/>
          <w:sz w:val="24"/>
          <w:szCs w:val="24"/>
        </w:rPr>
        <w:t>.</w:t>
      </w:r>
    </w:p>
    <w:p w14:paraId="14C777B0" w14:textId="0E52FBB9" w:rsidR="00F62319" w:rsidRDefault="009206EF" w:rsidP="00F62319">
      <w:pPr>
        <w:pStyle w:val="Prrafodelista"/>
        <w:numPr>
          <w:ilvl w:val="0"/>
          <w:numId w:val="22"/>
        </w:numPr>
        <w:jc w:val="both"/>
        <w:rPr>
          <w:rFonts w:ascii="Arial" w:hAnsi="Arial" w:cs="Arial"/>
          <w:sz w:val="24"/>
          <w:szCs w:val="24"/>
        </w:rPr>
      </w:pPr>
      <w:r w:rsidRPr="00F62319">
        <w:rPr>
          <w:rFonts w:ascii="Arial" w:hAnsi="Arial" w:cs="Arial"/>
          <w:sz w:val="24"/>
          <w:szCs w:val="24"/>
        </w:rPr>
        <w:t xml:space="preserve">Solicitud de información </w:t>
      </w:r>
      <w:r w:rsidR="004951C7">
        <w:rPr>
          <w:rFonts w:ascii="Arial" w:hAnsi="Arial" w:cs="Arial"/>
          <w:sz w:val="24"/>
          <w:szCs w:val="24"/>
        </w:rPr>
        <w:t xml:space="preserve">y visitas realizadas de manera presencial </w:t>
      </w:r>
      <w:r w:rsidRPr="00F62319">
        <w:rPr>
          <w:rFonts w:ascii="Arial" w:hAnsi="Arial" w:cs="Arial"/>
          <w:sz w:val="24"/>
          <w:szCs w:val="24"/>
        </w:rPr>
        <w:t>a diferentes actores internos y externos.</w:t>
      </w:r>
    </w:p>
    <w:p w14:paraId="17215DEE" w14:textId="392D2A95" w:rsidR="009206EF" w:rsidRPr="00F62319" w:rsidRDefault="009206EF" w:rsidP="00F62319">
      <w:pPr>
        <w:pStyle w:val="Prrafodelista"/>
        <w:numPr>
          <w:ilvl w:val="0"/>
          <w:numId w:val="22"/>
        </w:numPr>
        <w:jc w:val="both"/>
        <w:rPr>
          <w:rFonts w:ascii="Arial" w:hAnsi="Arial" w:cs="Arial"/>
          <w:sz w:val="24"/>
          <w:szCs w:val="24"/>
        </w:rPr>
      </w:pPr>
      <w:r w:rsidRPr="00F62319">
        <w:rPr>
          <w:rFonts w:ascii="Arial" w:hAnsi="Arial" w:cs="Arial"/>
          <w:sz w:val="24"/>
          <w:szCs w:val="24"/>
          <w:lang w:val="es-ES"/>
        </w:rPr>
        <w:t>Llamadas realizadas a los diferentes actores.</w:t>
      </w:r>
    </w:p>
    <w:p w14:paraId="761D370B" w14:textId="24722955" w:rsidR="009206EF" w:rsidRPr="00F62319" w:rsidRDefault="009206EF" w:rsidP="00F62319">
      <w:pPr>
        <w:pStyle w:val="Prrafodelista"/>
        <w:numPr>
          <w:ilvl w:val="0"/>
          <w:numId w:val="22"/>
        </w:numPr>
        <w:jc w:val="both"/>
        <w:rPr>
          <w:rFonts w:ascii="Arial" w:hAnsi="Arial" w:cs="Arial"/>
          <w:sz w:val="24"/>
          <w:szCs w:val="24"/>
        </w:rPr>
      </w:pPr>
      <w:r w:rsidRPr="00F62319">
        <w:rPr>
          <w:rFonts w:ascii="Arial" w:hAnsi="Arial" w:cs="Arial"/>
          <w:sz w:val="24"/>
          <w:szCs w:val="24"/>
        </w:rPr>
        <w:t>Compilación de la información solicitada.</w:t>
      </w:r>
    </w:p>
    <w:p w14:paraId="05F0B1F3" w14:textId="73794E0D" w:rsidR="009206EF" w:rsidRPr="00F62319" w:rsidRDefault="009206EF" w:rsidP="00F62319">
      <w:pPr>
        <w:pStyle w:val="Prrafodelista"/>
        <w:numPr>
          <w:ilvl w:val="0"/>
          <w:numId w:val="22"/>
        </w:numPr>
        <w:jc w:val="both"/>
        <w:rPr>
          <w:rFonts w:ascii="Arial" w:hAnsi="Arial" w:cs="Arial"/>
          <w:sz w:val="24"/>
          <w:szCs w:val="24"/>
        </w:rPr>
      </w:pPr>
      <w:r w:rsidRPr="00F62319">
        <w:rPr>
          <w:rFonts w:ascii="Arial" w:hAnsi="Arial" w:cs="Arial"/>
          <w:sz w:val="24"/>
          <w:szCs w:val="24"/>
        </w:rPr>
        <w:t>Elaboración del informe de seguimiento a la PPGI vigencia 202</w:t>
      </w:r>
      <w:r w:rsidR="00E2113E">
        <w:rPr>
          <w:rFonts w:ascii="Arial" w:hAnsi="Arial" w:cs="Arial"/>
          <w:sz w:val="24"/>
          <w:szCs w:val="24"/>
        </w:rPr>
        <w:t>3</w:t>
      </w:r>
      <w:r w:rsidRPr="00F62319">
        <w:rPr>
          <w:rFonts w:ascii="Arial" w:hAnsi="Arial" w:cs="Arial"/>
          <w:sz w:val="24"/>
          <w:szCs w:val="24"/>
        </w:rPr>
        <w:t>.</w:t>
      </w:r>
    </w:p>
    <w:p w14:paraId="0EF2C8B2" w14:textId="7E9681DB" w:rsidR="00AE703F" w:rsidRDefault="0035646D" w:rsidP="00AE703F">
      <w:pPr>
        <w:jc w:val="center"/>
        <w:rPr>
          <w:rFonts w:ascii="Arial" w:hAnsi="Arial" w:cs="Arial"/>
          <w:b/>
          <w:bCs/>
          <w:sz w:val="24"/>
          <w:szCs w:val="24"/>
        </w:rPr>
      </w:pPr>
      <w:r>
        <w:rPr>
          <w:rFonts w:ascii="Arial" w:hAnsi="Arial" w:cs="Arial"/>
          <w:b/>
          <w:bCs/>
          <w:sz w:val="24"/>
          <w:szCs w:val="24"/>
        </w:rPr>
        <w:t xml:space="preserve">3.2. </w:t>
      </w:r>
      <w:r w:rsidR="00AE703F" w:rsidRPr="005D0F73">
        <w:rPr>
          <w:rFonts w:ascii="Arial" w:hAnsi="Arial" w:cs="Arial"/>
          <w:b/>
          <w:bCs/>
          <w:sz w:val="24"/>
          <w:szCs w:val="24"/>
        </w:rPr>
        <w:t>ACCIONES A REALIZAR PARA LA VIGENCIA 202</w:t>
      </w:r>
      <w:r>
        <w:rPr>
          <w:rFonts w:ascii="Arial" w:hAnsi="Arial" w:cs="Arial"/>
          <w:b/>
          <w:bCs/>
          <w:sz w:val="24"/>
          <w:szCs w:val="24"/>
        </w:rPr>
        <w:t>4.</w:t>
      </w:r>
    </w:p>
    <w:p w14:paraId="11504A01" w14:textId="1113FFE8" w:rsidR="00E2113E" w:rsidRDefault="00E2113E" w:rsidP="00F62319">
      <w:pPr>
        <w:pStyle w:val="Prrafodelista"/>
        <w:numPr>
          <w:ilvl w:val="0"/>
          <w:numId w:val="21"/>
        </w:numPr>
        <w:jc w:val="both"/>
        <w:rPr>
          <w:rFonts w:ascii="Arial" w:hAnsi="Arial" w:cs="Arial"/>
          <w:sz w:val="24"/>
          <w:szCs w:val="24"/>
        </w:rPr>
      </w:pPr>
      <w:r>
        <w:rPr>
          <w:rFonts w:ascii="Arial" w:hAnsi="Arial" w:cs="Arial"/>
          <w:sz w:val="24"/>
          <w:szCs w:val="24"/>
        </w:rPr>
        <w:t xml:space="preserve">Elaborar el informe de seguimiento de la PPGI </w:t>
      </w:r>
      <w:r w:rsidR="006D13A0">
        <w:rPr>
          <w:rFonts w:ascii="Arial" w:hAnsi="Arial" w:cs="Arial"/>
          <w:sz w:val="24"/>
          <w:szCs w:val="24"/>
        </w:rPr>
        <w:t>I trimestre vigencia</w:t>
      </w:r>
      <w:r>
        <w:rPr>
          <w:rFonts w:ascii="Arial" w:hAnsi="Arial" w:cs="Arial"/>
          <w:sz w:val="24"/>
          <w:szCs w:val="24"/>
        </w:rPr>
        <w:t xml:space="preserve"> 202</w:t>
      </w:r>
      <w:r w:rsidR="004951C7">
        <w:rPr>
          <w:rFonts w:ascii="Arial" w:hAnsi="Arial" w:cs="Arial"/>
          <w:sz w:val="24"/>
          <w:szCs w:val="24"/>
        </w:rPr>
        <w:t>4</w:t>
      </w:r>
      <w:r>
        <w:rPr>
          <w:rFonts w:ascii="Arial" w:hAnsi="Arial" w:cs="Arial"/>
          <w:sz w:val="24"/>
          <w:szCs w:val="24"/>
        </w:rPr>
        <w:t>, si así lo requiere la Secretaría de Planeación.</w:t>
      </w:r>
    </w:p>
    <w:p w14:paraId="130A1E2C" w14:textId="0FB441E3" w:rsidR="00AE703F" w:rsidRPr="00F62319" w:rsidRDefault="00AE703F" w:rsidP="00F62319">
      <w:pPr>
        <w:pStyle w:val="Prrafodelista"/>
        <w:numPr>
          <w:ilvl w:val="0"/>
          <w:numId w:val="21"/>
        </w:numPr>
        <w:jc w:val="both"/>
        <w:rPr>
          <w:rFonts w:ascii="Arial" w:hAnsi="Arial" w:cs="Arial"/>
          <w:sz w:val="24"/>
          <w:szCs w:val="24"/>
        </w:rPr>
      </w:pPr>
      <w:r w:rsidRPr="00F62319">
        <w:rPr>
          <w:rFonts w:ascii="Arial" w:hAnsi="Arial" w:cs="Arial"/>
          <w:sz w:val="24"/>
          <w:szCs w:val="24"/>
        </w:rPr>
        <w:t>Solicitar información a los diferentes actores.</w:t>
      </w:r>
    </w:p>
    <w:p w14:paraId="1EB67DD4" w14:textId="7E9622F4" w:rsidR="00F62319" w:rsidRPr="00F62319" w:rsidRDefault="00AE703F" w:rsidP="00F62319">
      <w:pPr>
        <w:pStyle w:val="Prrafodelista"/>
        <w:numPr>
          <w:ilvl w:val="0"/>
          <w:numId w:val="21"/>
        </w:numPr>
        <w:jc w:val="both"/>
        <w:rPr>
          <w:rFonts w:ascii="Arial" w:hAnsi="Arial" w:cs="Arial"/>
          <w:b/>
          <w:bCs/>
          <w:sz w:val="24"/>
          <w:szCs w:val="24"/>
        </w:rPr>
      </w:pPr>
      <w:r w:rsidRPr="00F62319">
        <w:rPr>
          <w:rFonts w:ascii="Arial" w:hAnsi="Arial" w:cs="Arial"/>
          <w:sz w:val="24"/>
          <w:szCs w:val="24"/>
        </w:rPr>
        <w:t>Establecer reunión presencial con actores internos y externos, de manera grupal o individual, la misma debe ser adelantada con quienes hacen la Secretaría técnica, los actores y la   Secretaría de Planeación.</w:t>
      </w:r>
    </w:p>
    <w:p w14:paraId="1691FF68" w14:textId="15280372" w:rsidR="0035646D" w:rsidRPr="00A35929" w:rsidRDefault="00F62319" w:rsidP="00517B37">
      <w:pPr>
        <w:pStyle w:val="Prrafodelista"/>
        <w:numPr>
          <w:ilvl w:val="0"/>
          <w:numId w:val="21"/>
        </w:numPr>
        <w:jc w:val="both"/>
        <w:rPr>
          <w:rStyle w:val="Ttulo2Car"/>
          <w:rFonts w:ascii="Arial" w:eastAsia="Calibri" w:hAnsi="Arial" w:cs="Arial"/>
          <w:b w:val="0"/>
          <w:color w:val="auto"/>
          <w:sz w:val="24"/>
          <w:szCs w:val="24"/>
        </w:rPr>
      </w:pPr>
      <w:r w:rsidRPr="00F62319">
        <w:rPr>
          <w:rFonts w:ascii="Arial" w:hAnsi="Arial" w:cs="Arial"/>
          <w:bCs/>
          <w:sz w:val="24"/>
          <w:szCs w:val="24"/>
        </w:rPr>
        <w:t xml:space="preserve">Se requiere emitir un comunicado a los actores internos y externos de la política instando al reporte de los oportuno y completo de la información. </w:t>
      </w:r>
    </w:p>
    <w:p w14:paraId="29ED5348" w14:textId="0689E861" w:rsidR="00A35929" w:rsidRDefault="0035646D" w:rsidP="00517B37">
      <w:pPr>
        <w:jc w:val="both"/>
        <w:rPr>
          <w:rStyle w:val="Ttulo2Car"/>
          <w:rFonts w:ascii="Arial" w:eastAsia="Times New Roman" w:hAnsi="Arial" w:cs="Arial"/>
          <w:color w:val="000000"/>
          <w:kern w:val="24"/>
          <w:sz w:val="24"/>
          <w:szCs w:val="24"/>
        </w:rPr>
      </w:pPr>
      <w:r w:rsidRPr="0035646D">
        <w:rPr>
          <w:rStyle w:val="Ttulo2Car"/>
          <w:rFonts w:ascii="Arial" w:eastAsia="Times New Roman" w:hAnsi="Arial" w:cs="Arial"/>
          <w:color w:val="000000"/>
          <w:kern w:val="24"/>
          <w:sz w:val="24"/>
          <w:szCs w:val="24"/>
        </w:rPr>
        <w:t>3.3. RECOMENDACIÒN</w:t>
      </w:r>
    </w:p>
    <w:p w14:paraId="5168EF4D" w14:textId="15BF2F0F" w:rsidR="00530221" w:rsidRDefault="000B4A0F" w:rsidP="00517B37">
      <w:pPr>
        <w:jc w:val="both"/>
        <w:rPr>
          <w:rFonts w:ascii="Arial" w:hAnsi="Arial" w:cs="Arial"/>
          <w:bCs/>
          <w:sz w:val="24"/>
          <w:szCs w:val="24"/>
        </w:rPr>
      </w:pPr>
      <w:r>
        <w:rPr>
          <w:rFonts w:ascii="Arial" w:hAnsi="Arial" w:cs="Arial"/>
          <w:bCs/>
          <w:sz w:val="24"/>
          <w:szCs w:val="24"/>
        </w:rPr>
        <w:t>Cabe recordar que la P</w:t>
      </w:r>
      <w:r w:rsidRPr="00E629C9">
        <w:rPr>
          <w:rFonts w:ascii="Arial" w:hAnsi="Arial" w:cs="Arial"/>
          <w:bCs/>
          <w:sz w:val="24"/>
          <w:szCs w:val="24"/>
        </w:rPr>
        <w:t>olítica</w:t>
      </w:r>
      <w:r>
        <w:rPr>
          <w:rFonts w:ascii="Arial" w:hAnsi="Arial" w:cs="Arial"/>
          <w:bCs/>
          <w:sz w:val="24"/>
          <w:szCs w:val="24"/>
        </w:rPr>
        <w:t xml:space="preserve"> Pública</w:t>
      </w:r>
      <w:r w:rsidRPr="00E629C9">
        <w:rPr>
          <w:rFonts w:ascii="Arial" w:hAnsi="Arial" w:cs="Arial"/>
          <w:bCs/>
          <w:sz w:val="24"/>
          <w:szCs w:val="24"/>
        </w:rPr>
        <w:t xml:space="preserve">, </w:t>
      </w:r>
      <w:r>
        <w:rPr>
          <w:rFonts w:ascii="Arial" w:hAnsi="Arial" w:cs="Arial"/>
          <w:bCs/>
          <w:sz w:val="24"/>
          <w:szCs w:val="24"/>
        </w:rPr>
        <w:t>debe tenerse en cuenta en el nuevo</w:t>
      </w:r>
      <w:r w:rsidRPr="00E629C9">
        <w:rPr>
          <w:rFonts w:ascii="Arial" w:hAnsi="Arial" w:cs="Arial"/>
          <w:bCs/>
          <w:sz w:val="24"/>
          <w:szCs w:val="24"/>
        </w:rPr>
        <w:t xml:space="preserve"> Plan de Desarrollo </w:t>
      </w:r>
      <w:r w:rsidR="00530221">
        <w:rPr>
          <w:rFonts w:ascii="Arial" w:hAnsi="Arial" w:cs="Arial"/>
          <w:bCs/>
          <w:sz w:val="24"/>
          <w:szCs w:val="24"/>
        </w:rPr>
        <w:t xml:space="preserve">del </w:t>
      </w:r>
      <w:r w:rsidRPr="00E629C9">
        <w:rPr>
          <w:rFonts w:ascii="Arial" w:hAnsi="Arial" w:cs="Arial"/>
          <w:bCs/>
          <w:sz w:val="24"/>
          <w:szCs w:val="24"/>
        </w:rPr>
        <w:t>Departamento</w:t>
      </w:r>
      <w:r w:rsidR="00530221">
        <w:rPr>
          <w:rFonts w:ascii="Arial" w:hAnsi="Arial" w:cs="Arial"/>
          <w:bCs/>
          <w:sz w:val="24"/>
          <w:szCs w:val="24"/>
        </w:rPr>
        <w:t xml:space="preserve"> 2024-2027.</w:t>
      </w:r>
    </w:p>
    <w:p w14:paraId="5ECD1CB3" w14:textId="48F76FB2" w:rsidR="006B05C1" w:rsidRPr="00841751" w:rsidRDefault="006B05C1" w:rsidP="00517B37">
      <w:pPr>
        <w:jc w:val="both"/>
        <w:rPr>
          <w:rStyle w:val="Ttulo2Car"/>
          <w:rFonts w:ascii="Arial" w:eastAsia="Calibri" w:hAnsi="Arial" w:cs="Arial"/>
          <w:b w:val="0"/>
          <w:i/>
          <w:iCs/>
          <w:color w:val="000000" w:themeColor="text1"/>
          <w:sz w:val="24"/>
          <w:szCs w:val="24"/>
        </w:rPr>
      </w:pPr>
      <w:r w:rsidRPr="00841751">
        <w:rPr>
          <w:rStyle w:val="Ttulo2Car"/>
          <w:rFonts w:ascii="Arial" w:eastAsia="Times New Roman" w:hAnsi="Arial" w:cs="Arial"/>
          <w:b w:val="0"/>
          <w:bCs w:val="0"/>
          <w:color w:val="000000" w:themeColor="text1"/>
          <w:kern w:val="24"/>
          <w:sz w:val="24"/>
          <w:szCs w:val="24"/>
        </w:rPr>
        <w:t xml:space="preserve">En el proceso de empalme se debe ser enfático en que la Política </w:t>
      </w:r>
      <w:r w:rsidR="001753C0" w:rsidRPr="00841751">
        <w:rPr>
          <w:rStyle w:val="Ttulo2Car"/>
          <w:rFonts w:ascii="Arial" w:eastAsia="Times New Roman" w:hAnsi="Arial" w:cs="Arial"/>
          <w:b w:val="0"/>
          <w:bCs w:val="0"/>
          <w:color w:val="000000" w:themeColor="text1"/>
          <w:kern w:val="24"/>
          <w:sz w:val="24"/>
          <w:szCs w:val="24"/>
        </w:rPr>
        <w:t xml:space="preserve">Pública </w:t>
      </w:r>
      <w:r w:rsidRPr="00841751">
        <w:rPr>
          <w:rStyle w:val="Ttulo2Car"/>
          <w:rFonts w:ascii="Arial" w:eastAsia="Times New Roman" w:hAnsi="Arial" w:cs="Arial"/>
          <w:b w:val="0"/>
          <w:bCs w:val="0"/>
          <w:color w:val="000000" w:themeColor="text1"/>
          <w:kern w:val="24"/>
          <w:sz w:val="24"/>
          <w:szCs w:val="24"/>
        </w:rPr>
        <w:t xml:space="preserve">debe ser adoptada por todas las secretarías </w:t>
      </w:r>
      <w:r w:rsidR="00D478DC" w:rsidRPr="00841751">
        <w:rPr>
          <w:rStyle w:val="Ttulo2Car"/>
          <w:rFonts w:ascii="Arial" w:eastAsia="Times New Roman" w:hAnsi="Arial" w:cs="Arial"/>
          <w:b w:val="0"/>
          <w:bCs w:val="0"/>
          <w:color w:val="000000" w:themeColor="text1"/>
          <w:kern w:val="24"/>
          <w:sz w:val="24"/>
          <w:szCs w:val="24"/>
        </w:rPr>
        <w:t xml:space="preserve">involucradas en su desarrollo, esto con el fin que al momento de la armonización con el </w:t>
      </w:r>
      <w:r w:rsidR="000D2BB2" w:rsidRPr="00841751">
        <w:rPr>
          <w:rStyle w:val="Ttulo2Car"/>
          <w:rFonts w:ascii="Arial" w:eastAsia="Times New Roman" w:hAnsi="Arial" w:cs="Arial"/>
          <w:b w:val="0"/>
          <w:bCs w:val="0"/>
          <w:color w:val="000000" w:themeColor="text1"/>
          <w:kern w:val="24"/>
          <w:sz w:val="24"/>
          <w:szCs w:val="24"/>
        </w:rPr>
        <w:t>P</w:t>
      </w:r>
      <w:r w:rsidR="00D478DC" w:rsidRPr="00841751">
        <w:rPr>
          <w:rStyle w:val="Ttulo2Car"/>
          <w:rFonts w:ascii="Arial" w:eastAsia="Times New Roman" w:hAnsi="Arial" w:cs="Arial"/>
          <w:b w:val="0"/>
          <w:bCs w:val="0"/>
          <w:color w:val="000000" w:themeColor="text1"/>
          <w:kern w:val="24"/>
          <w:sz w:val="24"/>
          <w:szCs w:val="24"/>
        </w:rPr>
        <w:t xml:space="preserve">lan de </w:t>
      </w:r>
      <w:r w:rsidR="000D2BB2" w:rsidRPr="00841751">
        <w:rPr>
          <w:rStyle w:val="Ttulo2Car"/>
          <w:rFonts w:ascii="Arial" w:eastAsia="Times New Roman" w:hAnsi="Arial" w:cs="Arial"/>
          <w:b w:val="0"/>
          <w:bCs w:val="0"/>
          <w:color w:val="000000" w:themeColor="text1"/>
          <w:kern w:val="24"/>
          <w:sz w:val="24"/>
          <w:szCs w:val="24"/>
        </w:rPr>
        <w:t>D</w:t>
      </w:r>
      <w:r w:rsidR="00D478DC" w:rsidRPr="00841751">
        <w:rPr>
          <w:rStyle w:val="Ttulo2Car"/>
          <w:rFonts w:ascii="Arial" w:eastAsia="Times New Roman" w:hAnsi="Arial" w:cs="Arial"/>
          <w:b w:val="0"/>
          <w:bCs w:val="0"/>
          <w:color w:val="000000" w:themeColor="text1"/>
          <w:kern w:val="24"/>
          <w:sz w:val="24"/>
          <w:szCs w:val="24"/>
        </w:rPr>
        <w:t>esarrollo 2024-2027, los indicadores se puedan cumplir.</w:t>
      </w:r>
    </w:p>
    <w:p w14:paraId="10A0BF89" w14:textId="364A212E" w:rsidR="00A35929" w:rsidRPr="00E629C9" w:rsidRDefault="007657CD" w:rsidP="00A35929">
      <w:pPr>
        <w:jc w:val="both"/>
        <w:rPr>
          <w:rFonts w:ascii="Arial" w:hAnsi="Arial" w:cs="Arial"/>
          <w:bCs/>
          <w:i/>
          <w:iCs/>
          <w:sz w:val="24"/>
          <w:szCs w:val="24"/>
        </w:rPr>
      </w:pPr>
      <w:r>
        <w:rPr>
          <w:rFonts w:ascii="Arial" w:hAnsi="Arial" w:cs="Arial"/>
          <w:bCs/>
          <w:sz w:val="24"/>
          <w:szCs w:val="24"/>
        </w:rPr>
        <w:t>F</w:t>
      </w:r>
      <w:r w:rsidR="00A35929" w:rsidRPr="00E629C9">
        <w:rPr>
          <w:rFonts w:ascii="Arial" w:hAnsi="Arial" w:cs="Arial"/>
          <w:bCs/>
          <w:sz w:val="24"/>
          <w:szCs w:val="24"/>
        </w:rPr>
        <w:t xml:space="preserve">ortalecer una estrategia de captura de información de los diversos </w:t>
      </w:r>
      <w:r w:rsidR="00A35929" w:rsidRPr="00E629C9">
        <w:rPr>
          <w:rFonts w:ascii="Arial" w:hAnsi="Arial" w:cs="Arial"/>
          <w:bCs/>
          <w:sz w:val="24"/>
          <w:szCs w:val="24"/>
        </w:rPr>
        <w:lastRenderedPageBreak/>
        <w:t xml:space="preserve">actores, responsables de la </w:t>
      </w:r>
      <w:r w:rsidR="00A35929" w:rsidRPr="00E629C9">
        <w:rPr>
          <w:rFonts w:ascii="Arial" w:hAnsi="Arial" w:cs="Arial"/>
          <w:bCs/>
          <w:color w:val="000000" w:themeColor="text1"/>
          <w:sz w:val="24"/>
          <w:szCs w:val="24"/>
        </w:rPr>
        <w:t xml:space="preserve">política, </w:t>
      </w:r>
      <w:r w:rsidR="00A35929" w:rsidRPr="00E629C9">
        <w:rPr>
          <w:rFonts w:ascii="Arial" w:hAnsi="Arial" w:cs="Arial"/>
          <w:bCs/>
          <w:sz w:val="24"/>
          <w:szCs w:val="24"/>
        </w:rPr>
        <w:t xml:space="preserve">para la efectiva consolidación de la información de la implementación de manera trimestral de acuerdo a la periodicidad establecida en el </w:t>
      </w:r>
      <w:r w:rsidR="00A35929" w:rsidRPr="00E629C9">
        <w:rPr>
          <w:rFonts w:ascii="Arial" w:hAnsi="Arial" w:cs="Arial"/>
          <w:bCs/>
          <w:color w:val="000000" w:themeColor="text1"/>
          <w:sz w:val="24"/>
          <w:szCs w:val="24"/>
        </w:rPr>
        <w:t xml:space="preserve">Decreto No. 386 de junio del 2019. </w:t>
      </w:r>
    </w:p>
    <w:p w14:paraId="01E09E19" w14:textId="77777777" w:rsidR="00A35929" w:rsidRPr="00E629C9" w:rsidRDefault="00A35929" w:rsidP="00A35929">
      <w:pPr>
        <w:jc w:val="both"/>
        <w:rPr>
          <w:rFonts w:ascii="Arial" w:hAnsi="Arial" w:cs="Arial"/>
          <w:bCs/>
          <w:i/>
          <w:iCs/>
          <w:sz w:val="24"/>
          <w:szCs w:val="24"/>
        </w:rPr>
      </w:pPr>
      <w:r w:rsidRPr="00E629C9">
        <w:rPr>
          <w:rFonts w:ascii="Arial" w:hAnsi="Arial" w:cs="Arial"/>
          <w:bCs/>
          <w:sz w:val="24"/>
          <w:szCs w:val="24"/>
        </w:rPr>
        <w:t xml:space="preserve">Teniendo presente los cambios de gobierno tanto departamental como municipal, lo que implica una alta rotación de personal, se recomienda socializar la </w:t>
      </w:r>
      <w:r w:rsidRPr="00E629C9">
        <w:rPr>
          <w:rFonts w:ascii="Arial" w:hAnsi="Arial" w:cs="Arial"/>
          <w:bCs/>
          <w:color w:val="000000" w:themeColor="text1"/>
          <w:sz w:val="24"/>
          <w:szCs w:val="24"/>
        </w:rPr>
        <w:t xml:space="preserve">Política Pública de Generación de Ingresos </w:t>
      </w:r>
      <w:r w:rsidRPr="00E629C9">
        <w:rPr>
          <w:rFonts w:ascii="Arial" w:hAnsi="Arial" w:cs="Arial"/>
          <w:bCs/>
          <w:sz w:val="24"/>
          <w:szCs w:val="24"/>
        </w:rPr>
        <w:t>al inicio de la vigencia de los actores involucrados.</w:t>
      </w:r>
    </w:p>
    <w:p w14:paraId="211DE8D2" w14:textId="77777777" w:rsidR="00A35929" w:rsidRDefault="00A35929" w:rsidP="00A35929">
      <w:pPr>
        <w:jc w:val="both"/>
        <w:rPr>
          <w:rFonts w:ascii="Arial" w:hAnsi="Arial" w:cs="Arial"/>
          <w:bCs/>
          <w:i/>
          <w:iCs/>
          <w:sz w:val="24"/>
          <w:szCs w:val="24"/>
        </w:rPr>
      </w:pPr>
      <w:r w:rsidRPr="00E629C9">
        <w:rPr>
          <w:rFonts w:ascii="Arial" w:hAnsi="Arial" w:cs="Arial"/>
          <w:bCs/>
          <w:sz w:val="24"/>
          <w:szCs w:val="24"/>
        </w:rPr>
        <w:t xml:space="preserve">Teniendo en cuenta la terminación de la vigencia </w:t>
      </w:r>
      <w:r w:rsidRPr="00D478DC">
        <w:rPr>
          <w:rFonts w:ascii="Arial" w:hAnsi="Arial" w:cs="Arial"/>
          <w:bCs/>
          <w:color w:val="000000" w:themeColor="text1"/>
          <w:sz w:val="24"/>
          <w:szCs w:val="24"/>
        </w:rPr>
        <w:t xml:space="preserve">de la Política Pública de Generación de Ingresos en octubre del 2024, </w:t>
      </w:r>
      <w:r w:rsidRPr="00E629C9">
        <w:rPr>
          <w:rFonts w:ascii="Arial" w:hAnsi="Arial" w:cs="Arial"/>
          <w:bCs/>
          <w:sz w:val="24"/>
          <w:szCs w:val="24"/>
        </w:rPr>
        <w:t xml:space="preserve">se recomienda iniciar con tiempo el proceso de evaluación y cierre con el fin obtener un insumo importante, en caso de ser reformulada o incluida en otro proceso misional. </w:t>
      </w:r>
    </w:p>
    <w:p w14:paraId="12DBDC25" w14:textId="5FAAE62F" w:rsidR="00F14B27" w:rsidRDefault="00F14B27" w:rsidP="00517B37">
      <w:pPr>
        <w:jc w:val="both"/>
        <w:rPr>
          <w:rFonts w:ascii="Arial" w:hAnsi="Arial" w:cs="Arial"/>
          <w:bCs/>
          <w:sz w:val="24"/>
          <w:szCs w:val="24"/>
        </w:rPr>
      </w:pPr>
      <w:r>
        <w:rPr>
          <w:rFonts w:ascii="Arial" w:hAnsi="Arial" w:cs="Arial"/>
          <w:bCs/>
          <w:sz w:val="24"/>
          <w:szCs w:val="24"/>
        </w:rPr>
        <w:t xml:space="preserve">Se recomienda la     lectura de los anteriores </w:t>
      </w:r>
      <w:r w:rsidR="00587361">
        <w:rPr>
          <w:rFonts w:ascii="Arial" w:hAnsi="Arial" w:cs="Arial"/>
          <w:bCs/>
          <w:sz w:val="24"/>
          <w:szCs w:val="24"/>
        </w:rPr>
        <w:t>informes para</w:t>
      </w:r>
      <w:r>
        <w:rPr>
          <w:rFonts w:ascii="Arial" w:hAnsi="Arial" w:cs="Arial"/>
          <w:bCs/>
          <w:sz w:val="24"/>
          <w:szCs w:val="24"/>
        </w:rPr>
        <w:t xml:space="preserve"> tener un </w:t>
      </w:r>
      <w:r w:rsidR="00587361">
        <w:rPr>
          <w:rFonts w:ascii="Arial" w:hAnsi="Arial" w:cs="Arial"/>
          <w:bCs/>
          <w:sz w:val="24"/>
          <w:szCs w:val="24"/>
        </w:rPr>
        <w:t>panorama más claro acerca de la política.</w:t>
      </w:r>
    </w:p>
    <w:p w14:paraId="4CEFD69F" w14:textId="77777777" w:rsidR="00587361" w:rsidRDefault="00587361" w:rsidP="00517B37">
      <w:pPr>
        <w:jc w:val="both"/>
        <w:rPr>
          <w:rStyle w:val="Ttulo2Car"/>
          <w:rFonts w:ascii="Arial" w:eastAsia="Calibri" w:hAnsi="Arial" w:cs="Arial"/>
          <w:b w:val="0"/>
          <w:i/>
          <w:iCs/>
          <w:color w:val="auto"/>
          <w:sz w:val="24"/>
          <w:szCs w:val="24"/>
        </w:rPr>
      </w:pPr>
    </w:p>
    <w:p w14:paraId="3D8901E2" w14:textId="3818C4A4" w:rsidR="00587361" w:rsidRPr="00F14B27" w:rsidRDefault="00587361" w:rsidP="00517B37">
      <w:pPr>
        <w:jc w:val="both"/>
        <w:rPr>
          <w:rStyle w:val="Ttulo2Car"/>
          <w:rFonts w:ascii="Arial" w:eastAsia="Calibri" w:hAnsi="Arial" w:cs="Arial"/>
          <w:b w:val="0"/>
          <w:i/>
          <w:iCs/>
          <w:color w:val="auto"/>
          <w:sz w:val="24"/>
          <w:szCs w:val="24"/>
        </w:rPr>
        <w:sectPr w:rsidR="00587361" w:rsidRPr="00F14B27" w:rsidSect="001A1C6B">
          <w:headerReference w:type="default" r:id="rId21"/>
          <w:footerReference w:type="default" r:id="rId22"/>
          <w:type w:val="continuous"/>
          <w:pgSz w:w="12240" w:h="15840"/>
          <w:pgMar w:top="1701" w:right="1701" w:bottom="1701" w:left="1701" w:header="709" w:footer="709" w:gutter="0"/>
          <w:cols w:num="2" w:space="720"/>
          <w:docGrid w:linePitch="360"/>
        </w:sectPr>
      </w:pPr>
    </w:p>
    <w:p w14:paraId="226A3F5C" w14:textId="18572195" w:rsidR="00051AB8" w:rsidRPr="00D716DE" w:rsidRDefault="00051AB8" w:rsidP="00517B37">
      <w:pPr>
        <w:pStyle w:val="Prrafodelista"/>
        <w:ind w:left="360"/>
        <w:jc w:val="both"/>
        <w:rPr>
          <w:rStyle w:val="Ttulo2Car"/>
          <w:rFonts w:asciiTheme="minorHAnsi" w:eastAsia="Calibri" w:hAnsiTheme="minorHAnsi" w:cstheme="minorHAnsi"/>
          <w:b w:val="0"/>
          <w:bCs w:val="0"/>
          <w:color w:val="auto"/>
          <w:sz w:val="20"/>
          <w:szCs w:val="20"/>
        </w:rPr>
      </w:pPr>
    </w:p>
    <w:sectPr w:rsidR="00051AB8" w:rsidRPr="00D716DE" w:rsidSect="001A1C6B">
      <w:type w:val="continuous"/>
      <w:pgSz w:w="12240" w:h="15840"/>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06B5" w14:textId="77777777" w:rsidR="001A1C6B" w:rsidRDefault="001A1C6B" w:rsidP="00F1753E">
      <w:pPr>
        <w:spacing w:after="0" w:line="240" w:lineRule="auto"/>
      </w:pPr>
      <w:r>
        <w:separator/>
      </w:r>
    </w:p>
  </w:endnote>
  <w:endnote w:type="continuationSeparator" w:id="0">
    <w:p w14:paraId="35356DCB" w14:textId="77777777" w:rsidR="001A1C6B" w:rsidRDefault="001A1C6B" w:rsidP="00F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3035" w14:textId="77777777" w:rsidR="00BA1F7E" w:rsidRDefault="00BA1F7E">
    <w:pPr>
      <w:pStyle w:val="Piedepgina"/>
    </w:pPr>
    <w:r>
      <w:rPr>
        <w:noProof/>
        <w:lang w:eastAsia="es-CO"/>
      </w:rPr>
      <w:drawing>
        <wp:anchor distT="0" distB="0" distL="114300" distR="114300" simplePos="0" relativeHeight="251666432" behindDoc="1" locked="0" layoutInCell="1" allowOverlap="1" wp14:anchorId="13E3C16F" wp14:editId="23806E88">
          <wp:simplePos x="0" y="0"/>
          <wp:positionH relativeFrom="column">
            <wp:posOffset>-633735</wp:posOffset>
          </wp:positionH>
          <wp:positionV relativeFrom="paragraph">
            <wp:posOffset>-373205</wp:posOffset>
          </wp:positionV>
          <wp:extent cx="6991200" cy="931053"/>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7045355" cy="9382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6404" w14:textId="77777777" w:rsidR="005A33BB" w:rsidRDefault="007616C4">
    <w:pPr>
      <w:pStyle w:val="Piedepgina"/>
    </w:pPr>
    <w:r>
      <w:rPr>
        <w:noProof/>
        <w:lang w:eastAsia="es-CO"/>
      </w:rPr>
      <w:drawing>
        <wp:anchor distT="0" distB="0" distL="114300" distR="114300" simplePos="0" relativeHeight="251661312" behindDoc="1" locked="0" layoutInCell="1" allowOverlap="1" wp14:anchorId="2A163219" wp14:editId="308CA1F4">
          <wp:simplePos x="0" y="0"/>
          <wp:positionH relativeFrom="column">
            <wp:posOffset>-633735</wp:posOffset>
          </wp:positionH>
          <wp:positionV relativeFrom="paragraph">
            <wp:posOffset>-373205</wp:posOffset>
          </wp:positionV>
          <wp:extent cx="6991200" cy="931053"/>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7045355" cy="938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013F" w14:textId="77777777" w:rsidR="001A1C6B" w:rsidRDefault="001A1C6B" w:rsidP="00F1753E">
      <w:pPr>
        <w:spacing w:after="0" w:line="240" w:lineRule="auto"/>
      </w:pPr>
      <w:r>
        <w:separator/>
      </w:r>
    </w:p>
  </w:footnote>
  <w:footnote w:type="continuationSeparator" w:id="0">
    <w:p w14:paraId="127A0129" w14:textId="77777777" w:rsidR="001A1C6B" w:rsidRDefault="001A1C6B" w:rsidP="00F1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EE30" w14:textId="77777777" w:rsidR="00BA1F7E" w:rsidRDefault="00BA1F7E">
    <w:pPr>
      <w:pStyle w:val="Encabezado"/>
    </w:pPr>
    <w:r w:rsidRPr="00C946E5">
      <w:rPr>
        <w:noProof/>
        <w:lang w:eastAsia="es-CO"/>
      </w:rPr>
      <w:drawing>
        <wp:anchor distT="0" distB="0" distL="114300" distR="114300" simplePos="0" relativeHeight="251669504" behindDoc="1" locked="0" layoutInCell="1" allowOverlap="1" wp14:anchorId="6F412B6C" wp14:editId="322BCBBE">
          <wp:simplePos x="0" y="0"/>
          <wp:positionH relativeFrom="column">
            <wp:posOffset>1798955</wp:posOffset>
          </wp:positionH>
          <wp:positionV relativeFrom="paragraph">
            <wp:posOffset>-327660</wp:posOffset>
          </wp:positionV>
          <wp:extent cx="2404745" cy="719455"/>
          <wp:effectExtent l="0" t="0" r="0" b="0"/>
          <wp:wrapThrough wrapText="bothSides">
            <wp:wrapPolygon edited="0">
              <wp:start x="1711" y="1716"/>
              <wp:lineTo x="684" y="4575"/>
              <wp:lineTo x="0" y="8007"/>
              <wp:lineTo x="0" y="13726"/>
              <wp:lineTo x="1198" y="18874"/>
              <wp:lineTo x="1540" y="20018"/>
              <wp:lineTo x="3593" y="20018"/>
              <wp:lineTo x="17796" y="18874"/>
              <wp:lineTo x="21389" y="17730"/>
              <wp:lineTo x="21389" y="4575"/>
              <wp:lineTo x="3593" y="1716"/>
              <wp:lineTo x="1711" y="1716"/>
            </wp:wrapPolygon>
          </wp:wrapThrough>
          <wp:docPr id="7" name="Picture 6" descr="F:\STUIC\LOGOS - MARCA QUINDÍO\STU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F:\STUIC\LOGOS - MARCA QUINDÍO\STUI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149"/>
                  <a:stretch/>
                </pic:blipFill>
                <pic:spPr bwMode="auto">
                  <a:xfrm>
                    <a:off x="0" y="0"/>
                    <a:ext cx="2404745" cy="719455"/>
                  </a:xfrm>
                  <a:prstGeom prst="rect">
                    <a:avLst/>
                  </a:prstGeom>
                  <a:noFill/>
                </pic:spPr>
              </pic:pic>
            </a:graphicData>
          </a:graphic>
          <wp14:sizeRelH relativeFrom="page">
            <wp14:pctWidth>0</wp14:pctWidth>
          </wp14:sizeRelH>
          <wp14:sizeRelV relativeFrom="page">
            <wp14:pctHeight>0</wp14:pctHeight>
          </wp14:sizeRelV>
        </wp:anchor>
      </w:drawing>
    </w:r>
    <w:r w:rsidRPr="00C946E5">
      <w:rPr>
        <w:noProof/>
        <w:lang w:eastAsia="es-CO"/>
      </w:rPr>
      <w:drawing>
        <wp:anchor distT="0" distB="0" distL="114300" distR="114300" simplePos="0" relativeHeight="251668480" behindDoc="1" locked="0" layoutInCell="1" allowOverlap="1" wp14:anchorId="5533F517" wp14:editId="454E4E9E">
          <wp:simplePos x="0" y="0"/>
          <wp:positionH relativeFrom="column">
            <wp:posOffset>4866005</wp:posOffset>
          </wp:positionH>
          <wp:positionV relativeFrom="paragraph">
            <wp:posOffset>-400685</wp:posOffset>
          </wp:positionV>
          <wp:extent cx="1450975" cy="791845"/>
          <wp:effectExtent l="0" t="0" r="0" b="8255"/>
          <wp:wrapThrough wrapText="bothSides">
            <wp:wrapPolygon edited="0">
              <wp:start x="5672" y="1039"/>
              <wp:lineTo x="0" y="3638"/>
              <wp:lineTo x="0" y="18188"/>
              <wp:lineTo x="1702" y="21306"/>
              <wp:lineTo x="1985" y="21306"/>
              <wp:lineTo x="19000" y="21306"/>
              <wp:lineTo x="19284" y="21306"/>
              <wp:lineTo x="21269" y="19227"/>
              <wp:lineTo x="21269" y="4157"/>
              <wp:lineTo x="7940" y="1039"/>
              <wp:lineTo x="5672" y="1039"/>
            </wp:wrapPolygon>
          </wp:wrapThrough>
          <wp:docPr id="2" name="Picture 4" descr="F:\STUIC\LOGOS - MARCA QUINDÍO\LOGOform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STUIC\LOGOS - MARCA QUINDÍO\LOGOformat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0975"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b/>
        <w:noProof/>
        <w:sz w:val="36"/>
        <w:lang w:eastAsia="es-CO"/>
      </w:rPr>
      <w:drawing>
        <wp:anchor distT="0" distB="0" distL="114300" distR="114300" simplePos="0" relativeHeight="251667456" behindDoc="1" locked="0" layoutInCell="1" allowOverlap="1" wp14:anchorId="682AE660" wp14:editId="50D4EF0E">
          <wp:simplePos x="0" y="0"/>
          <wp:positionH relativeFrom="column">
            <wp:posOffset>-635000</wp:posOffset>
          </wp:positionH>
          <wp:positionV relativeFrom="paragraph">
            <wp:posOffset>-184150</wp:posOffset>
          </wp:positionV>
          <wp:extent cx="1924050" cy="428625"/>
          <wp:effectExtent l="0" t="0" r="0" b="9525"/>
          <wp:wrapThrough wrapText="bothSides">
            <wp:wrapPolygon edited="0">
              <wp:start x="0" y="0"/>
              <wp:lineTo x="0" y="21120"/>
              <wp:lineTo x="20531" y="21120"/>
              <wp:lineTo x="21172" y="18240"/>
              <wp:lineTo x="21386" y="14400"/>
              <wp:lineTo x="21386" y="3840"/>
              <wp:lineTo x="20317"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24050"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8DE6" w14:textId="77777777" w:rsidR="00F1753E" w:rsidRDefault="00C946E5">
    <w:pPr>
      <w:pStyle w:val="Encabezado"/>
    </w:pPr>
    <w:r w:rsidRPr="00C946E5">
      <w:rPr>
        <w:noProof/>
        <w:lang w:eastAsia="es-CO"/>
      </w:rPr>
      <w:drawing>
        <wp:anchor distT="0" distB="0" distL="114300" distR="114300" simplePos="0" relativeHeight="251664384" behindDoc="1" locked="0" layoutInCell="1" allowOverlap="1" wp14:anchorId="584CF4E6" wp14:editId="1B5BFE8A">
          <wp:simplePos x="0" y="0"/>
          <wp:positionH relativeFrom="column">
            <wp:posOffset>1798955</wp:posOffset>
          </wp:positionH>
          <wp:positionV relativeFrom="paragraph">
            <wp:posOffset>-327660</wp:posOffset>
          </wp:positionV>
          <wp:extent cx="2404745" cy="719455"/>
          <wp:effectExtent l="0" t="0" r="0" b="0"/>
          <wp:wrapThrough wrapText="bothSides">
            <wp:wrapPolygon edited="0">
              <wp:start x="1711" y="1716"/>
              <wp:lineTo x="684" y="4575"/>
              <wp:lineTo x="0" y="8007"/>
              <wp:lineTo x="0" y="13726"/>
              <wp:lineTo x="1198" y="18874"/>
              <wp:lineTo x="1540" y="20018"/>
              <wp:lineTo x="3593" y="20018"/>
              <wp:lineTo x="17796" y="18874"/>
              <wp:lineTo x="21389" y="17730"/>
              <wp:lineTo x="21389" y="4575"/>
              <wp:lineTo x="3593" y="1716"/>
              <wp:lineTo x="1711" y="1716"/>
            </wp:wrapPolygon>
          </wp:wrapThrough>
          <wp:docPr id="3" name="Picture 6" descr="F:\STUIC\LOGOS - MARCA QUINDÍO\STU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F:\STUIC\LOGOS - MARCA QUINDÍO\STUI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149"/>
                  <a:stretch/>
                </pic:blipFill>
                <pic:spPr bwMode="auto">
                  <a:xfrm>
                    <a:off x="0" y="0"/>
                    <a:ext cx="2404745" cy="719455"/>
                  </a:xfrm>
                  <a:prstGeom prst="rect">
                    <a:avLst/>
                  </a:prstGeom>
                  <a:noFill/>
                </pic:spPr>
              </pic:pic>
            </a:graphicData>
          </a:graphic>
          <wp14:sizeRelH relativeFrom="page">
            <wp14:pctWidth>0</wp14:pctWidth>
          </wp14:sizeRelH>
          <wp14:sizeRelV relativeFrom="page">
            <wp14:pctHeight>0</wp14:pctHeight>
          </wp14:sizeRelV>
        </wp:anchor>
      </w:drawing>
    </w:r>
    <w:r w:rsidRPr="00C946E5">
      <w:rPr>
        <w:noProof/>
        <w:lang w:eastAsia="es-CO"/>
      </w:rPr>
      <w:drawing>
        <wp:anchor distT="0" distB="0" distL="114300" distR="114300" simplePos="0" relativeHeight="251663360" behindDoc="1" locked="0" layoutInCell="1" allowOverlap="1" wp14:anchorId="3340A596" wp14:editId="521D40D6">
          <wp:simplePos x="0" y="0"/>
          <wp:positionH relativeFrom="column">
            <wp:posOffset>4866005</wp:posOffset>
          </wp:positionH>
          <wp:positionV relativeFrom="paragraph">
            <wp:posOffset>-400685</wp:posOffset>
          </wp:positionV>
          <wp:extent cx="1450975" cy="791845"/>
          <wp:effectExtent l="0" t="0" r="0" b="8255"/>
          <wp:wrapThrough wrapText="bothSides">
            <wp:wrapPolygon edited="0">
              <wp:start x="5672" y="1039"/>
              <wp:lineTo x="0" y="3638"/>
              <wp:lineTo x="0" y="18188"/>
              <wp:lineTo x="1702" y="21306"/>
              <wp:lineTo x="1985" y="21306"/>
              <wp:lineTo x="19000" y="21306"/>
              <wp:lineTo x="19284" y="21306"/>
              <wp:lineTo x="21269" y="19227"/>
              <wp:lineTo x="21269" y="4157"/>
              <wp:lineTo x="7940" y="1039"/>
              <wp:lineTo x="5672" y="1039"/>
            </wp:wrapPolygon>
          </wp:wrapThrough>
          <wp:docPr id="4" name="Picture 4" descr="F:\STUIC\LOGOS - MARCA QUINDÍO\LOGOform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STUIC\LOGOS - MARCA QUINDÍO\LOGOformat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0975"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b/>
        <w:noProof/>
        <w:sz w:val="36"/>
        <w:lang w:eastAsia="es-CO"/>
      </w:rPr>
      <w:drawing>
        <wp:anchor distT="0" distB="0" distL="114300" distR="114300" simplePos="0" relativeHeight="251662336" behindDoc="1" locked="0" layoutInCell="1" allowOverlap="1" wp14:anchorId="474D274F" wp14:editId="75E9EC2B">
          <wp:simplePos x="0" y="0"/>
          <wp:positionH relativeFrom="column">
            <wp:posOffset>-635000</wp:posOffset>
          </wp:positionH>
          <wp:positionV relativeFrom="paragraph">
            <wp:posOffset>-184150</wp:posOffset>
          </wp:positionV>
          <wp:extent cx="1924050" cy="428625"/>
          <wp:effectExtent l="0" t="0" r="0" b="9525"/>
          <wp:wrapThrough wrapText="bothSides">
            <wp:wrapPolygon edited="0">
              <wp:start x="0" y="0"/>
              <wp:lineTo x="0" y="21120"/>
              <wp:lineTo x="20531" y="21120"/>
              <wp:lineTo x="21172" y="18240"/>
              <wp:lineTo x="21386" y="14400"/>
              <wp:lineTo x="21386" y="3840"/>
              <wp:lineTo x="20317"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24050"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511"/>
    <w:multiLevelType w:val="multilevel"/>
    <w:tmpl w:val="EEA61A1E"/>
    <w:styleLink w:val="Listaactu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090293"/>
    <w:multiLevelType w:val="hybridMultilevel"/>
    <w:tmpl w:val="C00AD0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223AD"/>
    <w:multiLevelType w:val="hybridMultilevel"/>
    <w:tmpl w:val="BE4E64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681EF9"/>
    <w:multiLevelType w:val="hybridMultilevel"/>
    <w:tmpl w:val="54A6D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DE7907"/>
    <w:multiLevelType w:val="hybridMultilevel"/>
    <w:tmpl w:val="B49EB450"/>
    <w:lvl w:ilvl="0" w:tplc="240A000F">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380263E"/>
    <w:multiLevelType w:val="hybridMultilevel"/>
    <w:tmpl w:val="C3367D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98D13A8"/>
    <w:multiLevelType w:val="multilevel"/>
    <w:tmpl w:val="EEA61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4F75D5"/>
    <w:multiLevelType w:val="multilevel"/>
    <w:tmpl w:val="EEA61A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5D13528"/>
    <w:multiLevelType w:val="hybridMultilevel"/>
    <w:tmpl w:val="04A453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9949DC"/>
    <w:multiLevelType w:val="hybridMultilevel"/>
    <w:tmpl w:val="1CE4A3E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F9F3CBA"/>
    <w:multiLevelType w:val="hybridMultilevel"/>
    <w:tmpl w:val="4716A148"/>
    <w:lvl w:ilvl="0" w:tplc="2D14AF58">
      <w:start w:val="3"/>
      <w:numFmt w:val="bullet"/>
      <w:lvlText w:val="-"/>
      <w:lvlJc w:val="left"/>
      <w:pPr>
        <w:ind w:left="720" w:hanging="360"/>
      </w:pPr>
      <w:rPr>
        <w:rFonts w:ascii="Arial Narrow" w:eastAsia="Calibri" w:hAnsi="Arial Narrow" w:cs="Times New Roman" w:hint="default"/>
      </w:rPr>
    </w:lvl>
    <w:lvl w:ilvl="1" w:tplc="240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848D3"/>
    <w:multiLevelType w:val="hybridMultilevel"/>
    <w:tmpl w:val="F65E34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AE3184"/>
    <w:multiLevelType w:val="hybridMultilevel"/>
    <w:tmpl w:val="A7FC0C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C77009"/>
    <w:multiLevelType w:val="hybridMultilevel"/>
    <w:tmpl w:val="7ECA79FC"/>
    <w:lvl w:ilvl="0" w:tplc="240A0001">
      <w:start w:val="1"/>
      <w:numFmt w:val="bullet"/>
      <w:lvlText w:val=""/>
      <w:lvlJc w:val="left"/>
      <w:pPr>
        <w:ind w:left="360" w:hanging="360"/>
      </w:pPr>
      <w:rPr>
        <w:rFonts w:ascii="Symbol" w:hAnsi="Symbol" w:hint="default"/>
      </w:rPr>
    </w:lvl>
    <w:lvl w:ilvl="1" w:tplc="1FE4D27C">
      <w:start w:val="5"/>
      <w:numFmt w:val="bullet"/>
      <w:lvlText w:val="-"/>
      <w:lvlJc w:val="left"/>
      <w:pPr>
        <w:ind w:left="1080" w:hanging="36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1B102E6"/>
    <w:multiLevelType w:val="hybridMultilevel"/>
    <w:tmpl w:val="A502E1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351586"/>
    <w:multiLevelType w:val="hybridMultilevel"/>
    <w:tmpl w:val="954C0E5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64462098"/>
    <w:multiLevelType w:val="hybridMultilevel"/>
    <w:tmpl w:val="7E0AD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231AFC"/>
    <w:multiLevelType w:val="hybridMultilevel"/>
    <w:tmpl w:val="F9B648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92A1F35"/>
    <w:multiLevelType w:val="hybridMultilevel"/>
    <w:tmpl w:val="D1345F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882E99"/>
    <w:multiLevelType w:val="hybridMultilevel"/>
    <w:tmpl w:val="CB74D4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B1321A"/>
    <w:multiLevelType w:val="hybridMultilevel"/>
    <w:tmpl w:val="58E6D06E"/>
    <w:lvl w:ilvl="0" w:tplc="781C274E">
      <w:start w:val="4"/>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DDB1BB1"/>
    <w:multiLevelType w:val="hybridMultilevel"/>
    <w:tmpl w:val="34AE84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1687852">
    <w:abstractNumId w:val="6"/>
  </w:num>
  <w:num w:numId="2" w16cid:durableId="1966622126">
    <w:abstractNumId w:val="10"/>
  </w:num>
  <w:num w:numId="3" w16cid:durableId="810371002">
    <w:abstractNumId w:val="4"/>
  </w:num>
  <w:num w:numId="4" w16cid:durableId="1308706644">
    <w:abstractNumId w:val="0"/>
  </w:num>
  <w:num w:numId="5" w16cid:durableId="889268850">
    <w:abstractNumId w:val="20"/>
  </w:num>
  <w:num w:numId="6" w16cid:durableId="691228009">
    <w:abstractNumId w:val="5"/>
  </w:num>
  <w:num w:numId="7" w16cid:durableId="1102534865">
    <w:abstractNumId w:val="9"/>
  </w:num>
  <w:num w:numId="8" w16cid:durableId="877160708">
    <w:abstractNumId w:val="16"/>
  </w:num>
  <w:num w:numId="9" w16cid:durableId="999385380">
    <w:abstractNumId w:val="14"/>
  </w:num>
  <w:num w:numId="10" w16cid:durableId="464936384">
    <w:abstractNumId w:val="8"/>
  </w:num>
  <w:num w:numId="11" w16cid:durableId="1439983451">
    <w:abstractNumId w:val="7"/>
  </w:num>
  <w:num w:numId="12" w16cid:durableId="1139885885">
    <w:abstractNumId w:val="3"/>
  </w:num>
  <w:num w:numId="13" w16cid:durableId="1634946340">
    <w:abstractNumId w:val="1"/>
  </w:num>
  <w:num w:numId="14" w16cid:durableId="281307754">
    <w:abstractNumId w:val="18"/>
  </w:num>
  <w:num w:numId="15" w16cid:durableId="1568495488">
    <w:abstractNumId w:val="15"/>
  </w:num>
  <w:num w:numId="16" w16cid:durableId="722559639">
    <w:abstractNumId w:val="11"/>
  </w:num>
  <w:num w:numId="17" w16cid:durableId="309478032">
    <w:abstractNumId w:val="2"/>
  </w:num>
  <w:num w:numId="18" w16cid:durableId="1077938586">
    <w:abstractNumId w:val="21"/>
  </w:num>
  <w:num w:numId="19" w16cid:durableId="1731229408">
    <w:abstractNumId w:val="19"/>
  </w:num>
  <w:num w:numId="20" w16cid:durableId="561716250">
    <w:abstractNumId w:val="12"/>
  </w:num>
  <w:num w:numId="21" w16cid:durableId="1994599550">
    <w:abstractNumId w:val="17"/>
  </w:num>
  <w:num w:numId="22" w16cid:durableId="1253321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3E"/>
    <w:rsid w:val="00000D51"/>
    <w:rsid w:val="00024D0F"/>
    <w:rsid w:val="00031279"/>
    <w:rsid w:val="000375E9"/>
    <w:rsid w:val="00040659"/>
    <w:rsid w:val="00051AB8"/>
    <w:rsid w:val="00061EAD"/>
    <w:rsid w:val="00066ACE"/>
    <w:rsid w:val="0007119C"/>
    <w:rsid w:val="00073F86"/>
    <w:rsid w:val="0007538B"/>
    <w:rsid w:val="000764F8"/>
    <w:rsid w:val="00096CBE"/>
    <w:rsid w:val="000B4A0F"/>
    <w:rsid w:val="000D2BB2"/>
    <w:rsid w:val="000F7EE0"/>
    <w:rsid w:val="00147AD1"/>
    <w:rsid w:val="0015064D"/>
    <w:rsid w:val="001559A0"/>
    <w:rsid w:val="00161552"/>
    <w:rsid w:val="0017035D"/>
    <w:rsid w:val="0017526B"/>
    <w:rsid w:val="001753C0"/>
    <w:rsid w:val="001928B9"/>
    <w:rsid w:val="00195ED3"/>
    <w:rsid w:val="001A1C6B"/>
    <w:rsid w:val="001C43C2"/>
    <w:rsid w:val="001E5F16"/>
    <w:rsid w:val="002113E0"/>
    <w:rsid w:val="0021368C"/>
    <w:rsid w:val="00215921"/>
    <w:rsid w:val="002271BC"/>
    <w:rsid w:val="00227209"/>
    <w:rsid w:val="00240685"/>
    <w:rsid w:val="002424F1"/>
    <w:rsid w:val="002660FD"/>
    <w:rsid w:val="00270561"/>
    <w:rsid w:val="00286483"/>
    <w:rsid w:val="00291FA4"/>
    <w:rsid w:val="00297C42"/>
    <w:rsid w:val="002C219E"/>
    <w:rsid w:val="002C42E4"/>
    <w:rsid w:val="002C4F95"/>
    <w:rsid w:val="002D7943"/>
    <w:rsid w:val="002E3571"/>
    <w:rsid w:val="002E3CB6"/>
    <w:rsid w:val="002F7053"/>
    <w:rsid w:val="003023AA"/>
    <w:rsid w:val="00304251"/>
    <w:rsid w:val="0030555B"/>
    <w:rsid w:val="003239E9"/>
    <w:rsid w:val="0032671C"/>
    <w:rsid w:val="00330B0F"/>
    <w:rsid w:val="00330E8D"/>
    <w:rsid w:val="00337108"/>
    <w:rsid w:val="00354EA9"/>
    <w:rsid w:val="003550CA"/>
    <w:rsid w:val="0035646D"/>
    <w:rsid w:val="00363B86"/>
    <w:rsid w:val="003672B2"/>
    <w:rsid w:val="00373568"/>
    <w:rsid w:val="00384ACA"/>
    <w:rsid w:val="003A5BA0"/>
    <w:rsid w:val="003C1231"/>
    <w:rsid w:val="003C19CF"/>
    <w:rsid w:val="003D30B2"/>
    <w:rsid w:val="003D6CFE"/>
    <w:rsid w:val="003E4774"/>
    <w:rsid w:val="003E5162"/>
    <w:rsid w:val="003E674C"/>
    <w:rsid w:val="003F590E"/>
    <w:rsid w:val="004031D4"/>
    <w:rsid w:val="00421740"/>
    <w:rsid w:val="004220E9"/>
    <w:rsid w:val="00422503"/>
    <w:rsid w:val="00424C8B"/>
    <w:rsid w:val="0042590E"/>
    <w:rsid w:val="00430469"/>
    <w:rsid w:val="0043202D"/>
    <w:rsid w:val="004336CC"/>
    <w:rsid w:val="00452564"/>
    <w:rsid w:val="00461335"/>
    <w:rsid w:val="00463A97"/>
    <w:rsid w:val="004871E3"/>
    <w:rsid w:val="004951C7"/>
    <w:rsid w:val="004A70EA"/>
    <w:rsid w:val="004C68EA"/>
    <w:rsid w:val="004D15DD"/>
    <w:rsid w:val="004D5A99"/>
    <w:rsid w:val="004D7568"/>
    <w:rsid w:val="004F437F"/>
    <w:rsid w:val="00517B37"/>
    <w:rsid w:val="00530221"/>
    <w:rsid w:val="00554531"/>
    <w:rsid w:val="0055588D"/>
    <w:rsid w:val="005703A7"/>
    <w:rsid w:val="005816CF"/>
    <w:rsid w:val="00587361"/>
    <w:rsid w:val="00597EBF"/>
    <w:rsid w:val="005A33BB"/>
    <w:rsid w:val="005A6920"/>
    <w:rsid w:val="005B2A99"/>
    <w:rsid w:val="005C0276"/>
    <w:rsid w:val="005D0804"/>
    <w:rsid w:val="00601156"/>
    <w:rsid w:val="006048A4"/>
    <w:rsid w:val="0062396B"/>
    <w:rsid w:val="00624124"/>
    <w:rsid w:val="00670DE3"/>
    <w:rsid w:val="0068446D"/>
    <w:rsid w:val="00697C2F"/>
    <w:rsid w:val="006A2AB3"/>
    <w:rsid w:val="006B05C1"/>
    <w:rsid w:val="006B4BF2"/>
    <w:rsid w:val="006D13A0"/>
    <w:rsid w:val="006D55C8"/>
    <w:rsid w:val="006E1A11"/>
    <w:rsid w:val="006E6199"/>
    <w:rsid w:val="006F200A"/>
    <w:rsid w:val="00704C11"/>
    <w:rsid w:val="00705805"/>
    <w:rsid w:val="00706962"/>
    <w:rsid w:val="00711246"/>
    <w:rsid w:val="00756DFB"/>
    <w:rsid w:val="0076079F"/>
    <w:rsid w:val="007616C4"/>
    <w:rsid w:val="00761DB2"/>
    <w:rsid w:val="007657CD"/>
    <w:rsid w:val="007823AD"/>
    <w:rsid w:val="007834ED"/>
    <w:rsid w:val="007A3BA5"/>
    <w:rsid w:val="007A6D57"/>
    <w:rsid w:val="007B5789"/>
    <w:rsid w:val="007C0322"/>
    <w:rsid w:val="007C5F14"/>
    <w:rsid w:val="007D3915"/>
    <w:rsid w:val="007D7085"/>
    <w:rsid w:val="007D7166"/>
    <w:rsid w:val="007F041D"/>
    <w:rsid w:val="008028C8"/>
    <w:rsid w:val="0081293D"/>
    <w:rsid w:val="00834D02"/>
    <w:rsid w:val="00841751"/>
    <w:rsid w:val="00853B82"/>
    <w:rsid w:val="00857C5D"/>
    <w:rsid w:val="008613B1"/>
    <w:rsid w:val="00873E08"/>
    <w:rsid w:val="00882432"/>
    <w:rsid w:val="00890517"/>
    <w:rsid w:val="008A3B63"/>
    <w:rsid w:val="008B36DE"/>
    <w:rsid w:val="008B7144"/>
    <w:rsid w:val="008E662C"/>
    <w:rsid w:val="008F474A"/>
    <w:rsid w:val="00910EF5"/>
    <w:rsid w:val="009142A7"/>
    <w:rsid w:val="00920620"/>
    <w:rsid w:val="009206EF"/>
    <w:rsid w:val="00935F80"/>
    <w:rsid w:val="00945A4A"/>
    <w:rsid w:val="009503FC"/>
    <w:rsid w:val="009538BC"/>
    <w:rsid w:val="00955720"/>
    <w:rsid w:val="009723FD"/>
    <w:rsid w:val="00975578"/>
    <w:rsid w:val="00975746"/>
    <w:rsid w:val="009822E2"/>
    <w:rsid w:val="00986417"/>
    <w:rsid w:val="00995DFF"/>
    <w:rsid w:val="00996E72"/>
    <w:rsid w:val="009A497A"/>
    <w:rsid w:val="009C0130"/>
    <w:rsid w:val="009C19AD"/>
    <w:rsid w:val="009C45A2"/>
    <w:rsid w:val="00A07331"/>
    <w:rsid w:val="00A13E55"/>
    <w:rsid w:val="00A352E7"/>
    <w:rsid w:val="00A35929"/>
    <w:rsid w:val="00A418CB"/>
    <w:rsid w:val="00A42354"/>
    <w:rsid w:val="00A459EC"/>
    <w:rsid w:val="00A63AC9"/>
    <w:rsid w:val="00A72CD5"/>
    <w:rsid w:val="00A75414"/>
    <w:rsid w:val="00A840F2"/>
    <w:rsid w:val="00A87CDA"/>
    <w:rsid w:val="00A975A1"/>
    <w:rsid w:val="00AB0D17"/>
    <w:rsid w:val="00AB7012"/>
    <w:rsid w:val="00AD0D2A"/>
    <w:rsid w:val="00AD69FE"/>
    <w:rsid w:val="00AE703F"/>
    <w:rsid w:val="00AF5C78"/>
    <w:rsid w:val="00B003A2"/>
    <w:rsid w:val="00B03467"/>
    <w:rsid w:val="00B03F16"/>
    <w:rsid w:val="00B06CA7"/>
    <w:rsid w:val="00B154D9"/>
    <w:rsid w:val="00B1660A"/>
    <w:rsid w:val="00B202FB"/>
    <w:rsid w:val="00B32416"/>
    <w:rsid w:val="00B35632"/>
    <w:rsid w:val="00B36B5F"/>
    <w:rsid w:val="00B46395"/>
    <w:rsid w:val="00B47E6D"/>
    <w:rsid w:val="00B625A3"/>
    <w:rsid w:val="00B64E9F"/>
    <w:rsid w:val="00B70168"/>
    <w:rsid w:val="00B76ED6"/>
    <w:rsid w:val="00B837F8"/>
    <w:rsid w:val="00BA1F7E"/>
    <w:rsid w:val="00BA553A"/>
    <w:rsid w:val="00BA6FEF"/>
    <w:rsid w:val="00BB4CDD"/>
    <w:rsid w:val="00BC0EFA"/>
    <w:rsid w:val="00BC5180"/>
    <w:rsid w:val="00BD00D5"/>
    <w:rsid w:val="00BD4D89"/>
    <w:rsid w:val="00BE0BBE"/>
    <w:rsid w:val="00C03938"/>
    <w:rsid w:val="00C20DCE"/>
    <w:rsid w:val="00C23E00"/>
    <w:rsid w:val="00C4057B"/>
    <w:rsid w:val="00C50F7A"/>
    <w:rsid w:val="00C744D7"/>
    <w:rsid w:val="00C7536B"/>
    <w:rsid w:val="00C76863"/>
    <w:rsid w:val="00C80138"/>
    <w:rsid w:val="00C81192"/>
    <w:rsid w:val="00C946E5"/>
    <w:rsid w:val="00CA1965"/>
    <w:rsid w:val="00CA3C5E"/>
    <w:rsid w:val="00CB4255"/>
    <w:rsid w:val="00CD5662"/>
    <w:rsid w:val="00CE30E1"/>
    <w:rsid w:val="00CE4E40"/>
    <w:rsid w:val="00CF5263"/>
    <w:rsid w:val="00D0448D"/>
    <w:rsid w:val="00D21B19"/>
    <w:rsid w:val="00D4405D"/>
    <w:rsid w:val="00D45CDB"/>
    <w:rsid w:val="00D478DC"/>
    <w:rsid w:val="00D509AD"/>
    <w:rsid w:val="00D558D2"/>
    <w:rsid w:val="00D716DE"/>
    <w:rsid w:val="00D82584"/>
    <w:rsid w:val="00D863ED"/>
    <w:rsid w:val="00DA2EDD"/>
    <w:rsid w:val="00DB0ED6"/>
    <w:rsid w:val="00DB565D"/>
    <w:rsid w:val="00DB6F90"/>
    <w:rsid w:val="00DC4D6A"/>
    <w:rsid w:val="00DD60F3"/>
    <w:rsid w:val="00DE2C6D"/>
    <w:rsid w:val="00DF2CB6"/>
    <w:rsid w:val="00E01561"/>
    <w:rsid w:val="00E1053D"/>
    <w:rsid w:val="00E10B27"/>
    <w:rsid w:val="00E16A9F"/>
    <w:rsid w:val="00E2113E"/>
    <w:rsid w:val="00E22D5A"/>
    <w:rsid w:val="00E35886"/>
    <w:rsid w:val="00E36D6D"/>
    <w:rsid w:val="00E55EF1"/>
    <w:rsid w:val="00E66142"/>
    <w:rsid w:val="00E75733"/>
    <w:rsid w:val="00E805FE"/>
    <w:rsid w:val="00E81276"/>
    <w:rsid w:val="00E84ABD"/>
    <w:rsid w:val="00E84CA7"/>
    <w:rsid w:val="00E91192"/>
    <w:rsid w:val="00E92FEC"/>
    <w:rsid w:val="00E96545"/>
    <w:rsid w:val="00EC3256"/>
    <w:rsid w:val="00EC3272"/>
    <w:rsid w:val="00EC7BA8"/>
    <w:rsid w:val="00EE4F2D"/>
    <w:rsid w:val="00EF46F3"/>
    <w:rsid w:val="00EF776A"/>
    <w:rsid w:val="00F005AC"/>
    <w:rsid w:val="00F0684D"/>
    <w:rsid w:val="00F1339E"/>
    <w:rsid w:val="00F14B27"/>
    <w:rsid w:val="00F1753E"/>
    <w:rsid w:val="00F179B1"/>
    <w:rsid w:val="00F33C26"/>
    <w:rsid w:val="00F51653"/>
    <w:rsid w:val="00F62319"/>
    <w:rsid w:val="00F81979"/>
    <w:rsid w:val="00F91D58"/>
    <w:rsid w:val="00FA6A47"/>
    <w:rsid w:val="00FB304D"/>
    <w:rsid w:val="00FB39F1"/>
    <w:rsid w:val="00FC20F7"/>
    <w:rsid w:val="00FC2CF6"/>
    <w:rsid w:val="00FC4184"/>
    <w:rsid w:val="00FD5926"/>
    <w:rsid w:val="00FE55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FD447"/>
  <w15:docId w15:val="{B8FFEB08-9A72-4143-B977-EAF0FE38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926"/>
    <w:rPr>
      <w:rFonts w:ascii="Calibri" w:eastAsia="Calibri" w:hAnsi="Calibri" w:cs="Times New Roman"/>
    </w:rPr>
  </w:style>
  <w:style w:type="paragraph" w:styleId="Ttulo2">
    <w:name w:val="heading 2"/>
    <w:basedOn w:val="Normal"/>
    <w:next w:val="Normal"/>
    <w:link w:val="Ttulo2Car"/>
    <w:uiPriority w:val="9"/>
    <w:qFormat/>
    <w:rsid w:val="00B64E9F"/>
    <w:pPr>
      <w:keepNext/>
      <w:keepLines/>
      <w:spacing w:before="200" w:after="0" w:line="276" w:lineRule="auto"/>
      <w:outlineLvl w:val="1"/>
    </w:pPr>
    <w:rPr>
      <w:rFonts w:ascii="Cambria" w:eastAsia="MS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53E"/>
  </w:style>
  <w:style w:type="paragraph" w:styleId="Piedepgina">
    <w:name w:val="footer"/>
    <w:basedOn w:val="Normal"/>
    <w:link w:val="PiedepginaCar"/>
    <w:uiPriority w:val="99"/>
    <w:unhideWhenUsed/>
    <w:rsid w:val="00F17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53E"/>
  </w:style>
  <w:style w:type="paragraph" w:styleId="Textodeglobo">
    <w:name w:val="Balloon Text"/>
    <w:basedOn w:val="Normal"/>
    <w:link w:val="TextodegloboCar"/>
    <w:uiPriority w:val="99"/>
    <w:semiHidden/>
    <w:unhideWhenUsed/>
    <w:rsid w:val="00C946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6E5"/>
    <w:rPr>
      <w:rFonts w:ascii="Tahoma" w:hAnsi="Tahoma" w:cs="Tahoma"/>
      <w:sz w:val="16"/>
      <w:szCs w:val="16"/>
    </w:rPr>
  </w:style>
  <w:style w:type="character" w:customStyle="1" w:styleId="Ttulo2Car">
    <w:name w:val="Título 2 Car"/>
    <w:basedOn w:val="Fuentedeprrafopredeter"/>
    <w:link w:val="Ttulo2"/>
    <w:uiPriority w:val="9"/>
    <w:rsid w:val="00B64E9F"/>
    <w:rPr>
      <w:rFonts w:ascii="Cambria" w:eastAsia="MS Gothic" w:hAnsi="Cambria" w:cs="Times New Roman"/>
      <w:b/>
      <w:bCs/>
      <w:color w:val="4F81BD"/>
      <w:sz w:val="26"/>
      <w:szCs w:val="26"/>
    </w:rPr>
  </w:style>
  <w:style w:type="character" w:styleId="Textoennegrita">
    <w:name w:val="Strong"/>
    <w:uiPriority w:val="22"/>
    <w:qFormat/>
    <w:rsid w:val="00B64E9F"/>
    <w:rPr>
      <w:b/>
      <w:bCs/>
    </w:rPr>
  </w:style>
  <w:style w:type="paragraph" w:styleId="Prrafodelista">
    <w:name w:val="List Paragraph"/>
    <w:basedOn w:val="Normal"/>
    <w:uiPriority w:val="34"/>
    <w:qFormat/>
    <w:rsid w:val="003239E9"/>
    <w:pPr>
      <w:ind w:left="720"/>
      <w:contextualSpacing/>
    </w:pPr>
  </w:style>
  <w:style w:type="paragraph" w:styleId="Descripcin">
    <w:name w:val="caption"/>
    <w:basedOn w:val="Normal"/>
    <w:next w:val="Normal"/>
    <w:uiPriority w:val="35"/>
    <w:qFormat/>
    <w:rsid w:val="00B47E6D"/>
    <w:pPr>
      <w:spacing w:after="200" w:line="240" w:lineRule="auto"/>
    </w:pPr>
    <w:rPr>
      <w:i/>
      <w:iCs/>
      <w:color w:val="1F497D"/>
      <w:sz w:val="18"/>
      <w:szCs w:val="18"/>
    </w:rPr>
  </w:style>
  <w:style w:type="numbering" w:customStyle="1" w:styleId="Listaactual1">
    <w:name w:val="Lista actual1"/>
    <w:uiPriority w:val="99"/>
    <w:rsid w:val="008B714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270">
      <w:bodyDiv w:val="1"/>
      <w:marLeft w:val="0"/>
      <w:marRight w:val="0"/>
      <w:marTop w:val="0"/>
      <w:marBottom w:val="0"/>
      <w:divBdr>
        <w:top w:val="none" w:sz="0" w:space="0" w:color="auto"/>
        <w:left w:val="none" w:sz="0" w:space="0" w:color="auto"/>
        <w:bottom w:val="none" w:sz="0" w:space="0" w:color="auto"/>
        <w:right w:val="none" w:sz="0" w:space="0" w:color="auto"/>
      </w:divBdr>
    </w:div>
    <w:div w:id="102117607">
      <w:bodyDiv w:val="1"/>
      <w:marLeft w:val="0"/>
      <w:marRight w:val="0"/>
      <w:marTop w:val="0"/>
      <w:marBottom w:val="0"/>
      <w:divBdr>
        <w:top w:val="none" w:sz="0" w:space="0" w:color="auto"/>
        <w:left w:val="none" w:sz="0" w:space="0" w:color="auto"/>
        <w:bottom w:val="none" w:sz="0" w:space="0" w:color="auto"/>
        <w:right w:val="none" w:sz="0" w:space="0" w:color="auto"/>
      </w:divBdr>
    </w:div>
    <w:div w:id="673994105">
      <w:bodyDiv w:val="1"/>
      <w:marLeft w:val="0"/>
      <w:marRight w:val="0"/>
      <w:marTop w:val="0"/>
      <w:marBottom w:val="0"/>
      <w:divBdr>
        <w:top w:val="none" w:sz="0" w:space="0" w:color="auto"/>
        <w:left w:val="none" w:sz="0" w:space="0" w:color="auto"/>
        <w:bottom w:val="none" w:sz="0" w:space="0" w:color="auto"/>
        <w:right w:val="none" w:sz="0" w:space="0" w:color="auto"/>
      </w:divBdr>
    </w:div>
    <w:div w:id="744377735">
      <w:bodyDiv w:val="1"/>
      <w:marLeft w:val="0"/>
      <w:marRight w:val="0"/>
      <w:marTop w:val="0"/>
      <w:marBottom w:val="0"/>
      <w:divBdr>
        <w:top w:val="none" w:sz="0" w:space="0" w:color="auto"/>
        <w:left w:val="none" w:sz="0" w:space="0" w:color="auto"/>
        <w:bottom w:val="none" w:sz="0" w:space="0" w:color="auto"/>
        <w:right w:val="none" w:sz="0" w:space="0" w:color="auto"/>
      </w:divBdr>
    </w:div>
    <w:div w:id="1454136832">
      <w:bodyDiv w:val="1"/>
      <w:marLeft w:val="0"/>
      <w:marRight w:val="0"/>
      <w:marTop w:val="0"/>
      <w:marBottom w:val="0"/>
      <w:divBdr>
        <w:top w:val="none" w:sz="0" w:space="0" w:color="auto"/>
        <w:left w:val="none" w:sz="0" w:space="0" w:color="auto"/>
        <w:bottom w:val="none" w:sz="0" w:space="0" w:color="auto"/>
        <w:right w:val="none" w:sz="0" w:space="0" w:color="auto"/>
      </w:divBdr>
    </w:div>
    <w:div w:id="1532455572">
      <w:bodyDiv w:val="1"/>
      <w:marLeft w:val="0"/>
      <w:marRight w:val="0"/>
      <w:marTop w:val="0"/>
      <w:marBottom w:val="0"/>
      <w:divBdr>
        <w:top w:val="none" w:sz="0" w:space="0" w:color="auto"/>
        <w:left w:val="none" w:sz="0" w:space="0" w:color="auto"/>
        <w:bottom w:val="none" w:sz="0" w:space="0" w:color="auto"/>
        <w:right w:val="none" w:sz="0" w:space="0" w:color="auto"/>
      </w:divBdr>
    </w:div>
    <w:div w:id="1786465544">
      <w:bodyDiv w:val="1"/>
      <w:marLeft w:val="0"/>
      <w:marRight w:val="0"/>
      <w:marTop w:val="0"/>
      <w:marBottom w:val="0"/>
      <w:divBdr>
        <w:top w:val="none" w:sz="0" w:space="0" w:color="auto"/>
        <w:left w:val="none" w:sz="0" w:space="0" w:color="auto"/>
        <w:bottom w:val="none" w:sz="0" w:space="0" w:color="auto"/>
        <w:right w:val="none" w:sz="0" w:space="0" w:color="auto"/>
      </w:divBdr>
    </w:div>
    <w:div w:id="18225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9.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9765-8A30-4CCA-9F87-FC3A9E02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1289</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 FERLEY GUZMAN</cp:lastModifiedBy>
  <cp:revision>49</cp:revision>
  <cp:lastPrinted>2023-12-13T19:35:00Z</cp:lastPrinted>
  <dcterms:created xsi:type="dcterms:W3CDTF">2023-12-13T19:34:00Z</dcterms:created>
  <dcterms:modified xsi:type="dcterms:W3CDTF">2024-04-01T16:46:00Z</dcterms:modified>
</cp:coreProperties>
</file>