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theme/themeOverride7.xml" ContentType="application/vnd.openxmlformats-officedocument.themeOverride+xml"/>
  <Override PartName="/word/charts/chart53.xml" ContentType="application/vnd.openxmlformats-officedocument.drawingml.chart+xml"/>
  <Override PartName="/word/theme/themeOverride8.xml" ContentType="application/vnd.openxmlformats-officedocument.themeOverride+xml"/>
  <Override PartName="/word/charts/chart54.xml" ContentType="application/vnd.openxmlformats-officedocument.drawingml.chart+xml"/>
  <Override PartName="/word/theme/themeOverride9.xml" ContentType="application/vnd.openxmlformats-officedocument.themeOverride+xml"/>
  <Override PartName="/word/charts/chart55.xml" ContentType="application/vnd.openxmlformats-officedocument.drawingml.chart+xml"/>
  <Override PartName="/word/theme/themeOverride10.xml" ContentType="application/vnd.openxmlformats-officedocument.themeOverride+xml"/>
  <Override PartName="/word/charts/chart56.xml" ContentType="application/vnd.openxmlformats-officedocument.drawingml.chart+xml"/>
  <Override PartName="/word/theme/themeOverride11.xml" ContentType="application/vnd.openxmlformats-officedocument.themeOverride+xml"/>
  <Override PartName="/word/charts/chart57.xml" ContentType="application/vnd.openxmlformats-officedocument.drawingml.chart+xml"/>
  <Override PartName="/word/theme/themeOverride12.xml" ContentType="application/vnd.openxmlformats-officedocument.themeOverride+xml"/>
  <Override PartName="/word/charts/chart58.xml" ContentType="application/vnd.openxmlformats-officedocument.drawingml.chart+xml"/>
  <Override PartName="/word/theme/themeOverride13.xml" ContentType="application/vnd.openxmlformats-officedocument.themeOverride+xml"/>
  <Override PartName="/word/charts/chart59.xml" ContentType="application/vnd.openxmlformats-officedocument.drawingml.chart+xml"/>
  <Override PartName="/word/charts/chart60.xml" ContentType="application/vnd.openxmlformats-officedocument.drawingml.chart+xml"/>
  <Override PartName="/word/theme/themeOverride14.xml" ContentType="application/vnd.openxmlformats-officedocument.themeOverride+xml"/>
  <Override PartName="/word/charts/chart61.xml" ContentType="application/vnd.openxmlformats-officedocument.drawingml.chart+xml"/>
  <Override PartName="/word/header2.xml" ContentType="application/vnd.openxmlformats-officedocument.wordprocessingml.header+xml"/>
  <Override PartName="/word/charts/chart62.xml" ContentType="application/vnd.openxmlformats-officedocument.drawingml.chart+xml"/>
  <Override PartName="/word/theme/themeOverride15.xml" ContentType="application/vnd.openxmlformats-officedocument.themeOverride+xml"/>
  <Override PartName="/word/charts/chart63.xml" ContentType="application/vnd.openxmlformats-officedocument.drawingml.chart+xml"/>
  <Override PartName="/word/charts/chart64.xml" ContentType="application/vnd.openxmlformats-officedocument.drawingml.chart+xml"/>
  <Override PartName="/word/theme/themeOverride16.xml" ContentType="application/vnd.openxmlformats-officedocument.themeOverride+xml"/>
  <Override PartName="/word/charts/chart65.xml" ContentType="application/vnd.openxmlformats-officedocument.drawingml.chart+xml"/>
  <Override PartName="/word/theme/themeOverride17.xml" ContentType="application/vnd.openxmlformats-officedocument.themeOverride+xml"/>
  <Override PartName="/word/charts/chart66.xml" ContentType="application/vnd.openxmlformats-officedocument.drawingml.chart+xml"/>
  <Override PartName="/word/theme/themeOverride18.xml" ContentType="application/vnd.openxmlformats-officedocument.themeOverride+xml"/>
  <Override PartName="/word/charts/chart67.xml" ContentType="application/vnd.openxmlformats-officedocument.drawingml.chart+xml"/>
  <Override PartName="/word/theme/themeOverride19.xml" ContentType="application/vnd.openxmlformats-officedocument.themeOverride+xml"/>
  <Override PartName="/word/charts/chart68.xml" ContentType="application/vnd.openxmlformats-officedocument.drawingml.chart+xml"/>
  <Override PartName="/word/theme/themeOverride20.xml" ContentType="application/vnd.openxmlformats-officedocument.themeOverride+xml"/>
  <Override PartName="/word/charts/chart69.xml" ContentType="application/vnd.openxmlformats-officedocument.drawingml.chart+xml"/>
  <Override PartName="/word/theme/themeOverride21.xml" ContentType="application/vnd.openxmlformats-officedocument.themeOverride+xml"/>
  <Override PartName="/word/charts/chart70.xml" ContentType="application/vnd.openxmlformats-officedocument.drawingml.chart+xml"/>
  <Override PartName="/word/theme/themeOverride22.xml" ContentType="application/vnd.openxmlformats-officedocument.themeOverride+xml"/>
  <Override PartName="/word/charts/chart71.xml" ContentType="application/vnd.openxmlformats-officedocument.drawingml.chart+xml"/>
  <Override PartName="/word/theme/themeOverride23.xml" ContentType="application/vnd.openxmlformats-officedocument.themeOverride+xml"/>
  <Override PartName="/word/charts/chart72.xml" ContentType="application/vnd.openxmlformats-officedocument.drawingml.chart+xml"/>
  <Override PartName="/word/theme/themeOverride24.xml" ContentType="application/vnd.openxmlformats-officedocument.themeOverride+xml"/>
  <Override PartName="/word/charts/chart73.xml" ContentType="application/vnd.openxmlformats-officedocument.drawingml.chart+xml"/>
  <Override PartName="/word/theme/themeOverride25.xml" ContentType="application/vnd.openxmlformats-officedocument.themeOverride+xml"/>
  <Override PartName="/word/charts/chart74.xml" ContentType="application/vnd.openxmlformats-officedocument.drawingml.chart+xml"/>
  <Override PartName="/word/theme/themeOverride26.xml" ContentType="application/vnd.openxmlformats-officedocument.themeOverride+xml"/>
  <Override PartName="/word/charts/chart75.xml" ContentType="application/vnd.openxmlformats-officedocument.drawingml.chart+xml"/>
  <Override PartName="/word/theme/themeOverride27.xml" ContentType="application/vnd.openxmlformats-officedocument.themeOverride+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header3.xml" ContentType="application/vnd.openxmlformats-officedocument.wordprocessingml.header+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theme/themeOverride28.xml" ContentType="application/vnd.openxmlformats-officedocument.themeOverride+xml"/>
  <Override PartName="/word/charts/chart88.xml" ContentType="application/vnd.openxmlformats-officedocument.drawingml.chart+xml"/>
  <Override PartName="/word/theme/themeOverride29.xml" ContentType="application/vnd.openxmlformats-officedocument.themeOverride+xml"/>
  <Override PartName="/word/charts/chart89.xml" ContentType="application/vnd.openxmlformats-officedocument.drawingml.chart+xml"/>
  <Override PartName="/word/theme/themeOverride30.xml" ContentType="application/vnd.openxmlformats-officedocument.themeOverride+xml"/>
  <Override PartName="/word/charts/chart90.xml" ContentType="application/vnd.openxmlformats-officedocument.drawingml.chart+xml"/>
  <Override PartName="/word/theme/themeOverride31.xml" ContentType="application/vnd.openxmlformats-officedocument.themeOverride+xml"/>
  <Override PartName="/word/charts/chart91.xml" ContentType="application/vnd.openxmlformats-officedocument.drawingml.chart+xml"/>
  <Override PartName="/word/theme/themeOverride32.xml" ContentType="application/vnd.openxmlformats-officedocument.themeOverride+xml"/>
  <Override PartName="/word/charts/chart92.xml" ContentType="application/vnd.openxmlformats-officedocument.drawingml.chart+xml"/>
  <Override PartName="/word/charts/chart93.xml" ContentType="application/vnd.openxmlformats-officedocument.drawingml.chart+xml"/>
  <Override PartName="/word/theme/themeOverride33.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D1A" w:rsidRPr="00D531FD" w:rsidRDefault="00DA5F3F" w:rsidP="00675D1A">
      <w:pPr>
        <w:jc w:val="right"/>
        <w:rPr>
          <w:sz w:val="50"/>
          <w:szCs w:val="50"/>
        </w:rPr>
      </w:pPr>
      <w:r>
        <w:rPr>
          <w:noProof/>
          <w:sz w:val="50"/>
          <w:szCs w:val="50"/>
        </w:rPr>
        <w:drawing>
          <wp:anchor distT="0" distB="0" distL="114300" distR="114300" simplePos="0" relativeHeight="251696128" behindDoc="1" locked="0" layoutInCell="1" allowOverlap="1">
            <wp:simplePos x="0" y="0"/>
            <wp:positionH relativeFrom="column">
              <wp:posOffset>-1080135</wp:posOffset>
            </wp:positionH>
            <wp:positionV relativeFrom="paragraph">
              <wp:posOffset>-1080135</wp:posOffset>
            </wp:positionV>
            <wp:extent cx="7753350" cy="10063480"/>
            <wp:effectExtent l="0" t="0" r="0" b="0"/>
            <wp:wrapTight wrapText="bothSides">
              <wp:wrapPolygon edited="0">
                <wp:start x="0" y="0"/>
                <wp:lineTo x="0" y="21548"/>
                <wp:lineTo x="21547" y="21548"/>
                <wp:lineTo x="21547" y="0"/>
                <wp:lineTo x="0" y="0"/>
              </wp:wrapPolygon>
            </wp:wrapTight>
            <wp:docPr id="24" name="Imagen 24" descr="C:\Users\AUXPLANEACION08\Desktop\INFORME FINAL\DISEÑO\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XPLANEACION08\Desktop\INFORME FINAL\DISEÑO\PORTA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3350" cy="1006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782" w:rsidRPr="00D531FD" w:rsidRDefault="00CA0782" w:rsidP="00CA0782">
      <w:pPr>
        <w:spacing w:line="360" w:lineRule="auto"/>
        <w:jc w:val="center"/>
        <w:rPr>
          <w:sz w:val="32"/>
          <w:szCs w:val="32"/>
        </w:rPr>
      </w:pPr>
      <w:r w:rsidRPr="00D531FD">
        <w:rPr>
          <w:sz w:val="32"/>
          <w:szCs w:val="32"/>
        </w:rPr>
        <w:lastRenderedPageBreak/>
        <w:t>ANÁLISIS DE LAS CONDICIONES ACTUALES DEL DEPARTAMENTO DEL QUINDÍO EN LOS PRINCIPALES SECTORES</w:t>
      </w:r>
    </w:p>
    <w:p w:rsidR="005618E5" w:rsidRPr="005618E5" w:rsidRDefault="005618E5" w:rsidP="00675D1A">
      <w:pPr>
        <w:jc w:val="right"/>
        <w:rPr>
          <w:lang w:val="es-MX"/>
        </w:rPr>
      </w:pPr>
    </w:p>
    <w:p w:rsidR="005618E5" w:rsidRDefault="005618E5" w:rsidP="00675D1A">
      <w:pPr>
        <w:jc w:val="right"/>
      </w:pPr>
    </w:p>
    <w:p w:rsidR="00F01E02" w:rsidRPr="00F01E02" w:rsidRDefault="00F01E02" w:rsidP="00F01E02">
      <w:pPr>
        <w:pStyle w:val="Sinespaciado"/>
        <w:jc w:val="center"/>
        <w:rPr>
          <w:rFonts w:ascii="Times New Roman" w:eastAsiaTheme="majorEastAsia" w:hAnsi="Times New Roman"/>
          <w:b/>
          <w:sz w:val="32"/>
          <w:szCs w:val="32"/>
        </w:rPr>
      </w:pPr>
      <w:r w:rsidRPr="00F01E02">
        <w:rPr>
          <w:rFonts w:ascii="Times New Roman" w:eastAsiaTheme="majorEastAsia" w:hAnsi="Times New Roman"/>
          <w:b/>
          <w:sz w:val="32"/>
          <w:szCs w:val="32"/>
        </w:rPr>
        <w:t>SANDRA PAOLA HURTADO PALACIO</w:t>
      </w:r>
    </w:p>
    <w:p w:rsidR="00F01E02" w:rsidRPr="00F01E02" w:rsidRDefault="00F01E02" w:rsidP="00F01E02">
      <w:pPr>
        <w:pStyle w:val="Sinespaciado"/>
        <w:jc w:val="center"/>
        <w:rPr>
          <w:rFonts w:ascii="Times New Roman" w:eastAsiaTheme="majorEastAsia" w:hAnsi="Times New Roman"/>
          <w:b/>
          <w:sz w:val="32"/>
          <w:szCs w:val="32"/>
        </w:rPr>
      </w:pPr>
      <w:r w:rsidRPr="00F01E02">
        <w:rPr>
          <w:rFonts w:ascii="Times New Roman" w:eastAsiaTheme="majorEastAsia" w:hAnsi="Times New Roman"/>
          <w:b/>
          <w:sz w:val="32"/>
          <w:szCs w:val="32"/>
        </w:rPr>
        <w:t>Gobernadora Departamento del Quindío</w:t>
      </w:r>
    </w:p>
    <w:p w:rsidR="00F01E02" w:rsidRPr="00F01E02" w:rsidRDefault="00F01E02" w:rsidP="00F01E02">
      <w:pPr>
        <w:pStyle w:val="Sinespaciado"/>
        <w:jc w:val="center"/>
        <w:rPr>
          <w:rFonts w:ascii="Times New Roman" w:eastAsiaTheme="majorEastAsia" w:hAnsi="Times New Roman"/>
          <w:b/>
          <w:sz w:val="32"/>
          <w:szCs w:val="32"/>
        </w:rPr>
      </w:pPr>
    </w:p>
    <w:p w:rsidR="00F01E02" w:rsidRPr="00F01E02" w:rsidRDefault="00AC31D3" w:rsidP="00F01E02">
      <w:pPr>
        <w:pStyle w:val="Sinespaciado"/>
        <w:jc w:val="center"/>
        <w:rPr>
          <w:rFonts w:ascii="Times New Roman" w:eastAsiaTheme="majorEastAsia" w:hAnsi="Times New Roman"/>
          <w:b/>
          <w:sz w:val="32"/>
          <w:szCs w:val="32"/>
        </w:rPr>
      </w:pPr>
      <w:r>
        <w:rPr>
          <w:rFonts w:ascii="Arial" w:hAnsi="Arial" w:cs="Arial"/>
          <w:noProof/>
          <w:lang w:val="es-CO" w:eastAsia="es-CO"/>
        </w:rPr>
        <w:drawing>
          <wp:anchor distT="0" distB="0" distL="114300" distR="114300" simplePos="0" relativeHeight="251682816" behindDoc="1" locked="0" layoutInCell="1" allowOverlap="1" wp14:anchorId="0BF21A75" wp14:editId="61EDA955">
            <wp:simplePos x="0" y="0"/>
            <wp:positionH relativeFrom="column">
              <wp:posOffset>152400</wp:posOffset>
            </wp:positionH>
            <wp:positionV relativeFrom="paragraph">
              <wp:posOffset>-1781175</wp:posOffset>
            </wp:positionV>
            <wp:extent cx="9180830" cy="6400165"/>
            <wp:effectExtent l="0" t="0" r="127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 DOCUMENTO EVALUACION DESENPEÑO MUNICIPAL 2013.jpg"/>
                    <pic:cNvPicPr/>
                  </pic:nvPicPr>
                  <pic:blipFill>
                    <a:blip r:embed="rId10">
                      <a:extLst>
                        <a:ext uri="{28A0092B-C50C-407E-A947-70E740481C1C}">
                          <a14:useLocalDpi xmlns:a14="http://schemas.microsoft.com/office/drawing/2010/main" val="0"/>
                        </a:ext>
                      </a:extLst>
                    </a:blip>
                    <a:stretch>
                      <a:fillRect/>
                    </a:stretch>
                  </pic:blipFill>
                  <pic:spPr>
                    <a:xfrm>
                      <a:off x="0" y="0"/>
                      <a:ext cx="9180830" cy="6400165"/>
                    </a:xfrm>
                    <a:prstGeom prst="rect">
                      <a:avLst/>
                    </a:prstGeom>
                  </pic:spPr>
                </pic:pic>
              </a:graphicData>
            </a:graphic>
            <wp14:sizeRelH relativeFrom="margin">
              <wp14:pctWidth>0</wp14:pctWidth>
            </wp14:sizeRelH>
            <wp14:sizeRelV relativeFrom="margin">
              <wp14:pctHeight>0</wp14:pctHeight>
            </wp14:sizeRelV>
          </wp:anchor>
        </w:drawing>
      </w:r>
    </w:p>
    <w:p w:rsidR="00F01E02" w:rsidRPr="00F01E02" w:rsidRDefault="00F01E02" w:rsidP="00F01E02">
      <w:pPr>
        <w:pStyle w:val="Sinespaciado"/>
        <w:jc w:val="center"/>
        <w:rPr>
          <w:rFonts w:ascii="Times New Roman" w:eastAsiaTheme="majorEastAsia" w:hAnsi="Times New Roman"/>
          <w:b/>
          <w:sz w:val="32"/>
          <w:szCs w:val="32"/>
        </w:rPr>
      </w:pPr>
      <w:r w:rsidRPr="00F01E02">
        <w:rPr>
          <w:rFonts w:ascii="Times New Roman" w:eastAsiaTheme="majorEastAsia" w:hAnsi="Times New Roman"/>
          <w:b/>
          <w:sz w:val="32"/>
          <w:szCs w:val="32"/>
        </w:rPr>
        <w:t xml:space="preserve">María </w:t>
      </w:r>
      <w:proofErr w:type="spellStart"/>
      <w:r w:rsidRPr="00F01E02">
        <w:rPr>
          <w:rFonts w:ascii="Times New Roman" w:eastAsiaTheme="majorEastAsia" w:hAnsi="Times New Roman"/>
          <w:b/>
          <w:sz w:val="32"/>
          <w:szCs w:val="32"/>
        </w:rPr>
        <w:t>Aleyda</w:t>
      </w:r>
      <w:proofErr w:type="spellEnd"/>
      <w:r w:rsidRPr="00F01E02">
        <w:rPr>
          <w:rFonts w:ascii="Times New Roman" w:eastAsiaTheme="majorEastAsia" w:hAnsi="Times New Roman"/>
          <w:b/>
          <w:sz w:val="32"/>
          <w:szCs w:val="32"/>
        </w:rPr>
        <w:t xml:space="preserve"> Roa Espinosa</w:t>
      </w:r>
    </w:p>
    <w:p w:rsidR="00F01E02" w:rsidRPr="00F01E02" w:rsidRDefault="00F01E02" w:rsidP="00F01E02">
      <w:pPr>
        <w:pStyle w:val="Sinespaciado"/>
        <w:jc w:val="center"/>
        <w:rPr>
          <w:rFonts w:ascii="Times New Roman" w:eastAsiaTheme="majorEastAsia" w:hAnsi="Times New Roman"/>
          <w:b/>
          <w:sz w:val="32"/>
          <w:szCs w:val="32"/>
        </w:rPr>
      </w:pPr>
      <w:r w:rsidRPr="00F01E02">
        <w:rPr>
          <w:rFonts w:ascii="Times New Roman" w:eastAsiaTheme="majorEastAsia" w:hAnsi="Times New Roman"/>
          <w:b/>
          <w:sz w:val="32"/>
          <w:szCs w:val="32"/>
        </w:rPr>
        <w:t>Secretaria de  Planeación</w:t>
      </w:r>
    </w:p>
    <w:p w:rsidR="005618E5" w:rsidRPr="00F01E02" w:rsidRDefault="005618E5" w:rsidP="00F01E02">
      <w:pPr>
        <w:jc w:val="center"/>
        <w:rPr>
          <w:lang w:val="es-ES"/>
        </w:rPr>
      </w:pPr>
    </w:p>
    <w:p w:rsidR="005618E5" w:rsidRDefault="005618E5" w:rsidP="00F01E02">
      <w:pPr>
        <w:jc w:val="center"/>
      </w:pPr>
    </w:p>
    <w:p w:rsidR="00F01E02" w:rsidRDefault="00F01E02" w:rsidP="00F01E02">
      <w:pPr>
        <w:jc w:val="center"/>
      </w:pPr>
    </w:p>
    <w:p w:rsidR="00675D1A" w:rsidRPr="00D531FD" w:rsidRDefault="00675D1A" w:rsidP="00F01E02">
      <w:pPr>
        <w:jc w:val="center"/>
        <w:rPr>
          <w:sz w:val="32"/>
          <w:szCs w:val="32"/>
        </w:rPr>
      </w:pPr>
      <w:r w:rsidRPr="00D531FD">
        <w:rPr>
          <w:sz w:val="32"/>
          <w:szCs w:val="32"/>
        </w:rPr>
        <w:t>OBSERVATORIO DEPARTAMENTAL DEL QUINDÍO</w:t>
      </w:r>
    </w:p>
    <w:p w:rsidR="00675D1A" w:rsidRDefault="00675D1A" w:rsidP="00675D1A">
      <w:pPr>
        <w:jc w:val="right"/>
        <w:rPr>
          <w:sz w:val="32"/>
          <w:szCs w:val="32"/>
        </w:rPr>
      </w:pPr>
    </w:p>
    <w:p w:rsidR="005C69E5" w:rsidRDefault="005C69E5" w:rsidP="00675D1A">
      <w:pPr>
        <w:jc w:val="right"/>
        <w:rPr>
          <w:sz w:val="32"/>
          <w:szCs w:val="32"/>
        </w:rPr>
      </w:pPr>
    </w:p>
    <w:p w:rsidR="005C69E5" w:rsidRPr="00D531FD" w:rsidRDefault="005C69E5" w:rsidP="00675D1A">
      <w:pPr>
        <w:jc w:val="right"/>
        <w:rPr>
          <w:sz w:val="32"/>
          <w:szCs w:val="32"/>
        </w:rPr>
      </w:pPr>
    </w:p>
    <w:p w:rsidR="00F01E02" w:rsidRPr="00F01E02" w:rsidRDefault="00F01E02" w:rsidP="00AA22F8">
      <w:pPr>
        <w:autoSpaceDE w:val="0"/>
        <w:autoSpaceDN w:val="0"/>
        <w:adjustRightInd w:val="0"/>
        <w:spacing w:line="360" w:lineRule="auto"/>
        <w:jc w:val="center"/>
        <w:rPr>
          <w:rFonts w:eastAsiaTheme="minorHAnsi"/>
          <w:color w:val="000000"/>
          <w:sz w:val="23"/>
          <w:szCs w:val="23"/>
          <w:lang w:eastAsia="en-US"/>
        </w:rPr>
      </w:pPr>
      <w:r w:rsidRPr="00F01E02">
        <w:rPr>
          <w:rFonts w:eastAsiaTheme="minorHAnsi"/>
          <w:color w:val="000000"/>
          <w:sz w:val="23"/>
          <w:szCs w:val="23"/>
          <w:lang w:eastAsia="en-US"/>
        </w:rPr>
        <w:t>Equipo Técnico:</w:t>
      </w:r>
    </w:p>
    <w:p w:rsidR="00F01E02" w:rsidRPr="00F01E02" w:rsidRDefault="00F01E02" w:rsidP="00AA22F8">
      <w:pPr>
        <w:autoSpaceDE w:val="0"/>
        <w:autoSpaceDN w:val="0"/>
        <w:adjustRightInd w:val="0"/>
        <w:spacing w:line="360" w:lineRule="auto"/>
        <w:jc w:val="center"/>
        <w:rPr>
          <w:rFonts w:eastAsiaTheme="minorHAnsi"/>
          <w:color w:val="000000"/>
          <w:sz w:val="23"/>
          <w:szCs w:val="23"/>
          <w:lang w:eastAsia="en-US"/>
        </w:rPr>
      </w:pPr>
      <w:r w:rsidRPr="00F01E02">
        <w:rPr>
          <w:rFonts w:eastAsiaTheme="minorHAnsi"/>
          <w:color w:val="000000"/>
          <w:sz w:val="23"/>
          <w:szCs w:val="23"/>
          <w:lang w:eastAsia="en-US"/>
        </w:rPr>
        <w:t>ELIZABETH PIMIENTA VIANA</w:t>
      </w:r>
    </w:p>
    <w:p w:rsidR="00F01E02" w:rsidRPr="00F01E02" w:rsidRDefault="00F01E02" w:rsidP="00AA22F8">
      <w:pPr>
        <w:autoSpaceDE w:val="0"/>
        <w:autoSpaceDN w:val="0"/>
        <w:adjustRightInd w:val="0"/>
        <w:spacing w:line="360" w:lineRule="auto"/>
        <w:jc w:val="center"/>
        <w:rPr>
          <w:rFonts w:eastAsiaTheme="minorHAnsi"/>
          <w:color w:val="000000"/>
          <w:sz w:val="23"/>
          <w:szCs w:val="23"/>
          <w:lang w:eastAsia="en-US"/>
        </w:rPr>
      </w:pPr>
      <w:r w:rsidRPr="00F01E02">
        <w:rPr>
          <w:rFonts w:eastAsiaTheme="minorHAnsi"/>
          <w:color w:val="000000"/>
          <w:sz w:val="23"/>
          <w:szCs w:val="23"/>
          <w:lang w:eastAsia="en-US"/>
        </w:rPr>
        <w:t>AMANDA DAZA BURGOS</w:t>
      </w:r>
    </w:p>
    <w:p w:rsidR="00F01E02" w:rsidRPr="00F01E02" w:rsidRDefault="00F01E02" w:rsidP="00AA22F8">
      <w:pPr>
        <w:autoSpaceDE w:val="0"/>
        <w:autoSpaceDN w:val="0"/>
        <w:adjustRightInd w:val="0"/>
        <w:spacing w:line="360" w:lineRule="auto"/>
        <w:jc w:val="center"/>
        <w:rPr>
          <w:rFonts w:eastAsiaTheme="minorHAnsi"/>
          <w:color w:val="000000"/>
          <w:sz w:val="23"/>
          <w:szCs w:val="23"/>
          <w:lang w:eastAsia="en-US"/>
        </w:rPr>
      </w:pPr>
      <w:r w:rsidRPr="00F01E02">
        <w:rPr>
          <w:rFonts w:eastAsiaTheme="minorHAnsi"/>
          <w:color w:val="000000"/>
          <w:sz w:val="23"/>
          <w:szCs w:val="23"/>
          <w:lang w:eastAsia="en-US"/>
        </w:rPr>
        <w:t>CLARA INÉS MARIN LÓPEZ</w:t>
      </w:r>
    </w:p>
    <w:p w:rsidR="00F01E02" w:rsidRPr="00F01E02" w:rsidRDefault="00F01E02" w:rsidP="00AA22F8">
      <w:pPr>
        <w:autoSpaceDE w:val="0"/>
        <w:autoSpaceDN w:val="0"/>
        <w:adjustRightInd w:val="0"/>
        <w:spacing w:line="360" w:lineRule="auto"/>
        <w:jc w:val="center"/>
        <w:rPr>
          <w:rFonts w:eastAsiaTheme="minorHAnsi"/>
          <w:color w:val="000000"/>
          <w:sz w:val="23"/>
          <w:szCs w:val="23"/>
          <w:lang w:eastAsia="en-US"/>
        </w:rPr>
      </w:pPr>
      <w:r w:rsidRPr="00F01E02">
        <w:rPr>
          <w:rFonts w:eastAsiaTheme="minorHAnsi"/>
          <w:color w:val="000000"/>
          <w:sz w:val="23"/>
          <w:szCs w:val="23"/>
          <w:lang w:eastAsia="en-US"/>
        </w:rPr>
        <w:t>EBERT ARCILA JARAMILLO</w:t>
      </w:r>
    </w:p>
    <w:p w:rsidR="00F01E02" w:rsidRDefault="00F01E02" w:rsidP="00AA22F8">
      <w:pPr>
        <w:autoSpaceDE w:val="0"/>
        <w:autoSpaceDN w:val="0"/>
        <w:adjustRightInd w:val="0"/>
        <w:spacing w:line="360" w:lineRule="auto"/>
        <w:jc w:val="center"/>
        <w:rPr>
          <w:rFonts w:eastAsiaTheme="minorHAnsi"/>
          <w:color w:val="000000"/>
          <w:sz w:val="23"/>
          <w:szCs w:val="23"/>
          <w:lang w:eastAsia="en-US"/>
        </w:rPr>
      </w:pPr>
      <w:r w:rsidRPr="00F01E02">
        <w:rPr>
          <w:rFonts w:eastAsiaTheme="minorHAnsi"/>
          <w:color w:val="000000"/>
          <w:sz w:val="23"/>
          <w:szCs w:val="23"/>
          <w:lang w:eastAsia="en-US"/>
        </w:rPr>
        <w:t>GLORIA INÉS MONTOYA BUITRAGO</w:t>
      </w:r>
    </w:p>
    <w:p w:rsidR="006B5833" w:rsidRDefault="006B5833" w:rsidP="00AA22F8">
      <w:pPr>
        <w:autoSpaceDE w:val="0"/>
        <w:autoSpaceDN w:val="0"/>
        <w:adjustRightInd w:val="0"/>
        <w:spacing w:line="360" w:lineRule="auto"/>
        <w:jc w:val="center"/>
        <w:rPr>
          <w:rFonts w:eastAsiaTheme="minorHAnsi"/>
          <w:color w:val="000000"/>
          <w:sz w:val="23"/>
          <w:szCs w:val="23"/>
          <w:lang w:eastAsia="en-US"/>
        </w:rPr>
      </w:pPr>
      <w:r>
        <w:rPr>
          <w:rFonts w:eastAsiaTheme="minorHAnsi"/>
          <w:color w:val="000000"/>
          <w:sz w:val="23"/>
          <w:szCs w:val="23"/>
          <w:lang w:eastAsia="en-US"/>
        </w:rPr>
        <w:t>OSCAR ARMANDO MARTÍNEZ</w:t>
      </w:r>
    </w:p>
    <w:p w:rsidR="00C3258F" w:rsidRPr="00F01E02" w:rsidRDefault="00C3258F" w:rsidP="00AA22F8">
      <w:pPr>
        <w:autoSpaceDE w:val="0"/>
        <w:autoSpaceDN w:val="0"/>
        <w:adjustRightInd w:val="0"/>
        <w:jc w:val="center"/>
        <w:rPr>
          <w:rFonts w:eastAsiaTheme="minorHAnsi"/>
          <w:color w:val="000000"/>
          <w:sz w:val="23"/>
          <w:szCs w:val="23"/>
          <w:lang w:eastAsia="en-US"/>
        </w:rPr>
      </w:pPr>
    </w:p>
    <w:p w:rsidR="00C3258F" w:rsidRDefault="00C3258F" w:rsidP="00AA22F8">
      <w:pPr>
        <w:autoSpaceDE w:val="0"/>
        <w:autoSpaceDN w:val="0"/>
        <w:adjustRightInd w:val="0"/>
        <w:jc w:val="center"/>
        <w:rPr>
          <w:rFonts w:eastAsiaTheme="minorHAnsi"/>
          <w:color w:val="000000"/>
          <w:sz w:val="23"/>
          <w:szCs w:val="23"/>
          <w:lang w:eastAsia="en-US"/>
        </w:rPr>
      </w:pPr>
    </w:p>
    <w:p w:rsidR="00F01E02" w:rsidRPr="00F01E02" w:rsidRDefault="00F01E02" w:rsidP="00AA22F8">
      <w:pPr>
        <w:autoSpaceDE w:val="0"/>
        <w:autoSpaceDN w:val="0"/>
        <w:adjustRightInd w:val="0"/>
        <w:jc w:val="center"/>
        <w:rPr>
          <w:rFonts w:eastAsiaTheme="minorHAnsi"/>
          <w:color w:val="000000"/>
          <w:sz w:val="23"/>
          <w:szCs w:val="23"/>
          <w:lang w:eastAsia="en-US"/>
        </w:rPr>
      </w:pPr>
      <w:r w:rsidRPr="00F01E02">
        <w:rPr>
          <w:rFonts w:eastAsiaTheme="minorHAnsi"/>
          <w:color w:val="000000"/>
          <w:sz w:val="23"/>
          <w:szCs w:val="23"/>
          <w:lang w:eastAsia="en-US"/>
        </w:rPr>
        <w:t>LILIANA MILENA PLAZA ÑUSTE</w:t>
      </w:r>
    </w:p>
    <w:p w:rsidR="00F01E02" w:rsidRPr="00F01E02" w:rsidRDefault="00F01E02" w:rsidP="00AA22F8">
      <w:pPr>
        <w:autoSpaceDE w:val="0"/>
        <w:autoSpaceDN w:val="0"/>
        <w:adjustRightInd w:val="0"/>
        <w:jc w:val="center"/>
        <w:rPr>
          <w:rFonts w:eastAsiaTheme="minorHAnsi"/>
          <w:color w:val="000000"/>
          <w:sz w:val="23"/>
          <w:szCs w:val="23"/>
          <w:lang w:eastAsia="en-US"/>
        </w:rPr>
      </w:pPr>
      <w:r w:rsidRPr="00F01E02">
        <w:rPr>
          <w:rFonts w:eastAsiaTheme="minorHAnsi"/>
          <w:color w:val="000000"/>
          <w:sz w:val="23"/>
          <w:szCs w:val="23"/>
          <w:lang w:eastAsia="en-US"/>
        </w:rPr>
        <w:t>Profesional Universitaria</w:t>
      </w:r>
    </w:p>
    <w:p w:rsidR="00C3258F" w:rsidRDefault="00C3258F" w:rsidP="00F01E02">
      <w:pPr>
        <w:autoSpaceDE w:val="0"/>
        <w:autoSpaceDN w:val="0"/>
        <w:adjustRightInd w:val="0"/>
        <w:rPr>
          <w:rFonts w:eastAsiaTheme="minorHAnsi"/>
          <w:color w:val="000000"/>
          <w:sz w:val="23"/>
          <w:szCs w:val="23"/>
          <w:lang w:eastAsia="en-US"/>
        </w:rPr>
      </w:pPr>
    </w:p>
    <w:p w:rsidR="00C3258F" w:rsidRDefault="00C3258F" w:rsidP="00F01E02">
      <w:pPr>
        <w:autoSpaceDE w:val="0"/>
        <w:autoSpaceDN w:val="0"/>
        <w:adjustRightInd w:val="0"/>
        <w:rPr>
          <w:rFonts w:eastAsiaTheme="minorHAnsi"/>
          <w:color w:val="000000"/>
          <w:sz w:val="23"/>
          <w:szCs w:val="23"/>
          <w:lang w:eastAsia="en-US"/>
        </w:rPr>
      </w:pPr>
    </w:p>
    <w:p w:rsidR="00C3258F" w:rsidRDefault="00C3258F" w:rsidP="00C3258F">
      <w:pPr>
        <w:autoSpaceDE w:val="0"/>
        <w:autoSpaceDN w:val="0"/>
        <w:adjustRightInd w:val="0"/>
        <w:jc w:val="right"/>
        <w:rPr>
          <w:rFonts w:eastAsiaTheme="minorHAnsi"/>
          <w:color w:val="000000"/>
          <w:sz w:val="23"/>
          <w:szCs w:val="23"/>
          <w:lang w:eastAsia="en-US"/>
        </w:rPr>
      </w:pPr>
    </w:p>
    <w:p w:rsidR="00F01E02" w:rsidRPr="00F01E02" w:rsidRDefault="00F01E02" w:rsidP="00AA22F8">
      <w:pPr>
        <w:autoSpaceDE w:val="0"/>
        <w:autoSpaceDN w:val="0"/>
        <w:adjustRightInd w:val="0"/>
        <w:jc w:val="right"/>
        <w:rPr>
          <w:rFonts w:eastAsiaTheme="minorHAnsi"/>
          <w:color w:val="000000"/>
          <w:sz w:val="23"/>
          <w:szCs w:val="23"/>
          <w:lang w:eastAsia="en-US"/>
        </w:rPr>
      </w:pPr>
      <w:r w:rsidRPr="00F01E02">
        <w:rPr>
          <w:rFonts w:eastAsiaTheme="minorHAnsi"/>
          <w:color w:val="000000"/>
          <w:sz w:val="23"/>
          <w:szCs w:val="23"/>
          <w:lang w:eastAsia="en-US"/>
        </w:rPr>
        <w:t xml:space="preserve">Observatorio Departamental </w:t>
      </w:r>
    </w:p>
    <w:p w:rsidR="00F01E02" w:rsidRPr="00F01E02" w:rsidRDefault="00F01E02" w:rsidP="00AA22F8">
      <w:pPr>
        <w:autoSpaceDE w:val="0"/>
        <w:autoSpaceDN w:val="0"/>
        <w:adjustRightInd w:val="0"/>
        <w:jc w:val="right"/>
        <w:rPr>
          <w:rFonts w:eastAsiaTheme="minorHAnsi"/>
          <w:color w:val="000000"/>
          <w:sz w:val="23"/>
          <w:szCs w:val="23"/>
          <w:lang w:eastAsia="en-US"/>
        </w:rPr>
      </w:pPr>
      <w:r w:rsidRPr="00F01E02">
        <w:rPr>
          <w:rFonts w:eastAsiaTheme="minorHAnsi"/>
          <w:color w:val="000000"/>
          <w:sz w:val="23"/>
          <w:szCs w:val="23"/>
          <w:lang w:eastAsia="en-US"/>
        </w:rPr>
        <w:t xml:space="preserve">Secretaría de Planeación </w:t>
      </w:r>
    </w:p>
    <w:p w:rsidR="00F01E02" w:rsidRPr="00F01E02" w:rsidRDefault="00F01E02" w:rsidP="00AA22F8">
      <w:pPr>
        <w:autoSpaceDE w:val="0"/>
        <w:autoSpaceDN w:val="0"/>
        <w:adjustRightInd w:val="0"/>
        <w:jc w:val="right"/>
        <w:rPr>
          <w:rFonts w:eastAsiaTheme="minorHAnsi"/>
          <w:color w:val="000000"/>
          <w:sz w:val="23"/>
          <w:szCs w:val="23"/>
          <w:lang w:eastAsia="en-US"/>
        </w:rPr>
      </w:pPr>
      <w:r w:rsidRPr="00F01E02">
        <w:rPr>
          <w:rFonts w:eastAsiaTheme="minorHAnsi"/>
          <w:color w:val="000000"/>
          <w:sz w:val="23"/>
          <w:szCs w:val="23"/>
          <w:lang w:eastAsia="en-US"/>
        </w:rPr>
        <w:t xml:space="preserve">C.A.D Calle 20 # 13-22 Piso 8 </w:t>
      </w:r>
    </w:p>
    <w:p w:rsidR="00675D1A" w:rsidRPr="00D531FD" w:rsidRDefault="00F01E02" w:rsidP="00AA22F8">
      <w:pPr>
        <w:jc w:val="right"/>
        <w:rPr>
          <w:sz w:val="32"/>
          <w:szCs w:val="32"/>
        </w:rPr>
      </w:pPr>
      <w:r w:rsidRPr="00F01E02">
        <w:rPr>
          <w:rFonts w:eastAsiaTheme="minorHAnsi"/>
          <w:color w:val="000000"/>
          <w:sz w:val="23"/>
          <w:szCs w:val="23"/>
          <w:lang w:eastAsia="en-US"/>
        </w:rPr>
        <w:t>observatorioplaneacion@quindio.gov.co</w:t>
      </w:r>
    </w:p>
    <w:sdt>
      <w:sdtPr>
        <w:rPr>
          <w:rFonts w:ascii="Times New Roman" w:eastAsia="Times New Roman" w:hAnsi="Times New Roman" w:cs="Times New Roman"/>
          <w:b w:val="0"/>
          <w:bCs w:val="0"/>
          <w:color w:val="auto"/>
          <w:sz w:val="24"/>
          <w:szCs w:val="24"/>
          <w:lang w:val="es-ES"/>
        </w:rPr>
        <w:id w:val="-1680353843"/>
        <w:docPartObj>
          <w:docPartGallery w:val="Table of Contents"/>
          <w:docPartUnique/>
        </w:docPartObj>
      </w:sdtPr>
      <w:sdtContent>
        <w:p w:rsidR="00E73BF4" w:rsidRPr="00905CD4" w:rsidRDefault="00E73BF4">
          <w:pPr>
            <w:pStyle w:val="TtulodeTDC"/>
            <w:rPr>
              <w:rFonts w:ascii="Times New Roman" w:hAnsi="Times New Roman" w:cs="Times New Roman"/>
              <w:color w:val="auto"/>
              <w:sz w:val="36"/>
            </w:rPr>
          </w:pPr>
          <w:r w:rsidRPr="00905CD4">
            <w:rPr>
              <w:rFonts w:ascii="Times New Roman" w:hAnsi="Times New Roman" w:cs="Times New Roman"/>
              <w:color w:val="auto"/>
              <w:sz w:val="36"/>
              <w:lang w:val="es-ES"/>
            </w:rPr>
            <w:t>Contenido</w:t>
          </w:r>
        </w:p>
        <w:p w:rsidR="00E73BF4" w:rsidRDefault="00E73BF4">
          <w:pPr>
            <w:pStyle w:val="TDC1"/>
            <w:tabs>
              <w:tab w:val="right" w:leader="dot" w:pos="8828"/>
            </w:tabs>
          </w:pPr>
        </w:p>
        <w:p w:rsidR="00AE08A3" w:rsidRDefault="00E73BF4">
          <w:pPr>
            <w:pStyle w:val="TDC1"/>
            <w:tabs>
              <w:tab w:val="right" w:leader="dot" w:pos="88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6754268" w:history="1">
            <w:r w:rsidR="00AE08A3" w:rsidRPr="00B94A86">
              <w:rPr>
                <w:rStyle w:val="Hipervnculo"/>
                <w:noProof/>
              </w:rPr>
              <w:t>Resumen</w:t>
            </w:r>
            <w:r w:rsidR="00AE08A3">
              <w:rPr>
                <w:noProof/>
                <w:webHidden/>
              </w:rPr>
              <w:tab/>
            </w:r>
            <w:r w:rsidR="00AE08A3">
              <w:rPr>
                <w:noProof/>
                <w:webHidden/>
              </w:rPr>
              <w:fldChar w:fldCharType="begin"/>
            </w:r>
            <w:r w:rsidR="00AE08A3">
              <w:rPr>
                <w:noProof/>
                <w:webHidden/>
              </w:rPr>
              <w:instrText xml:space="preserve"> PAGEREF _Toc406754268 \h </w:instrText>
            </w:r>
            <w:r w:rsidR="00AE08A3">
              <w:rPr>
                <w:noProof/>
                <w:webHidden/>
              </w:rPr>
            </w:r>
            <w:r w:rsidR="00AE08A3">
              <w:rPr>
                <w:noProof/>
                <w:webHidden/>
              </w:rPr>
              <w:fldChar w:fldCharType="separate"/>
            </w:r>
            <w:r w:rsidR="00AE08A3">
              <w:rPr>
                <w:noProof/>
                <w:webHidden/>
              </w:rPr>
              <w:t>6</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269" w:history="1">
            <w:r w:rsidR="00AE08A3" w:rsidRPr="00B94A86">
              <w:rPr>
                <w:rStyle w:val="Hipervnculo"/>
                <w:noProof/>
              </w:rPr>
              <w:t>Introducción</w:t>
            </w:r>
            <w:r w:rsidR="00AE08A3">
              <w:rPr>
                <w:noProof/>
                <w:webHidden/>
              </w:rPr>
              <w:tab/>
            </w:r>
            <w:r w:rsidR="00AE08A3">
              <w:rPr>
                <w:noProof/>
                <w:webHidden/>
              </w:rPr>
              <w:fldChar w:fldCharType="begin"/>
            </w:r>
            <w:r w:rsidR="00AE08A3">
              <w:rPr>
                <w:noProof/>
                <w:webHidden/>
              </w:rPr>
              <w:instrText xml:space="preserve"> PAGEREF _Toc406754269 \h </w:instrText>
            </w:r>
            <w:r w:rsidR="00AE08A3">
              <w:rPr>
                <w:noProof/>
                <w:webHidden/>
              </w:rPr>
            </w:r>
            <w:r w:rsidR="00AE08A3">
              <w:rPr>
                <w:noProof/>
                <w:webHidden/>
              </w:rPr>
              <w:fldChar w:fldCharType="separate"/>
            </w:r>
            <w:r w:rsidR="00AE08A3">
              <w:rPr>
                <w:noProof/>
                <w:webHidden/>
              </w:rPr>
              <w:t>7</w:t>
            </w:r>
            <w:r w:rsidR="00AE08A3">
              <w:rPr>
                <w:noProof/>
                <w:webHidden/>
              </w:rPr>
              <w:fldChar w:fldCharType="end"/>
            </w:r>
          </w:hyperlink>
        </w:p>
        <w:p w:rsidR="00AE08A3" w:rsidRDefault="00EA516E">
          <w:pPr>
            <w:pStyle w:val="TDC1"/>
            <w:tabs>
              <w:tab w:val="left" w:pos="440"/>
              <w:tab w:val="right" w:leader="dot" w:pos="8830"/>
            </w:tabs>
            <w:rPr>
              <w:rFonts w:asciiTheme="minorHAnsi" w:eastAsiaTheme="minorEastAsia" w:hAnsiTheme="minorHAnsi" w:cstheme="minorBidi"/>
              <w:noProof/>
              <w:sz w:val="22"/>
              <w:szCs w:val="22"/>
            </w:rPr>
          </w:pPr>
          <w:hyperlink w:anchor="_Toc406754270" w:history="1">
            <w:r w:rsidR="00AE08A3" w:rsidRPr="00B94A86">
              <w:rPr>
                <w:rStyle w:val="Hipervnculo"/>
                <w:noProof/>
              </w:rPr>
              <w:t>I.</w:t>
            </w:r>
            <w:r w:rsidR="00AE08A3">
              <w:rPr>
                <w:rFonts w:asciiTheme="minorHAnsi" w:eastAsiaTheme="minorEastAsia" w:hAnsiTheme="minorHAnsi" w:cstheme="minorBidi"/>
                <w:noProof/>
                <w:sz w:val="22"/>
                <w:szCs w:val="22"/>
              </w:rPr>
              <w:tab/>
            </w:r>
            <w:r w:rsidR="00AE08A3" w:rsidRPr="00B94A86">
              <w:rPr>
                <w:rStyle w:val="Hipervnculo"/>
                <w:noProof/>
              </w:rPr>
              <w:t>Generalidades del Departamento del Quindío</w:t>
            </w:r>
            <w:r w:rsidR="00AE08A3">
              <w:rPr>
                <w:noProof/>
                <w:webHidden/>
              </w:rPr>
              <w:tab/>
            </w:r>
            <w:r w:rsidR="00AE08A3">
              <w:rPr>
                <w:noProof/>
                <w:webHidden/>
              </w:rPr>
              <w:fldChar w:fldCharType="begin"/>
            </w:r>
            <w:r w:rsidR="00AE08A3">
              <w:rPr>
                <w:noProof/>
                <w:webHidden/>
              </w:rPr>
              <w:instrText xml:space="preserve"> PAGEREF _Toc406754270 \h </w:instrText>
            </w:r>
            <w:r w:rsidR="00AE08A3">
              <w:rPr>
                <w:noProof/>
                <w:webHidden/>
              </w:rPr>
            </w:r>
            <w:r w:rsidR="00AE08A3">
              <w:rPr>
                <w:noProof/>
                <w:webHidden/>
              </w:rPr>
              <w:fldChar w:fldCharType="separate"/>
            </w:r>
            <w:r w:rsidR="00AE08A3">
              <w:rPr>
                <w:noProof/>
                <w:webHidden/>
              </w:rPr>
              <w:t>9</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71" w:history="1">
            <w:r w:rsidR="00AE08A3" w:rsidRPr="00B94A86">
              <w:rPr>
                <w:rStyle w:val="Hipervnculo"/>
                <w:noProof/>
              </w:rPr>
              <w:t>Quindío</w:t>
            </w:r>
            <w:r w:rsidR="00AE08A3">
              <w:rPr>
                <w:noProof/>
                <w:webHidden/>
              </w:rPr>
              <w:tab/>
            </w:r>
            <w:r w:rsidR="00AE08A3">
              <w:rPr>
                <w:noProof/>
                <w:webHidden/>
              </w:rPr>
              <w:fldChar w:fldCharType="begin"/>
            </w:r>
            <w:r w:rsidR="00AE08A3">
              <w:rPr>
                <w:noProof/>
                <w:webHidden/>
              </w:rPr>
              <w:instrText xml:space="preserve"> PAGEREF _Toc406754271 \h </w:instrText>
            </w:r>
            <w:r w:rsidR="00AE08A3">
              <w:rPr>
                <w:noProof/>
                <w:webHidden/>
              </w:rPr>
            </w:r>
            <w:r w:rsidR="00AE08A3">
              <w:rPr>
                <w:noProof/>
                <w:webHidden/>
              </w:rPr>
              <w:fldChar w:fldCharType="separate"/>
            </w:r>
            <w:r w:rsidR="00AE08A3">
              <w:rPr>
                <w:noProof/>
                <w:webHidden/>
              </w:rPr>
              <w:t>9</w:t>
            </w:r>
            <w:r w:rsidR="00AE08A3">
              <w:rPr>
                <w:noProof/>
                <w:webHidden/>
              </w:rPr>
              <w:fldChar w:fldCharType="end"/>
            </w:r>
          </w:hyperlink>
        </w:p>
        <w:p w:rsidR="00AE08A3" w:rsidRDefault="00EA516E">
          <w:pPr>
            <w:pStyle w:val="TDC1"/>
            <w:tabs>
              <w:tab w:val="left" w:pos="440"/>
              <w:tab w:val="right" w:leader="dot" w:pos="8830"/>
            </w:tabs>
            <w:rPr>
              <w:rFonts w:asciiTheme="minorHAnsi" w:eastAsiaTheme="minorEastAsia" w:hAnsiTheme="minorHAnsi" w:cstheme="minorBidi"/>
              <w:noProof/>
              <w:sz w:val="22"/>
              <w:szCs w:val="22"/>
            </w:rPr>
          </w:pPr>
          <w:hyperlink w:anchor="_Toc406754272" w:history="1">
            <w:r w:rsidR="00AE08A3" w:rsidRPr="00B94A86">
              <w:rPr>
                <w:rStyle w:val="Hipervnculo"/>
                <w:noProof/>
              </w:rPr>
              <w:t>1.</w:t>
            </w:r>
            <w:r w:rsidR="00AE08A3">
              <w:rPr>
                <w:rFonts w:asciiTheme="minorHAnsi" w:eastAsiaTheme="minorEastAsia" w:hAnsiTheme="minorHAnsi" w:cstheme="minorBidi"/>
                <w:noProof/>
                <w:sz w:val="22"/>
                <w:szCs w:val="22"/>
              </w:rPr>
              <w:tab/>
            </w:r>
            <w:r w:rsidR="00AE08A3" w:rsidRPr="00B94A86">
              <w:rPr>
                <w:rStyle w:val="Hipervnculo"/>
                <w:noProof/>
              </w:rPr>
              <w:t>Indicadores Sociales: Población, Pobreza y Desigualdad.</w:t>
            </w:r>
            <w:r w:rsidR="00AE08A3">
              <w:rPr>
                <w:noProof/>
                <w:webHidden/>
              </w:rPr>
              <w:tab/>
            </w:r>
            <w:r w:rsidR="00AE08A3">
              <w:rPr>
                <w:noProof/>
                <w:webHidden/>
              </w:rPr>
              <w:fldChar w:fldCharType="begin"/>
            </w:r>
            <w:r w:rsidR="00AE08A3">
              <w:rPr>
                <w:noProof/>
                <w:webHidden/>
              </w:rPr>
              <w:instrText xml:space="preserve"> PAGEREF _Toc406754272 \h </w:instrText>
            </w:r>
            <w:r w:rsidR="00AE08A3">
              <w:rPr>
                <w:noProof/>
                <w:webHidden/>
              </w:rPr>
            </w:r>
            <w:r w:rsidR="00AE08A3">
              <w:rPr>
                <w:noProof/>
                <w:webHidden/>
              </w:rPr>
              <w:fldChar w:fldCharType="separate"/>
            </w:r>
            <w:r w:rsidR="00AE08A3">
              <w:rPr>
                <w:noProof/>
                <w:webHidden/>
              </w:rPr>
              <w:t>13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73" w:history="1">
            <w:r w:rsidR="00AE08A3" w:rsidRPr="00B94A86">
              <w:rPr>
                <w:rStyle w:val="Hipervnculo"/>
                <w:noProof/>
              </w:rPr>
              <w:t>1.1  Población</w:t>
            </w:r>
            <w:r w:rsidR="00AE08A3">
              <w:rPr>
                <w:noProof/>
                <w:webHidden/>
              </w:rPr>
              <w:tab/>
            </w:r>
            <w:r w:rsidR="00AE08A3">
              <w:rPr>
                <w:noProof/>
                <w:webHidden/>
              </w:rPr>
              <w:fldChar w:fldCharType="begin"/>
            </w:r>
            <w:r w:rsidR="00AE08A3">
              <w:rPr>
                <w:noProof/>
                <w:webHidden/>
              </w:rPr>
              <w:instrText xml:space="preserve"> PAGEREF _Toc406754273 \h </w:instrText>
            </w:r>
            <w:r w:rsidR="00AE08A3">
              <w:rPr>
                <w:noProof/>
                <w:webHidden/>
              </w:rPr>
            </w:r>
            <w:r w:rsidR="00AE08A3">
              <w:rPr>
                <w:noProof/>
                <w:webHidden/>
              </w:rPr>
              <w:fldChar w:fldCharType="separate"/>
            </w:r>
            <w:r w:rsidR="00AE08A3">
              <w:rPr>
                <w:noProof/>
                <w:webHidden/>
              </w:rPr>
              <w:t>14</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74" w:history="1">
            <w:r w:rsidR="00AE08A3" w:rsidRPr="00B94A86">
              <w:rPr>
                <w:rStyle w:val="Hipervnculo"/>
                <w:noProof/>
              </w:rPr>
              <w:t>1.1.1 Población según rangos de edad</w:t>
            </w:r>
            <w:r w:rsidR="00AE08A3">
              <w:rPr>
                <w:noProof/>
                <w:webHidden/>
              </w:rPr>
              <w:tab/>
            </w:r>
            <w:r w:rsidR="00AE08A3">
              <w:rPr>
                <w:noProof/>
                <w:webHidden/>
              </w:rPr>
              <w:fldChar w:fldCharType="begin"/>
            </w:r>
            <w:r w:rsidR="00AE08A3">
              <w:rPr>
                <w:noProof/>
                <w:webHidden/>
              </w:rPr>
              <w:instrText xml:space="preserve"> PAGEREF _Toc406754274 \h </w:instrText>
            </w:r>
            <w:r w:rsidR="00AE08A3">
              <w:rPr>
                <w:noProof/>
                <w:webHidden/>
              </w:rPr>
            </w:r>
            <w:r w:rsidR="00AE08A3">
              <w:rPr>
                <w:noProof/>
                <w:webHidden/>
              </w:rPr>
              <w:fldChar w:fldCharType="separate"/>
            </w:r>
            <w:r w:rsidR="00AE08A3">
              <w:rPr>
                <w:noProof/>
                <w:webHidden/>
              </w:rPr>
              <w:t>16</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75" w:history="1">
            <w:r w:rsidR="00AE08A3" w:rsidRPr="00B94A86">
              <w:rPr>
                <w:rStyle w:val="Hipervnculo"/>
                <w:noProof/>
              </w:rPr>
              <w:t>1.2 Población Vulnerable del Departamento</w:t>
            </w:r>
            <w:r w:rsidR="00AE08A3">
              <w:rPr>
                <w:noProof/>
                <w:webHidden/>
              </w:rPr>
              <w:tab/>
            </w:r>
            <w:r w:rsidR="00AE08A3">
              <w:rPr>
                <w:noProof/>
                <w:webHidden/>
              </w:rPr>
              <w:fldChar w:fldCharType="begin"/>
            </w:r>
            <w:r w:rsidR="00AE08A3">
              <w:rPr>
                <w:noProof/>
                <w:webHidden/>
              </w:rPr>
              <w:instrText xml:space="preserve"> PAGEREF _Toc406754275 \h </w:instrText>
            </w:r>
            <w:r w:rsidR="00AE08A3">
              <w:rPr>
                <w:noProof/>
                <w:webHidden/>
              </w:rPr>
            </w:r>
            <w:r w:rsidR="00AE08A3">
              <w:rPr>
                <w:noProof/>
                <w:webHidden/>
              </w:rPr>
              <w:fldChar w:fldCharType="separate"/>
            </w:r>
            <w:r w:rsidR="00AE08A3">
              <w:rPr>
                <w:noProof/>
                <w:webHidden/>
              </w:rPr>
              <w:t>19</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76" w:history="1">
            <w:r w:rsidR="00AE08A3" w:rsidRPr="00B94A86">
              <w:rPr>
                <w:rStyle w:val="Hipervnculo"/>
                <w:noProof/>
              </w:rPr>
              <w:t>1.2.1 Grupos Étnicos en el Departamento del Quindío</w:t>
            </w:r>
            <w:r w:rsidR="00AE08A3">
              <w:rPr>
                <w:noProof/>
                <w:webHidden/>
              </w:rPr>
              <w:tab/>
            </w:r>
            <w:r w:rsidR="00AE08A3">
              <w:rPr>
                <w:noProof/>
                <w:webHidden/>
              </w:rPr>
              <w:fldChar w:fldCharType="begin"/>
            </w:r>
            <w:r w:rsidR="00AE08A3">
              <w:rPr>
                <w:noProof/>
                <w:webHidden/>
              </w:rPr>
              <w:instrText xml:space="preserve"> PAGEREF _Toc406754276 \h </w:instrText>
            </w:r>
            <w:r w:rsidR="00AE08A3">
              <w:rPr>
                <w:noProof/>
                <w:webHidden/>
              </w:rPr>
            </w:r>
            <w:r w:rsidR="00AE08A3">
              <w:rPr>
                <w:noProof/>
                <w:webHidden/>
              </w:rPr>
              <w:fldChar w:fldCharType="separate"/>
            </w:r>
            <w:r w:rsidR="00AE08A3">
              <w:rPr>
                <w:noProof/>
                <w:webHidden/>
              </w:rPr>
              <w:t>20</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77" w:history="1">
            <w:r w:rsidR="00AE08A3" w:rsidRPr="00B94A86">
              <w:rPr>
                <w:rStyle w:val="Hipervnculo"/>
                <w:noProof/>
                <w:lang w:val="es-ES"/>
              </w:rPr>
              <w:t>1.2.2 Población discapacitada en el departamento del Quindío</w:t>
            </w:r>
            <w:r w:rsidR="00AE08A3">
              <w:rPr>
                <w:noProof/>
                <w:webHidden/>
              </w:rPr>
              <w:tab/>
            </w:r>
            <w:r w:rsidR="00AE08A3">
              <w:rPr>
                <w:noProof/>
                <w:webHidden/>
              </w:rPr>
              <w:fldChar w:fldCharType="begin"/>
            </w:r>
            <w:r w:rsidR="00AE08A3">
              <w:rPr>
                <w:noProof/>
                <w:webHidden/>
              </w:rPr>
              <w:instrText xml:space="preserve"> PAGEREF _Toc406754277 \h </w:instrText>
            </w:r>
            <w:r w:rsidR="00AE08A3">
              <w:rPr>
                <w:noProof/>
                <w:webHidden/>
              </w:rPr>
            </w:r>
            <w:r w:rsidR="00AE08A3">
              <w:rPr>
                <w:noProof/>
                <w:webHidden/>
              </w:rPr>
              <w:fldChar w:fldCharType="separate"/>
            </w:r>
            <w:r w:rsidR="00AE08A3">
              <w:rPr>
                <w:noProof/>
                <w:webHidden/>
              </w:rPr>
              <w:t>21</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78" w:history="1">
            <w:r w:rsidR="00AE08A3" w:rsidRPr="00B94A86">
              <w:rPr>
                <w:rStyle w:val="Hipervnculo"/>
                <w:noProof/>
              </w:rPr>
              <w:t>1.3 Migración</w:t>
            </w:r>
            <w:r w:rsidR="00AE08A3">
              <w:rPr>
                <w:noProof/>
                <w:webHidden/>
              </w:rPr>
              <w:tab/>
            </w:r>
            <w:r w:rsidR="00AE08A3">
              <w:rPr>
                <w:noProof/>
                <w:webHidden/>
              </w:rPr>
              <w:fldChar w:fldCharType="begin"/>
            </w:r>
            <w:r w:rsidR="00AE08A3">
              <w:rPr>
                <w:noProof/>
                <w:webHidden/>
              </w:rPr>
              <w:instrText xml:space="preserve"> PAGEREF _Toc406754278 \h </w:instrText>
            </w:r>
            <w:r w:rsidR="00AE08A3">
              <w:rPr>
                <w:noProof/>
                <w:webHidden/>
              </w:rPr>
            </w:r>
            <w:r w:rsidR="00AE08A3">
              <w:rPr>
                <w:noProof/>
                <w:webHidden/>
              </w:rPr>
              <w:fldChar w:fldCharType="separate"/>
            </w:r>
            <w:r w:rsidR="00AE08A3">
              <w:rPr>
                <w:noProof/>
                <w:webHidden/>
              </w:rPr>
              <w:t>23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79" w:history="1">
            <w:r w:rsidR="00AE08A3" w:rsidRPr="00B94A86">
              <w:rPr>
                <w:rStyle w:val="Hipervnculo"/>
                <w:noProof/>
                <w:lang w:val="es-ES"/>
              </w:rPr>
              <w:t>1.4 Necesidades Básicas Insatisfechas: Pobreza e Indigencia</w:t>
            </w:r>
            <w:r w:rsidR="00AE08A3">
              <w:rPr>
                <w:noProof/>
                <w:webHidden/>
              </w:rPr>
              <w:tab/>
            </w:r>
            <w:r w:rsidR="00AE08A3">
              <w:rPr>
                <w:noProof/>
                <w:webHidden/>
              </w:rPr>
              <w:fldChar w:fldCharType="begin"/>
            </w:r>
            <w:r w:rsidR="00AE08A3">
              <w:rPr>
                <w:noProof/>
                <w:webHidden/>
              </w:rPr>
              <w:instrText xml:space="preserve"> PAGEREF _Toc406754279 \h </w:instrText>
            </w:r>
            <w:r w:rsidR="00AE08A3">
              <w:rPr>
                <w:noProof/>
                <w:webHidden/>
              </w:rPr>
            </w:r>
            <w:r w:rsidR="00AE08A3">
              <w:rPr>
                <w:noProof/>
                <w:webHidden/>
              </w:rPr>
              <w:fldChar w:fldCharType="separate"/>
            </w:r>
            <w:r w:rsidR="00AE08A3">
              <w:rPr>
                <w:noProof/>
                <w:webHidden/>
              </w:rPr>
              <w:t>25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80" w:history="1">
            <w:r w:rsidR="00AE08A3" w:rsidRPr="00B94A86">
              <w:rPr>
                <w:rStyle w:val="Hipervnculo"/>
                <w:noProof/>
              </w:rPr>
              <w:t>1.5 Pobreza</w:t>
            </w:r>
            <w:r w:rsidR="00AE08A3">
              <w:rPr>
                <w:noProof/>
                <w:webHidden/>
              </w:rPr>
              <w:tab/>
            </w:r>
            <w:r w:rsidR="00AE08A3">
              <w:rPr>
                <w:noProof/>
                <w:webHidden/>
              </w:rPr>
              <w:fldChar w:fldCharType="begin"/>
            </w:r>
            <w:r w:rsidR="00AE08A3">
              <w:rPr>
                <w:noProof/>
                <w:webHidden/>
              </w:rPr>
              <w:instrText xml:space="preserve"> PAGEREF _Toc406754280 \h </w:instrText>
            </w:r>
            <w:r w:rsidR="00AE08A3">
              <w:rPr>
                <w:noProof/>
                <w:webHidden/>
              </w:rPr>
            </w:r>
            <w:r w:rsidR="00AE08A3">
              <w:rPr>
                <w:noProof/>
                <w:webHidden/>
              </w:rPr>
              <w:fldChar w:fldCharType="separate"/>
            </w:r>
            <w:r w:rsidR="00AE08A3">
              <w:rPr>
                <w:noProof/>
                <w:webHidden/>
              </w:rPr>
              <w:t>28</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81" w:history="1">
            <w:r w:rsidR="00AE08A3" w:rsidRPr="00B94A86">
              <w:rPr>
                <w:rStyle w:val="Hipervnculo"/>
                <w:noProof/>
              </w:rPr>
              <w:t>1.6 Sistema de Identificación de Potenciales Beneficiarios – SISBÉN - NET III</w:t>
            </w:r>
            <w:r w:rsidR="00AE08A3">
              <w:rPr>
                <w:noProof/>
                <w:webHidden/>
              </w:rPr>
              <w:tab/>
            </w:r>
            <w:r w:rsidR="00AE08A3">
              <w:rPr>
                <w:noProof/>
                <w:webHidden/>
              </w:rPr>
              <w:fldChar w:fldCharType="begin"/>
            </w:r>
            <w:r w:rsidR="00AE08A3">
              <w:rPr>
                <w:noProof/>
                <w:webHidden/>
              </w:rPr>
              <w:instrText xml:space="preserve"> PAGEREF _Toc406754281 \h </w:instrText>
            </w:r>
            <w:r w:rsidR="00AE08A3">
              <w:rPr>
                <w:noProof/>
                <w:webHidden/>
              </w:rPr>
            </w:r>
            <w:r w:rsidR="00AE08A3">
              <w:rPr>
                <w:noProof/>
                <w:webHidden/>
              </w:rPr>
              <w:fldChar w:fldCharType="separate"/>
            </w:r>
            <w:r w:rsidR="00AE08A3">
              <w:rPr>
                <w:noProof/>
                <w:webHidden/>
              </w:rPr>
              <w:t>35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82" w:history="1">
            <w:r w:rsidR="00AE08A3" w:rsidRPr="00B94A86">
              <w:rPr>
                <w:rStyle w:val="Hipervnculo"/>
                <w:noProof/>
              </w:rPr>
              <w:t>1.6.1 El SISBÉN en el departamento del Quindío</w:t>
            </w:r>
            <w:r w:rsidR="00AE08A3">
              <w:rPr>
                <w:noProof/>
                <w:webHidden/>
              </w:rPr>
              <w:tab/>
            </w:r>
            <w:r w:rsidR="00AE08A3">
              <w:rPr>
                <w:noProof/>
                <w:webHidden/>
              </w:rPr>
              <w:fldChar w:fldCharType="begin"/>
            </w:r>
            <w:r w:rsidR="00AE08A3">
              <w:rPr>
                <w:noProof/>
                <w:webHidden/>
              </w:rPr>
              <w:instrText xml:space="preserve"> PAGEREF _Toc406754282 \h </w:instrText>
            </w:r>
            <w:r w:rsidR="00AE08A3">
              <w:rPr>
                <w:noProof/>
                <w:webHidden/>
              </w:rPr>
            </w:r>
            <w:r w:rsidR="00AE08A3">
              <w:rPr>
                <w:noProof/>
                <w:webHidden/>
              </w:rPr>
              <w:fldChar w:fldCharType="separate"/>
            </w:r>
            <w:r w:rsidR="00AE08A3">
              <w:rPr>
                <w:noProof/>
                <w:webHidden/>
              </w:rPr>
              <w:t>36</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83" w:history="1">
            <w:r w:rsidR="00AE08A3" w:rsidRPr="00B94A86">
              <w:rPr>
                <w:rStyle w:val="Hipervnculo"/>
                <w:noProof/>
              </w:rPr>
              <w:t>1.7 Estratificación Socioeconómica</w:t>
            </w:r>
            <w:r w:rsidR="00AE08A3">
              <w:rPr>
                <w:noProof/>
                <w:webHidden/>
              </w:rPr>
              <w:tab/>
            </w:r>
            <w:r w:rsidR="00AE08A3">
              <w:rPr>
                <w:noProof/>
                <w:webHidden/>
              </w:rPr>
              <w:fldChar w:fldCharType="begin"/>
            </w:r>
            <w:r w:rsidR="00AE08A3">
              <w:rPr>
                <w:noProof/>
                <w:webHidden/>
              </w:rPr>
              <w:instrText xml:space="preserve"> PAGEREF _Toc406754283 \h </w:instrText>
            </w:r>
            <w:r w:rsidR="00AE08A3">
              <w:rPr>
                <w:noProof/>
                <w:webHidden/>
              </w:rPr>
            </w:r>
            <w:r w:rsidR="00AE08A3">
              <w:rPr>
                <w:noProof/>
                <w:webHidden/>
              </w:rPr>
              <w:fldChar w:fldCharType="separate"/>
            </w:r>
            <w:r w:rsidR="00AE08A3">
              <w:rPr>
                <w:noProof/>
                <w:webHidden/>
              </w:rPr>
              <w:t>39</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84" w:history="1">
            <w:r w:rsidR="00AE08A3" w:rsidRPr="00B94A86">
              <w:rPr>
                <w:rStyle w:val="Hipervnculo"/>
                <w:noProof/>
              </w:rPr>
              <w:t>1.8 Metodología de  Estratificación Socioeconómica Urbana del Quindío.</w:t>
            </w:r>
            <w:r w:rsidR="00AE08A3">
              <w:rPr>
                <w:noProof/>
                <w:webHidden/>
              </w:rPr>
              <w:tab/>
            </w:r>
            <w:r w:rsidR="00AE08A3">
              <w:rPr>
                <w:noProof/>
                <w:webHidden/>
              </w:rPr>
              <w:fldChar w:fldCharType="begin"/>
            </w:r>
            <w:r w:rsidR="00AE08A3">
              <w:rPr>
                <w:noProof/>
                <w:webHidden/>
              </w:rPr>
              <w:instrText xml:space="preserve"> PAGEREF _Toc406754284 \h </w:instrText>
            </w:r>
            <w:r w:rsidR="00AE08A3">
              <w:rPr>
                <w:noProof/>
                <w:webHidden/>
              </w:rPr>
            </w:r>
            <w:r w:rsidR="00AE08A3">
              <w:rPr>
                <w:noProof/>
                <w:webHidden/>
              </w:rPr>
              <w:fldChar w:fldCharType="separate"/>
            </w:r>
            <w:r w:rsidR="00AE08A3">
              <w:rPr>
                <w:noProof/>
                <w:webHidden/>
              </w:rPr>
              <w:t>40</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285" w:history="1">
            <w:r w:rsidR="00AE08A3" w:rsidRPr="00B94A86">
              <w:rPr>
                <w:rStyle w:val="Hipervnculo"/>
                <w:noProof/>
              </w:rPr>
              <w:t>2.    Educación</w:t>
            </w:r>
            <w:r w:rsidR="00AE08A3">
              <w:rPr>
                <w:noProof/>
                <w:webHidden/>
              </w:rPr>
              <w:tab/>
            </w:r>
            <w:r w:rsidR="00AE08A3">
              <w:rPr>
                <w:noProof/>
                <w:webHidden/>
              </w:rPr>
              <w:fldChar w:fldCharType="begin"/>
            </w:r>
            <w:r w:rsidR="00AE08A3">
              <w:rPr>
                <w:noProof/>
                <w:webHidden/>
              </w:rPr>
              <w:instrText xml:space="preserve"> PAGEREF _Toc406754285 \h </w:instrText>
            </w:r>
            <w:r w:rsidR="00AE08A3">
              <w:rPr>
                <w:noProof/>
                <w:webHidden/>
              </w:rPr>
            </w:r>
            <w:r w:rsidR="00AE08A3">
              <w:rPr>
                <w:noProof/>
                <w:webHidden/>
              </w:rPr>
              <w:fldChar w:fldCharType="separate"/>
            </w:r>
            <w:r w:rsidR="00AE08A3">
              <w:rPr>
                <w:noProof/>
                <w:webHidden/>
              </w:rPr>
              <w:t>44</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86" w:history="1">
            <w:r w:rsidR="00AE08A3" w:rsidRPr="00B94A86">
              <w:rPr>
                <w:rStyle w:val="Hipervnculo"/>
                <w:noProof/>
              </w:rPr>
              <w:t>2.1 Educación Básica</w:t>
            </w:r>
            <w:r w:rsidR="00AE08A3">
              <w:rPr>
                <w:noProof/>
                <w:webHidden/>
              </w:rPr>
              <w:tab/>
            </w:r>
            <w:r w:rsidR="00AE08A3">
              <w:rPr>
                <w:noProof/>
                <w:webHidden/>
              </w:rPr>
              <w:fldChar w:fldCharType="begin"/>
            </w:r>
            <w:r w:rsidR="00AE08A3">
              <w:rPr>
                <w:noProof/>
                <w:webHidden/>
              </w:rPr>
              <w:instrText xml:space="preserve"> PAGEREF _Toc406754286 \h </w:instrText>
            </w:r>
            <w:r w:rsidR="00AE08A3">
              <w:rPr>
                <w:noProof/>
                <w:webHidden/>
              </w:rPr>
            </w:r>
            <w:r w:rsidR="00AE08A3">
              <w:rPr>
                <w:noProof/>
                <w:webHidden/>
              </w:rPr>
              <w:fldChar w:fldCharType="separate"/>
            </w:r>
            <w:r w:rsidR="00AE08A3">
              <w:rPr>
                <w:noProof/>
                <w:webHidden/>
              </w:rPr>
              <w:t>45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87" w:history="1">
            <w:r w:rsidR="00AE08A3" w:rsidRPr="00B94A86">
              <w:rPr>
                <w:rStyle w:val="Hipervnculo"/>
                <w:noProof/>
              </w:rPr>
              <w:t>2.2 Tasa de Cobertura Bruta y Neta</w:t>
            </w:r>
            <w:r w:rsidR="00AE08A3">
              <w:rPr>
                <w:noProof/>
                <w:webHidden/>
              </w:rPr>
              <w:tab/>
            </w:r>
            <w:r w:rsidR="00AE08A3">
              <w:rPr>
                <w:noProof/>
                <w:webHidden/>
              </w:rPr>
              <w:fldChar w:fldCharType="begin"/>
            </w:r>
            <w:r w:rsidR="00AE08A3">
              <w:rPr>
                <w:noProof/>
                <w:webHidden/>
              </w:rPr>
              <w:instrText xml:space="preserve"> PAGEREF _Toc406754287 \h </w:instrText>
            </w:r>
            <w:r w:rsidR="00AE08A3">
              <w:rPr>
                <w:noProof/>
                <w:webHidden/>
              </w:rPr>
            </w:r>
            <w:r w:rsidR="00AE08A3">
              <w:rPr>
                <w:noProof/>
                <w:webHidden/>
              </w:rPr>
              <w:fldChar w:fldCharType="separate"/>
            </w:r>
            <w:r w:rsidR="00AE08A3">
              <w:rPr>
                <w:noProof/>
                <w:webHidden/>
              </w:rPr>
              <w:t>47</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88" w:history="1">
            <w:r w:rsidR="00AE08A3" w:rsidRPr="00B94A86">
              <w:rPr>
                <w:rStyle w:val="Hipervnculo"/>
                <w:noProof/>
              </w:rPr>
              <w:t>2.3 Sedes educativas en el Departamento del Quindío.</w:t>
            </w:r>
            <w:r w:rsidR="00AE08A3">
              <w:rPr>
                <w:noProof/>
                <w:webHidden/>
              </w:rPr>
              <w:tab/>
            </w:r>
            <w:r w:rsidR="00AE08A3">
              <w:rPr>
                <w:noProof/>
                <w:webHidden/>
              </w:rPr>
              <w:fldChar w:fldCharType="begin"/>
            </w:r>
            <w:r w:rsidR="00AE08A3">
              <w:rPr>
                <w:noProof/>
                <w:webHidden/>
              </w:rPr>
              <w:instrText xml:space="preserve"> PAGEREF _Toc406754288 \h </w:instrText>
            </w:r>
            <w:r w:rsidR="00AE08A3">
              <w:rPr>
                <w:noProof/>
                <w:webHidden/>
              </w:rPr>
            </w:r>
            <w:r w:rsidR="00AE08A3">
              <w:rPr>
                <w:noProof/>
                <w:webHidden/>
              </w:rPr>
              <w:fldChar w:fldCharType="separate"/>
            </w:r>
            <w:r w:rsidR="00AE08A3">
              <w:rPr>
                <w:noProof/>
                <w:webHidden/>
              </w:rPr>
              <w:t>53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89" w:history="1">
            <w:r w:rsidR="00AE08A3" w:rsidRPr="00B94A86">
              <w:rPr>
                <w:rStyle w:val="Hipervnculo"/>
                <w:noProof/>
              </w:rPr>
              <w:t>2.4 Calidad de la educación básica y media</w:t>
            </w:r>
            <w:r w:rsidR="00AE08A3">
              <w:rPr>
                <w:noProof/>
                <w:webHidden/>
              </w:rPr>
              <w:tab/>
            </w:r>
            <w:r w:rsidR="00AE08A3">
              <w:rPr>
                <w:noProof/>
                <w:webHidden/>
              </w:rPr>
              <w:fldChar w:fldCharType="begin"/>
            </w:r>
            <w:r w:rsidR="00AE08A3">
              <w:rPr>
                <w:noProof/>
                <w:webHidden/>
              </w:rPr>
              <w:instrText xml:space="preserve"> PAGEREF _Toc406754289 \h </w:instrText>
            </w:r>
            <w:r w:rsidR="00AE08A3">
              <w:rPr>
                <w:noProof/>
                <w:webHidden/>
              </w:rPr>
            </w:r>
            <w:r w:rsidR="00AE08A3">
              <w:rPr>
                <w:noProof/>
                <w:webHidden/>
              </w:rPr>
              <w:fldChar w:fldCharType="separate"/>
            </w:r>
            <w:r w:rsidR="00AE08A3">
              <w:rPr>
                <w:noProof/>
                <w:webHidden/>
              </w:rPr>
              <w:t>55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90" w:history="1">
            <w:r w:rsidR="00AE08A3" w:rsidRPr="00B94A86">
              <w:rPr>
                <w:rStyle w:val="Hipervnculo"/>
                <w:noProof/>
              </w:rPr>
              <w:t>2.4.1 Promedio y niveles de desempeño  pruebas saber. Grado 3º</w:t>
            </w:r>
            <w:r w:rsidR="00AE08A3">
              <w:rPr>
                <w:noProof/>
                <w:webHidden/>
              </w:rPr>
              <w:tab/>
            </w:r>
            <w:r w:rsidR="00AE08A3">
              <w:rPr>
                <w:noProof/>
                <w:webHidden/>
              </w:rPr>
              <w:fldChar w:fldCharType="begin"/>
            </w:r>
            <w:r w:rsidR="00AE08A3">
              <w:rPr>
                <w:noProof/>
                <w:webHidden/>
              </w:rPr>
              <w:instrText xml:space="preserve"> PAGEREF _Toc406754290 \h </w:instrText>
            </w:r>
            <w:r w:rsidR="00AE08A3">
              <w:rPr>
                <w:noProof/>
                <w:webHidden/>
              </w:rPr>
            </w:r>
            <w:r w:rsidR="00AE08A3">
              <w:rPr>
                <w:noProof/>
                <w:webHidden/>
              </w:rPr>
              <w:fldChar w:fldCharType="separate"/>
            </w:r>
            <w:r w:rsidR="00AE08A3">
              <w:rPr>
                <w:noProof/>
                <w:webHidden/>
              </w:rPr>
              <w:t>55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91" w:history="1">
            <w:r w:rsidR="00AE08A3" w:rsidRPr="00B94A86">
              <w:rPr>
                <w:rStyle w:val="Hipervnculo"/>
                <w:noProof/>
              </w:rPr>
              <w:t>2.4.2 Promedio y niveles de desempeño  pruebas saber. Grado 5º</w:t>
            </w:r>
            <w:r w:rsidR="00AE08A3">
              <w:rPr>
                <w:noProof/>
                <w:webHidden/>
              </w:rPr>
              <w:tab/>
            </w:r>
            <w:r w:rsidR="00AE08A3">
              <w:rPr>
                <w:noProof/>
                <w:webHidden/>
              </w:rPr>
              <w:fldChar w:fldCharType="begin"/>
            </w:r>
            <w:r w:rsidR="00AE08A3">
              <w:rPr>
                <w:noProof/>
                <w:webHidden/>
              </w:rPr>
              <w:instrText xml:space="preserve"> PAGEREF _Toc406754291 \h </w:instrText>
            </w:r>
            <w:r w:rsidR="00AE08A3">
              <w:rPr>
                <w:noProof/>
                <w:webHidden/>
              </w:rPr>
            </w:r>
            <w:r w:rsidR="00AE08A3">
              <w:rPr>
                <w:noProof/>
                <w:webHidden/>
              </w:rPr>
              <w:fldChar w:fldCharType="separate"/>
            </w:r>
            <w:r w:rsidR="00AE08A3">
              <w:rPr>
                <w:noProof/>
                <w:webHidden/>
              </w:rPr>
              <w:t>57</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92" w:history="1">
            <w:r w:rsidR="00AE08A3" w:rsidRPr="00B94A86">
              <w:rPr>
                <w:rStyle w:val="Hipervnculo"/>
                <w:noProof/>
              </w:rPr>
              <w:t>2.4.3 Promedio y niveles de desempeño en las pruebas Saber 2012 – Grado 9º</w:t>
            </w:r>
            <w:r w:rsidR="00AE08A3">
              <w:rPr>
                <w:noProof/>
                <w:webHidden/>
              </w:rPr>
              <w:tab/>
            </w:r>
            <w:r w:rsidR="00AE08A3">
              <w:rPr>
                <w:noProof/>
                <w:webHidden/>
              </w:rPr>
              <w:fldChar w:fldCharType="begin"/>
            </w:r>
            <w:r w:rsidR="00AE08A3">
              <w:rPr>
                <w:noProof/>
                <w:webHidden/>
              </w:rPr>
              <w:instrText xml:space="preserve"> PAGEREF _Toc406754292 \h </w:instrText>
            </w:r>
            <w:r w:rsidR="00AE08A3">
              <w:rPr>
                <w:noProof/>
                <w:webHidden/>
              </w:rPr>
            </w:r>
            <w:r w:rsidR="00AE08A3">
              <w:rPr>
                <w:noProof/>
                <w:webHidden/>
              </w:rPr>
              <w:fldChar w:fldCharType="separate"/>
            </w:r>
            <w:r w:rsidR="00AE08A3">
              <w:rPr>
                <w:noProof/>
                <w:webHidden/>
              </w:rPr>
              <w:t>59</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93" w:history="1">
            <w:r w:rsidR="00AE08A3" w:rsidRPr="00B94A86">
              <w:rPr>
                <w:rStyle w:val="Hipervnculo"/>
                <w:noProof/>
              </w:rPr>
              <w:t>2.4.4 Pruebas saber grado 11º año 2013 en el departamento del Quindío</w:t>
            </w:r>
            <w:r w:rsidR="00AE08A3">
              <w:rPr>
                <w:noProof/>
                <w:webHidden/>
              </w:rPr>
              <w:tab/>
            </w:r>
            <w:r w:rsidR="00AE08A3">
              <w:rPr>
                <w:noProof/>
                <w:webHidden/>
              </w:rPr>
              <w:fldChar w:fldCharType="begin"/>
            </w:r>
            <w:r w:rsidR="00AE08A3">
              <w:rPr>
                <w:noProof/>
                <w:webHidden/>
              </w:rPr>
              <w:instrText xml:space="preserve"> PAGEREF _Toc406754293 \h </w:instrText>
            </w:r>
            <w:r w:rsidR="00AE08A3">
              <w:rPr>
                <w:noProof/>
                <w:webHidden/>
              </w:rPr>
            </w:r>
            <w:r w:rsidR="00AE08A3">
              <w:rPr>
                <w:noProof/>
                <w:webHidden/>
              </w:rPr>
              <w:fldChar w:fldCharType="separate"/>
            </w:r>
            <w:r w:rsidR="00AE08A3">
              <w:rPr>
                <w:noProof/>
                <w:webHidden/>
              </w:rPr>
              <w:t>61</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94" w:history="1">
            <w:r w:rsidR="00AE08A3" w:rsidRPr="00B94A86">
              <w:rPr>
                <w:rStyle w:val="Hipervnculo"/>
                <w:noProof/>
              </w:rPr>
              <w:t>2.4.5 Pruebas SABER Grado 11º área de inglés.</w:t>
            </w:r>
            <w:r w:rsidR="00AE08A3">
              <w:rPr>
                <w:noProof/>
                <w:webHidden/>
              </w:rPr>
              <w:tab/>
            </w:r>
            <w:r w:rsidR="00AE08A3">
              <w:rPr>
                <w:noProof/>
                <w:webHidden/>
              </w:rPr>
              <w:fldChar w:fldCharType="begin"/>
            </w:r>
            <w:r w:rsidR="00AE08A3">
              <w:rPr>
                <w:noProof/>
                <w:webHidden/>
              </w:rPr>
              <w:instrText xml:space="preserve"> PAGEREF _Toc406754294 \h </w:instrText>
            </w:r>
            <w:r w:rsidR="00AE08A3">
              <w:rPr>
                <w:noProof/>
                <w:webHidden/>
              </w:rPr>
            </w:r>
            <w:r w:rsidR="00AE08A3">
              <w:rPr>
                <w:noProof/>
                <w:webHidden/>
              </w:rPr>
              <w:fldChar w:fldCharType="separate"/>
            </w:r>
            <w:r w:rsidR="00AE08A3">
              <w:rPr>
                <w:noProof/>
                <w:webHidden/>
              </w:rPr>
              <w:t>63</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295" w:history="1">
            <w:r w:rsidR="00AE08A3" w:rsidRPr="00B94A86">
              <w:rPr>
                <w:rStyle w:val="Hipervnculo"/>
                <w:noProof/>
              </w:rPr>
              <w:t>3.  Servicios Públicos</w:t>
            </w:r>
            <w:r w:rsidR="00AE08A3">
              <w:rPr>
                <w:noProof/>
                <w:webHidden/>
              </w:rPr>
              <w:tab/>
            </w:r>
            <w:r w:rsidR="00AE08A3">
              <w:rPr>
                <w:noProof/>
                <w:webHidden/>
              </w:rPr>
              <w:fldChar w:fldCharType="begin"/>
            </w:r>
            <w:r w:rsidR="00AE08A3">
              <w:rPr>
                <w:noProof/>
                <w:webHidden/>
              </w:rPr>
              <w:instrText xml:space="preserve"> PAGEREF _Toc406754295 \h </w:instrText>
            </w:r>
            <w:r w:rsidR="00AE08A3">
              <w:rPr>
                <w:noProof/>
                <w:webHidden/>
              </w:rPr>
            </w:r>
            <w:r w:rsidR="00AE08A3">
              <w:rPr>
                <w:noProof/>
                <w:webHidden/>
              </w:rPr>
              <w:fldChar w:fldCharType="separate"/>
            </w:r>
            <w:r w:rsidR="00AE08A3">
              <w:rPr>
                <w:noProof/>
                <w:webHidden/>
              </w:rPr>
              <w:t>64</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96" w:history="1">
            <w:r w:rsidR="00AE08A3" w:rsidRPr="00B94A86">
              <w:rPr>
                <w:rStyle w:val="Hipervnculo"/>
                <w:noProof/>
              </w:rPr>
              <w:t>3.1 Energía Eléctrica</w:t>
            </w:r>
            <w:r w:rsidR="00AE08A3">
              <w:rPr>
                <w:noProof/>
                <w:webHidden/>
              </w:rPr>
              <w:tab/>
            </w:r>
            <w:r w:rsidR="00AE08A3">
              <w:rPr>
                <w:noProof/>
                <w:webHidden/>
              </w:rPr>
              <w:fldChar w:fldCharType="begin"/>
            </w:r>
            <w:r w:rsidR="00AE08A3">
              <w:rPr>
                <w:noProof/>
                <w:webHidden/>
              </w:rPr>
              <w:instrText xml:space="preserve"> PAGEREF _Toc406754296 \h </w:instrText>
            </w:r>
            <w:r w:rsidR="00AE08A3">
              <w:rPr>
                <w:noProof/>
                <w:webHidden/>
              </w:rPr>
            </w:r>
            <w:r w:rsidR="00AE08A3">
              <w:rPr>
                <w:noProof/>
                <w:webHidden/>
              </w:rPr>
              <w:fldChar w:fldCharType="separate"/>
            </w:r>
            <w:r w:rsidR="00AE08A3">
              <w:rPr>
                <w:noProof/>
                <w:webHidden/>
              </w:rPr>
              <w:t>66</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97" w:history="1">
            <w:r w:rsidR="00AE08A3" w:rsidRPr="00B94A86">
              <w:rPr>
                <w:rStyle w:val="Hipervnculo"/>
                <w:noProof/>
              </w:rPr>
              <w:t>3.2 Gas Domiciliario</w:t>
            </w:r>
            <w:r w:rsidR="00AE08A3">
              <w:rPr>
                <w:noProof/>
                <w:webHidden/>
              </w:rPr>
              <w:tab/>
            </w:r>
            <w:r w:rsidR="00AE08A3">
              <w:rPr>
                <w:noProof/>
                <w:webHidden/>
              </w:rPr>
              <w:fldChar w:fldCharType="begin"/>
            </w:r>
            <w:r w:rsidR="00AE08A3">
              <w:rPr>
                <w:noProof/>
                <w:webHidden/>
              </w:rPr>
              <w:instrText xml:space="preserve"> PAGEREF _Toc406754297 \h </w:instrText>
            </w:r>
            <w:r w:rsidR="00AE08A3">
              <w:rPr>
                <w:noProof/>
                <w:webHidden/>
              </w:rPr>
            </w:r>
            <w:r w:rsidR="00AE08A3">
              <w:rPr>
                <w:noProof/>
                <w:webHidden/>
              </w:rPr>
              <w:fldChar w:fldCharType="separate"/>
            </w:r>
            <w:r w:rsidR="00AE08A3">
              <w:rPr>
                <w:noProof/>
                <w:webHidden/>
              </w:rPr>
              <w:t>70</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98" w:history="1">
            <w:r w:rsidR="00AE08A3" w:rsidRPr="00B94A86">
              <w:rPr>
                <w:rStyle w:val="Hipervnculo"/>
                <w:noProof/>
              </w:rPr>
              <w:t>3.3 Acueducto, Alcantarillado y  Aseo</w:t>
            </w:r>
            <w:r w:rsidR="00AE08A3">
              <w:rPr>
                <w:noProof/>
                <w:webHidden/>
              </w:rPr>
              <w:tab/>
            </w:r>
            <w:r w:rsidR="00AE08A3">
              <w:rPr>
                <w:noProof/>
                <w:webHidden/>
              </w:rPr>
              <w:fldChar w:fldCharType="begin"/>
            </w:r>
            <w:r w:rsidR="00AE08A3">
              <w:rPr>
                <w:noProof/>
                <w:webHidden/>
              </w:rPr>
              <w:instrText xml:space="preserve"> PAGEREF _Toc406754298 \h </w:instrText>
            </w:r>
            <w:r w:rsidR="00AE08A3">
              <w:rPr>
                <w:noProof/>
                <w:webHidden/>
              </w:rPr>
            </w:r>
            <w:r w:rsidR="00AE08A3">
              <w:rPr>
                <w:noProof/>
                <w:webHidden/>
              </w:rPr>
              <w:fldChar w:fldCharType="separate"/>
            </w:r>
            <w:r w:rsidR="00AE08A3">
              <w:rPr>
                <w:noProof/>
                <w:webHidden/>
              </w:rPr>
              <w:t>73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299" w:history="1">
            <w:r w:rsidR="00AE08A3" w:rsidRPr="00B94A86">
              <w:rPr>
                <w:rStyle w:val="Hipervnculo"/>
                <w:noProof/>
              </w:rPr>
              <w:t>3.3.1 Programa Agua y Saneamiento Para La Prosperidad – Plan Departamental de Aguas PAP-PDA</w:t>
            </w:r>
            <w:r w:rsidR="00AE08A3">
              <w:rPr>
                <w:noProof/>
                <w:webHidden/>
              </w:rPr>
              <w:tab/>
            </w:r>
            <w:r w:rsidR="00AE08A3">
              <w:rPr>
                <w:noProof/>
                <w:webHidden/>
              </w:rPr>
              <w:fldChar w:fldCharType="begin"/>
            </w:r>
            <w:r w:rsidR="00AE08A3">
              <w:rPr>
                <w:noProof/>
                <w:webHidden/>
              </w:rPr>
              <w:instrText xml:space="preserve"> PAGEREF _Toc406754299 \h </w:instrText>
            </w:r>
            <w:r w:rsidR="00AE08A3">
              <w:rPr>
                <w:noProof/>
                <w:webHidden/>
              </w:rPr>
            </w:r>
            <w:r w:rsidR="00AE08A3">
              <w:rPr>
                <w:noProof/>
                <w:webHidden/>
              </w:rPr>
              <w:fldChar w:fldCharType="separate"/>
            </w:r>
            <w:r w:rsidR="00AE08A3">
              <w:rPr>
                <w:noProof/>
                <w:webHidden/>
              </w:rPr>
              <w:t>73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00" w:history="1">
            <w:r w:rsidR="00AE08A3" w:rsidRPr="00B94A86">
              <w:rPr>
                <w:rStyle w:val="Hipervnculo"/>
                <w:noProof/>
              </w:rPr>
              <w:t>3.3.2 Acueducto y Alcantarillado</w:t>
            </w:r>
            <w:r w:rsidR="00AE08A3">
              <w:rPr>
                <w:noProof/>
                <w:webHidden/>
              </w:rPr>
              <w:tab/>
            </w:r>
            <w:r w:rsidR="00AE08A3">
              <w:rPr>
                <w:noProof/>
                <w:webHidden/>
              </w:rPr>
              <w:fldChar w:fldCharType="begin"/>
            </w:r>
            <w:r w:rsidR="00AE08A3">
              <w:rPr>
                <w:noProof/>
                <w:webHidden/>
              </w:rPr>
              <w:instrText xml:space="preserve"> PAGEREF _Toc406754300 \h </w:instrText>
            </w:r>
            <w:r w:rsidR="00AE08A3">
              <w:rPr>
                <w:noProof/>
                <w:webHidden/>
              </w:rPr>
            </w:r>
            <w:r w:rsidR="00AE08A3">
              <w:rPr>
                <w:noProof/>
                <w:webHidden/>
              </w:rPr>
              <w:fldChar w:fldCharType="separate"/>
            </w:r>
            <w:r w:rsidR="00AE08A3">
              <w:rPr>
                <w:noProof/>
                <w:webHidden/>
              </w:rPr>
              <w:t>75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01" w:history="1">
            <w:r w:rsidR="00AE08A3" w:rsidRPr="00B94A86">
              <w:rPr>
                <w:rStyle w:val="Hipervnculo"/>
                <w:noProof/>
              </w:rPr>
              <w:t>3.4 Aseo</w:t>
            </w:r>
            <w:r w:rsidR="00AE08A3">
              <w:rPr>
                <w:noProof/>
                <w:webHidden/>
              </w:rPr>
              <w:tab/>
            </w:r>
            <w:r w:rsidR="00AE08A3">
              <w:rPr>
                <w:noProof/>
                <w:webHidden/>
              </w:rPr>
              <w:fldChar w:fldCharType="begin"/>
            </w:r>
            <w:r w:rsidR="00AE08A3">
              <w:rPr>
                <w:noProof/>
                <w:webHidden/>
              </w:rPr>
              <w:instrText xml:space="preserve"> PAGEREF _Toc406754301 \h </w:instrText>
            </w:r>
            <w:r w:rsidR="00AE08A3">
              <w:rPr>
                <w:noProof/>
                <w:webHidden/>
              </w:rPr>
            </w:r>
            <w:r w:rsidR="00AE08A3">
              <w:rPr>
                <w:noProof/>
                <w:webHidden/>
              </w:rPr>
              <w:fldChar w:fldCharType="separate"/>
            </w:r>
            <w:r w:rsidR="00AE08A3">
              <w:rPr>
                <w:noProof/>
                <w:webHidden/>
              </w:rPr>
              <w:t>79</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02" w:history="1">
            <w:r w:rsidR="00AE08A3" w:rsidRPr="00B94A86">
              <w:rPr>
                <w:rStyle w:val="Hipervnculo"/>
                <w:noProof/>
              </w:rPr>
              <w:t>4.   Transporte</w:t>
            </w:r>
            <w:r w:rsidR="00AE08A3">
              <w:rPr>
                <w:noProof/>
                <w:webHidden/>
              </w:rPr>
              <w:tab/>
            </w:r>
            <w:r w:rsidR="00AE08A3">
              <w:rPr>
                <w:noProof/>
                <w:webHidden/>
              </w:rPr>
              <w:fldChar w:fldCharType="begin"/>
            </w:r>
            <w:r w:rsidR="00AE08A3">
              <w:rPr>
                <w:noProof/>
                <w:webHidden/>
              </w:rPr>
              <w:instrText xml:space="preserve"> PAGEREF _Toc406754302 \h </w:instrText>
            </w:r>
            <w:r w:rsidR="00AE08A3">
              <w:rPr>
                <w:noProof/>
                <w:webHidden/>
              </w:rPr>
            </w:r>
            <w:r w:rsidR="00AE08A3">
              <w:rPr>
                <w:noProof/>
                <w:webHidden/>
              </w:rPr>
              <w:fldChar w:fldCharType="separate"/>
            </w:r>
            <w:r w:rsidR="00AE08A3">
              <w:rPr>
                <w:noProof/>
                <w:webHidden/>
              </w:rPr>
              <w:t>80</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03" w:history="1">
            <w:r w:rsidR="00AE08A3" w:rsidRPr="00B94A86">
              <w:rPr>
                <w:rStyle w:val="Hipervnculo"/>
                <w:noProof/>
              </w:rPr>
              <w:t>4.1 Parque Automotor</w:t>
            </w:r>
            <w:r w:rsidR="00AE08A3">
              <w:rPr>
                <w:noProof/>
                <w:webHidden/>
              </w:rPr>
              <w:tab/>
            </w:r>
            <w:r w:rsidR="00AE08A3">
              <w:rPr>
                <w:noProof/>
                <w:webHidden/>
              </w:rPr>
              <w:fldChar w:fldCharType="begin"/>
            </w:r>
            <w:r w:rsidR="00AE08A3">
              <w:rPr>
                <w:noProof/>
                <w:webHidden/>
              </w:rPr>
              <w:instrText xml:space="preserve"> PAGEREF _Toc406754303 \h </w:instrText>
            </w:r>
            <w:r w:rsidR="00AE08A3">
              <w:rPr>
                <w:noProof/>
                <w:webHidden/>
              </w:rPr>
            </w:r>
            <w:r w:rsidR="00AE08A3">
              <w:rPr>
                <w:noProof/>
                <w:webHidden/>
              </w:rPr>
              <w:fldChar w:fldCharType="separate"/>
            </w:r>
            <w:r w:rsidR="00AE08A3">
              <w:rPr>
                <w:noProof/>
                <w:webHidden/>
              </w:rPr>
              <w:t>81</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04" w:history="1">
            <w:r w:rsidR="00AE08A3" w:rsidRPr="00B94A86">
              <w:rPr>
                <w:rStyle w:val="Hipervnculo"/>
                <w:noProof/>
              </w:rPr>
              <w:t>4.2 Movimiento del parque automotor</w:t>
            </w:r>
            <w:r w:rsidR="00AE08A3">
              <w:rPr>
                <w:noProof/>
                <w:webHidden/>
              </w:rPr>
              <w:tab/>
            </w:r>
            <w:r w:rsidR="00AE08A3">
              <w:rPr>
                <w:noProof/>
                <w:webHidden/>
              </w:rPr>
              <w:fldChar w:fldCharType="begin"/>
            </w:r>
            <w:r w:rsidR="00AE08A3">
              <w:rPr>
                <w:noProof/>
                <w:webHidden/>
              </w:rPr>
              <w:instrText xml:space="preserve"> PAGEREF _Toc406754304 \h </w:instrText>
            </w:r>
            <w:r w:rsidR="00AE08A3">
              <w:rPr>
                <w:noProof/>
                <w:webHidden/>
              </w:rPr>
            </w:r>
            <w:r w:rsidR="00AE08A3">
              <w:rPr>
                <w:noProof/>
                <w:webHidden/>
              </w:rPr>
              <w:fldChar w:fldCharType="separate"/>
            </w:r>
            <w:r w:rsidR="00AE08A3">
              <w:rPr>
                <w:noProof/>
                <w:webHidden/>
              </w:rPr>
              <w:t>82</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05" w:history="1">
            <w:r w:rsidR="00AE08A3" w:rsidRPr="00B94A86">
              <w:rPr>
                <w:rStyle w:val="Hipervnculo"/>
                <w:noProof/>
              </w:rPr>
              <w:t>4.3 Accidentalidad</w:t>
            </w:r>
            <w:r w:rsidR="00AE08A3">
              <w:rPr>
                <w:noProof/>
                <w:webHidden/>
              </w:rPr>
              <w:tab/>
            </w:r>
            <w:r w:rsidR="00AE08A3">
              <w:rPr>
                <w:noProof/>
                <w:webHidden/>
              </w:rPr>
              <w:fldChar w:fldCharType="begin"/>
            </w:r>
            <w:r w:rsidR="00AE08A3">
              <w:rPr>
                <w:noProof/>
                <w:webHidden/>
              </w:rPr>
              <w:instrText xml:space="preserve"> PAGEREF _Toc406754305 \h </w:instrText>
            </w:r>
            <w:r w:rsidR="00AE08A3">
              <w:rPr>
                <w:noProof/>
                <w:webHidden/>
              </w:rPr>
            </w:r>
            <w:r w:rsidR="00AE08A3">
              <w:rPr>
                <w:noProof/>
                <w:webHidden/>
              </w:rPr>
              <w:fldChar w:fldCharType="separate"/>
            </w:r>
            <w:r w:rsidR="00AE08A3">
              <w:rPr>
                <w:noProof/>
                <w:webHidden/>
              </w:rPr>
              <w:t>83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06" w:history="1">
            <w:r w:rsidR="00AE08A3" w:rsidRPr="00B94A86">
              <w:rPr>
                <w:rStyle w:val="Hipervnculo"/>
                <w:noProof/>
              </w:rPr>
              <w:t>4.4 Primeras causas de accidentes de tránsito</w:t>
            </w:r>
            <w:r w:rsidR="00AE08A3">
              <w:rPr>
                <w:noProof/>
                <w:webHidden/>
              </w:rPr>
              <w:tab/>
            </w:r>
            <w:r w:rsidR="00AE08A3">
              <w:rPr>
                <w:noProof/>
                <w:webHidden/>
              </w:rPr>
              <w:fldChar w:fldCharType="begin"/>
            </w:r>
            <w:r w:rsidR="00AE08A3">
              <w:rPr>
                <w:noProof/>
                <w:webHidden/>
              </w:rPr>
              <w:instrText xml:space="preserve"> PAGEREF _Toc406754306 \h </w:instrText>
            </w:r>
            <w:r w:rsidR="00AE08A3">
              <w:rPr>
                <w:noProof/>
                <w:webHidden/>
              </w:rPr>
            </w:r>
            <w:r w:rsidR="00AE08A3">
              <w:rPr>
                <w:noProof/>
                <w:webHidden/>
              </w:rPr>
              <w:fldChar w:fldCharType="separate"/>
            </w:r>
            <w:r w:rsidR="00AE08A3">
              <w:rPr>
                <w:noProof/>
                <w:webHidden/>
              </w:rPr>
              <w:t>85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07" w:history="1">
            <w:r w:rsidR="00AE08A3" w:rsidRPr="00B94A86">
              <w:rPr>
                <w:rStyle w:val="Hipervnculo"/>
                <w:noProof/>
              </w:rPr>
              <w:t>4.5 Transporte de Pasajeros</w:t>
            </w:r>
            <w:r w:rsidR="00AE08A3">
              <w:rPr>
                <w:noProof/>
                <w:webHidden/>
              </w:rPr>
              <w:tab/>
            </w:r>
            <w:r w:rsidR="00AE08A3">
              <w:rPr>
                <w:noProof/>
                <w:webHidden/>
              </w:rPr>
              <w:fldChar w:fldCharType="begin"/>
            </w:r>
            <w:r w:rsidR="00AE08A3">
              <w:rPr>
                <w:noProof/>
                <w:webHidden/>
              </w:rPr>
              <w:instrText xml:space="preserve"> PAGEREF _Toc406754307 \h </w:instrText>
            </w:r>
            <w:r w:rsidR="00AE08A3">
              <w:rPr>
                <w:noProof/>
                <w:webHidden/>
              </w:rPr>
            </w:r>
            <w:r w:rsidR="00AE08A3">
              <w:rPr>
                <w:noProof/>
                <w:webHidden/>
              </w:rPr>
              <w:fldChar w:fldCharType="separate"/>
            </w:r>
            <w:r w:rsidR="00AE08A3">
              <w:rPr>
                <w:noProof/>
                <w:webHidden/>
              </w:rPr>
              <w:t>86</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08" w:history="1">
            <w:r w:rsidR="00AE08A3" w:rsidRPr="00B94A86">
              <w:rPr>
                <w:rStyle w:val="Hipervnculo"/>
                <w:noProof/>
              </w:rPr>
              <w:t>4.5.1 Transporte Aéreo</w:t>
            </w:r>
            <w:r w:rsidR="00AE08A3">
              <w:rPr>
                <w:noProof/>
                <w:webHidden/>
              </w:rPr>
              <w:tab/>
            </w:r>
            <w:r w:rsidR="00AE08A3">
              <w:rPr>
                <w:noProof/>
                <w:webHidden/>
              </w:rPr>
              <w:fldChar w:fldCharType="begin"/>
            </w:r>
            <w:r w:rsidR="00AE08A3">
              <w:rPr>
                <w:noProof/>
                <w:webHidden/>
              </w:rPr>
              <w:instrText xml:space="preserve"> PAGEREF _Toc406754308 \h </w:instrText>
            </w:r>
            <w:r w:rsidR="00AE08A3">
              <w:rPr>
                <w:noProof/>
                <w:webHidden/>
              </w:rPr>
            </w:r>
            <w:r w:rsidR="00AE08A3">
              <w:rPr>
                <w:noProof/>
                <w:webHidden/>
              </w:rPr>
              <w:fldChar w:fldCharType="separate"/>
            </w:r>
            <w:r w:rsidR="00AE08A3">
              <w:rPr>
                <w:noProof/>
                <w:webHidden/>
              </w:rPr>
              <w:t>87</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09" w:history="1">
            <w:r w:rsidR="00AE08A3" w:rsidRPr="00B94A86">
              <w:rPr>
                <w:rStyle w:val="Hipervnculo"/>
                <w:noProof/>
              </w:rPr>
              <w:t>5. Vivienda y Construcción</w:t>
            </w:r>
            <w:r w:rsidR="00AE08A3">
              <w:rPr>
                <w:noProof/>
                <w:webHidden/>
              </w:rPr>
              <w:tab/>
            </w:r>
            <w:r w:rsidR="00AE08A3">
              <w:rPr>
                <w:noProof/>
                <w:webHidden/>
              </w:rPr>
              <w:fldChar w:fldCharType="begin"/>
            </w:r>
            <w:r w:rsidR="00AE08A3">
              <w:rPr>
                <w:noProof/>
                <w:webHidden/>
              </w:rPr>
              <w:instrText xml:space="preserve"> PAGEREF _Toc406754309 \h </w:instrText>
            </w:r>
            <w:r w:rsidR="00AE08A3">
              <w:rPr>
                <w:noProof/>
                <w:webHidden/>
              </w:rPr>
            </w:r>
            <w:r w:rsidR="00AE08A3">
              <w:rPr>
                <w:noProof/>
                <w:webHidden/>
              </w:rPr>
              <w:fldChar w:fldCharType="separate"/>
            </w:r>
            <w:r w:rsidR="00AE08A3">
              <w:rPr>
                <w:noProof/>
                <w:webHidden/>
              </w:rPr>
              <w:t>89</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10" w:history="1">
            <w:r w:rsidR="00AE08A3" w:rsidRPr="00B94A86">
              <w:rPr>
                <w:rStyle w:val="Hipervnculo"/>
                <w:noProof/>
              </w:rPr>
              <w:t>5.1 Índice de Costos de la Construcción de Vivienda -ICCV</w:t>
            </w:r>
            <w:r w:rsidR="00AE08A3">
              <w:rPr>
                <w:noProof/>
                <w:webHidden/>
              </w:rPr>
              <w:tab/>
            </w:r>
            <w:r w:rsidR="00AE08A3">
              <w:rPr>
                <w:noProof/>
                <w:webHidden/>
              </w:rPr>
              <w:fldChar w:fldCharType="begin"/>
            </w:r>
            <w:r w:rsidR="00AE08A3">
              <w:rPr>
                <w:noProof/>
                <w:webHidden/>
              </w:rPr>
              <w:instrText xml:space="preserve"> PAGEREF _Toc406754310 \h </w:instrText>
            </w:r>
            <w:r w:rsidR="00AE08A3">
              <w:rPr>
                <w:noProof/>
                <w:webHidden/>
              </w:rPr>
            </w:r>
            <w:r w:rsidR="00AE08A3">
              <w:rPr>
                <w:noProof/>
                <w:webHidden/>
              </w:rPr>
              <w:fldChar w:fldCharType="separate"/>
            </w:r>
            <w:r w:rsidR="00AE08A3">
              <w:rPr>
                <w:noProof/>
                <w:webHidden/>
              </w:rPr>
              <w:t>90</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11" w:history="1">
            <w:r w:rsidR="00AE08A3" w:rsidRPr="00B94A86">
              <w:rPr>
                <w:rStyle w:val="Hipervnculo"/>
                <w:noProof/>
                <w:lang w:eastAsia="es-ES"/>
              </w:rPr>
              <w:t>6. Comercio Exterior</w:t>
            </w:r>
            <w:r w:rsidR="00AE08A3">
              <w:rPr>
                <w:noProof/>
                <w:webHidden/>
              </w:rPr>
              <w:tab/>
            </w:r>
            <w:r w:rsidR="00AE08A3">
              <w:rPr>
                <w:noProof/>
                <w:webHidden/>
              </w:rPr>
              <w:fldChar w:fldCharType="begin"/>
            </w:r>
            <w:r w:rsidR="00AE08A3">
              <w:rPr>
                <w:noProof/>
                <w:webHidden/>
              </w:rPr>
              <w:instrText xml:space="preserve"> PAGEREF _Toc406754311 \h </w:instrText>
            </w:r>
            <w:r w:rsidR="00AE08A3">
              <w:rPr>
                <w:noProof/>
                <w:webHidden/>
              </w:rPr>
            </w:r>
            <w:r w:rsidR="00AE08A3">
              <w:rPr>
                <w:noProof/>
                <w:webHidden/>
              </w:rPr>
              <w:fldChar w:fldCharType="separate"/>
            </w:r>
            <w:r w:rsidR="00AE08A3">
              <w:rPr>
                <w:noProof/>
                <w:webHidden/>
              </w:rPr>
              <w:t>102</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12" w:history="1">
            <w:r w:rsidR="00AE08A3" w:rsidRPr="00B94A86">
              <w:rPr>
                <w:rStyle w:val="Hipervnculo"/>
                <w:noProof/>
                <w:lang w:val="es-ES"/>
              </w:rPr>
              <w:t>6.1 Exportaciones</w:t>
            </w:r>
            <w:r w:rsidR="00AE08A3">
              <w:rPr>
                <w:noProof/>
                <w:webHidden/>
              </w:rPr>
              <w:tab/>
            </w:r>
            <w:r w:rsidR="00AE08A3">
              <w:rPr>
                <w:noProof/>
                <w:webHidden/>
              </w:rPr>
              <w:fldChar w:fldCharType="begin"/>
            </w:r>
            <w:r w:rsidR="00AE08A3">
              <w:rPr>
                <w:noProof/>
                <w:webHidden/>
              </w:rPr>
              <w:instrText xml:space="preserve"> PAGEREF _Toc406754312 \h </w:instrText>
            </w:r>
            <w:r w:rsidR="00AE08A3">
              <w:rPr>
                <w:noProof/>
                <w:webHidden/>
              </w:rPr>
            </w:r>
            <w:r w:rsidR="00AE08A3">
              <w:rPr>
                <w:noProof/>
                <w:webHidden/>
              </w:rPr>
              <w:fldChar w:fldCharType="separate"/>
            </w:r>
            <w:r w:rsidR="00AE08A3">
              <w:rPr>
                <w:noProof/>
                <w:webHidden/>
              </w:rPr>
              <w:t>103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13" w:history="1">
            <w:r w:rsidR="00AE08A3" w:rsidRPr="00B94A86">
              <w:rPr>
                <w:rStyle w:val="Hipervnculo"/>
                <w:noProof/>
                <w:lang w:val="es-ES"/>
              </w:rPr>
              <w:t xml:space="preserve">6.1.1 </w:t>
            </w:r>
            <w:r w:rsidR="00AE08A3" w:rsidRPr="00B94A86">
              <w:rPr>
                <w:rStyle w:val="Hipervnculo"/>
                <w:noProof/>
              </w:rPr>
              <w:t>Exportaciones de café verde</w:t>
            </w:r>
            <w:r w:rsidR="00AE08A3">
              <w:rPr>
                <w:noProof/>
                <w:webHidden/>
              </w:rPr>
              <w:tab/>
            </w:r>
            <w:r w:rsidR="00AE08A3">
              <w:rPr>
                <w:noProof/>
                <w:webHidden/>
              </w:rPr>
              <w:fldChar w:fldCharType="begin"/>
            </w:r>
            <w:r w:rsidR="00AE08A3">
              <w:rPr>
                <w:noProof/>
                <w:webHidden/>
              </w:rPr>
              <w:instrText xml:space="preserve"> PAGEREF _Toc406754313 \h </w:instrText>
            </w:r>
            <w:r w:rsidR="00AE08A3">
              <w:rPr>
                <w:noProof/>
                <w:webHidden/>
              </w:rPr>
            </w:r>
            <w:r w:rsidR="00AE08A3">
              <w:rPr>
                <w:noProof/>
                <w:webHidden/>
              </w:rPr>
              <w:fldChar w:fldCharType="separate"/>
            </w:r>
            <w:r w:rsidR="00AE08A3">
              <w:rPr>
                <w:noProof/>
                <w:webHidden/>
              </w:rPr>
              <w:t>103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14" w:history="1">
            <w:r w:rsidR="00AE08A3" w:rsidRPr="00B94A86">
              <w:rPr>
                <w:rStyle w:val="Hipervnculo"/>
                <w:noProof/>
              </w:rPr>
              <w:t>6.1.2 Valor de las Exportaciones de café en Colombia</w:t>
            </w:r>
            <w:r w:rsidR="00AE08A3">
              <w:rPr>
                <w:noProof/>
                <w:webHidden/>
              </w:rPr>
              <w:tab/>
            </w:r>
            <w:r w:rsidR="00AE08A3">
              <w:rPr>
                <w:noProof/>
                <w:webHidden/>
              </w:rPr>
              <w:fldChar w:fldCharType="begin"/>
            </w:r>
            <w:r w:rsidR="00AE08A3">
              <w:rPr>
                <w:noProof/>
                <w:webHidden/>
              </w:rPr>
              <w:instrText xml:space="preserve"> PAGEREF _Toc406754314 \h </w:instrText>
            </w:r>
            <w:r w:rsidR="00AE08A3">
              <w:rPr>
                <w:noProof/>
                <w:webHidden/>
              </w:rPr>
            </w:r>
            <w:r w:rsidR="00AE08A3">
              <w:rPr>
                <w:noProof/>
                <w:webHidden/>
              </w:rPr>
              <w:fldChar w:fldCharType="separate"/>
            </w:r>
            <w:r w:rsidR="00AE08A3">
              <w:rPr>
                <w:noProof/>
                <w:webHidden/>
              </w:rPr>
              <w:t>105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15" w:history="1">
            <w:r w:rsidR="00AE08A3" w:rsidRPr="00B94A86">
              <w:rPr>
                <w:rStyle w:val="Hipervnculo"/>
                <w:noProof/>
              </w:rPr>
              <w:t>6.1.3 Destino de las Exportaciones del Quindío 2013</w:t>
            </w:r>
            <w:r w:rsidR="00AE08A3">
              <w:rPr>
                <w:noProof/>
                <w:webHidden/>
              </w:rPr>
              <w:tab/>
            </w:r>
            <w:r w:rsidR="00AE08A3">
              <w:rPr>
                <w:noProof/>
                <w:webHidden/>
              </w:rPr>
              <w:fldChar w:fldCharType="begin"/>
            </w:r>
            <w:r w:rsidR="00AE08A3">
              <w:rPr>
                <w:noProof/>
                <w:webHidden/>
              </w:rPr>
              <w:instrText xml:space="preserve"> PAGEREF _Toc406754315 \h </w:instrText>
            </w:r>
            <w:r w:rsidR="00AE08A3">
              <w:rPr>
                <w:noProof/>
                <w:webHidden/>
              </w:rPr>
            </w:r>
            <w:r w:rsidR="00AE08A3">
              <w:rPr>
                <w:noProof/>
                <w:webHidden/>
              </w:rPr>
              <w:fldChar w:fldCharType="separate"/>
            </w:r>
            <w:r w:rsidR="00AE08A3">
              <w:rPr>
                <w:noProof/>
                <w:webHidden/>
              </w:rPr>
              <w:t>108</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16" w:history="1">
            <w:r w:rsidR="00AE08A3" w:rsidRPr="00B94A86">
              <w:rPr>
                <w:rStyle w:val="Hipervnculo"/>
                <w:noProof/>
              </w:rPr>
              <w:t>6.2 Importaciones</w:t>
            </w:r>
            <w:r w:rsidR="00AE08A3">
              <w:rPr>
                <w:noProof/>
                <w:webHidden/>
              </w:rPr>
              <w:tab/>
            </w:r>
            <w:r w:rsidR="00AE08A3">
              <w:rPr>
                <w:noProof/>
                <w:webHidden/>
              </w:rPr>
              <w:fldChar w:fldCharType="begin"/>
            </w:r>
            <w:r w:rsidR="00AE08A3">
              <w:rPr>
                <w:noProof/>
                <w:webHidden/>
              </w:rPr>
              <w:instrText xml:space="preserve"> PAGEREF _Toc406754316 \h </w:instrText>
            </w:r>
            <w:r w:rsidR="00AE08A3">
              <w:rPr>
                <w:noProof/>
                <w:webHidden/>
              </w:rPr>
            </w:r>
            <w:r w:rsidR="00AE08A3">
              <w:rPr>
                <w:noProof/>
                <w:webHidden/>
              </w:rPr>
              <w:fldChar w:fldCharType="separate"/>
            </w:r>
            <w:r w:rsidR="00AE08A3">
              <w:rPr>
                <w:noProof/>
                <w:webHidden/>
              </w:rPr>
              <w:t>111</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17" w:history="1">
            <w:r w:rsidR="00AE08A3" w:rsidRPr="00B94A86">
              <w:rPr>
                <w:rStyle w:val="Hipervnculo"/>
                <w:noProof/>
              </w:rPr>
              <w:t>6.3 Balanza Comercial</w:t>
            </w:r>
            <w:r w:rsidR="00AE08A3">
              <w:rPr>
                <w:noProof/>
                <w:webHidden/>
              </w:rPr>
              <w:tab/>
            </w:r>
            <w:r w:rsidR="00AE08A3">
              <w:rPr>
                <w:noProof/>
                <w:webHidden/>
              </w:rPr>
              <w:fldChar w:fldCharType="begin"/>
            </w:r>
            <w:r w:rsidR="00AE08A3">
              <w:rPr>
                <w:noProof/>
                <w:webHidden/>
              </w:rPr>
              <w:instrText xml:space="preserve"> PAGEREF _Toc406754317 \h </w:instrText>
            </w:r>
            <w:r w:rsidR="00AE08A3">
              <w:rPr>
                <w:noProof/>
                <w:webHidden/>
              </w:rPr>
            </w:r>
            <w:r w:rsidR="00AE08A3">
              <w:rPr>
                <w:noProof/>
                <w:webHidden/>
              </w:rPr>
              <w:fldChar w:fldCharType="separate"/>
            </w:r>
            <w:r w:rsidR="00AE08A3">
              <w:rPr>
                <w:noProof/>
                <w:webHidden/>
              </w:rPr>
              <w:t>113</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18" w:history="1">
            <w:r w:rsidR="00AE08A3" w:rsidRPr="00B94A86">
              <w:rPr>
                <w:rStyle w:val="Hipervnculo"/>
                <w:noProof/>
              </w:rPr>
              <w:t>7   Finanzas Públicas</w:t>
            </w:r>
            <w:r w:rsidR="00AE08A3">
              <w:rPr>
                <w:noProof/>
                <w:webHidden/>
              </w:rPr>
              <w:tab/>
            </w:r>
            <w:r w:rsidR="00AE08A3">
              <w:rPr>
                <w:noProof/>
                <w:webHidden/>
              </w:rPr>
              <w:fldChar w:fldCharType="begin"/>
            </w:r>
            <w:r w:rsidR="00AE08A3">
              <w:rPr>
                <w:noProof/>
                <w:webHidden/>
              </w:rPr>
              <w:instrText xml:space="preserve"> PAGEREF _Toc406754318 \h </w:instrText>
            </w:r>
            <w:r w:rsidR="00AE08A3">
              <w:rPr>
                <w:noProof/>
                <w:webHidden/>
              </w:rPr>
            </w:r>
            <w:r w:rsidR="00AE08A3">
              <w:rPr>
                <w:noProof/>
                <w:webHidden/>
              </w:rPr>
              <w:fldChar w:fldCharType="separate"/>
            </w:r>
            <w:r w:rsidR="00AE08A3">
              <w:rPr>
                <w:noProof/>
                <w:webHidden/>
              </w:rPr>
              <w:t>114</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19" w:history="1">
            <w:r w:rsidR="00AE08A3" w:rsidRPr="00B94A86">
              <w:rPr>
                <w:rStyle w:val="Hipervnculo"/>
                <w:noProof/>
                <w:lang w:val="es-ES"/>
              </w:rPr>
              <w:t>7.1 Administración Central</w:t>
            </w:r>
            <w:r w:rsidR="00AE08A3">
              <w:rPr>
                <w:noProof/>
                <w:webHidden/>
              </w:rPr>
              <w:tab/>
            </w:r>
            <w:r w:rsidR="00AE08A3">
              <w:rPr>
                <w:noProof/>
                <w:webHidden/>
              </w:rPr>
              <w:fldChar w:fldCharType="begin"/>
            </w:r>
            <w:r w:rsidR="00AE08A3">
              <w:rPr>
                <w:noProof/>
                <w:webHidden/>
              </w:rPr>
              <w:instrText xml:space="preserve"> PAGEREF _Toc406754319 \h </w:instrText>
            </w:r>
            <w:r w:rsidR="00AE08A3">
              <w:rPr>
                <w:noProof/>
                <w:webHidden/>
              </w:rPr>
            </w:r>
            <w:r w:rsidR="00AE08A3">
              <w:rPr>
                <w:noProof/>
                <w:webHidden/>
              </w:rPr>
              <w:fldChar w:fldCharType="separate"/>
            </w:r>
            <w:r w:rsidR="00AE08A3">
              <w:rPr>
                <w:noProof/>
                <w:webHidden/>
              </w:rPr>
              <w:t>115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20" w:history="1">
            <w:r w:rsidR="00AE08A3" w:rsidRPr="00B94A86">
              <w:rPr>
                <w:rStyle w:val="Hipervnculo"/>
                <w:noProof/>
              </w:rPr>
              <w:t>7.1.1 Ejecución de ingresos</w:t>
            </w:r>
            <w:r w:rsidR="00AE08A3">
              <w:rPr>
                <w:noProof/>
                <w:webHidden/>
              </w:rPr>
              <w:tab/>
            </w:r>
            <w:r w:rsidR="00AE08A3">
              <w:rPr>
                <w:noProof/>
                <w:webHidden/>
              </w:rPr>
              <w:fldChar w:fldCharType="begin"/>
            </w:r>
            <w:r w:rsidR="00AE08A3">
              <w:rPr>
                <w:noProof/>
                <w:webHidden/>
              </w:rPr>
              <w:instrText xml:space="preserve"> PAGEREF _Toc406754320 \h </w:instrText>
            </w:r>
            <w:r w:rsidR="00AE08A3">
              <w:rPr>
                <w:noProof/>
                <w:webHidden/>
              </w:rPr>
            </w:r>
            <w:r w:rsidR="00AE08A3">
              <w:rPr>
                <w:noProof/>
                <w:webHidden/>
              </w:rPr>
              <w:fldChar w:fldCharType="separate"/>
            </w:r>
            <w:r w:rsidR="00AE08A3">
              <w:rPr>
                <w:noProof/>
                <w:webHidden/>
              </w:rPr>
              <w:t>116</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21" w:history="1">
            <w:r w:rsidR="00AE08A3" w:rsidRPr="00B94A86">
              <w:rPr>
                <w:rStyle w:val="Hipervnculo"/>
                <w:noProof/>
              </w:rPr>
              <w:t>7.2. Lotería del Quindío</w:t>
            </w:r>
            <w:r w:rsidR="00AE08A3">
              <w:rPr>
                <w:noProof/>
                <w:webHidden/>
              </w:rPr>
              <w:tab/>
            </w:r>
            <w:r w:rsidR="00AE08A3">
              <w:rPr>
                <w:noProof/>
                <w:webHidden/>
              </w:rPr>
              <w:fldChar w:fldCharType="begin"/>
            </w:r>
            <w:r w:rsidR="00AE08A3">
              <w:rPr>
                <w:noProof/>
                <w:webHidden/>
              </w:rPr>
              <w:instrText xml:space="preserve"> PAGEREF _Toc406754321 \h </w:instrText>
            </w:r>
            <w:r w:rsidR="00AE08A3">
              <w:rPr>
                <w:noProof/>
                <w:webHidden/>
              </w:rPr>
            </w:r>
            <w:r w:rsidR="00AE08A3">
              <w:rPr>
                <w:noProof/>
                <w:webHidden/>
              </w:rPr>
              <w:fldChar w:fldCharType="separate"/>
            </w:r>
            <w:r w:rsidR="00AE08A3">
              <w:rPr>
                <w:noProof/>
                <w:webHidden/>
              </w:rPr>
              <w:t>116</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22" w:history="1">
            <w:r w:rsidR="00AE08A3" w:rsidRPr="00B94A86">
              <w:rPr>
                <w:rStyle w:val="Hipervnculo"/>
                <w:noProof/>
              </w:rPr>
              <w:t>7.3  Universidad del Quindío</w:t>
            </w:r>
            <w:r w:rsidR="00AE08A3">
              <w:rPr>
                <w:noProof/>
                <w:webHidden/>
              </w:rPr>
              <w:tab/>
            </w:r>
            <w:r w:rsidR="00AE08A3">
              <w:rPr>
                <w:noProof/>
                <w:webHidden/>
              </w:rPr>
              <w:fldChar w:fldCharType="begin"/>
            </w:r>
            <w:r w:rsidR="00AE08A3">
              <w:rPr>
                <w:noProof/>
                <w:webHidden/>
              </w:rPr>
              <w:instrText xml:space="preserve"> PAGEREF _Toc406754322 \h </w:instrText>
            </w:r>
            <w:r w:rsidR="00AE08A3">
              <w:rPr>
                <w:noProof/>
                <w:webHidden/>
              </w:rPr>
            </w:r>
            <w:r w:rsidR="00AE08A3">
              <w:rPr>
                <w:noProof/>
                <w:webHidden/>
              </w:rPr>
              <w:fldChar w:fldCharType="separate"/>
            </w:r>
            <w:r w:rsidR="00AE08A3">
              <w:rPr>
                <w:noProof/>
                <w:webHidden/>
              </w:rPr>
              <w:t>117</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23" w:history="1">
            <w:r w:rsidR="00AE08A3" w:rsidRPr="00B94A86">
              <w:rPr>
                <w:rStyle w:val="Hipervnculo"/>
                <w:noProof/>
              </w:rPr>
              <w:t>7.4 Hospital Mental de Filandia</w:t>
            </w:r>
            <w:r w:rsidR="00AE08A3">
              <w:rPr>
                <w:noProof/>
                <w:webHidden/>
              </w:rPr>
              <w:tab/>
            </w:r>
            <w:r w:rsidR="00AE08A3">
              <w:rPr>
                <w:noProof/>
                <w:webHidden/>
              </w:rPr>
              <w:fldChar w:fldCharType="begin"/>
            </w:r>
            <w:r w:rsidR="00AE08A3">
              <w:rPr>
                <w:noProof/>
                <w:webHidden/>
              </w:rPr>
              <w:instrText xml:space="preserve"> PAGEREF _Toc406754323 \h </w:instrText>
            </w:r>
            <w:r w:rsidR="00AE08A3">
              <w:rPr>
                <w:noProof/>
                <w:webHidden/>
              </w:rPr>
            </w:r>
            <w:r w:rsidR="00AE08A3">
              <w:rPr>
                <w:noProof/>
                <w:webHidden/>
              </w:rPr>
              <w:fldChar w:fldCharType="separate"/>
            </w:r>
            <w:r w:rsidR="00AE08A3">
              <w:rPr>
                <w:noProof/>
                <w:webHidden/>
              </w:rPr>
              <w:t>118</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24" w:history="1">
            <w:r w:rsidR="00AE08A3" w:rsidRPr="00B94A86">
              <w:rPr>
                <w:rStyle w:val="Hipervnculo"/>
                <w:noProof/>
                <w:lang w:val="es-ES"/>
              </w:rPr>
              <w:t xml:space="preserve">7.5 </w:t>
            </w:r>
            <w:r w:rsidR="00AE08A3" w:rsidRPr="00B94A86">
              <w:rPr>
                <w:rStyle w:val="Hipervnculo"/>
                <w:noProof/>
              </w:rPr>
              <w:t>Hospital La Misericordia de Calarcá</w:t>
            </w:r>
            <w:r w:rsidR="00AE08A3">
              <w:rPr>
                <w:noProof/>
                <w:webHidden/>
              </w:rPr>
              <w:tab/>
            </w:r>
            <w:r w:rsidR="00AE08A3">
              <w:rPr>
                <w:noProof/>
                <w:webHidden/>
              </w:rPr>
              <w:fldChar w:fldCharType="begin"/>
            </w:r>
            <w:r w:rsidR="00AE08A3">
              <w:rPr>
                <w:noProof/>
                <w:webHidden/>
              </w:rPr>
              <w:instrText xml:space="preserve"> PAGEREF _Toc406754324 \h </w:instrText>
            </w:r>
            <w:r w:rsidR="00AE08A3">
              <w:rPr>
                <w:noProof/>
                <w:webHidden/>
              </w:rPr>
            </w:r>
            <w:r w:rsidR="00AE08A3">
              <w:rPr>
                <w:noProof/>
                <w:webHidden/>
              </w:rPr>
              <w:fldChar w:fldCharType="separate"/>
            </w:r>
            <w:r w:rsidR="00AE08A3">
              <w:rPr>
                <w:noProof/>
                <w:webHidden/>
              </w:rPr>
              <w:t>120</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25" w:history="1">
            <w:r w:rsidR="00AE08A3" w:rsidRPr="00B94A86">
              <w:rPr>
                <w:rStyle w:val="Hipervnculo"/>
                <w:noProof/>
              </w:rPr>
              <w:t>7.6 Instituto Departamental de Tránsito del Quindío</w:t>
            </w:r>
            <w:r w:rsidR="00AE08A3">
              <w:rPr>
                <w:noProof/>
                <w:webHidden/>
              </w:rPr>
              <w:tab/>
            </w:r>
            <w:r w:rsidR="00AE08A3">
              <w:rPr>
                <w:noProof/>
                <w:webHidden/>
              </w:rPr>
              <w:fldChar w:fldCharType="begin"/>
            </w:r>
            <w:r w:rsidR="00AE08A3">
              <w:rPr>
                <w:noProof/>
                <w:webHidden/>
              </w:rPr>
              <w:instrText xml:space="preserve"> PAGEREF _Toc406754325 \h </w:instrText>
            </w:r>
            <w:r w:rsidR="00AE08A3">
              <w:rPr>
                <w:noProof/>
                <w:webHidden/>
              </w:rPr>
            </w:r>
            <w:r w:rsidR="00AE08A3">
              <w:rPr>
                <w:noProof/>
                <w:webHidden/>
              </w:rPr>
              <w:fldChar w:fldCharType="separate"/>
            </w:r>
            <w:r w:rsidR="00AE08A3">
              <w:rPr>
                <w:noProof/>
                <w:webHidden/>
              </w:rPr>
              <w:t>120</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26" w:history="1">
            <w:r w:rsidR="00AE08A3" w:rsidRPr="00B94A86">
              <w:rPr>
                <w:rStyle w:val="Hipervnculo"/>
                <w:noProof/>
                <w:lang w:val="es-ES"/>
              </w:rPr>
              <w:t xml:space="preserve">7.7 </w:t>
            </w:r>
            <w:r w:rsidR="00AE08A3" w:rsidRPr="00B94A86">
              <w:rPr>
                <w:rStyle w:val="Hipervnculo"/>
                <w:noProof/>
              </w:rPr>
              <w:t>Instituto Colombiano de Bienestar Familiar Regional Quindío -ICBF</w:t>
            </w:r>
            <w:r w:rsidR="00AE08A3">
              <w:rPr>
                <w:noProof/>
                <w:webHidden/>
              </w:rPr>
              <w:tab/>
            </w:r>
            <w:r w:rsidR="00AE08A3">
              <w:rPr>
                <w:noProof/>
                <w:webHidden/>
              </w:rPr>
              <w:fldChar w:fldCharType="begin"/>
            </w:r>
            <w:r w:rsidR="00AE08A3">
              <w:rPr>
                <w:noProof/>
                <w:webHidden/>
              </w:rPr>
              <w:instrText xml:space="preserve"> PAGEREF _Toc406754326 \h </w:instrText>
            </w:r>
            <w:r w:rsidR="00AE08A3">
              <w:rPr>
                <w:noProof/>
                <w:webHidden/>
              </w:rPr>
            </w:r>
            <w:r w:rsidR="00AE08A3">
              <w:rPr>
                <w:noProof/>
                <w:webHidden/>
              </w:rPr>
              <w:fldChar w:fldCharType="separate"/>
            </w:r>
            <w:r w:rsidR="00AE08A3">
              <w:rPr>
                <w:noProof/>
                <w:webHidden/>
              </w:rPr>
              <w:t>121</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27" w:history="1">
            <w:r w:rsidR="00AE08A3" w:rsidRPr="00B94A86">
              <w:rPr>
                <w:rStyle w:val="Hipervnculo"/>
                <w:noProof/>
              </w:rPr>
              <w:t>7.8 Empresas Públicas de Armenia</w:t>
            </w:r>
            <w:r w:rsidR="00AE08A3">
              <w:rPr>
                <w:noProof/>
                <w:webHidden/>
              </w:rPr>
              <w:tab/>
            </w:r>
            <w:r w:rsidR="00AE08A3">
              <w:rPr>
                <w:noProof/>
                <w:webHidden/>
              </w:rPr>
              <w:fldChar w:fldCharType="begin"/>
            </w:r>
            <w:r w:rsidR="00AE08A3">
              <w:rPr>
                <w:noProof/>
                <w:webHidden/>
              </w:rPr>
              <w:instrText xml:space="preserve"> PAGEREF _Toc406754327 \h </w:instrText>
            </w:r>
            <w:r w:rsidR="00AE08A3">
              <w:rPr>
                <w:noProof/>
                <w:webHidden/>
              </w:rPr>
            </w:r>
            <w:r w:rsidR="00AE08A3">
              <w:rPr>
                <w:noProof/>
                <w:webHidden/>
              </w:rPr>
              <w:fldChar w:fldCharType="separate"/>
            </w:r>
            <w:r w:rsidR="00AE08A3">
              <w:rPr>
                <w:noProof/>
                <w:webHidden/>
              </w:rPr>
              <w:t>121</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28" w:history="1">
            <w:r w:rsidR="00AE08A3" w:rsidRPr="00B94A86">
              <w:rPr>
                <w:rStyle w:val="Hipervnculo"/>
                <w:noProof/>
              </w:rPr>
              <w:t>7.9 Instituto Departamental del Deporte y Recreación del Quindío</w:t>
            </w:r>
            <w:r w:rsidR="00AE08A3">
              <w:rPr>
                <w:noProof/>
                <w:webHidden/>
              </w:rPr>
              <w:tab/>
            </w:r>
            <w:r w:rsidR="00AE08A3">
              <w:rPr>
                <w:noProof/>
                <w:webHidden/>
              </w:rPr>
              <w:fldChar w:fldCharType="begin"/>
            </w:r>
            <w:r w:rsidR="00AE08A3">
              <w:rPr>
                <w:noProof/>
                <w:webHidden/>
              </w:rPr>
              <w:instrText xml:space="preserve"> PAGEREF _Toc406754328 \h </w:instrText>
            </w:r>
            <w:r w:rsidR="00AE08A3">
              <w:rPr>
                <w:noProof/>
                <w:webHidden/>
              </w:rPr>
            </w:r>
            <w:r w:rsidR="00AE08A3">
              <w:rPr>
                <w:noProof/>
                <w:webHidden/>
              </w:rPr>
              <w:fldChar w:fldCharType="separate"/>
            </w:r>
            <w:r w:rsidR="00AE08A3">
              <w:rPr>
                <w:noProof/>
                <w:webHidden/>
              </w:rPr>
              <w:t>122</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29" w:history="1">
            <w:r w:rsidR="00AE08A3" w:rsidRPr="00B94A86">
              <w:rPr>
                <w:rStyle w:val="Hipervnculo"/>
                <w:noProof/>
              </w:rPr>
              <w:t>8  Índice de Precios al Consumidor y Productor</w:t>
            </w:r>
            <w:r w:rsidR="00AE08A3">
              <w:rPr>
                <w:noProof/>
                <w:webHidden/>
              </w:rPr>
              <w:tab/>
            </w:r>
            <w:r w:rsidR="00AE08A3">
              <w:rPr>
                <w:noProof/>
                <w:webHidden/>
              </w:rPr>
              <w:fldChar w:fldCharType="begin"/>
            </w:r>
            <w:r w:rsidR="00AE08A3">
              <w:rPr>
                <w:noProof/>
                <w:webHidden/>
              </w:rPr>
              <w:instrText xml:space="preserve"> PAGEREF _Toc406754329 \h </w:instrText>
            </w:r>
            <w:r w:rsidR="00AE08A3">
              <w:rPr>
                <w:noProof/>
                <w:webHidden/>
              </w:rPr>
            </w:r>
            <w:r w:rsidR="00AE08A3">
              <w:rPr>
                <w:noProof/>
                <w:webHidden/>
              </w:rPr>
              <w:fldChar w:fldCharType="separate"/>
            </w:r>
            <w:r w:rsidR="00AE08A3">
              <w:rPr>
                <w:noProof/>
                <w:webHidden/>
              </w:rPr>
              <w:t>123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30" w:history="1">
            <w:r w:rsidR="00AE08A3" w:rsidRPr="00B94A86">
              <w:rPr>
                <w:rStyle w:val="Hipervnculo"/>
                <w:noProof/>
              </w:rPr>
              <w:t>8.2 IPC según nivel de ingresos en Colombia y en Armenia</w:t>
            </w:r>
            <w:r w:rsidR="00AE08A3">
              <w:rPr>
                <w:noProof/>
                <w:webHidden/>
              </w:rPr>
              <w:tab/>
            </w:r>
            <w:r w:rsidR="00AE08A3">
              <w:rPr>
                <w:noProof/>
                <w:webHidden/>
              </w:rPr>
              <w:fldChar w:fldCharType="begin"/>
            </w:r>
            <w:r w:rsidR="00AE08A3">
              <w:rPr>
                <w:noProof/>
                <w:webHidden/>
              </w:rPr>
              <w:instrText xml:space="preserve"> PAGEREF _Toc406754330 \h </w:instrText>
            </w:r>
            <w:r w:rsidR="00AE08A3">
              <w:rPr>
                <w:noProof/>
                <w:webHidden/>
              </w:rPr>
            </w:r>
            <w:r w:rsidR="00AE08A3">
              <w:rPr>
                <w:noProof/>
                <w:webHidden/>
              </w:rPr>
              <w:fldChar w:fldCharType="separate"/>
            </w:r>
            <w:r w:rsidR="00AE08A3">
              <w:rPr>
                <w:noProof/>
                <w:webHidden/>
              </w:rPr>
              <w:t>125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31" w:history="1">
            <w:r w:rsidR="00AE08A3" w:rsidRPr="00B94A86">
              <w:rPr>
                <w:rStyle w:val="Hipervnculo"/>
                <w:noProof/>
              </w:rPr>
              <w:t>8.3 Variación anual y total por grupos de bienes y servicios, según ciudades 2013</w:t>
            </w:r>
            <w:r w:rsidR="00AE08A3">
              <w:rPr>
                <w:noProof/>
                <w:webHidden/>
              </w:rPr>
              <w:tab/>
            </w:r>
            <w:r w:rsidR="00AE08A3">
              <w:rPr>
                <w:noProof/>
                <w:webHidden/>
              </w:rPr>
              <w:fldChar w:fldCharType="begin"/>
            </w:r>
            <w:r w:rsidR="00AE08A3">
              <w:rPr>
                <w:noProof/>
                <w:webHidden/>
              </w:rPr>
              <w:instrText xml:space="preserve"> PAGEREF _Toc406754331 \h </w:instrText>
            </w:r>
            <w:r w:rsidR="00AE08A3">
              <w:rPr>
                <w:noProof/>
                <w:webHidden/>
              </w:rPr>
            </w:r>
            <w:r w:rsidR="00AE08A3">
              <w:rPr>
                <w:noProof/>
                <w:webHidden/>
              </w:rPr>
              <w:fldChar w:fldCharType="separate"/>
            </w:r>
            <w:r w:rsidR="00AE08A3">
              <w:rPr>
                <w:noProof/>
                <w:webHidden/>
              </w:rPr>
              <w:t>125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32" w:history="1">
            <w:r w:rsidR="00AE08A3" w:rsidRPr="00B94A86">
              <w:rPr>
                <w:rStyle w:val="Hipervnculo"/>
                <w:noProof/>
              </w:rPr>
              <w:t>8.4 Variación y contribución del IPC en Colombia por grupos y subgrupos</w:t>
            </w:r>
            <w:r w:rsidR="00AE08A3">
              <w:rPr>
                <w:noProof/>
                <w:webHidden/>
              </w:rPr>
              <w:tab/>
            </w:r>
            <w:r w:rsidR="00AE08A3">
              <w:rPr>
                <w:noProof/>
                <w:webHidden/>
              </w:rPr>
              <w:fldChar w:fldCharType="begin"/>
            </w:r>
            <w:r w:rsidR="00AE08A3">
              <w:rPr>
                <w:noProof/>
                <w:webHidden/>
              </w:rPr>
              <w:instrText xml:space="preserve"> PAGEREF _Toc406754332 \h </w:instrText>
            </w:r>
            <w:r w:rsidR="00AE08A3">
              <w:rPr>
                <w:noProof/>
                <w:webHidden/>
              </w:rPr>
            </w:r>
            <w:r w:rsidR="00AE08A3">
              <w:rPr>
                <w:noProof/>
                <w:webHidden/>
              </w:rPr>
              <w:fldChar w:fldCharType="separate"/>
            </w:r>
            <w:r w:rsidR="00AE08A3">
              <w:rPr>
                <w:noProof/>
                <w:webHidden/>
              </w:rPr>
              <w:t>126</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33" w:history="1">
            <w:r w:rsidR="00AE08A3" w:rsidRPr="00B94A86">
              <w:rPr>
                <w:rStyle w:val="Hipervnculo"/>
                <w:noProof/>
                <w:lang w:val="es-ES"/>
              </w:rPr>
              <w:t>8.5 Índice de Precios al Productor</w:t>
            </w:r>
            <w:r w:rsidR="00AE08A3">
              <w:rPr>
                <w:noProof/>
                <w:webHidden/>
              </w:rPr>
              <w:tab/>
            </w:r>
            <w:r w:rsidR="00AE08A3">
              <w:rPr>
                <w:noProof/>
                <w:webHidden/>
              </w:rPr>
              <w:fldChar w:fldCharType="begin"/>
            </w:r>
            <w:r w:rsidR="00AE08A3">
              <w:rPr>
                <w:noProof/>
                <w:webHidden/>
              </w:rPr>
              <w:instrText xml:space="preserve"> PAGEREF _Toc406754333 \h </w:instrText>
            </w:r>
            <w:r w:rsidR="00AE08A3">
              <w:rPr>
                <w:noProof/>
                <w:webHidden/>
              </w:rPr>
            </w:r>
            <w:r w:rsidR="00AE08A3">
              <w:rPr>
                <w:noProof/>
                <w:webHidden/>
              </w:rPr>
              <w:fldChar w:fldCharType="separate"/>
            </w:r>
            <w:r w:rsidR="00AE08A3">
              <w:rPr>
                <w:noProof/>
                <w:webHidden/>
              </w:rPr>
              <w:t>128</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34" w:history="1">
            <w:r w:rsidR="00AE08A3" w:rsidRPr="00B94A86">
              <w:rPr>
                <w:rStyle w:val="Hipervnculo"/>
                <w:noProof/>
              </w:rPr>
              <w:t>9 Agropecuario</w:t>
            </w:r>
            <w:r w:rsidR="00AE08A3">
              <w:rPr>
                <w:noProof/>
                <w:webHidden/>
              </w:rPr>
              <w:tab/>
            </w:r>
            <w:r w:rsidR="00AE08A3">
              <w:rPr>
                <w:noProof/>
                <w:webHidden/>
              </w:rPr>
              <w:fldChar w:fldCharType="begin"/>
            </w:r>
            <w:r w:rsidR="00AE08A3">
              <w:rPr>
                <w:noProof/>
                <w:webHidden/>
              </w:rPr>
              <w:instrText xml:space="preserve"> PAGEREF _Toc406754334 \h </w:instrText>
            </w:r>
            <w:r w:rsidR="00AE08A3">
              <w:rPr>
                <w:noProof/>
                <w:webHidden/>
              </w:rPr>
            </w:r>
            <w:r w:rsidR="00AE08A3">
              <w:rPr>
                <w:noProof/>
                <w:webHidden/>
              </w:rPr>
              <w:fldChar w:fldCharType="separate"/>
            </w:r>
            <w:r w:rsidR="00AE08A3">
              <w:rPr>
                <w:noProof/>
                <w:webHidden/>
              </w:rPr>
              <w:t>130</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35" w:history="1">
            <w:r w:rsidR="00AE08A3" w:rsidRPr="00B94A86">
              <w:rPr>
                <w:rStyle w:val="Hipervnculo"/>
                <w:noProof/>
              </w:rPr>
              <w:t>9.1 Uso del suelo</w:t>
            </w:r>
            <w:r w:rsidR="00AE08A3">
              <w:rPr>
                <w:noProof/>
                <w:webHidden/>
              </w:rPr>
              <w:tab/>
            </w:r>
            <w:r w:rsidR="00AE08A3">
              <w:rPr>
                <w:noProof/>
                <w:webHidden/>
              </w:rPr>
              <w:fldChar w:fldCharType="begin"/>
            </w:r>
            <w:r w:rsidR="00AE08A3">
              <w:rPr>
                <w:noProof/>
                <w:webHidden/>
              </w:rPr>
              <w:instrText xml:space="preserve"> PAGEREF _Toc406754335 \h </w:instrText>
            </w:r>
            <w:r w:rsidR="00AE08A3">
              <w:rPr>
                <w:noProof/>
                <w:webHidden/>
              </w:rPr>
            </w:r>
            <w:r w:rsidR="00AE08A3">
              <w:rPr>
                <w:noProof/>
                <w:webHidden/>
              </w:rPr>
              <w:fldChar w:fldCharType="separate"/>
            </w:r>
            <w:r w:rsidR="00AE08A3">
              <w:rPr>
                <w:noProof/>
                <w:webHidden/>
              </w:rPr>
              <w:t>132</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36" w:history="1">
            <w:r w:rsidR="00AE08A3" w:rsidRPr="00B94A86">
              <w:rPr>
                <w:rStyle w:val="Hipervnculo"/>
                <w:noProof/>
              </w:rPr>
              <w:t>10 Empresarial</w:t>
            </w:r>
            <w:r w:rsidR="00AE08A3">
              <w:rPr>
                <w:noProof/>
                <w:webHidden/>
              </w:rPr>
              <w:tab/>
            </w:r>
            <w:r w:rsidR="00AE08A3">
              <w:rPr>
                <w:noProof/>
                <w:webHidden/>
              </w:rPr>
              <w:fldChar w:fldCharType="begin"/>
            </w:r>
            <w:r w:rsidR="00AE08A3">
              <w:rPr>
                <w:noProof/>
                <w:webHidden/>
              </w:rPr>
              <w:instrText xml:space="preserve"> PAGEREF _Toc406754336 \h </w:instrText>
            </w:r>
            <w:r w:rsidR="00AE08A3">
              <w:rPr>
                <w:noProof/>
                <w:webHidden/>
              </w:rPr>
            </w:r>
            <w:r w:rsidR="00AE08A3">
              <w:rPr>
                <w:noProof/>
                <w:webHidden/>
              </w:rPr>
              <w:fldChar w:fldCharType="separate"/>
            </w:r>
            <w:r w:rsidR="00AE08A3">
              <w:rPr>
                <w:noProof/>
                <w:webHidden/>
              </w:rPr>
              <w:t>145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37" w:history="1">
            <w:r w:rsidR="00AE08A3" w:rsidRPr="00B94A86">
              <w:rPr>
                <w:rStyle w:val="Hipervnculo"/>
                <w:noProof/>
              </w:rPr>
              <w:t>10.1 Estructura empresarial del departamento del Quindío</w:t>
            </w:r>
            <w:r w:rsidR="00AE08A3">
              <w:rPr>
                <w:noProof/>
                <w:webHidden/>
              </w:rPr>
              <w:tab/>
            </w:r>
            <w:r w:rsidR="00AE08A3">
              <w:rPr>
                <w:noProof/>
                <w:webHidden/>
              </w:rPr>
              <w:fldChar w:fldCharType="begin"/>
            </w:r>
            <w:r w:rsidR="00AE08A3">
              <w:rPr>
                <w:noProof/>
                <w:webHidden/>
              </w:rPr>
              <w:instrText xml:space="preserve"> PAGEREF _Toc406754337 \h </w:instrText>
            </w:r>
            <w:r w:rsidR="00AE08A3">
              <w:rPr>
                <w:noProof/>
                <w:webHidden/>
              </w:rPr>
            </w:r>
            <w:r w:rsidR="00AE08A3">
              <w:rPr>
                <w:noProof/>
                <w:webHidden/>
              </w:rPr>
              <w:fldChar w:fldCharType="separate"/>
            </w:r>
            <w:r w:rsidR="00AE08A3">
              <w:rPr>
                <w:noProof/>
                <w:webHidden/>
              </w:rPr>
              <w:t>148</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38" w:history="1">
            <w:r w:rsidR="00AE08A3" w:rsidRPr="00B94A86">
              <w:rPr>
                <w:rStyle w:val="Hipervnculo"/>
                <w:noProof/>
              </w:rPr>
              <w:t>10.2 Coyuntura: Movimiento de sociedades</w:t>
            </w:r>
            <w:r w:rsidR="00AE08A3">
              <w:rPr>
                <w:noProof/>
                <w:webHidden/>
              </w:rPr>
              <w:tab/>
            </w:r>
            <w:r w:rsidR="00AE08A3">
              <w:rPr>
                <w:noProof/>
                <w:webHidden/>
              </w:rPr>
              <w:fldChar w:fldCharType="begin"/>
            </w:r>
            <w:r w:rsidR="00AE08A3">
              <w:rPr>
                <w:noProof/>
                <w:webHidden/>
              </w:rPr>
              <w:instrText xml:space="preserve"> PAGEREF _Toc406754338 \h </w:instrText>
            </w:r>
            <w:r w:rsidR="00AE08A3">
              <w:rPr>
                <w:noProof/>
                <w:webHidden/>
              </w:rPr>
            </w:r>
            <w:r w:rsidR="00AE08A3">
              <w:rPr>
                <w:noProof/>
                <w:webHidden/>
              </w:rPr>
              <w:fldChar w:fldCharType="separate"/>
            </w:r>
            <w:r w:rsidR="00AE08A3">
              <w:rPr>
                <w:noProof/>
                <w:webHidden/>
              </w:rPr>
              <w:t>151</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39" w:history="1">
            <w:r w:rsidR="00AE08A3" w:rsidRPr="00B94A86">
              <w:rPr>
                <w:rStyle w:val="Hipervnculo"/>
                <w:noProof/>
              </w:rPr>
              <w:t>11 Empleo y Salarios</w:t>
            </w:r>
            <w:r w:rsidR="00AE08A3">
              <w:rPr>
                <w:noProof/>
                <w:webHidden/>
              </w:rPr>
              <w:tab/>
            </w:r>
            <w:r w:rsidR="00AE08A3">
              <w:rPr>
                <w:noProof/>
                <w:webHidden/>
              </w:rPr>
              <w:fldChar w:fldCharType="begin"/>
            </w:r>
            <w:r w:rsidR="00AE08A3">
              <w:rPr>
                <w:noProof/>
                <w:webHidden/>
              </w:rPr>
              <w:instrText xml:space="preserve"> PAGEREF _Toc406754339 \h </w:instrText>
            </w:r>
            <w:r w:rsidR="00AE08A3">
              <w:rPr>
                <w:noProof/>
                <w:webHidden/>
              </w:rPr>
            </w:r>
            <w:r w:rsidR="00AE08A3">
              <w:rPr>
                <w:noProof/>
                <w:webHidden/>
              </w:rPr>
              <w:fldChar w:fldCharType="separate"/>
            </w:r>
            <w:r w:rsidR="00AE08A3">
              <w:rPr>
                <w:noProof/>
                <w:webHidden/>
              </w:rPr>
              <w:t>154</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40" w:history="1">
            <w:r w:rsidR="00AE08A3" w:rsidRPr="00B94A86">
              <w:rPr>
                <w:rStyle w:val="Hipervnculo"/>
                <w:noProof/>
              </w:rPr>
              <w:t>11.1 Salario mínimo legal vigente año 1999 - 2013</w:t>
            </w:r>
            <w:r w:rsidR="00AE08A3">
              <w:rPr>
                <w:noProof/>
                <w:webHidden/>
              </w:rPr>
              <w:tab/>
            </w:r>
            <w:r w:rsidR="00AE08A3">
              <w:rPr>
                <w:noProof/>
                <w:webHidden/>
              </w:rPr>
              <w:fldChar w:fldCharType="begin"/>
            </w:r>
            <w:r w:rsidR="00AE08A3">
              <w:rPr>
                <w:noProof/>
                <w:webHidden/>
              </w:rPr>
              <w:instrText xml:space="preserve"> PAGEREF _Toc406754340 \h </w:instrText>
            </w:r>
            <w:r w:rsidR="00AE08A3">
              <w:rPr>
                <w:noProof/>
                <w:webHidden/>
              </w:rPr>
            </w:r>
            <w:r w:rsidR="00AE08A3">
              <w:rPr>
                <w:noProof/>
                <w:webHidden/>
              </w:rPr>
              <w:fldChar w:fldCharType="separate"/>
            </w:r>
            <w:r w:rsidR="00AE08A3">
              <w:rPr>
                <w:noProof/>
                <w:webHidden/>
              </w:rPr>
              <w:t>155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41" w:history="1">
            <w:r w:rsidR="00AE08A3" w:rsidRPr="00B94A86">
              <w:rPr>
                <w:rStyle w:val="Hipervnculo"/>
                <w:noProof/>
              </w:rPr>
              <w:t>11.3 Indicadores mercado laboral</w:t>
            </w:r>
            <w:r w:rsidR="00AE08A3">
              <w:rPr>
                <w:noProof/>
                <w:webHidden/>
              </w:rPr>
              <w:tab/>
            </w:r>
            <w:r w:rsidR="00AE08A3">
              <w:rPr>
                <w:noProof/>
                <w:webHidden/>
              </w:rPr>
              <w:fldChar w:fldCharType="begin"/>
            </w:r>
            <w:r w:rsidR="00AE08A3">
              <w:rPr>
                <w:noProof/>
                <w:webHidden/>
              </w:rPr>
              <w:instrText xml:space="preserve"> PAGEREF _Toc406754341 \h </w:instrText>
            </w:r>
            <w:r w:rsidR="00AE08A3">
              <w:rPr>
                <w:noProof/>
                <w:webHidden/>
              </w:rPr>
            </w:r>
            <w:r w:rsidR="00AE08A3">
              <w:rPr>
                <w:noProof/>
                <w:webHidden/>
              </w:rPr>
              <w:fldChar w:fldCharType="separate"/>
            </w:r>
            <w:r w:rsidR="00AE08A3">
              <w:rPr>
                <w:noProof/>
                <w:webHidden/>
              </w:rPr>
              <w:t>158</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42" w:history="1">
            <w:r w:rsidR="00AE08A3" w:rsidRPr="00B94A86">
              <w:rPr>
                <w:rStyle w:val="Hipervnculo"/>
                <w:rFonts w:eastAsia="Calibri"/>
                <w:noProof/>
                <w:lang w:val="es-ES" w:eastAsia="en-US"/>
              </w:rPr>
              <w:t>11.5 Sindicalismo en el  departamento del Quindío</w:t>
            </w:r>
            <w:r w:rsidR="00AE08A3">
              <w:rPr>
                <w:noProof/>
                <w:webHidden/>
              </w:rPr>
              <w:tab/>
            </w:r>
            <w:r w:rsidR="00AE08A3">
              <w:rPr>
                <w:noProof/>
                <w:webHidden/>
              </w:rPr>
              <w:fldChar w:fldCharType="begin"/>
            </w:r>
            <w:r w:rsidR="00AE08A3">
              <w:rPr>
                <w:noProof/>
                <w:webHidden/>
              </w:rPr>
              <w:instrText xml:space="preserve"> PAGEREF _Toc406754342 \h </w:instrText>
            </w:r>
            <w:r w:rsidR="00AE08A3">
              <w:rPr>
                <w:noProof/>
                <w:webHidden/>
              </w:rPr>
            </w:r>
            <w:r w:rsidR="00AE08A3">
              <w:rPr>
                <w:noProof/>
                <w:webHidden/>
              </w:rPr>
              <w:fldChar w:fldCharType="separate"/>
            </w:r>
            <w:r w:rsidR="00AE08A3">
              <w:rPr>
                <w:noProof/>
                <w:webHidden/>
              </w:rPr>
              <w:t>169</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43" w:history="1">
            <w:r w:rsidR="00AE08A3" w:rsidRPr="00B94A86">
              <w:rPr>
                <w:rStyle w:val="Hipervnculo"/>
                <w:rFonts w:eastAsia="Calibri"/>
                <w:noProof/>
                <w:lang w:val="es-ES" w:eastAsia="en-US"/>
              </w:rPr>
              <w:t>11.5.1 Panorama del Sindicalismo en el  departamento del Quindío</w:t>
            </w:r>
            <w:r w:rsidR="00AE08A3">
              <w:rPr>
                <w:noProof/>
                <w:webHidden/>
              </w:rPr>
              <w:tab/>
            </w:r>
            <w:r w:rsidR="00AE08A3">
              <w:rPr>
                <w:noProof/>
                <w:webHidden/>
              </w:rPr>
              <w:fldChar w:fldCharType="begin"/>
            </w:r>
            <w:r w:rsidR="00AE08A3">
              <w:rPr>
                <w:noProof/>
                <w:webHidden/>
              </w:rPr>
              <w:instrText xml:space="preserve"> PAGEREF _Toc406754343 \h </w:instrText>
            </w:r>
            <w:r w:rsidR="00AE08A3">
              <w:rPr>
                <w:noProof/>
                <w:webHidden/>
              </w:rPr>
            </w:r>
            <w:r w:rsidR="00AE08A3">
              <w:rPr>
                <w:noProof/>
                <w:webHidden/>
              </w:rPr>
              <w:fldChar w:fldCharType="separate"/>
            </w:r>
            <w:r w:rsidR="00AE08A3">
              <w:rPr>
                <w:noProof/>
                <w:webHidden/>
              </w:rPr>
              <w:t>171</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44" w:history="1">
            <w:r w:rsidR="00AE08A3" w:rsidRPr="00B94A86">
              <w:rPr>
                <w:rStyle w:val="Hipervnculo"/>
                <w:noProof/>
                <w:lang w:eastAsia="en-US"/>
              </w:rPr>
              <w:t>12 Turismo</w:t>
            </w:r>
            <w:r w:rsidR="00AE08A3">
              <w:rPr>
                <w:noProof/>
                <w:webHidden/>
              </w:rPr>
              <w:tab/>
            </w:r>
            <w:r w:rsidR="00AE08A3">
              <w:rPr>
                <w:noProof/>
                <w:webHidden/>
              </w:rPr>
              <w:fldChar w:fldCharType="begin"/>
            </w:r>
            <w:r w:rsidR="00AE08A3">
              <w:rPr>
                <w:noProof/>
                <w:webHidden/>
              </w:rPr>
              <w:instrText xml:space="preserve"> PAGEREF _Toc406754344 \h </w:instrText>
            </w:r>
            <w:r w:rsidR="00AE08A3">
              <w:rPr>
                <w:noProof/>
                <w:webHidden/>
              </w:rPr>
            </w:r>
            <w:r w:rsidR="00AE08A3">
              <w:rPr>
                <w:noProof/>
                <w:webHidden/>
              </w:rPr>
              <w:fldChar w:fldCharType="separate"/>
            </w:r>
            <w:r w:rsidR="00AE08A3">
              <w:rPr>
                <w:noProof/>
                <w:webHidden/>
              </w:rPr>
              <w:t>174</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45" w:history="1">
            <w:r w:rsidR="00AE08A3" w:rsidRPr="00B94A86">
              <w:rPr>
                <w:rStyle w:val="Hipervnculo"/>
                <w:noProof/>
                <w:lang w:val="es-ES"/>
              </w:rPr>
              <w:t>12.1 El  Turismo a Nivel Internacional</w:t>
            </w:r>
            <w:r w:rsidR="00AE08A3">
              <w:rPr>
                <w:noProof/>
                <w:webHidden/>
              </w:rPr>
              <w:tab/>
            </w:r>
            <w:r w:rsidR="00AE08A3">
              <w:rPr>
                <w:noProof/>
                <w:webHidden/>
              </w:rPr>
              <w:fldChar w:fldCharType="begin"/>
            </w:r>
            <w:r w:rsidR="00AE08A3">
              <w:rPr>
                <w:noProof/>
                <w:webHidden/>
              </w:rPr>
              <w:instrText xml:space="preserve"> PAGEREF _Toc406754345 \h </w:instrText>
            </w:r>
            <w:r w:rsidR="00AE08A3">
              <w:rPr>
                <w:noProof/>
                <w:webHidden/>
              </w:rPr>
            </w:r>
            <w:r w:rsidR="00AE08A3">
              <w:rPr>
                <w:noProof/>
                <w:webHidden/>
              </w:rPr>
              <w:fldChar w:fldCharType="separate"/>
            </w:r>
            <w:r w:rsidR="00AE08A3">
              <w:rPr>
                <w:noProof/>
                <w:webHidden/>
              </w:rPr>
              <w:t>175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46" w:history="1">
            <w:r w:rsidR="00AE08A3" w:rsidRPr="00B94A86">
              <w:rPr>
                <w:rStyle w:val="Hipervnculo"/>
                <w:noProof/>
              </w:rPr>
              <w:t>12.2 El Turismo en Colombia</w:t>
            </w:r>
            <w:r w:rsidR="00AE08A3">
              <w:rPr>
                <w:noProof/>
                <w:webHidden/>
              </w:rPr>
              <w:tab/>
            </w:r>
            <w:r w:rsidR="00AE08A3">
              <w:rPr>
                <w:noProof/>
                <w:webHidden/>
              </w:rPr>
              <w:fldChar w:fldCharType="begin"/>
            </w:r>
            <w:r w:rsidR="00AE08A3">
              <w:rPr>
                <w:noProof/>
                <w:webHidden/>
              </w:rPr>
              <w:instrText xml:space="preserve"> PAGEREF _Toc406754346 \h </w:instrText>
            </w:r>
            <w:r w:rsidR="00AE08A3">
              <w:rPr>
                <w:noProof/>
                <w:webHidden/>
              </w:rPr>
            </w:r>
            <w:r w:rsidR="00AE08A3">
              <w:rPr>
                <w:noProof/>
                <w:webHidden/>
              </w:rPr>
              <w:fldChar w:fldCharType="separate"/>
            </w:r>
            <w:r w:rsidR="00AE08A3">
              <w:rPr>
                <w:noProof/>
                <w:webHidden/>
              </w:rPr>
              <w:t>179</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47" w:history="1">
            <w:r w:rsidR="00AE08A3" w:rsidRPr="00B94A86">
              <w:rPr>
                <w:rStyle w:val="Hipervnculo"/>
                <w:noProof/>
              </w:rPr>
              <w:t>12.3 Turismo en el departamento del Quindío</w:t>
            </w:r>
            <w:r w:rsidR="00AE08A3">
              <w:rPr>
                <w:noProof/>
                <w:webHidden/>
              </w:rPr>
              <w:tab/>
            </w:r>
            <w:r w:rsidR="00AE08A3">
              <w:rPr>
                <w:noProof/>
                <w:webHidden/>
              </w:rPr>
              <w:fldChar w:fldCharType="begin"/>
            </w:r>
            <w:r w:rsidR="00AE08A3">
              <w:rPr>
                <w:noProof/>
                <w:webHidden/>
              </w:rPr>
              <w:instrText xml:space="preserve"> PAGEREF _Toc406754347 \h </w:instrText>
            </w:r>
            <w:r w:rsidR="00AE08A3">
              <w:rPr>
                <w:noProof/>
                <w:webHidden/>
              </w:rPr>
            </w:r>
            <w:r w:rsidR="00AE08A3">
              <w:rPr>
                <w:noProof/>
                <w:webHidden/>
              </w:rPr>
              <w:fldChar w:fldCharType="separate"/>
            </w:r>
            <w:r w:rsidR="00AE08A3">
              <w:rPr>
                <w:noProof/>
                <w:webHidden/>
              </w:rPr>
              <w:t>181</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48" w:history="1">
            <w:r w:rsidR="00AE08A3" w:rsidRPr="00B94A86">
              <w:rPr>
                <w:rStyle w:val="Hipervnculo"/>
                <w:noProof/>
              </w:rPr>
              <w:t>12.4 Deportes y aventura</w:t>
            </w:r>
            <w:r w:rsidR="00AE08A3">
              <w:rPr>
                <w:noProof/>
                <w:webHidden/>
              </w:rPr>
              <w:tab/>
            </w:r>
            <w:r w:rsidR="00AE08A3">
              <w:rPr>
                <w:noProof/>
                <w:webHidden/>
              </w:rPr>
              <w:fldChar w:fldCharType="begin"/>
            </w:r>
            <w:r w:rsidR="00AE08A3">
              <w:rPr>
                <w:noProof/>
                <w:webHidden/>
              </w:rPr>
              <w:instrText xml:space="preserve"> PAGEREF _Toc406754348 \h </w:instrText>
            </w:r>
            <w:r w:rsidR="00AE08A3">
              <w:rPr>
                <w:noProof/>
                <w:webHidden/>
              </w:rPr>
            </w:r>
            <w:r w:rsidR="00AE08A3">
              <w:rPr>
                <w:noProof/>
                <w:webHidden/>
              </w:rPr>
              <w:fldChar w:fldCharType="separate"/>
            </w:r>
            <w:r w:rsidR="00AE08A3">
              <w:rPr>
                <w:noProof/>
                <w:webHidden/>
              </w:rPr>
              <w:t>184</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49" w:history="1">
            <w:r w:rsidR="00AE08A3" w:rsidRPr="00B94A86">
              <w:rPr>
                <w:rStyle w:val="Hipervnculo"/>
                <w:noProof/>
              </w:rPr>
              <w:t>12.5 Agroturismo – turismo rural</w:t>
            </w:r>
            <w:r w:rsidR="00AE08A3">
              <w:rPr>
                <w:noProof/>
                <w:webHidden/>
              </w:rPr>
              <w:tab/>
            </w:r>
            <w:r w:rsidR="00AE08A3">
              <w:rPr>
                <w:noProof/>
                <w:webHidden/>
              </w:rPr>
              <w:fldChar w:fldCharType="begin"/>
            </w:r>
            <w:r w:rsidR="00AE08A3">
              <w:rPr>
                <w:noProof/>
                <w:webHidden/>
              </w:rPr>
              <w:instrText xml:space="preserve"> PAGEREF _Toc406754349 \h </w:instrText>
            </w:r>
            <w:r w:rsidR="00AE08A3">
              <w:rPr>
                <w:noProof/>
                <w:webHidden/>
              </w:rPr>
            </w:r>
            <w:r w:rsidR="00AE08A3">
              <w:rPr>
                <w:noProof/>
                <w:webHidden/>
              </w:rPr>
              <w:fldChar w:fldCharType="separate"/>
            </w:r>
            <w:r w:rsidR="00AE08A3">
              <w:rPr>
                <w:noProof/>
                <w:webHidden/>
              </w:rPr>
              <w:t>184</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50" w:history="1">
            <w:r w:rsidR="00AE08A3" w:rsidRPr="00B94A86">
              <w:rPr>
                <w:rStyle w:val="Hipervnculo"/>
                <w:noProof/>
              </w:rPr>
              <w:t>12.6 Parques temáticos</w:t>
            </w:r>
            <w:r w:rsidR="00AE08A3">
              <w:rPr>
                <w:noProof/>
                <w:webHidden/>
              </w:rPr>
              <w:tab/>
            </w:r>
            <w:r w:rsidR="00AE08A3">
              <w:rPr>
                <w:noProof/>
                <w:webHidden/>
              </w:rPr>
              <w:fldChar w:fldCharType="begin"/>
            </w:r>
            <w:r w:rsidR="00AE08A3">
              <w:rPr>
                <w:noProof/>
                <w:webHidden/>
              </w:rPr>
              <w:instrText xml:space="preserve"> PAGEREF _Toc406754350 \h </w:instrText>
            </w:r>
            <w:r w:rsidR="00AE08A3">
              <w:rPr>
                <w:noProof/>
                <w:webHidden/>
              </w:rPr>
            </w:r>
            <w:r w:rsidR="00AE08A3">
              <w:rPr>
                <w:noProof/>
                <w:webHidden/>
              </w:rPr>
              <w:fldChar w:fldCharType="separate"/>
            </w:r>
            <w:r w:rsidR="00AE08A3">
              <w:rPr>
                <w:noProof/>
                <w:webHidden/>
              </w:rPr>
              <w:t>185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51" w:history="1">
            <w:r w:rsidR="00AE08A3" w:rsidRPr="00B94A86">
              <w:rPr>
                <w:rStyle w:val="Hipervnculo"/>
                <w:noProof/>
              </w:rPr>
              <w:t>12.6 Razones para visitar el Quindío</w:t>
            </w:r>
            <w:r w:rsidR="00AE08A3">
              <w:rPr>
                <w:noProof/>
                <w:webHidden/>
              </w:rPr>
              <w:tab/>
            </w:r>
            <w:r w:rsidR="00AE08A3">
              <w:rPr>
                <w:noProof/>
                <w:webHidden/>
              </w:rPr>
              <w:fldChar w:fldCharType="begin"/>
            </w:r>
            <w:r w:rsidR="00AE08A3">
              <w:rPr>
                <w:noProof/>
                <w:webHidden/>
              </w:rPr>
              <w:instrText xml:space="preserve"> PAGEREF _Toc406754351 \h </w:instrText>
            </w:r>
            <w:r w:rsidR="00AE08A3">
              <w:rPr>
                <w:noProof/>
                <w:webHidden/>
              </w:rPr>
            </w:r>
            <w:r w:rsidR="00AE08A3">
              <w:rPr>
                <w:noProof/>
                <w:webHidden/>
              </w:rPr>
              <w:fldChar w:fldCharType="separate"/>
            </w:r>
            <w:r w:rsidR="00AE08A3">
              <w:rPr>
                <w:noProof/>
                <w:webHidden/>
              </w:rPr>
              <w:t>187</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52" w:history="1">
            <w:r w:rsidR="00AE08A3" w:rsidRPr="00B94A86">
              <w:rPr>
                <w:rStyle w:val="Hipervnculo"/>
                <w:noProof/>
              </w:rPr>
              <w:t>13.  Deporte y Recreación</w:t>
            </w:r>
            <w:r w:rsidR="00AE08A3">
              <w:rPr>
                <w:noProof/>
                <w:webHidden/>
              </w:rPr>
              <w:tab/>
            </w:r>
            <w:r w:rsidR="00AE08A3">
              <w:rPr>
                <w:noProof/>
                <w:webHidden/>
              </w:rPr>
              <w:fldChar w:fldCharType="begin"/>
            </w:r>
            <w:r w:rsidR="00AE08A3">
              <w:rPr>
                <w:noProof/>
                <w:webHidden/>
              </w:rPr>
              <w:instrText xml:space="preserve"> PAGEREF _Toc406754352 \h </w:instrText>
            </w:r>
            <w:r w:rsidR="00AE08A3">
              <w:rPr>
                <w:noProof/>
                <w:webHidden/>
              </w:rPr>
            </w:r>
            <w:r w:rsidR="00AE08A3">
              <w:rPr>
                <w:noProof/>
                <w:webHidden/>
              </w:rPr>
              <w:fldChar w:fldCharType="separate"/>
            </w:r>
            <w:r w:rsidR="00AE08A3">
              <w:rPr>
                <w:noProof/>
                <w:webHidden/>
              </w:rPr>
              <w:t>189</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53" w:history="1">
            <w:r w:rsidR="00AE08A3" w:rsidRPr="00B94A86">
              <w:rPr>
                <w:rStyle w:val="Hipervnculo"/>
                <w:noProof/>
              </w:rPr>
              <w:t>13.1 Infraestructura Deportiva Departamental</w:t>
            </w:r>
            <w:r w:rsidR="00AE08A3">
              <w:rPr>
                <w:noProof/>
                <w:webHidden/>
              </w:rPr>
              <w:tab/>
            </w:r>
            <w:r w:rsidR="00AE08A3">
              <w:rPr>
                <w:noProof/>
                <w:webHidden/>
              </w:rPr>
              <w:fldChar w:fldCharType="begin"/>
            </w:r>
            <w:r w:rsidR="00AE08A3">
              <w:rPr>
                <w:noProof/>
                <w:webHidden/>
              </w:rPr>
              <w:instrText xml:space="preserve"> PAGEREF _Toc406754353 \h </w:instrText>
            </w:r>
            <w:r w:rsidR="00AE08A3">
              <w:rPr>
                <w:noProof/>
                <w:webHidden/>
              </w:rPr>
            </w:r>
            <w:r w:rsidR="00AE08A3">
              <w:rPr>
                <w:noProof/>
                <w:webHidden/>
              </w:rPr>
              <w:fldChar w:fldCharType="separate"/>
            </w:r>
            <w:r w:rsidR="00AE08A3">
              <w:rPr>
                <w:noProof/>
                <w:webHidden/>
              </w:rPr>
              <w:t>190</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54" w:history="1">
            <w:r w:rsidR="00AE08A3" w:rsidRPr="00B94A86">
              <w:rPr>
                <w:rStyle w:val="Hipervnculo"/>
                <w:noProof/>
              </w:rPr>
              <w:t>14  Salud</w:t>
            </w:r>
            <w:r w:rsidR="00AE08A3">
              <w:rPr>
                <w:noProof/>
                <w:webHidden/>
              </w:rPr>
              <w:tab/>
            </w:r>
            <w:r w:rsidR="00AE08A3">
              <w:rPr>
                <w:noProof/>
                <w:webHidden/>
              </w:rPr>
              <w:fldChar w:fldCharType="begin"/>
            </w:r>
            <w:r w:rsidR="00AE08A3">
              <w:rPr>
                <w:noProof/>
                <w:webHidden/>
              </w:rPr>
              <w:instrText xml:space="preserve"> PAGEREF _Toc406754354 \h </w:instrText>
            </w:r>
            <w:r w:rsidR="00AE08A3">
              <w:rPr>
                <w:noProof/>
                <w:webHidden/>
              </w:rPr>
            </w:r>
            <w:r w:rsidR="00AE08A3">
              <w:rPr>
                <w:noProof/>
                <w:webHidden/>
              </w:rPr>
              <w:fldChar w:fldCharType="separate"/>
            </w:r>
            <w:r w:rsidR="00AE08A3">
              <w:rPr>
                <w:noProof/>
                <w:webHidden/>
              </w:rPr>
              <w:t>195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55" w:history="1">
            <w:r w:rsidR="00AE08A3" w:rsidRPr="00B94A86">
              <w:rPr>
                <w:rStyle w:val="Hipervnculo"/>
                <w:noProof/>
              </w:rPr>
              <w:t>14.1    Estadísticas Vitales</w:t>
            </w:r>
            <w:r w:rsidR="00AE08A3">
              <w:rPr>
                <w:noProof/>
                <w:webHidden/>
              </w:rPr>
              <w:tab/>
            </w:r>
            <w:r w:rsidR="00AE08A3">
              <w:rPr>
                <w:noProof/>
                <w:webHidden/>
              </w:rPr>
              <w:fldChar w:fldCharType="begin"/>
            </w:r>
            <w:r w:rsidR="00AE08A3">
              <w:rPr>
                <w:noProof/>
                <w:webHidden/>
              </w:rPr>
              <w:instrText xml:space="preserve"> PAGEREF _Toc406754355 \h </w:instrText>
            </w:r>
            <w:r w:rsidR="00AE08A3">
              <w:rPr>
                <w:noProof/>
                <w:webHidden/>
              </w:rPr>
            </w:r>
            <w:r w:rsidR="00AE08A3">
              <w:rPr>
                <w:noProof/>
                <w:webHidden/>
              </w:rPr>
              <w:fldChar w:fldCharType="separate"/>
            </w:r>
            <w:r w:rsidR="00AE08A3">
              <w:rPr>
                <w:noProof/>
                <w:webHidden/>
              </w:rPr>
              <w:t>197</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56" w:history="1">
            <w:r w:rsidR="00AE08A3" w:rsidRPr="00B94A86">
              <w:rPr>
                <w:rStyle w:val="Hipervnculo"/>
                <w:noProof/>
              </w:rPr>
              <w:t>14.1.1 Mortalidad Infantil</w:t>
            </w:r>
            <w:r w:rsidR="00AE08A3">
              <w:rPr>
                <w:noProof/>
                <w:webHidden/>
              </w:rPr>
              <w:tab/>
            </w:r>
            <w:r w:rsidR="00AE08A3">
              <w:rPr>
                <w:noProof/>
                <w:webHidden/>
              </w:rPr>
              <w:fldChar w:fldCharType="begin"/>
            </w:r>
            <w:r w:rsidR="00AE08A3">
              <w:rPr>
                <w:noProof/>
                <w:webHidden/>
              </w:rPr>
              <w:instrText xml:space="preserve"> PAGEREF _Toc406754356 \h </w:instrText>
            </w:r>
            <w:r w:rsidR="00AE08A3">
              <w:rPr>
                <w:noProof/>
                <w:webHidden/>
              </w:rPr>
            </w:r>
            <w:r w:rsidR="00AE08A3">
              <w:rPr>
                <w:noProof/>
                <w:webHidden/>
              </w:rPr>
              <w:fldChar w:fldCharType="separate"/>
            </w:r>
            <w:r w:rsidR="00AE08A3">
              <w:rPr>
                <w:noProof/>
                <w:webHidden/>
              </w:rPr>
              <w:t>197</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57" w:history="1">
            <w:r w:rsidR="00AE08A3" w:rsidRPr="00B94A86">
              <w:rPr>
                <w:rStyle w:val="Hipervnculo"/>
                <w:noProof/>
              </w:rPr>
              <w:t>14.2   Coberturas de Vacunación</w:t>
            </w:r>
            <w:r w:rsidR="00AE08A3">
              <w:rPr>
                <w:noProof/>
                <w:webHidden/>
              </w:rPr>
              <w:tab/>
            </w:r>
            <w:r w:rsidR="00AE08A3">
              <w:rPr>
                <w:noProof/>
                <w:webHidden/>
              </w:rPr>
              <w:fldChar w:fldCharType="begin"/>
            </w:r>
            <w:r w:rsidR="00AE08A3">
              <w:rPr>
                <w:noProof/>
                <w:webHidden/>
              </w:rPr>
              <w:instrText xml:space="preserve"> PAGEREF _Toc406754357 \h </w:instrText>
            </w:r>
            <w:r w:rsidR="00AE08A3">
              <w:rPr>
                <w:noProof/>
                <w:webHidden/>
              </w:rPr>
            </w:r>
            <w:r w:rsidR="00AE08A3">
              <w:rPr>
                <w:noProof/>
                <w:webHidden/>
              </w:rPr>
              <w:fldChar w:fldCharType="separate"/>
            </w:r>
            <w:r w:rsidR="00AE08A3">
              <w:rPr>
                <w:noProof/>
                <w:webHidden/>
              </w:rPr>
              <w:t>201</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58" w:history="1">
            <w:r w:rsidR="00AE08A3" w:rsidRPr="00B94A86">
              <w:rPr>
                <w:rStyle w:val="Hipervnculo"/>
                <w:noProof/>
              </w:rPr>
              <w:t>14.2.3  Enfermedades Inmunoprevenibles</w:t>
            </w:r>
            <w:r w:rsidR="00AE08A3">
              <w:rPr>
                <w:noProof/>
                <w:webHidden/>
              </w:rPr>
              <w:tab/>
            </w:r>
            <w:r w:rsidR="00AE08A3">
              <w:rPr>
                <w:noProof/>
                <w:webHidden/>
              </w:rPr>
              <w:fldChar w:fldCharType="begin"/>
            </w:r>
            <w:r w:rsidR="00AE08A3">
              <w:rPr>
                <w:noProof/>
                <w:webHidden/>
              </w:rPr>
              <w:instrText xml:space="preserve"> PAGEREF _Toc406754358 \h </w:instrText>
            </w:r>
            <w:r w:rsidR="00AE08A3">
              <w:rPr>
                <w:noProof/>
                <w:webHidden/>
              </w:rPr>
            </w:r>
            <w:r w:rsidR="00AE08A3">
              <w:rPr>
                <w:noProof/>
                <w:webHidden/>
              </w:rPr>
              <w:fldChar w:fldCharType="separate"/>
            </w:r>
            <w:r w:rsidR="00AE08A3">
              <w:rPr>
                <w:noProof/>
                <w:webHidden/>
              </w:rPr>
              <w:t>203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59" w:history="1">
            <w:r w:rsidR="00AE08A3" w:rsidRPr="00B94A86">
              <w:rPr>
                <w:rStyle w:val="Hipervnculo"/>
                <w:noProof/>
              </w:rPr>
              <w:t>14.3 Estado Nutricional en el Quindío</w:t>
            </w:r>
            <w:r w:rsidR="00AE08A3">
              <w:rPr>
                <w:noProof/>
                <w:webHidden/>
              </w:rPr>
              <w:tab/>
            </w:r>
            <w:r w:rsidR="00AE08A3">
              <w:rPr>
                <w:noProof/>
                <w:webHidden/>
              </w:rPr>
              <w:fldChar w:fldCharType="begin"/>
            </w:r>
            <w:r w:rsidR="00AE08A3">
              <w:rPr>
                <w:noProof/>
                <w:webHidden/>
              </w:rPr>
              <w:instrText xml:space="preserve"> PAGEREF _Toc406754359 \h </w:instrText>
            </w:r>
            <w:r w:rsidR="00AE08A3">
              <w:rPr>
                <w:noProof/>
                <w:webHidden/>
              </w:rPr>
            </w:r>
            <w:r w:rsidR="00AE08A3">
              <w:rPr>
                <w:noProof/>
                <w:webHidden/>
              </w:rPr>
              <w:fldChar w:fldCharType="separate"/>
            </w:r>
            <w:r w:rsidR="00AE08A3">
              <w:rPr>
                <w:noProof/>
                <w:webHidden/>
              </w:rPr>
              <w:t>205</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60" w:history="1">
            <w:r w:rsidR="00AE08A3" w:rsidRPr="00B94A86">
              <w:rPr>
                <w:rStyle w:val="Hipervnculo"/>
                <w:noProof/>
              </w:rPr>
              <w:t>14.4   Afiliación al Régimen Afiliado de Salud</w:t>
            </w:r>
            <w:r w:rsidR="00AE08A3">
              <w:rPr>
                <w:noProof/>
                <w:webHidden/>
              </w:rPr>
              <w:tab/>
            </w:r>
            <w:r w:rsidR="00AE08A3">
              <w:rPr>
                <w:noProof/>
                <w:webHidden/>
              </w:rPr>
              <w:fldChar w:fldCharType="begin"/>
            </w:r>
            <w:r w:rsidR="00AE08A3">
              <w:rPr>
                <w:noProof/>
                <w:webHidden/>
              </w:rPr>
              <w:instrText xml:space="preserve"> PAGEREF _Toc406754360 \h </w:instrText>
            </w:r>
            <w:r w:rsidR="00AE08A3">
              <w:rPr>
                <w:noProof/>
                <w:webHidden/>
              </w:rPr>
            </w:r>
            <w:r w:rsidR="00AE08A3">
              <w:rPr>
                <w:noProof/>
                <w:webHidden/>
              </w:rPr>
              <w:fldChar w:fldCharType="separate"/>
            </w:r>
            <w:r w:rsidR="00AE08A3">
              <w:rPr>
                <w:noProof/>
                <w:webHidden/>
              </w:rPr>
              <w:t>207</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61" w:history="1">
            <w:r w:rsidR="00AE08A3" w:rsidRPr="00B94A86">
              <w:rPr>
                <w:rStyle w:val="Hipervnculo"/>
                <w:noProof/>
              </w:rPr>
              <w:t>14.4.1  Régimen Subsidiado</w:t>
            </w:r>
            <w:r w:rsidR="00AE08A3">
              <w:rPr>
                <w:noProof/>
                <w:webHidden/>
              </w:rPr>
              <w:tab/>
            </w:r>
            <w:r w:rsidR="00AE08A3">
              <w:rPr>
                <w:noProof/>
                <w:webHidden/>
              </w:rPr>
              <w:fldChar w:fldCharType="begin"/>
            </w:r>
            <w:r w:rsidR="00AE08A3">
              <w:rPr>
                <w:noProof/>
                <w:webHidden/>
              </w:rPr>
              <w:instrText xml:space="preserve"> PAGEREF _Toc406754361 \h </w:instrText>
            </w:r>
            <w:r w:rsidR="00AE08A3">
              <w:rPr>
                <w:noProof/>
                <w:webHidden/>
              </w:rPr>
            </w:r>
            <w:r w:rsidR="00AE08A3">
              <w:rPr>
                <w:noProof/>
                <w:webHidden/>
              </w:rPr>
              <w:fldChar w:fldCharType="separate"/>
            </w:r>
            <w:r w:rsidR="00AE08A3">
              <w:rPr>
                <w:noProof/>
                <w:webHidden/>
              </w:rPr>
              <w:t>207</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62" w:history="1">
            <w:r w:rsidR="00AE08A3" w:rsidRPr="00B94A86">
              <w:rPr>
                <w:rStyle w:val="Hipervnculo"/>
                <w:noProof/>
              </w:rPr>
              <w:t>14.5.  Enfermedades de Transmisión Sexual</w:t>
            </w:r>
            <w:r w:rsidR="00AE08A3">
              <w:rPr>
                <w:noProof/>
                <w:webHidden/>
              </w:rPr>
              <w:tab/>
            </w:r>
            <w:r w:rsidR="00AE08A3">
              <w:rPr>
                <w:noProof/>
                <w:webHidden/>
              </w:rPr>
              <w:fldChar w:fldCharType="begin"/>
            </w:r>
            <w:r w:rsidR="00AE08A3">
              <w:rPr>
                <w:noProof/>
                <w:webHidden/>
              </w:rPr>
              <w:instrText xml:space="preserve"> PAGEREF _Toc406754362 \h </w:instrText>
            </w:r>
            <w:r w:rsidR="00AE08A3">
              <w:rPr>
                <w:noProof/>
                <w:webHidden/>
              </w:rPr>
            </w:r>
            <w:r w:rsidR="00AE08A3">
              <w:rPr>
                <w:noProof/>
                <w:webHidden/>
              </w:rPr>
              <w:fldChar w:fldCharType="separate"/>
            </w:r>
            <w:r w:rsidR="00AE08A3">
              <w:rPr>
                <w:noProof/>
                <w:webHidden/>
              </w:rPr>
              <w:t>208</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63" w:history="1">
            <w:r w:rsidR="00AE08A3" w:rsidRPr="00B94A86">
              <w:rPr>
                <w:rStyle w:val="Hipervnculo"/>
                <w:noProof/>
              </w:rPr>
              <w:t>15 Producto Interno Bruto -PIB</w:t>
            </w:r>
            <w:r w:rsidR="00AE08A3">
              <w:rPr>
                <w:noProof/>
                <w:webHidden/>
              </w:rPr>
              <w:tab/>
            </w:r>
            <w:r w:rsidR="00AE08A3">
              <w:rPr>
                <w:noProof/>
                <w:webHidden/>
              </w:rPr>
              <w:fldChar w:fldCharType="begin"/>
            </w:r>
            <w:r w:rsidR="00AE08A3">
              <w:rPr>
                <w:noProof/>
                <w:webHidden/>
              </w:rPr>
              <w:instrText xml:space="preserve"> PAGEREF _Toc406754363 \h </w:instrText>
            </w:r>
            <w:r w:rsidR="00AE08A3">
              <w:rPr>
                <w:noProof/>
                <w:webHidden/>
              </w:rPr>
            </w:r>
            <w:r w:rsidR="00AE08A3">
              <w:rPr>
                <w:noProof/>
                <w:webHidden/>
              </w:rPr>
              <w:fldChar w:fldCharType="separate"/>
            </w:r>
            <w:r w:rsidR="00AE08A3">
              <w:rPr>
                <w:noProof/>
                <w:webHidden/>
              </w:rPr>
              <w:t>213</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64" w:history="1">
            <w:r w:rsidR="00AE08A3" w:rsidRPr="00B94A86">
              <w:rPr>
                <w:rStyle w:val="Hipervnculo"/>
                <w:noProof/>
              </w:rPr>
              <w:t>15.1 Composición del PIB Departamental</w:t>
            </w:r>
            <w:r w:rsidR="00AE08A3">
              <w:rPr>
                <w:noProof/>
                <w:webHidden/>
              </w:rPr>
              <w:tab/>
            </w:r>
            <w:r w:rsidR="00AE08A3">
              <w:rPr>
                <w:noProof/>
                <w:webHidden/>
              </w:rPr>
              <w:fldChar w:fldCharType="begin"/>
            </w:r>
            <w:r w:rsidR="00AE08A3">
              <w:rPr>
                <w:noProof/>
                <w:webHidden/>
              </w:rPr>
              <w:instrText xml:space="preserve"> PAGEREF _Toc406754364 \h </w:instrText>
            </w:r>
            <w:r w:rsidR="00AE08A3">
              <w:rPr>
                <w:noProof/>
                <w:webHidden/>
              </w:rPr>
            </w:r>
            <w:r w:rsidR="00AE08A3">
              <w:rPr>
                <w:noProof/>
                <w:webHidden/>
              </w:rPr>
              <w:fldChar w:fldCharType="separate"/>
            </w:r>
            <w:r w:rsidR="00AE08A3">
              <w:rPr>
                <w:noProof/>
                <w:webHidden/>
              </w:rPr>
              <w:t>216</w:t>
            </w:r>
            <w:r w:rsidR="00AE08A3">
              <w:rPr>
                <w:noProof/>
                <w:webHidden/>
              </w:rPr>
              <w:fldChar w:fldCharType="end"/>
            </w:r>
          </w:hyperlink>
        </w:p>
        <w:p w:rsidR="00AE08A3" w:rsidRDefault="00EA516E">
          <w:pPr>
            <w:pStyle w:val="TDC2"/>
            <w:rPr>
              <w:rFonts w:asciiTheme="minorHAnsi" w:eastAsiaTheme="minorEastAsia" w:hAnsiTheme="minorHAnsi" w:cstheme="minorBidi"/>
              <w:noProof/>
              <w:sz w:val="22"/>
              <w:szCs w:val="22"/>
            </w:rPr>
          </w:pPr>
          <w:hyperlink w:anchor="_Toc406754365" w:history="1">
            <w:r w:rsidR="00AE08A3" w:rsidRPr="00B94A86">
              <w:rPr>
                <w:rStyle w:val="Hipervnculo"/>
                <w:noProof/>
                <w:lang w:val="es-ES"/>
              </w:rPr>
              <w:t>15.2 PIB Per cápita</w:t>
            </w:r>
            <w:r w:rsidR="00AE08A3">
              <w:rPr>
                <w:noProof/>
                <w:webHidden/>
              </w:rPr>
              <w:tab/>
            </w:r>
            <w:r w:rsidR="00AE08A3">
              <w:rPr>
                <w:noProof/>
                <w:webHidden/>
              </w:rPr>
              <w:fldChar w:fldCharType="begin"/>
            </w:r>
            <w:r w:rsidR="00AE08A3">
              <w:rPr>
                <w:noProof/>
                <w:webHidden/>
              </w:rPr>
              <w:instrText xml:space="preserve"> PAGEREF _Toc406754365 \h </w:instrText>
            </w:r>
            <w:r w:rsidR="00AE08A3">
              <w:rPr>
                <w:noProof/>
                <w:webHidden/>
              </w:rPr>
            </w:r>
            <w:r w:rsidR="00AE08A3">
              <w:rPr>
                <w:noProof/>
                <w:webHidden/>
              </w:rPr>
              <w:fldChar w:fldCharType="separate"/>
            </w:r>
            <w:r w:rsidR="00AE08A3">
              <w:rPr>
                <w:noProof/>
                <w:webHidden/>
              </w:rPr>
              <w:t>219</w:t>
            </w:r>
            <w:r w:rsidR="00AE08A3">
              <w:rPr>
                <w:noProof/>
                <w:webHidden/>
              </w:rPr>
              <w:fldChar w:fldCharType="end"/>
            </w:r>
          </w:hyperlink>
        </w:p>
        <w:p w:rsidR="00AE08A3" w:rsidRDefault="00EA516E">
          <w:pPr>
            <w:pStyle w:val="TDC1"/>
            <w:tabs>
              <w:tab w:val="right" w:leader="dot" w:pos="8830"/>
            </w:tabs>
            <w:rPr>
              <w:rFonts w:asciiTheme="minorHAnsi" w:eastAsiaTheme="minorEastAsia" w:hAnsiTheme="minorHAnsi" w:cstheme="minorBidi"/>
              <w:noProof/>
              <w:sz w:val="22"/>
              <w:szCs w:val="22"/>
            </w:rPr>
          </w:pPr>
          <w:hyperlink w:anchor="_Toc406754366" w:history="1">
            <w:r w:rsidR="00AE08A3" w:rsidRPr="00B94A86">
              <w:rPr>
                <w:rStyle w:val="Hipervnculo"/>
                <w:noProof/>
              </w:rPr>
              <w:t>Referencias</w:t>
            </w:r>
            <w:r w:rsidR="00AE08A3">
              <w:rPr>
                <w:noProof/>
                <w:webHidden/>
              </w:rPr>
              <w:tab/>
            </w:r>
            <w:r w:rsidR="00AE08A3">
              <w:rPr>
                <w:noProof/>
                <w:webHidden/>
              </w:rPr>
              <w:fldChar w:fldCharType="begin"/>
            </w:r>
            <w:r w:rsidR="00AE08A3">
              <w:rPr>
                <w:noProof/>
                <w:webHidden/>
              </w:rPr>
              <w:instrText xml:space="preserve"> PAGEREF _Toc406754366 \h </w:instrText>
            </w:r>
            <w:r w:rsidR="00AE08A3">
              <w:rPr>
                <w:noProof/>
                <w:webHidden/>
              </w:rPr>
            </w:r>
            <w:r w:rsidR="00AE08A3">
              <w:rPr>
                <w:noProof/>
                <w:webHidden/>
              </w:rPr>
              <w:fldChar w:fldCharType="separate"/>
            </w:r>
            <w:r w:rsidR="00AE08A3">
              <w:rPr>
                <w:noProof/>
                <w:webHidden/>
              </w:rPr>
              <w:t>223</w:t>
            </w:r>
            <w:r w:rsidR="00AE08A3">
              <w:rPr>
                <w:noProof/>
                <w:webHidden/>
              </w:rPr>
              <w:fldChar w:fldCharType="end"/>
            </w:r>
          </w:hyperlink>
        </w:p>
        <w:p w:rsidR="00E73BF4" w:rsidRDefault="00E73BF4">
          <w:r>
            <w:rPr>
              <w:b/>
              <w:bCs/>
              <w:lang w:val="es-ES"/>
            </w:rPr>
            <w:fldChar w:fldCharType="end"/>
          </w:r>
        </w:p>
      </w:sdtContent>
    </w:sdt>
    <w:p w:rsidR="00E73BF4" w:rsidRDefault="00E73BF4"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E73BF4" w:rsidRDefault="00E73BF4" w:rsidP="00675D1A">
      <w:pPr>
        <w:pStyle w:val="Sinespaciado"/>
        <w:rPr>
          <w:rFonts w:ascii="Times New Roman" w:hAnsi="Times New Roman"/>
          <w:b/>
          <w:sz w:val="30"/>
          <w:szCs w:val="30"/>
        </w:rPr>
      </w:pPr>
    </w:p>
    <w:p w:rsidR="00E73BF4" w:rsidRDefault="00E73BF4" w:rsidP="00675D1A">
      <w:pPr>
        <w:pStyle w:val="Sinespaciado"/>
        <w:rPr>
          <w:rFonts w:ascii="Times New Roman" w:hAnsi="Times New Roman"/>
          <w:b/>
          <w:sz w:val="30"/>
          <w:szCs w:val="30"/>
        </w:rPr>
      </w:pPr>
    </w:p>
    <w:p w:rsidR="00E73BF4" w:rsidRDefault="00E73BF4" w:rsidP="00675D1A">
      <w:pPr>
        <w:pStyle w:val="Sinespaciado"/>
        <w:rPr>
          <w:rFonts w:ascii="Times New Roman" w:hAnsi="Times New Roman"/>
          <w:b/>
          <w:sz w:val="30"/>
          <w:szCs w:val="30"/>
        </w:rPr>
      </w:pPr>
    </w:p>
    <w:p w:rsidR="00E73BF4" w:rsidRDefault="00E73BF4" w:rsidP="00675D1A">
      <w:pPr>
        <w:pStyle w:val="Sinespaciado"/>
        <w:rPr>
          <w:rFonts w:ascii="Times New Roman" w:hAnsi="Times New Roman"/>
          <w:b/>
          <w:sz w:val="30"/>
          <w:szCs w:val="30"/>
        </w:rPr>
      </w:pPr>
    </w:p>
    <w:p w:rsidR="00E73BF4" w:rsidRDefault="00E73BF4" w:rsidP="00675D1A">
      <w:pPr>
        <w:pStyle w:val="Sinespaciado"/>
        <w:rPr>
          <w:rFonts w:ascii="Times New Roman" w:hAnsi="Times New Roman"/>
          <w:b/>
          <w:sz w:val="30"/>
          <w:szCs w:val="30"/>
        </w:rPr>
      </w:pPr>
    </w:p>
    <w:p w:rsidR="00E73BF4" w:rsidRDefault="00E73BF4" w:rsidP="00675D1A">
      <w:pPr>
        <w:pStyle w:val="Sinespaciado"/>
        <w:rPr>
          <w:rFonts w:ascii="Times New Roman" w:hAnsi="Times New Roman"/>
          <w:b/>
          <w:sz w:val="30"/>
          <w:szCs w:val="30"/>
        </w:rPr>
      </w:pPr>
    </w:p>
    <w:p w:rsidR="00077352" w:rsidRDefault="00077352" w:rsidP="00675D1A">
      <w:pPr>
        <w:pStyle w:val="Sinespaciado"/>
        <w:rPr>
          <w:rFonts w:ascii="Times New Roman" w:hAnsi="Times New Roman"/>
          <w:b/>
          <w:sz w:val="30"/>
          <w:szCs w:val="30"/>
        </w:rPr>
      </w:pPr>
    </w:p>
    <w:p w:rsidR="00077352" w:rsidRDefault="00AC31D3" w:rsidP="00675D1A">
      <w:pPr>
        <w:pStyle w:val="Sinespaciado"/>
        <w:rPr>
          <w:rFonts w:ascii="Times New Roman" w:hAnsi="Times New Roman"/>
          <w:b/>
          <w:sz w:val="30"/>
          <w:szCs w:val="30"/>
        </w:rPr>
      </w:pPr>
      <w:r>
        <w:rPr>
          <w:rFonts w:ascii="Arial" w:hAnsi="Arial" w:cs="Arial"/>
          <w:noProof/>
          <w:lang w:val="es-CO" w:eastAsia="es-CO"/>
        </w:rPr>
        <w:drawing>
          <wp:anchor distT="0" distB="0" distL="114300" distR="114300" simplePos="0" relativeHeight="251691008" behindDoc="1" locked="0" layoutInCell="1" allowOverlap="1" wp14:anchorId="0BF21A75" wp14:editId="61EDA955">
            <wp:simplePos x="0" y="0"/>
            <wp:positionH relativeFrom="column">
              <wp:posOffset>304800</wp:posOffset>
            </wp:positionH>
            <wp:positionV relativeFrom="paragraph">
              <wp:posOffset>-3284855</wp:posOffset>
            </wp:positionV>
            <wp:extent cx="9180830" cy="6400165"/>
            <wp:effectExtent l="0" t="0" r="1270" b="63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 DOCUMENTO EVALUACION DESENPEÑO MUNICIPAL 2013.jpg"/>
                    <pic:cNvPicPr/>
                  </pic:nvPicPr>
                  <pic:blipFill>
                    <a:blip r:embed="rId10">
                      <a:extLst>
                        <a:ext uri="{28A0092B-C50C-407E-A947-70E740481C1C}">
                          <a14:useLocalDpi xmlns:a14="http://schemas.microsoft.com/office/drawing/2010/main" val="0"/>
                        </a:ext>
                      </a:extLst>
                    </a:blip>
                    <a:stretch>
                      <a:fillRect/>
                    </a:stretch>
                  </pic:blipFill>
                  <pic:spPr>
                    <a:xfrm>
                      <a:off x="0" y="0"/>
                      <a:ext cx="9180830" cy="6400165"/>
                    </a:xfrm>
                    <a:prstGeom prst="rect">
                      <a:avLst/>
                    </a:prstGeom>
                  </pic:spPr>
                </pic:pic>
              </a:graphicData>
            </a:graphic>
            <wp14:sizeRelH relativeFrom="margin">
              <wp14:pctWidth>0</wp14:pctWidth>
            </wp14:sizeRelH>
            <wp14:sizeRelV relativeFrom="margin">
              <wp14:pctHeight>0</wp14:pctHeight>
            </wp14:sizeRelV>
          </wp:anchor>
        </w:drawing>
      </w:r>
    </w:p>
    <w:p w:rsidR="00077352" w:rsidRDefault="00077352" w:rsidP="00675D1A">
      <w:pPr>
        <w:pStyle w:val="Sinespaciado"/>
        <w:rPr>
          <w:rFonts w:ascii="Times New Roman" w:hAnsi="Times New Roman"/>
          <w:b/>
          <w:sz w:val="30"/>
          <w:szCs w:val="30"/>
        </w:rPr>
      </w:pPr>
    </w:p>
    <w:p w:rsidR="00077352" w:rsidRDefault="0007735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2A3172" w:rsidRDefault="002A3172" w:rsidP="00675D1A">
      <w:pPr>
        <w:pStyle w:val="Sinespaciado"/>
        <w:rPr>
          <w:rFonts w:ascii="Times New Roman" w:hAnsi="Times New Roman"/>
          <w:b/>
          <w:sz w:val="30"/>
          <w:szCs w:val="30"/>
        </w:rPr>
      </w:pPr>
    </w:p>
    <w:p w:rsidR="00077352" w:rsidRDefault="00077352" w:rsidP="00675D1A">
      <w:pPr>
        <w:pStyle w:val="Sinespaciado"/>
        <w:rPr>
          <w:rFonts w:ascii="Times New Roman" w:hAnsi="Times New Roman"/>
          <w:b/>
          <w:sz w:val="30"/>
          <w:szCs w:val="30"/>
        </w:rPr>
      </w:pPr>
    </w:p>
    <w:p w:rsidR="00AE08A3" w:rsidRDefault="00AE08A3" w:rsidP="00675D1A">
      <w:pPr>
        <w:pStyle w:val="Sinespaciado"/>
        <w:rPr>
          <w:rFonts w:ascii="Times New Roman" w:hAnsi="Times New Roman"/>
          <w:b/>
          <w:sz w:val="30"/>
          <w:szCs w:val="30"/>
        </w:rPr>
      </w:pPr>
    </w:p>
    <w:p w:rsidR="00675D1A" w:rsidRPr="005B3FEC" w:rsidRDefault="00675D1A" w:rsidP="005B3FEC">
      <w:pPr>
        <w:pStyle w:val="Ttulo1"/>
        <w:rPr>
          <w:rFonts w:ascii="Times New Roman" w:hAnsi="Times New Roman"/>
        </w:rPr>
      </w:pPr>
      <w:bookmarkStart w:id="0" w:name="_Toc406754268"/>
      <w:r w:rsidRPr="005B3FEC">
        <w:rPr>
          <w:rFonts w:ascii="Times New Roman" w:hAnsi="Times New Roman"/>
        </w:rPr>
        <w:lastRenderedPageBreak/>
        <w:t>Resumen</w:t>
      </w:r>
      <w:bookmarkEnd w:id="0"/>
    </w:p>
    <w:p w:rsidR="00E05917" w:rsidRDefault="00E05917" w:rsidP="00675D1A">
      <w:pPr>
        <w:pStyle w:val="Sinespaciado"/>
        <w:rPr>
          <w:rFonts w:ascii="Times New Roman" w:hAnsi="Times New Roman"/>
        </w:rPr>
      </w:pPr>
    </w:p>
    <w:p w:rsidR="00191C7D" w:rsidRDefault="00191C7D" w:rsidP="00675D1A">
      <w:pPr>
        <w:pStyle w:val="Sinespaciado"/>
        <w:rPr>
          <w:rFonts w:ascii="Times New Roman" w:hAnsi="Times New Roman"/>
        </w:rPr>
      </w:pPr>
    </w:p>
    <w:p w:rsidR="00083202" w:rsidRDefault="00083202" w:rsidP="00E44F7F">
      <w:pPr>
        <w:spacing w:line="360" w:lineRule="auto"/>
        <w:ind w:firstLine="284"/>
        <w:jc w:val="both"/>
      </w:pPr>
      <w:r>
        <w:t>De acuerdo con lo establecido mediante Ordenanza 011 del 6 de mayo de 2014, uno de los productos generados por el Observatorio Departamental es el Informe del Departamento del Quindío; por tanto, como una primera versión</w:t>
      </w:r>
      <w:r w:rsidR="00A360EB">
        <w:t>,</w:t>
      </w:r>
      <w:r>
        <w:t xml:space="preserve"> se presenta el documento correspondiente a la vigencia 2013 con año base 2012 y año de elaboración 2014.</w:t>
      </w:r>
    </w:p>
    <w:p w:rsidR="00083202" w:rsidRDefault="00083202" w:rsidP="00E44F7F">
      <w:pPr>
        <w:spacing w:line="360" w:lineRule="auto"/>
        <w:ind w:firstLine="284"/>
        <w:jc w:val="both"/>
      </w:pPr>
    </w:p>
    <w:p w:rsidR="00E259ED" w:rsidRDefault="00E44F7F" w:rsidP="00E44F7F">
      <w:pPr>
        <w:spacing w:line="360" w:lineRule="auto"/>
        <w:ind w:firstLine="284"/>
        <w:jc w:val="both"/>
      </w:pPr>
      <w:r w:rsidRPr="00D531FD">
        <w:t xml:space="preserve">El Observatorio Departamental del Quindío tiene como objeto y finalidad: </w:t>
      </w:r>
    </w:p>
    <w:p w:rsidR="00E44F7F" w:rsidRPr="00D531FD" w:rsidRDefault="00E44F7F" w:rsidP="00E44F7F">
      <w:pPr>
        <w:spacing w:line="360" w:lineRule="auto"/>
        <w:ind w:firstLine="284"/>
        <w:jc w:val="both"/>
      </w:pPr>
      <w:r w:rsidRPr="00D531FD">
        <w:t>“</w:t>
      </w:r>
      <w:r w:rsidRPr="00D531FD">
        <w:rPr>
          <w:i/>
        </w:rPr>
        <w:t>Proveer información continua, suficiente y confiable a los tomadores de decisión y a la población del Quindío, facilitando el seguimiento objetivo y monitoreo de la</w:t>
      </w:r>
      <w:r w:rsidR="00DC095B">
        <w:rPr>
          <w:i/>
        </w:rPr>
        <w:t>s</w:t>
      </w:r>
      <w:r w:rsidRPr="00D531FD">
        <w:rPr>
          <w:i/>
        </w:rPr>
        <w:t xml:space="preserve"> dinámicas económicas y sociales del departamento, para propender por una adecuada planificación</w:t>
      </w:r>
      <w:r w:rsidRPr="00D531FD">
        <w:t xml:space="preserve">”. </w:t>
      </w:r>
      <w:r w:rsidR="00C95CCF">
        <w:t>(Ordenanza 011,</w:t>
      </w:r>
      <w:r w:rsidR="00E259ED">
        <w:t xml:space="preserve"> </w:t>
      </w:r>
      <w:r w:rsidR="00C95CCF">
        <w:t>2014)</w:t>
      </w:r>
      <w:r w:rsidR="00AC31D3" w:rsidRPr="00AC31D3">
        <w:rPr>
          <w:rFonts w:ascii="Arial" w:hAnsi="Arial" w:cs="Arial"/>
          <w:noProof/>
        </w:rPr>
        <w:t xml:space="preserve"> </w:t>
      </w:r>
      <w:r w:rsidR="00AC31D3">
        <w:rPr>
          <w:rFonts w:ascii="Arial" w:hAnsi="Arial" w:cs="Arial"/>
          <w:noProof/>
        </w:rPr>
        <w:drawing>
          <wp:anchor distT="0" distB="0" distL="114300" distR="114300" simplePos="0" relativeHeight="251693056" behindDoc="1" locked="0" layoutInCell="1" allowOverlap="1" wp14:anchorId="0BF21A75" wp14:editId="61EDA955">
            <wp:simplePos x="0" y="0"/>
            <wp:positionH relativeFrom="column">
              <wp:posOffset>457200</wp:posOffset>
            </wp:positionH>
            <wp:positionV relativeFrom="paragraph">
              <wp:posOffset>-1578610</wp:posOffset>
            </wp:positionV>
            <wp:extent cx="9180830" cy="6400165"/>
            <wp:effectExtent l="0" t="0" r="1270" b="635"/>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 DOCUMENTO EVALUACION DESENPEÑO MUNICIPAL 2013.jpg"/>
                    <pic:cNvPicPr/>
                  </pic:nvPicPr>
                  <pic:blipFill>
                    <a:blip r:embed="rId10">
                      <a:extLst>
                        <a:ext uri="{28A0092B-C50C-407E-A947-70E740481C1C}">
                          <a14:useLocalDpi xmlns:a14="http://schemas.microsoft.com/office/drawing/2010/main" val="0"/>
                        </a:ext>
                      </a:extLst>
                    </a:blip>
                    <a:stretch>
                      <a:fillRect/>
                    </a:stretch>
                  </pic:blipFill>
                  <pic:spPr>
                    <a:xfrm>
                      <a:off x="0" y="0"/>
                      <a:ext cx="9180830" cy="6400165"/>
                    </a:xfrm>
                    <a:prstGeom prst="rect">
                      <a:avLst/>
                    </a:prstGeom>
                  </pic:spPr>
                </pic:pic>
              </a:graphicData>
            </a:graphic>
            <wp14:sizeRelH relativeFrom="margin">
              <wp14:pctWidth>0</wp14:pctWidth>
            </wp14:sizeRelH>
            <wp14:sizeRelV relativeFrom="margin">
              <wp14:pctHeight>0</wp14:pctHeight>
            </wp14:sizeRelV>
          </wp:anchor>
        </w:drawing>
      </w:r>
    </w:p>
    <w:p w:rsidR="00E44F7F" w:rsidRPr="00D531FD" w:rsidRDefault="00E44F7F" w:rsidP="00E44F7F">
      <w:pPr>
        <w:spacing w:line="360" w:lineRule="auto"/>
        <w:ind w:left="284"/>
        <w:jc w:val="both"/>
      </w:pPr>
    </w:p>
    <w:p w:rsidR="00E44F7F" w:rsidRPr="00D531FD" w:rsidRDefault="00E23B5E" w:rsidP="00E44F7F">
      <w:pPr>
        <w:spacing w:line="360" w:lineRule="auto"/>
        <w:jc w:val="both"/>
      </w:pPr>
      <w:r>
        <w:t xml:space="preserve">     Por lo anterior, la información </w:t>
      </w:r>
      <w:r w:rsidR="00E44F7F" w:rsidRPr="00D531FD">
        <w:t>que aquí se presenta constituye un punto de partida en el análisis y seguimiento a las dinámicas del departamento con el propósito de facilitar la toma de decisiones y la formulación de política</w:t>
      </w:r>
      <w:r w:rsidR="008E62ED">
        <w:t>s</w:t>
      </w:r>
      <w:r w:rsidR="00E44F7F" w:rsidRPr="00D531FD">
        <w:t xml:space="preserve"> y proyectos de inversión tendientes a mejorar el bienestar de la población quindiana.</w:t>
      </w:r>
    </w:p>
    <w:p w:rsidR="00191C7D" w:rsidRPr="001534BE" w:rsidRDefault="00191C7D" w:rsidP="00675D1A">
      <w:pPr>
        <w:pStyle w:val="Sinespaciado"/>
        <w:rPr>
          <w:rFonts w:ascii="Times New Roman" w:hAnsi="Times New Roman"/>
          <w:sz w:val="24"/>
          <w:lang w:val="es-CO"/>
        </w:rPr>
      </w:pPr>
    </w:p>
    <w:p w:rsidR="00715AC3" w:rsidRPr="00D531FD" w:rsidRDefault="00715AC3" w:rsidP="00715AC3">
      <w:pPr>
        <w:pStyle w:val="Sinespaciado"/>
        <w:spacing w:line="360" w:lineRule="auto"/>
        <w:ind w:firstLine="284"/>
        <w:rPr>
          <w:rFonts w:ascii="Times New Roman" w:hAnsi="Times New Roman"/>
          <w:sz w:val="24"/>
          <w:szCs w:val="24"/>
        </w:rPr>
      </w:pPr>
      <w:r w:rsidRPr="00D531FD">
        <w:rPr>
          <w:rFonts w:ascii="Times New Roman" w:hAnsi="Times New Roman"/>
          <w:sz w:val="24"/>
          <w:szCs w:val="24"/>
        </w:rPr>
        <w:t>Por medio de este documento</w:t>
      </w:r>
      <w:r w:rsidR="00B44EF8">
        <w:rPr>
          <w:rFonts w:ascii="Times New Roman" w:hAnsi="Times New Roman"/>
          <w:sz w:val="24"/>
          <w:szCs w:val="24"/>
        </w:rPr>
        <w:t>,</w:t>
      </w:r>
      <w:r w:rsidRPr="00D531FD">
        <w:rPr>
          <w:rFonts w:ascii="Times New Roman" w:hAnsi="Times New Roman"/>
          <w:sz w:val="24"/>
          <w:szCs w:val="24"/>
        </w:rPr>
        <w:t xml:space="preserve"> se espera dar una mirada general de las características físicas, sociales y económicas del Quindío durante la vigencia 2013; a través, de la consolidación de información estadística relevante relacionada con el perfil demográfico, el empleo y el desarrollo económico, la vivienda, la infraestructura, el transporte, el uso del suelo, los servicios públicos, el entorno empresarial, el turismo, la recreación y el deporte recopilados para el Anuario Estadístico y la Carta Estadística por el Observatorio Departamental.</w:t>
      </w:r>
    </w:p>
    <w:p w:rsidR="00715AC3" w:rsidRPr="00715AC3" w:rsidRDefault="00715AC3" w:rsidP="00675D1A">
      <w:pPr>
        <w:pStyle w:val="Sinespaciado"/>
        <w:rPr>
          <w:rFonts w:ascii="Times New Roman" w:hAnsi="Times New Roman"/>
        </w:rPr>
      </w:pPr>
    </w:p>
    <w:p w:rsidR="00675D1A" w:rsidRPr="00D531FD" w:rsidRDefault="00675D1A" w:rsidP="00675D1A">
      <w:pPr>
        <w:pStyle w:val="Sinespaciado"/>
        <w:spacing w:line="360" w:lineRule="auto"/>
        <w:rPr>
          <w:rFonts w:ascii="Times New Roman" w:hAnsi="Times New Roman"/>
          <w:sz w:val="24"/>
          <w:szCs w:val="24"/>
        </w:rPr>
      </w:pPr>
      <w:r w:rsidRPr="00D531FD">
        <w:rPr>
          <w:rFonts w:ascii="Times New Roman" w:hAnsi="Times New Roman"/>
          <w:sz w:val="24"/>
          <w:szCs w:val="24"/>
        </w:rPr>
        <w:t xml:space="preserve">   </w:t>
      </w:r>
      <w:r w:rsidRPr="00D531FD">
        <w:rPr>
          <w:rFonts w:ascii="Times New Roman" w:hAnsi="Times New Roman"/>
          <w:i/>
          <w:sz w:val="24"/>
          <w:szCs w:val="24"/>
        </w:rPr>
        <w:t>Palabras Clave</w:t>
      </w:r>
      <w:r w:rsidR="00B3024C">
        <w:rPr>
          <w:rFonts w:ascii="Times New Roman" w:hAnsi="Times New Roman"/>
          <w:sz w:val="24"/>
          <w:szCs w:val="24"/>
        </w:rPr>
        <w:t>: Informe</w:t>
      </w:r>
      <w:r w:rsidR="00CE4463">
        <w:rPr>
          <w:rFonts w:ascii="Times New Roman" w:hAnsi="Times New Roman"/>
          <w:sz w:val="24"/>
          <w:szCs w:val="24"/>
        </w:rPr>
        <w:t>, e</w:t>
      </w:r>
      <w:r w:rsidRPr="00D531FD">
        <w:rPr>
          <w:rFonts w:ascii="Times New Roman" w:hAnsi="Times New Roman"/>
          <w:sz w:val="24"/>
          <w:szCs w:val="24"/>
        </w:rPr>
        <w:t>stadísticas, vigencia 2013</w:t>
      </w:r>
      <w:r w:rsidR="00CE4463">
        <w:rPr>
          <w:rFonts w:ascii="Times New Roman" w:hAnsi="Times New Roman"/>
          <w:sz w:val="24"/>
          <w:szCs w:val="24"/>
        </w:rPr>
        <w:t>, población, educación, servicios públicos, transporte, vivienda, comercio exterior, finanzas públicas, precios al consumidor, agricultura, empresarial, empleo y salarios, turismo, deporte y recreación, salud, PIB</w:t>
      </w:r>
      <w:r w:rsidRPr="00D531FD">
        <w:rPr>
          <w:rFonts w:ascii="Times New Roman" w:hAnsi="Times New Roman"/>
          <w:sz w:val="24"/>
          <w:szCs w:val="24"/>
        </w:rPr>
        <w:t>.</w:t>
      </w:r>
    </w:p>
    <w:p w:rsidR="001739B5" w:rsidRPr="005A1D59" w:rsidRDefault="001739B5" w:rsidP="005A1D59">
      <w:pPr>
        <w:pStyle w:val="Ttulo1"/>
        <w:rPr>
          <w:rFonts w:ascii="Times New Roman" w:hAnsi="Times New Roman"/>
        </w:rPr>
      </w:pPr>
      <w:bookmarkStart w:id="1" w:name="_Toc406754269"/>
      <w:r w:rsidRPr="005A1D59">
        <w:rPr>
          <w:rFonts w:ascii="Times New Roman" w:hAnsi="Times New Roman"/>
        </w:rPr>
        <w:lastRenderedPageBreak/>
        <w:t>Introducción</w:t>
      </w:r>
      <w:bookmarkEnd w:id="1"/>
    </w:p>
    <w:p w:rsidR="001739B5" w:rsidRDefault="001739B5" w:rsidP="00675D1A">
      <w:pPr>
        <w:pStyle w:val="Sinespaciado"/>
        <w:rPr>
          <w:rFonts w:ascii="Times New Roman" w:hAnsi="Times New Roman"/>
          <w:b/>
          <w:sz w:val="30"/>
          <w:szCs w:val="30"/>
        </w:rPr>
      </w:pPr>
    </w:p>
    <w:p w:rsidR="004B4634" w:rsidRDefault="004B4634" w:rsidP="00C418FD">
      <w:pPr>
        <w:pStyle w:val="Sinespaciado"/>
        <w:spacing w:line="360" w:lineRule="auto"/>
        <w:ind w:firstLine="284"/>
        <w:rPr>
          <w:rFonts w:ascii="Times New Roman" w:hAnsi="Times New Roman"/>
          <w:sz w:val="24"/>
          <w:szCs w:val="24"/>
        </w:rPr>
      </w:pPr>
    </w:p>
    <w:p w:rsidR="00DC095B" w:rsidRPr="00D531FD" w:rsidRDefault="00DC095B" w:rsidP="00C418FD">
      <w:pPr>
        <w:pStyle w:val="Sinespaciado"/>
        <w:spacing w:line="360" w:lineRule="auto"/>
        <w:ind w:firstLine="284"/>
        <w:rPr>
          <w:rFonts w:ascii="Times New Roman" w:hAnsi="Times New Roman"/>
          <w:sz w:val="24"/>
          <w:szCs w:val="24"/>
        </w:rPr>
      </w:pPr>
      <w:r w:rsidRPr="00D531FD">
        <w:rPr>
          <w:rFonts w:ascii="Times New Roman" w:hAnsi="Times New Roman"/>
          <w:sz w:val="24"/>
          <w:szCs w:val="24"/>
        </w:rPr>
        <w:t xml:space="preserve">El presente documento contiene información sobre indicadores sociales, de coberturas básicas y otras variables socioeconómicas alcanzadas por los municipios del departamento del Quindío </w:t>
      </w:r>
      <w:r>
        <w:rPr>
          <w:rFonts w:ascii="Times New Roman" w:hAnsi="Times New Roman"/>
          <w:sz w:val="24"/>
          <w:szCs w:val="24"/>
        </w:rPr>
        <w:t>durante la</w:t>
      </w:r>
      <w:r w:rsidRPr="00D531FD">
        <w:rPr>
          <w:rFonts w:ascii="Times New Roman" w:hAnsi="Times New Roman"/>
          <w:sz w:val="24"/>
          <w:szCs w:val="24"/>
        </w:rPr>
        <w:t xml:space="preserve"> vigencia 2013.</w:t>
      </w:r>
      <w:r>
        <w:rPr>
          <w:rFonts w:ascii="Times New Roman" w:hAnsi="Times New Roman"/>
          <w:sz w:val="24"/>
          <w:szCs w:val="24"/>
        </w:rPr>
        <w:t xml:space="preserve"> La información estadística proviene de fuente</w:t>
      </w:r>
      <w:r w:rsidR="00FF6E3A">
        <w:rPr>
          <w:rFonts w:ascii="Times New Roman" w:hAnsi="Times New Roman"/>
          <w:sz w:val="24"/>
          <w:szCs w:val="24"/>
        </w:rPr>
        <w:t xml:space="preserve">s </w:t>
      </w:r>
      <w:r>
        <w:rPr>
          <w:rFonts w:ascii="Times New Roman" w:hAnsi="Times New Roman"/>
          <w:sz w:val="24"/>
          <w:szCs w:val="24"/>
        </w:rPr>
        <w:t>certificadas</w:t>
      </w:r>
      <w:r w:rsidR="009B4FDF">
        <w:rPr>
          <w:rFonts w:ascii="Times New Roman" w:hAnsi="Times New Roman"/>
          <w:sz w:val="24"/>
          <w:szCs w:val="24"/>
        </w:rPr>
        <w:t xml:space="preserve"> las cuales fueron recopiladas para la construcción del Anuario y Carta Estadística de la vigencia de análisis.</w:t>
      </w:r>
    </w:p>
    <w:p w:rsidR="00DC095B" w:rsidRPr="00D531FD" w:rsidRDefault="00DC095B" w:rsidP="00DC095B">
      <w:pPr>
        <w:pStyle w:val="Sinespaciado"/>
        <w:spacing w:line="360" w:lineRule="auto"/>
        <w:rPr>
          <w:rFonts w:ascii="Times New Roman" w:hAnsi="Times New Roman"/>
          <w:sz w:val="24"/>
          <w:szCs w:val="24"/>
        </w:rPr>
      </w:pPr>
    </w:p>
    <w:p w:rsidR="00DC095B" w:rsidRPr="00D531FD" w:rsidRDefault="00DC095B" w:rsidP="00DC095B">
      <w:pPr>
        <w:pStyle w:val="Sinespaciado"/>
        <w:spacing w:line="360" w:lineRule="auto"/>
        <w:rPr>
          <w:rFonts w:ascii="Times New Roman" w:hAnsi="Times New Roman"/>
          <w:sz w:val="24"/>
          <w:szCs w:val="24"/>
        </w:rPr>
      </w:pPr>
      <w:r w:rsidRPr="00D531FD">
        <w:rPr>
          <w:rFonts w:ascii="Times New Roman" w:hAnsi="Times New Roman"/>
          <w:sz w:val="24"/>
          <w:szCs w:val="24"/>
        </w:rPr>
        <w:t xml:space="preserve">     </w:t>
      </w:r>
      <w:r w:rsidR="00BF22F9">
        <w:rPr>
          <w:rFonts w:ascii="Times New Roman" w:hAnsi="Times New Roman"/>
          <w:sz w:val="24"/>
          <w:szCs w:val="24"/>
        </w:rPr>
        <w:t xml:space="preserve">El </w:t>
      </w:r>
      <w:r w:rsidR="00053464">
        <w:rPr>
          <w:rFonts w:ascii="Times New Roman" w:hAnsi="Times New Roman"/>
          <w:sz w:val="24"/>
          <w:szCs w:val="24"/>
        </w:rPr>
        <w:t>informe</w:t>
      </w:r>
      <w:r w:rsidR="00BF22F9">
        <w:rPr>
          <w:rFonts w:ascii="Times New Roman" w:hAnsi="Times New Roman"/>
          <w:sz w:val="24"/>
          <w:szCs w:val="24"/>
        </w:rPr>
        <w:t xml:space="preserve"> se construye a partir de un</w:t>
      </w:r>
      <w:r w:rsidR="00A85821">
        <w:rPr>
          <w:rFonts w:ascii="Times New Roman" w:hAnsi="Times New Roman"/>
          <w:sz w:val="24"/>
          <w:szCs w:val="24"/>
        </w:rPr>
        <w:t xml:space="preserve"> </w:t>
      </w:r>
      <w:r w:rsidR="00BF22F9">
        <w:rPr>
          <w:rFonts w:ascii="Times New Roman" w:hAnsi="Times New Roman"/>
          <w:sz w:val="24"/>
          <w:szCs w:val="24"/>
        </w:rPr>
        <w:t>análisis descriptiv</w:t>
      </w:r>
      <w:r w:rsidR="00507701">
        <w:rPr>
          <w:rFonts w:ascii="Times New Roman" w:hAnsi="Times New Roman"/>
          <w:sz w:val="24"/>
          <w:szCs w:val="24"/>
        </w:rPr>
        <w:t xml:space="preserve">o de las </w:t>
      </w:r>
      <w:r w:rsidR="00A85821">
        <w:rPr>
          <w:rFonts w:ascii="Times New Roman" w:hAnsi="Times New Roman"/>
          <w:sz w:val="24"/>
          <w:szCs w:val="24"/>
        </w:rPr>
        <w:t>estadística</w:t>
      </w:r>
      <w:r w:rsidR="00507701">
        <w:rPr>
          <w:rFonts w:ascii="Times New Roman" w:hAnsi="Times New Roman"/>
          <w:sz w:val="24"/>
          <w:szCs w:val="24"/>
        </w:rPr>
        <w:t>s</w:t>
      </w:r>
      <w:r w:rsidR="00D77F41">
        <w:rPr>
          <w:rFonts w:ascii="Times New Roman" w:hAnsi="Times New Roman"/>
          <w:sz w:val="24"/>
          <w:szCs w:val="24"/>
        </w:rPr>
        <w:t xml:space="preserve"> recopilada</w:t>
      </w:r>
      <w:r w:rsidR="00507701">
        <w:rPr>
          <w:rFonts w:ascii="Times New Roman" w:hAnsi="Times New Roman"/>
          <w:sz w:val="24"/>
          <w:szCs w:val="24"/>
        </w:rPr>
        <w:t>s</w:t>
      </w:r>
      <w:r w:rsidR="006F5FB5">
        <w:rPr>
          <w:rFonts w:ascii="Times New Roman" w:hAnsi="Times New Roman"/>
          <w:sz w:val="24"/>
          <w:szCs w:val="24"/>
        </w:rPr>
        <w:t>,</w:t>
      </w:r>
      <w:r w:rsidR="00A85821">
        <w:rPr>
          <w:rFonts w:ascii="Times New Roman" w:hAnsi="Times New Roman"/>
          <w:sz w:val="24"/>
          <w:szCs w:val="24"/>
        </w:rPr>
        <w:t xml:space="preserve"> </w:t>
      </w:r>
      <w:r w:rsidR="006F5FB5">
        <w:rPr>
          <w:rFonts w:ascii="Times New Roman" w:hAnsi="Times New Roman"/>
          <w:sz w:val="24"/>
          <w:szCs w:val="24"/>
        </w:rPr>
        <w:t>c</w:t>
      </w:r>
      <w:r w:rsidRPr="00D531FD">
        <w:rPr>
          <w:rFonts w:ascii="Times New Roman" w:hAnsi="Times New Roman"/>
          <w:sz w:val="24"/>
          <w:szCs w:val="24"/>
        </w:rPr>
        <w:t xml:space="preserve">ada sección contiene información pertinente a temáticas específicas; así, como el soporte gráfico apropiado. </w:t>
      </w:r>
      <w:r w:rsidR="001C16EB">
        <w:rPr>
          <w:rFonts w:ascii="Times New Roman" w:hAnsi="Times New Roman"/>
          <w:sz w:val="24"/>
          <w:szCs w:val="24"/>
        </w:rPr>
        <w:t>El documento se conforma por un total de 15 capítulos independientes</w:t>
      </w:r>
      <w:r w:rsidR="00C72A1B">
        <w:rPr>
          <w:rFonts w:ascii="Times New Roman" w:hAnsi="Times New Roman"/>
          <w:sz w:val="24"/>
          <w:szCs w:val="24"/>
        </w:rPr>
        <w:t>,</w:t>
      </w:r>
      <w:r w:rsidR="001C16EB">
        <w:rPr>
          <w:rFonts w:ascii="Times New Roman" w:hAnsi="Times New Roman"/>
          <w:sz w:val="24"/>
          <w:szCs w:val="24"/>
        </w:rPr>
        <w:t xml:space="preserve"> </w:t>
      </w:r>
      <w:r w:rsidR="00C72A1B">
        <w:rPr>
          <w:rFonts w:ascii="Times New Roman" w:hAnsi="Times New Roman"/>
          <w:sz w:val="24"/>
          <w:szCs w:val="24"/>
        </w:rPr>
        <w:t>cuyo</w:t>
      </w:r>
      <w:r w:rsidR="001C16EB">
        <w:rPr>
          <w:rFonts w:ascii="Times New Roman" w:hAnsi="Times New Roman"/>
          <w:sz w:val="24"/>
          <w:szCs w:val="24"/>
        </w:rPr>
        <w:t xml:space="preserve"> análisis </w:t>
      </w:r>
      <w:r w:rsidR="00C72A1B">
        <w:rPr>
          <w:rFonts w:ascii="Times New Roman" w:hAnsi="Times New Roman"/>
          <w:sz w:val="24"/>
          <w:szCs w:val="24"/>
        </w:rPr>
        <w:t>busca</w:t>
      </w:r>
      <w:r w:rsidRPr="00D531FD">
        <w:rPr>
          <w:rFonts w:ascii="Times New Roman" w:hAnsi="Times New Roman"/>
          <w:sz w:val="24"/>
          <w:szCs w:val="24"/>
        </w:rPr>
        <w:t xml:space="preserve"> conformar la base inicial para la</w:t>
      </w:r>
      <w:r w:rsidR="00AC31D3">
        <w:rPr>
          <w:rFonts w:ascii="Arial" w:hAnsi="Arial" w:cs="Arial"/>
          <w:noProof/>
          <w:lang w:val="es-CO" w:eastAsia="es-CO"/>
        </w:rPr>
        <w:drawing>
          <wp:anchor distT="0" distB="0" distL="114300" distR="114300" simplePos="0" relativeHeight="251695104" behindDoc="1" locked="0" layoutInCell="1" allowOverlap="1" wp14:anchorId="0BF21A75" wp14:editId="61EDA955">
            <wp:simplePos x="0" y="0"/>
            <wp:positionH relativeFrom="column">
              <wp:posOffset>457200</wp:posOffset>
            </wp:positionH>
            <wp:positionV relativeFrom="paragraph">
              <wp:posOffset>-1739265</wp:posOffset>
            </wp:positionV>
            <wp:extent cx="9180830" cy="6400165"/>
            <wp:effectExtent l="0" t="0" r="1270" b="63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 DOCUMENTO EVALUACION DESENPEÑO MUNICIPAL 2013.jpg"/>
                    <pic:cNvPicPr/>
                  </pic:nvPicPr>
                  <pic:blipFill>
                    <a:blip r:embed="rId10">
                      <a:extLst>
                        <a:ext uri="{28A0092B-C50C-407E-A947-70E740481C1C}">
                          <a14:useLocalDpi xmlns:a14="http://schemas.microsoft.com/office/drawing/2010/main" val="0"/>
                        </a:ext>
                      </a:extLst>
                    </a:blip>
                    <a:stretch>
                      <a:fillRect/>
                    </a:stretch>
                  </pic:blipFill>
                  <pic:spPr>
                    <a:xfrm>
                      <a:off x="0" y="0"/>
                      <a:ext cx="9180830" cy="6400165"/>
                    </a:xfrm>
                    <a:prstGeom prst="rect">
                      <a:avLst/>
                    </a:prstGeom>
                  </pic:spPr>
                </pic:pic>
              </a:graphicData>
            </a:graphic>
            <wp14:sizeRelH relativeFrom="margin">
              <wp14:pctWidth>0</wp14:pctWidth>
            </wp14:sizeRelH>
            <wp14:sizeRelV relativeFrom="margin">
              <wp14:pctHeight>0</wp14:pctHeight>
            </wp14:sizeRelV>
          </wp:anchor>
        </w:drawing>
      </w:r>
      <w:r w:rsidRPr="00D531FD">
        <w:rPr>
          <w:rFonts w:ascii="Times New Roman" w:hAnsi="Times New Roman"/>
          <w:sz w:val="24"/>
          <w:szCs w:val="24"/>
        </w:rPr>
        <w:t xml:space="preserve"> comprensión de las dinámicas socioeconómicas locales y del proceso de planeación en el departamento.</w:t>
      </w:r>
    </w:p>
    <w:p w:rsidR="00DC095B" w:rsidRDefault="00DC095B" w:rsidP="00DC095B">
      <w:pPr>
        <w:pStyle w:val="Sinespaciado"/>
        <w:spacing w:line="360" w:lineRule="auto"/>
        <w:rPr>
          <w:rFonts w:ascii="Times New Roman" w:hAnsi="Times New Roman"/>
          <w:sz w:val="24"/>
          <w:szCs w:val="24"/>
        </w:rPr>
      </w:pPr>
    </w:p>
    <w:p w:rsidR="00BB39A2" w:rsidRDefault="00B0278E" w:rsidP="000B5266">
      <w:pPr>
        <w:spacing w:line="360" w:lineRule="auto"/>
        <w:ind w:firstLine="284"/>
        <w:jc w:val="both"/>
        <w:rPr>
          <w:lang w:val="es-MX"/>
        </w:rPr>
      </w:pPr>
      <w:r>
        <w:t>El documento tiene como objetivo realizar un análisis d</w:t>
      </w:r>
      <w:r w:rsidR="00CC17B1">
        <w:t>escriptivo sobre los 15 sectores priorizados de</w:t>
      </w:r>
      <w:r w:rsidR="009243C8">
        <w:t xml:space="preserve">sde una perspectiva territorial, para ello se </w:t>
      </w:r>
      <w:r w:rsidR="00BB39A2">
        <w:t>su</w:t>
      </w:r>
      <w:r w:rsidR="009243C8">
        <w:rPr>
          <w:lang w:val="es-MX"/>
        </w:rPr>
        <w:t>ministra</w:t>
      </w:r>
      <w:r w:rsidR="00BB39A2" w:rsidRPr="00D531FD">
        <w:rPr>
          <w:lang w:val="es-MX"/>
        </w:rPr>
        <w:t xml:space="preserve"> de manera organizada la información de los principales indicadores</w:t>
      </w:r>
      <w:r w:rsidR="003E6D9F">
        <w:rPr>
          <w:lang w:val="es-MX"/>
        </w:rPr>
        <w:t xml:space="preserve"> y variables socioeconómica</w:t>
      </w:r>
      <w:r w:rsidR="00BB39A2" w:rsidRPr="00D531FD">
        <w:rPr>
          <w:lang w:val="es-MX"/>
        </w:rPr>
        <w:t>s de las entidades territoriales del departamento del Quindío alcanzados en la vigencia 2013.</w:t>
      </w:r>
    </w:p>
    <w:p w:rsidR="004D3141" w:rsidRDefault="004D3141" w:rsidP="00BB39A2">
      <w:pPr>
        <w:spacing w:line="360" w:lineRule="auto"/>
        <w:jc w:val="both"/>
        <w:rPr>
          <w:lang w:val="es-MX"/>
        </w:rPr>
      </w:pPr>
    </w:p>
    <w:p w:rsidR="00BB39A2" w:rsidRPr="00D531FD" w:rsidRDefault="00BB39A2" w:rsidP="00DC095B">
      <w:pPr>
        <w:pStyle w:val="Sinespaciado"/>
        <w:spacing w:line="360" w:lineRule="auto"/>
        <w:rPr>
          <w:rFonts w:ascii="Times New Roman" w:hAnsi="Times New Roman"/>
          <w:sz w:val="24"/>
          <w:szCs w:val="24"/>
        </w:rPr>
      </w:pPr>
    </w:p>
    <w:p w:rsidR="001739B5" w:rsidRDefault="001739B5" w:rsidP="00675D1A">
      <w:pPr>
        <w:pStyle w:val="Sinespaciado"/>
        <w:rPr>
          <w:rFonts w:ascii="Times New Roman" w:hAnsi="Times New Roman"/>
          <w:b/>
          <w:sz w:val="30"/>
          <w:szCs w:val="30"/>
        </w:rPr>
      </w:pPr>
    </w:p>
    <w:p w:rsidR="001739B5" w:rsidRDefault="001739B5" w:rsidP="00675D1A">
      <w:pPr>
        <w:pStyle w:val="Sinespaciado"/>
        <w:rPr>
          <w:rFonts w:ascii="Times New Roman" w:hAnsi="Times New Roman"/>
          <w:b/>
          <w:sz w:val="30"/>
          <w:szCs w:val="30"/>
        </w:rPr>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rPr>
          <w:sz w:val="42"/>
          <w:szCs w:val="42"/>
        </w:rPr>
      </w:pPr>
    </w:p>
    <w:p w:rsidR="00675D1A" w:rsidRDefault="004E3A9F" w:rsidP="00675D1A">
      <w:pPr>
        <w:spacing w:line="360" w:lineRule="auto"/>
        <w:ind w:left="360"/>
        <w:rPr>
          <w:sz w:val="42"/>
          <w:szCs w:val="42"/>
        </w:rPr>
      </w:pPr>
      <w:r>
        <w:rPr>
          <w:noProof/>
          <w:sz w:val="42"/>
          <w:szCs w:val="42"/>
        </w:rPr>
        <w:lastRenderedPageBreak/>
        <w:drawing>
          <wp:anchor distT="0" distB="0" distL="114300" distR="114300" simplePos="0" relativeHeight="251697152" behindDoc="0" locked="0" layoutInCell="1" allowOverlap="1" wp14:anchorId="0EF4BFBD" wp14:editId="5E6C74C0">
            <wp:simplePos x="0" y="0"/>
            <wp:positionH relativeFrom="column">
              <wp:posOffset>-1080135</wp:posOffset>
            </wp:positionH>
            <wp:positionV relativeFrom="paragraph">
              <wp:posOffset>-1080136</wp:posOffset>
            </wp:positionV>
            <wp:extent cx="7753350" cy="10063567"/>
            <wp:effectExtent l="0" t="0" r="0" b="0"/>
            <wp:wrapNone/>
            <wp:docPr id="27" name="Imagen 27" descr="C:\Users\AUXPLANEACION08\Desktop\INFORME FINAL\DISEÑO\General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XPLANEACION08\Desktop\INFORME FINAL\DISEÑO\Generalidad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2822" cy="100758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407" w:rsidRPr="00D531FD" w:rsidRDefault="00A64407" w:rsidP="00675D1A">
      <w:pPr>
        <w:spacing w:line="360" w:lineRule="auto"/>
        <w:ind w:left="360"/>
        <w:rPr>
          <w:sz w:val="42"/>
          <w:szCs w:val="42"/>
        </w:rPr>
      </w:pPr>
    </w:p>
    <w:p w:rsidR="00675D1A" w:rsidRDefault="00675D1A" w:rsidP="00675D1A">
      <w:pPr>
        <w:spacing w:line="360" w:lineRule="auto"/>
        <w:ind w:left="360"/>
        <w:rPr>
          <w:sz w:val="42"/>
          <w:szCs w:val="42"/>
        </w:rPr>
      </w:pPr>
    </w:p>
    <w:p w:rsidR="00B44EF8" w:rsidRDefault="00B44EF8" w:rsidP="00675D1A">
      <w:pPr>
        <w:spacing w:line="360" w:lineRule="auto"/>
        <w:ind w:left="360"/>
        <w:rPr>
          <w:sz w:val="42"/>
          <w:szCs w:val="42"/>
        </w:rPr>
      </w:pPr>
    </w:p>
    <w:p w:rsidR="00B44EF8" w:rsidRDefault="00B44EF8" w:rsidP="00675D1A">
      <w:pPr>
        <w:spacing w:line="360" w:lineRule="auto"/>
        <w:ind w:left="360"/>
        <w:rPr>
          <w:sz w:val="42"/>
          <w:szCs w:val="42"/>
        </w:rPr>
      </w:pPr>
    </w:p>
    <w:p w:rsidR="00B44EF8" w:rsidRPr="00D531FD" w:rsidRDefault="00B44EF8" w:rsidP="00675D1A">
      <w:pPr>
        <w:spacing w:line="360" w:lineRule="auto"/>
        <w:ind w:left="360"/>
        <w:rPr>
          <w:sz w:val="42"/>
          <w:szCs w:val="42"/>
        </w:rPr>
      </w:pPr>
    </w:p>
    <w:p w:rsidR="00675D1A" w:rsidRPr="00D531FD" w:rsidRDefault="00675D1A" w:rsidP="00675D1A">
      <w:pPr>
        <w:spacing w:line="360" w:lineRule="auto"/>
        <w:ind w:left="360"/>
        <w:rPr>
          <w:sz w:val="42"/>
          <w:szCs w:val="42"/>
        </w:rPr>
      </w:pPr>
    </w:p>
    <w:p w:rsidR="00675D1A" w:rsidRPr="000124A4" w:rsidRDefault="00675D1A" w:rsidP="009B398C">
      <w:pPr>
        <w:pStyle w:val="Ttulo1"/>
        <w:numPr>
          <w:ilvl w:val="0"/>
          <w:numId w:val="1"/>
        </w:numPr>
        <w:rPr>
          <w:rFonts w:ascii="Times New Roman" w:hAnsi="Times New Roman"/>
        </w:rPr>
      </w:pPr>
      <w:bookmarkStart w:id="2" w:name="_Toc406754270"/>
      <w:r w:rsidRPr="000124A4">
        <w:rPr>
          <w:rFonts w:ascii="Times New Roman" w:hAnsi="Times New Roman"/>
        </w:rPr>
        <w:t>Generalidades del Departamento del Quindío</w:t>
      </w:r>
      <w:bookmarkEnd w:id="2"/>
    </w:p>
    <w:p w:rsidR="00675D1A" w:rsidRPr="00D531FD" w:rsidRDefault="00675D1A" w:rsidP="00675D1A">
      <w:pPr>
        <w:spacing w:line="360" w:lineRule="auto"/>
        <w:ind w:left="360"/>
        <w:rPr>
          <w:sz w:val="42"/>
          <w:szCs w:val="42"/>
        </w:rPr>
      </w:pPr>
    </w:p>
    <w:p w:rsidR="00675D1A" w:rsidRPr="00D531FD" w:rsidRDefault="00675D1A" w:rsidP="00675D1A">
      <w:pPr>
        <w:spacing w:line="360" w:lineRule="auto"/>
        <w:ind w:left="360"/>
        <w:rPr>
          <w:sz w:val="42"/>
          <w:szCs w:val="42"/>
        </w:rPr>
      </w:pPr>
    </w:p>
    <w:p w:rsidR="00675D1A" w:rsidRPr="00D531FD" w:rsidRDefault="00675D1A" w:rsidP="00675D1A">
      <w:pPr>
        <w:spacing w:line="360" w:lineRule="auto"/>
        <w:ind w:left="360"/>
        <w:rPr>
          <w:sz w:val="42"/>
          <w:szCs w:val="42"/>
        </w:rPr>
      </w:pPr>
    </w:p>
    <w:p w:rsidR="00675D1A" w:rsidRPr="00D531FD" w:rsidRDefault="00675D1A" w:rsidP="00675D1A">
      <w:pPr>
        <w:spacing w:line="360" w:lineRule="auto"/>
        <w:ind w:left="360"/>
        <w:rPr>
          <w:sz w:val="42"/>
          <w:szCs w:val="42"/>
        </w:rPr>
      </w:pPr>
    </w:p>
    <w:p w:rsidR="00675D1A" w:rsidRDefault="00675D1A" w:rsidP="00675D1A">
      <w:pPr>
        <w:spacing w:line="360" w:lineRule="auto"/>
        <w:ind w:left="360"/>
        <w:rPr>
          <w:sz w:val="42"/>
          <w:szCs w:val="42"/>
        </w:rPr>
      </w:pPr>
    </w:p>
    <w:p w:rsidR="00C137CE" w:rsidRDefault="00C137CE" w:rsidP="00675D1A">
      <w:pPr>
        <w:spacing w:line="360" w:lineRule="auto"/>
        <w:ind w:left="360"/>
        <w:rPr>
          <w:sz w:val="42"/>
          <w:szCs w:val="42"/>
        </w:rPr>
      </w:pPr>
    </w:p>
    <w:p w:rsidR="00C137CE" w:rsidRDefault="00C137CE" w:rsidP="00675D1A">
      <w:pPr>
        <w:spacing w:line="360" w:lineRule="auto"/>
        <w:ind w:left="360"/>
        <w:rPr>
          <w:sz w:val="42"/>
          <w:szCs w:val="42"/>
        </w:rPr>
      </w:pPr>
    </w:p>
    <w:p w:rsidR="00C137CE" w:rsidRDefault="00C137CE" w:rsidP="00675D1A">
      <w:pPr>
        <w:spacing w:line="360" w:lineRule="auto"/>
        <w:ind w:left="360"/>
        <w:rPr>
          <w:sz w:val="42"/>
          <w:szCs w:val="42"/>
        </w:rPr>
      </w:pPr>
    </w:p>
    <w:p w:rsidR="00315672" w:rsidRPr="00D531FD" w:rsidRDefault="00315672" w:rsidP="00675D1A">
      <w:pPr>
        <w:spacing w:line="360" w:lineRule="auto"/>
        <w:ind w:left="360"/>
        <w:rPr>
          <w:sz w:val="42"/>
          <w:szCs w:val="42"/>
        </w:rPr>
      </w:pPr>
    </w:p>
    <w:p w:rsidR="00675D1A" w:rsidRPr="00022F35" w:rsidRDefault="00675D1A" w:rsidP="00C137CE">
      <w:pPr>
        <w:pStyle w:val="Ttulo2"/>
        <w:ind w:firstLine="284"/>
        <w:rPr>
          <w:rFonts w:ascii="Times New Roman" w:hAnsi="Times New Roman" w:cs="Times New Roman"/>
          <w:color w:val="auto"/>
          <w:sz w:val="30"/>
          <w:szCs w:val="30"/>
        </w:rPr>
      </w:pPr>
      <w:bookmarkStart w:id="3" w:name="_Toc406754271"/>
      <w:r w:rsidRPr="00022F35">
        <w:rPr>
          <w:rFonts w:ascii="Times New Roman" w:hAnsi="Times New Roman" w:cs="Times New Roman"/>
          <w:color w:val="auto"/>
          <w:sz w:val="30"/>
          <w:szCs w:val="30"/>
        </w:rPr>
        <w:lastRenderedPageBreak/>
        <w:t>Quindío</w:t>
      </w:r>
      <w:bookmarkEnd w:id="3"/>
    </w:p>
    <w:p w:rsidR="00675D1A" w:rsidRPr="00D531FD" w:rsidRDefault="00675D1A" w:rsidP="00675D1A">
      <w:pPr>
        <w:pStyle w:val="Sinespaciado"/>
        <w:ind w:left="720"/>
        <w:rPr>
          <w:rFonts w:ascii="Times New Roman" w:hAnsi="Times New Roman"/>
          <w:b/>
          <w:sz w:val="30"/>
          <w:szCs w:val="30"/>
        </w:rPr>
      </w:pPr>
    </w:p>
    <w:p w:rsidR="00675D1A" w:rsidRPr="00D531FD" w:rsidRDefault="00675D1A" w:rsidP="00675D1A">
      <w:pPr>
        <w:pStyle w:val="Sinespaciado"/>
        <w:spacing w:line="360" w:lineRule="auto"/>
        <w:rPr>
          <w:rFonts w:ascii="Times New Roman" w:hAnsi="Times New Roman"/>
          <w:sz w:val="24"/>
          <w:szCs w:val="24"/>
        </w:rPr>
      </w:pPr>
      <w:r w:rsidRPr="00D531FD">
        <w:rPr>
          <w:rFonts w:ascii="Times New Roman" w:hAnsi="Times New Roman"/>
          <w:sz w:val="24"/>
          <w:szCs w:val="24"/>
        </w:rPr>
        <w:t xml:space="preserve">     El Departamento del Quindío se encuentra localizado en la zona centro occidente del país (flanco occidental de la Cordillera Central)</w:t>
      </w:r>
      <w:r w:rsidRPr="00D531FD">
        <w:rPr>
          <w:rStyle w:val="Refdenotaalpie"/>
          <w:rFonts w:ascii="Times New Roman" w:hAnsi="Times New Roman"/>
          <w:color w:val="000000"/>
          <w:sz w:val="24"/>
          <w:szCs w:val="24"/>
          <w:lang w:eastAsia="es-ES"/>
        </w:rPr>
        <w:footnoteReference w:id="1"/>
      </w:r>
      <w:r w:rsidRPr="00D531FD">
        <w:rPr>
          <w:rFonts w:ascii="Times New Roman" w:hAnsi="Times New Roman"/>
          <w:sz w:val="24"/>
          <w:szCs w:val="24"/>
        </w:rPr>
        <w:t>, con una extensión de 1.961,8 km</w:t>
      </w:r>
      <w:r w:rsidRPr="00D531FD">
        <w:rPr>
          <w:rFonts w:ascii="Times New Roman" w:hAnsi="Times New Roman"/>
          <w:sz w:val="24"/>
          <w:szCs w:val="24"/>
          <w:vertAlign w:val="superscript"/>
        </w:rPr>
        <w:t>2</w:t>
      </w:r>
      <w:r w:rsidRPr="00D531FD">
        <w:rPr>
          <w:rFonts w:ascii="Times New Roman" w:hAnsi="Times New Roman"/>
          <w:sz w:val="24"/>
          <w:szCs w:val="24"/>
        </w:rPr>
        <w:t xml:space="preserve">, coordenadas 4° 44´ y 4° 04´ latitud norte; y 75° 52´ y 75° 24´ longitud oeste. Es </w:t>
      </w:r>
      <w:r w:rsidRPr="00D531FD">
        <w:rPr>
          <w:rFonts w:ascii="Times New Roman" w:hAnsi="Times New Roman"/>
          <w:sz w:val="24"/>
          <w:szCs w:val="24"/>
          <w:shd w:val="clear" w:color="auto" w:fill="FFFFFF"/>
        </w:rPr>
        <w:t>uno de los</w:t>
      </w:r>
      <w:r w:rsidRPr="00D531FD">
        <w:rPr>
          <w:rFonts w:ascii="Times New Roman" w:hAnsi="Times New Roman"/>
          <w:sz w:val="24"/>
          <w:szCs w:val="24"/>
        </w:rPr>
        <w:t> </w:t>
      </w:r>
      <w:hyperlink r:id="rId12" w:tooltip="Departamentos de Colombia" w:history="1">
        <w:r w:rsidRPr="00D531FD">
          <w:rPr>
            <w:rFonts w:ascii="Times New Roman" w:hAnsi="Times New Roman"/>
            <w:sz w:val="24"/>
            <w:szCs w:val="24"/>
          </w:rPr>
          <w:t>32 departamentos de Colombia</w:t>
        </w:r>
      </w:hyperlink>
      <w:r w:rsidRPr="00D531FD">
        <w:rPr>
          <w:rFonts w:ascii="Times New Roman" w:hAnsi="Times New Roman"/>
          <w:sz w:val="24"/>
          <w:szCs w:val="24"/>
          <w:shd w:val="clear" w:color="auto" w:fill="FFFFFF"/>
        </w:rPr>
        <w:t xml:space="preserve">. Se encuentra en la región oeste-central del país. Su capital es </w:t>
      </w:r>
      <w:hyperlink r:id="rId13" w:tooltip="Armenia (Quindío)" w:history="1">
        <w:r w:rsidRPr="00D531FD">
          <w:rPr>
            <w:rFonts w:ascii="Times New Roman" w:hAnsi="Times New Roman"/>
            <w:sz w:val="24"/>
            <w:szCs w:val="24"/>
          </w:rPr>
          <w:t>Armenia</w:t>
        </w:r>
      </w:hyperlink>
      <w:r w:rsidRPr="00D531FD">
        <w:rPr>
          <w:rFonts w:ascii="Times New Roman" w:hAnsi="Times New Roman"/>
          <w:sz w:val="24"/>
          <w:szCs w:val="24"/>
          <w:shd w:val="clear" w:color="auto" w:fill="FFFFFF"/>
        </w:rPr>
        <w:t>.  Se encuentra ubicado en la región andina, forma parte del</w:t>
      </w:r>
      <w:r w:rsidRPr="00D531FD">
        <w:rPr>
          <w:rStyle w:val="apple-converted-space"/>
          <w:rFonts w:ascii="Times New Roman" w:hAnsi="Times New Roman"/>
          <w:sz w:val="24"/>
          <w:szCs w:val="24"/>
          <w:shd w:val="clear" w:color="auto" w:fill="FFFFFF"/>
        </w:rPr>
        <w:t> </w:t>
      </w:r>
      <w:r w:rsidRPr="00DB307D">
        <w:rPr>
          <w:rFonts w:ascii="Times New Roman" w:hAnsi="Times New Roman"/>
          <w:sz w:val="24"/>
          <w:szCs w:val="24"/>
          <w:shd w:val="clear" w:color="auto" w:fill="FFFFFF"/>
        </w:rPr>
        <w:t>Eje Cafetero</w:t>
      </w:r>
      <w:r w:rsidRPr="00D531FD">
        <w:rPr>
          <w:rStyle w:val="apple-converted-space"/>
          <w:rFonts w:ascii="Times New Roman" w:hAnsi="Times New Roman"/>
          <w:sz w:val="24"/>
          <w:szCs w:val="24"/>
          <w:shd w:val="clear" w:color="auto" w:fill="FFFFFF"/>
        </w:rPr>
        <w:t> </w:t>
      </w:r>
      <w:r w:rsidRPr="00D531FD">
        <w:rPr>
          <w:rFonts w:ascii="Times New Roman" w:hAnsi="Times New Roman"/>
          <w:sz w:val="24"/>
          <w:szCs w:val="24"/>
          <w:shd w:val="clear" w:color="auto" w:fill="FFFFFF"/>
        </w:rPr>
        <w:t>y de la</w:t>
      </w:r>
      <w:r w:rsidRPr="00D531FD">
        <w:rPr>
          <w:rStyle w:val="apple-converted-space"/>
          <w:rFonts w:ascii="Times New Roman" w:hAnsi="Times New Roman"/>
          <w:sz w:val="24"/>
          <w:szCs w:val="24"/>
          <w:shd w:val="clear" w:color="auto" w:fill="FFFFFF"/>
        </w:rPr>
        <w:t> </w:t>
      </w:r>
      <w:r w:rsidRPr="00DB307D">
        <w:rPr>
          <w:rFonts w:ascii="Times New Roman" w:hAnsi="Times New Roman"/>
          <w:sz w:val="24"/>
          <w:szCs w:val="24"/>
          <w:shd w:val="clear" w:color="auto" w:fill="FFFFFF"/>
        </w:rPr>
        <w:t>región paisa</w:t>
      </w:r>
      <w:r w:rsidRPr="00D531FD">
        <w:rPr>
          <w:rFonts w:ascii="Times New Roman" w:hAnsi="Times New Roman"/>
          <w:sz w:val="24"/>
          <w:szCs w:val="24"/>
          <w:shd w:val="clear" w:color="auto" w:fill="FFFFFF"/>
        </w:rPr>
        <w:t xml:space="preserve">, limita al norte con </w:t>
      </w:r>
      <w:r w:rsidRPr="00DB307D">
        <w:rPr>
          <w:rFonts w:ascii="Times New Roman" w:hAnsi="Times New Roman"/>
          <w:sz w:val="24"/>
          <w:szCs w:val="24"/>
          <w:shd w:val="clear" w:color="auto" w:fill="FFFFFF"/>
        </w:rPr>
        <w:t>Risaralda</w:t>
      </w:r>
      <w:r w:rsidRPr="00D531FD">
        <w:rPr>
          <w:rFonts w:ascii="Times New Roman" w:hAnsi="Times New Roman"/>
          <w:sz w:val="24"/>
          <w:szCs w:val="24"/>
          <w:shd w:val="clear" w:color="auto" w:fill="FFFFFF"/>
        </w:rPr>
        <w:t>, por el sur y el este con</w:t>
      </w:r>
      <w:r w:rsidRPr="00D531FD">
        <w:rPr>
          <w:rStyle w:val="apple-converted-space"/>
          <w:rFonts w:ascii="Times New Roman" w:hAnsi="Times New Roman"/>
          <w:sz w:val="24"/>
          <w:szCs w:val="24"/>
          <w:shd w:val="clear" w:color="auto" w:fill="FFFFFF"/>
        </w:rPr>
        <w:t> </w:t>
      </w:r>
      <w:r w:rsidRPr="00DB307D">
        <w:rPr>
          <w:rFonts w:ascii="Times New Roman" w:hAnsi="Times New Roman"/>
          <w:sz w:val="24"/>
          <w:szCs w:val="24"/>
          <w:shd w:val="clear" w:color="auto" w:fill="FFFFFF"/>
        </w:rPr>
        <w:t>Tolima</w:t>
      </w:r>
      <w:r w:rsidRPr="00D531FD">
        <w:rPr>
          <w:rFonts w:ascii="Times New Roman" w:hAnsi="Times New Roman"/>
          <w:sz w:val="24"/>
          <w:szCs w:val="24"/>
          <w:shd w:val="clear" w:color="auto" w:fill="FFFFFF"/>
        </w:rPr>
        <w:t>, al oeste con</w:t>
      </w:r>
      <w:r w:rsidRPr="00D531FD">
        <w:rPr>
          <w:rStyle w:val="apple-converted-space"/>
          <w:rFonts w:ascii="Times New Roman" w:hAnsi="Times New Roman"/>
          <w:sz w:val="24"/>
          <w:szCs w:val="24"/>
          <w:shd w:val="clear" w:color="auto" w:fill="FFFFFF"/>
        </w:rPr>
        <w:t> </w:t>
      </w:r>
      <w:r w:rsidRPr="00DB307D">
        <w:rPr>
          <w:rFonts w:ascii="Times New Roman" w:hAnsi="Times New Roman"/>
          <w:sz w:val="24"/>
          <w:szCs w:val="24"/>
          <w:shd w:val="clear" w:color="auto" w:fill="FFFFFF"/>
        </w:rPr>
        <w:t>Valle del Cauca</w:t>
      </w:r>
      <w:r w:rsidRPr="00D531FD">
        <w:rPr>
          <w:rFonts w:ascii="Times New Roman" w:hAnsi="Times New Roman"/>
          <w:sz w:val="24"/>
          <w:szCs w:val="24"/>
        </w:rPr>
        <w:t>.</w:t>
      </w:r>
      <w:r w:rsidR="00D31B53">
        <w:rPr>
          <w:rFonts w:ascii="Times New Roman" w:hAnsi="Times New Roman"/>
          <w:sz w:val="24"/>
          <w:szCs w:val="24"/>
        </w:rPr>
        <w:t xml:space="preserve"> (Ordenanza 018, 2012)</w:t>
      </w:r>
    </w:p>
    <w:p w:rsidR="00675D1A" w:rsidRPr="00D531FD" w:rsidRDefault="00675D1A" w:rsidP="00675D1A">
      <w:pPr>
        <w:pStyle w:val="Sinespaciado"/>
        <w:spacing w:line="360" w:lineRule="auto"/>
        <w:rPr>
          <w:rFonts w:ascii="Times New Roman" w:hAnsi="Times New Roman"/>
          <w:sz w:val="24"/>
          <w:szCs w:val="24"/>
        </w:rPr>
      </w:pPr>
    </w:p>
    <w:p w:rsidR="00675D1A" w:rsidRPr="00D531FD" w:rsidRDefault="00675D1A" w:rsidP="00675D1A">
      <w:pPr>
        <w:pStyle w:val="Sinespaciado"/>
        <w:spacing w:line="360" w:lineRule="auto"/>
        <w:rPr>
          <w:rFonts w:ascii="Times New Roman" w:hAnsi="Times New Roman"/>
          <w:sz w:val="24"/>
          <w:szCs w:val="24"/>
          <w:lang w:eastAsia="es-ES"/>
        </w:rPr>
      </w:pPr>
      <w:r w:rsidRPr="00D531FD">
        <w:rPr>
          <w:rFonts w:ascii="Times New Roman" w:hAnsi="Times New Roman"/>
          <w:color w:val="000000"/>
          <w:sz w:val="24"/>
          <w:szCs w:val="24"/>
          <w:shd w:val="clear" w:color="auto" w:fill="FFFFFF"/>
        </w:rPr>
        <w:t xml:space="preserve">     El departamento del Quindío está dividido en 12 municipios, 4 corregimientos, 35 inspecciones de policía, así como, numerosos caseríos y sitios poblados. Los municipios están agrupados en 12 cabeceras de círculo notarial con un total de 17 notarías, 3 Oficinas de registros de instrumentos públicos, 1 distrito judicial Armenia, 2 circuitos Calarcá y Filandia.</w:t>
      </w:r>
      <w:r w:rsidRPr="00D531FD">
        <w:rPr>
          <w:rFonts w:ascii="Times New Roman" w:hAnsi="Times New Roman"/>
          <w:sz w:val="24"/>
          <w:szCs w:val="24"/>
          <w:lang w:eastAsia="es-ES"/>
        </w:rPr>
        <w:t xml:space="preserve"> </w:t>
      </w:r>
    </w:p>
    <w:p w:rsidR="00675D1A" w:rsidRPr="00D531FD" w:rsidRDefault="00675D1A" w:rsidP="00675D1A">
      <w:pPr>
        <w:pStyle w:val="Sinespaciado"/>
        <w:rPr>
          <w:rFonts w:ascii="Times New Roman" w:hAnsi="Times New Roman"/>
          <w:sz w:val="24"/>
          <w:szCs w:val="24"/>
        </w:rPr>
      </w:pPr>
      <w:r w:rsidRPr="00D531FD">
        <w:rPr>
          <w:rFonts w:ascii="Times New Roman" w:hAnsi="Times New Roman"/>
          <w:sz w:val="24"/>
          <w:szCs w:val="24"/>
          <w:shd w:val="clear" w:color="auto" w:fill="FFFFFF"/>
        </w:rPr>
        <w:t xml:space="preserve"> </w:t>
      </w:r>
      <w:r w:rsidR="00F904DD">
        <w:rPr>
          <w:rFonts w:ascii="Times New Roman" w:hAnsi="Times New Roman"/>
          <w:sz w:val="24"/>
          <w:szCs w:val="24"/>
          <w:shd w:val="clear" w:color="auto" w:fill="FFFFFF"/>
        </w:rPr>
        <w:t xml:space="preserve"> </w:t>
      </w:r>
      <w:r w:rsidR="00F904DD">
        <w:rPr>
          <w:rFonts w:ascii="Times New Roman" w:hAnsi="Times New Roman"/>
          <w:sz w:val="24"/>
          <w:szCs w:val="24"/>
          <w:shd w:val="clear" w:color="auto" w:fill="FFFFFF"/>
        </w:rPr>
        <w:tab/>
        <w:t xml:space="preserve"> </w:t>
      </w:r>
      <w:r w:rsidR="00F904DD">
        <w:rPr>
          <w:rFonts w:ascii="Times New Roman" w:hAnsi="Times New Roman"/>
          <w:sz w:val="24"/>
          <w:szCs w:val="24"/>
          <w:shd w:val="clear" w:color="auto" w:fill="FFFFFF"/>
        </w:rPr>
        <w:tab/>
      </w:r>
    </w:p>
    <w:p w:rsidR="00675D1A" w:rsidRPr="00D531FD" w:rsidRDefault="00C30BA3" w:rsidP="00916750">
      <w:pPr>
        <w:pStyle w:val="Sinespaciado"/>
        <w:spacing w:line="276" w:lineRule="auto"/>
        <w:jc w:val="left"/>
        <w:rPr>
          <w:rFonts w:ascii="Times New Roman" w:hAnsi="Times New Roman"/>
          <w:color w:val="000000"/>
          <w:sz w:val="24"/>
          <w:szCs w:val="24"/>
          <w:lang w:eastAsia="es-ES"/>
        </w:rPr>
      </w:pPr>
      <w:r>
        <w:rPr>
          <w:rFonts w:ascii="Times New Roman" w:hAnsi="Times New Roman"/>
          <w:color w:val="000000"/>
          <w:sz w:val="24"/>
          <w:szCs w:val="24"/>
          <w:lang w:eastAsia="es-ES"/>
        </w:rPr>
        <w:t>Tabla</w:t>
      </w:r>
      <w:r w:rsidR="001B7190">
        <w:rPr>
          <w:rFonts w:ascii="Times New Roman" w:hAnsi="Times New Roman"/>
          <w:color w:val="000000"/>
          <w:sz w:val="24"/>
          <w:szCs w:val="24"/>
          <w:lang w:eastAsia="es-ES"/>
        </w:rPr>
        <w:t xml:space="preserve"> I</w:t>
      </w:r>
      <w:r w:rsidR="00675D1A" w:rsidRPr="00D531FD">
        <w:rPr>
          <w:rFonts w:ascii="Times New Roman" w:hAnsi="Times New Roman"/>
          <w:color w:val="000000"/>
          <w:sz w:val="24"/>
          <w:szCs w:val="24"/>
          <w:lang w:eastAsia="es-ES"/>
        </w:rPr>
        <w:t>.1</w:t>
      </w:r>
    </w:p>
    <w:p w:rsidR="00675D1A" w:rsidRPr="00801359" w:rsidRDefault="00F904DD" w:rsidP="00916750">
      <w:pPr>
        <w:pStyle w:val="Sinespaciado"/>
        <w:spacing w:line="276" w:lineRule="auto"/>
        <w:jc w:val="left"/>
        <w:rPr>
          <w:rFonts w:ascii="Times New Roman" w:hAnsi="Times New Roman"/>
          <w:color w:val="000000"/>
          <w:sz w:val="24"/>
          <w:szCs w:val="24"/>
          <w:lang w:eastAsia="es-ES"/>
        </w:rPr>
      </w:pPr>
      <w:r w:rsidRPr="00F904DD">
        <w:rPr>
          <w:rFonts w:ascii="Times New Roman" w:hAnsi="Times New Roman"/>
          <w:bCs/>
          <w:color w:val="000000"/>
          <w:sz w:val="24"/>
          <w:szCs w:val="24"/>
        </w:rPr>
        <w:t>División  Judicial.</w:t>
      </w:r>
      <w:r w:rsidR="00675D1A" w:rsidRPr="00801359">
        <w:rPr>
          <w:rFonts w:ascii="Times New Roman" w:hAnsi="Times New Roman"/>
          <w:color w:val="000000"/>
          <w:sz w:val="24"/>
          <w:szCs w:val="24"/>
          <w:lang w:eastAsia="es-ES"/>
        </w:rPr>
        <w:t xml:space="preserve"> 2013</w:t>
      </w:r>
    </w:p>
    <w:p w:rsidR="00675D1A" w:rsidRPr="00A42598" w:rsidRDefault="00675D1A" w:rsidP="00A42598">
      <w:pPr>
        <w:pStyle w:val="Sinespaciado"/>
        <w:spacing w:line="276" w:lineRule="auto"/>
        <w:rPr>
          <w:rFonts w:ascii="Times New Roman" w:hAnsi="Times New Roman"/>
          <w:b/>
          <w:color w:val="000000"/>
          <w:sz w:val="16"/>
          <w:szCs w:val="24"/>
          <w:lang w:eastAsia="es-ES"/>
        </w:rPr>
      </w:pPr>
    </w:p>
    <w:tbl>
      <w:tblPr>
        <w:tblW w:w="8925" w:type="dxa"/>
        <w:jc w:val="center"/>
        <w:tblInd w:w="53" w:type="dxa"/>
        <w:tblCellMar>
          <w:left w:w="70" w:type="dxa"/>
          <w:right w:w="70" w:type="dxa"/>
        </w:tblCellMar>
        <w:tblLook w:val="04A0" w:firstRow="1" w:lastRow="0" w:firstColumn="1" w:lastColumn="0" w:noHBand="0" w:noVBand="1"/>
      </w:tblPr>
      <w:tblGrid>
        <w:gridCol w:w="3964"/>
        <w:gridCol w:w="250"/>
        <w:gridCol w:w="4460"/>
        <w:gridCol w:w="251"/>
      </w:tblGrid>
      <w:tr w:rsidR="00675D1A" w:rsidRPr="00D65FA7" w:rsidTr="000A714E">
        <w:trPr>
          <w:trHeight w:val="557"/>
          <w:jc w:val="center"/>
        </w:trPr>
        <w:tc>
          <w:tcPr>
            <w:tcW w:w="4214" w:type="dxa"/>
            <w:gridSpan w:val="2"/>
            <w:tcBorders>
              <w:top w:val="single" w:sz="4" w:space="0" w:color="auto"/>
              <w:left w:val="nil"/>
              <w:bottom w:val="single" w:sz="4" w:space="0" w:color="auto"/>
              <w:right w:val="nil"/>
            </w:tcBorders>
            <w:shd w:val="clear" w:color="auto" w:fill="auto"/>
            <w:vAlign w:val="center"/>
            <w:hideMark/>
          </w:tcPr>
          <w:p w:rsidR="00675D1A" w:rsidRPr="00D65FA7" w:rsidRDefault="00675D1A" w:rsidP="002C791A">
            <w:pPr>
              <w:rPr>
                <w:b/>
                <w:color w:val="000000"/>
                <w:sz w:val="20"/>
                <w:szCs w:val="20"/>
              </w:rPr>
            </w:pPr>
            <w:r w:rsidRPr="00D65FA7">
              <w:rPr>
                <w:b/>
                <w:color w:val="000000"/>
                <w:sz w:val="20"/>
                <w:szCs w:val="20"/>
              </w:rPr>
              <w:t>Juzgados del Circuito</w:t>
            </w:r>
          </w:p>
        </w:tc>
        <w:tc>
          <w:tcPr>
            <w:tcW w:w="4711" w:type="dxa"/>
            <w:gridSpan w:val="2"/>
            <w:tcBorders>
              <w:top w:val="single" w:sz="4" w:space="0" w:color="auto"/>
              <w:left w:val="nil"/>
              <w:bottom w:val="single" w:sz="4" w:space="0" w:color="auto"/>
              <w:right w:val="nil"/>
            </w:tcBorders>
            <w:shd w:val="clear" w:color="auto" w:fill="auto"/>
            <w:vAlign w:val="center"/>
            <w:hideMark/>
          </w:tcPr>
          <w:p w:rsidR="00675D1A" w:rsidRPr="00D65FA7" w:rsidRDefault="00675D1A" w:rsidP="002C791A">
            <w:pPr>
              <w:rPr>
                <w:b/>
                <w:color w:val="000000"/>
                <w:sz w:val="20"/>
                <w:szCs w:val="20"/>
              </w:rPr>
            </w:pPr>
            <w:r w:rsidRPr="00D65FA7">
              <w:rPr>
                <w:b/>
                <w:color w:val="000000"/>
                <w:sz w:val="20"/>
                <w:szCs w:val="20"/>
              </w:rPr>
              <w:t>Juzgados Municipales</w:t>
            </w:r>
          </w:p>
        </w:tc>
      </w:tr>
      <w:tr w:rsidR="00675D1A" w:rsidRPr="00D65FA7" w:rsidTr="00783A66">
        <w:trPr>
          <w:trHeight w:val="194"/>
          <w:jc w:val="center"/>
        </w:trPr>
        <w:tc>
          <w:tcPr>
            <w:tcW w:w="3964" w:type="dxa"/>
            <w:tcBorders>
              <w:top w:val="nil"/>
              <w:left w:val="nil"/>
              <w:bottom w:val="nil"/>
              <w:right w:val="nil"/>
            </w:tcBorders>
            <w:shd w:val="clear" w:color="auto" w:fill="auto"/>
            <w:noWrap/>
            <w:vAlign w:val="center"/>
            <w:hideMark/>
          </w:tcPr>
          <w:p w:rsidR="00675D1A" w:rsidRPr="00D65FA7" w:rsidRDefault="00675D1A" w:rsidP="00783A66">
            <w:pPr>
              <w:rPr>
                <w:color w:val="000000"/>
                <w:sz w:val="20"/>
                <w:szCs w:val="20"/>
              </w:rPr>
            </w:pPr>
            <w:r w:rsidRPr="00D65FA7">
              <w:rPr>
                <w:color w:val="000000"/>
                <w:sz w:val="20"/>
                <w:szCs w:val="20"/>
              </w:rPr>
              <w:t>Civil</w:t>
            </w:r>
          </w:p>
        </w:tc>
        <w:tc>
          <w:tcPr>
            <w:tcW w:w="25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4</w:t>
            </w:r>
          </w:p>
        </w:tc>
        <w:tc>
          <w:tcPr>
            <w:tcW w:w="446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Civil</w:t>
            </w:r>
          </w:p>
        </w:tc>
        <w:tc>
          <w:tcPr>
            <w:tcW w:w="251"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9</w:t>
            </w:r>
          </w:p>
        </w:tc>
      </w:tr>
      <w:tr w:rsidR="00675D1A" w:rsidRPr="00D65FA7" w:rsidTr="00783A66">
        <w:trPr>
          <w:trHeight w:val="384"/>
          <w:jc w:val="center"/>
        </w:trPr>
        <w:tc>
          <w:tcPr>
            <w:tcW w:w="3964" w:type="dxa"/>
            <w:tcBorders>
              <w:top w:val="nil"/>
              <w:left w:val="nil"/>
              <w:bottom w:val="nil"/>
              <w:right w:val="nil"/>
            </w:tcBorders>
            <w:shd w:val="clear" w:color="auto" w:fill="auto"/>
            <w:noWrap/>
            <w:vAlign w:val="center"/>
            <w:hideMark/>
          </w:tcPr>
          <w:p w:rsidR="00675D1A" w:rsidRPr="00D65FA7" w:rsidRDefault="00675D1A" w:rsidP="00783A66">
            <w:pPr>
              <w:rPr>
                <w:color w:val="000000"/>
                <w:sz w:val="20"/>
                <w:szCs w:val="20"/>
              </w:rPr>
            </w:pPr>
            <w:r w:rsidRPr="00D65FA7">
              <w:rPr>
                <w:color w:val="000000"/>
                <w:sz w:val="20"/>
                <w:szCs w:val="20"/>
              </w:rPr>
              <w:t>Penal conocimiento</w:t>
            </w:r>
          </w:p>
        </w:tc>
        <w:tc>
          <w:tcPr>
            <w:tcW w:w="25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6</w:t>
            </w:r>
          </w:p>
        </w:tc>
        <w:tc>
          <w:tcPr>
            <w:tcW w:w="446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Penal Municipal control garantía y conocimiento</w:t>
            </w:r>
          </w:p>
        </w:tc>
        <w:tc>
          <w:tcPr>
            <w:tcW w:w="251"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6</w:t>
            </w:r>
          </w:p>
        </w:tc>
      </w:tr>
      <w:tr w:rsidR="00675D1A" w:rsidRPr="00D65FA7" w:rsidTr="00783A66">
        <w:trPr>
          <w:trHeight w:val="366"/>
          <w:jc w:val="center"/>
        </w:trPr>
        <w:tc>
          <w:tcPr>
            <w:tcW w:w="3964" w:type="dxa"/>
            <w:tcBorders>
              <w:top w:val="nil"/>
              <w:left w:val="nil"/>
              <w:bottom w:val="nil"/>
              <w:right w:val="nil"/>
            </w:tcBorders>
            <w:shd w:val="clear" w:color="auto" w:fill="auto"/>
            <w:noWrap/>
            <w:vAlign w:val="center"/>
            <w:hideMark/>
          </w:tcPr>
          <w:p w:rsidR="00675D1A" w:rsidRPr="00D65FA7" w:rsidRDefault="00675D1A" w:rsidP="00783A66">
            <w:pPr>
              <w:rPr>
                <w:color w:val="000000"/>
                <w:sz w:val="20"/>
                <w:szCs w:val="20"/>
              </w:rPr>
            </w:pPr>
            <w:r w:rsidRPr="00D65FA7">
              <w:rPr>
                <w:color w:val="000000"/>
                <w:sz w:val="20"/>
                <w:szCs w:val="20"/>
              </w:rPr>
              <w:t>Penal Especializado</w:t>
            </w:r>
          </w:p>
        </w:tc>
        <w:tc>
          <w:tcPr>
            <w:tcW w:w="25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1</w:t>
            </w:r>
          </w:p>
        </w:tc>
        <w:tc>
          <w:tcPr>
            <w:tcW w:w="446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Penal municipal control de conocimiento</w:t>
            </w:r>
          </w:p>
        </w:tc>
        <w:tc>
          <w:tcPr>
            <w:tcW w:w="251"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0</w:t>
            </w:r>
          </w:p>
        </w:tc>
      </w:tr>
      <w:tr w:rsidR="00675D1A" w:rsidRPr="00D65FA7" w:rsidTr="00783A66">
        <w:trPr>
          <w:trHeight w:val="366"/>
          <w:jc w:val="center"/>
        </w:trPr>
        <w:tc>
          <w:tcPr>
            <w:tcW w:w="3964" w:type="dxa"/>
            <w:tcBorders>
              <w:top w:val="nil"/>
              <w:left w:val="nil"/>
              <w:bottom w:val="nil"/>
              <w:right w:val="nil"/>
            </w:tcBorders>
            <w:shd w:val="clear" w:color="auto" w:fill="auto"/>
            <w:noWrap/>
            <w:vAlign w:val="center"/>
            <w:hideMark/>
          </w:tcPr>
          <w:p w:rsidR="00675D1A" w:rsidRPr="00D65FA7" w:rsidRDefault="00675D1A" w:rsidP="00783A66">
            <w:pPr>
              <w:rPr>
                <w:color w:val="000000"/>
                <w:sz w:val="20"/>
                <w:szCs w:val="20"/>
              </w:rPr>
            </w:pPr>
            <w:r w:rsidRPr="00D65FA7">
              <w:rPr>
                <w:color w:val="000000"/>
                <w:sz w:val="20"/>
                <w:szCs w:val="20"/>
              </w:rPr>
              <w:t>Penal adolescentes conocimiento</w:t>
            </w:r>
          </w:p>
        </w:tc>
        <w:tc>
          <w:tcPr>
            <w:tcW w:w="25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2</w:t>
            </w:r>
          </w:p>
        </w:tc>
        <w:tc>
          <w:tcPr>
            <w:tcW w:w="446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Penal municipal para adolescentes</w:t>
            </w:r>
          </w:p>
        </w:tc>
        <w:tc>
          <w:tcPr>
            <w:tcW w:w="251"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2</w:t>
            </w:r>
          </w:p>
        </w:tc>
      </w:tr>
      <w:tr w:rsidR="00675D1A" w:rsidRPr="00D65FA7" w:rsidTr="00783A66">
        <w:trPr>
          <w:trHeight w:val="366"/>
          <w:jc w:val="center"/>
        </w:trPr>
        <w:tc>
          <w:tcPr>
            <w:tcW w:w="3964" w:type="dxa"/>
            <w:tcBorders>
              <w:top w:val="nil"/>
              <w:left w:val="nil"/>
              <w:bottom w:val="nil"/>
              <w:right w:val="nil"/>
            </w:tcBorders>
            <w:shd w:val="clear" w:color="auto" w:fill="auto"/>
            <w:noWrap/>
            <w:vAlign w:val="center"/>
            <w:hideMark/>
          </w:tcPr>
          <w:p w:rsidR="00675D1A" w:rsidRPr="00D65FA7" w:rsidRDefault="00675D1A" w:rsidP="00783A66">
            <w:pPr>
              <w:rPr>
                <w:color w:val="000000"/>
                <w:sz w:val="20"/>
                <w:szCs w:val="20"/>
              </w:rPr>
            </w:pPr>
            <w:r w:rsidRPr="00D65FA7">
              <w:rPr>
                <w:color w:val="000000"/>
                <w:sz w:val="20"/>
                <w:szCs w:val="20"/>
              </w:rPr>
              <w:t>Ejecución de penas y medidas de seguridad</w:t>
            </w:r>
          </w:p>
        </w:tc>
        <w:tc>
          <w:tcPr>
            <w:tcW w:w="25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2</w:t>
            </w:r>
          </w:p>
        </w:tc>
        <w:tc>
          <w:tcPr>
            <w:tcW w:w="446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Promiscuos</w:t>
            </w:r>
          </w:p>
        </w:tc>
        <w:tc>
          <w:tcPr>
            <w:tcW w:w="251"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3</w:t>
            </w:r>
          </w:p>
        </w:tc>
      </w:tr>
      <w:tr w:rsidR="00675D1A" w:rsidRPr="00D65FA7" w:rsidTr="00783A66">
        <w:trPr>
          <w:trHeight w:val="366"/>
          <w:jc w:val="center"/>
        </w:trPr>
        <w:tc>
          <w:tcPr>
            <w:tcW w:w="3964" w:type="dxa"/>
            <w:tcBorders>
              <w:top w:val="nil"/>
              <w:left w:val="nil"/>
              <w:bottom w:val="nil"/>
              <w:right w:val="nil"/>
            </w:tcBorders>
            <w:shd w:val="clear" w:color="auto" w:fill="auto"/>
            <w:noWrap/>
            <w:vAlign w:val="center"/>
            <w:hideMark/>
          </w:tcPr>
          <w:p w:rsidR="00675D1A" w:rsidRPr="00D65FA7" w:rsidRDefault="00675D1A" w:rsidP="00783A66">
            <w:pPr>
              <w:rPr>
                <w:color w:val="000000"/>
                <w:sz w:val="20"/>
                <w:szCs w:val="20"/>
              </w:rPr>
            </w:pPr>
            <w:r w:rsidRPr="00D65FA7">
              <w:rPr>
                <w:color w:val="000000"/>
                <w:sz w:val="20"/>
                <w:szCs w:val="20"/>
              </w:rPr>
              <w:t>Familia</w:t>
            </w:r>
          </w:p>
        </w:tc>
        <w:tc>
          <w:tcPr>
            <w:tcW w:w="25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4</w:t>
            </w:r>
          </w:p>
        </w:tc>
        <w:tc>
          <w:tcPr>
            <w:tcW w:w="4460"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p>
        </w:tc>
        <w:tc>
          <w:tcPr>
            <w:tcW w:w="251" w:type="dxa"/>
            <w:tcBorders>
              <w:top w:val="nil"/>
              <w:left w:val="nil"/>
              <w:bottom w:val="nil"/>
              <w:right w:val="nil"/>
            </w:tcBorders>
            <w:shd w:val="clear" w:color="auto" w:fill="auto"/>
            <w:noWrap/>
            <w:vAlign w:val="center"/>
            <w:hideMark/>
          </w:tcPr>
          <w:p w:rsidR="00675D1A" w:rsidRPr="00D65FA7" w:rsidRDefault="00675D1A" w:rsidP="002C791A">
            <w:pPr>
              <w:rPr>
                <w:color w:val="000000"/>
                <w:sz w:val="20"/>
                <w:szCs w:val="20"/>
              </w:rPr>
            </w:pPr>
          </w:p>
        </w:tc>
      </w:tr>
      <w:tr w:rsidR="00675D1A" w:rsidRPr="00D65FA7" w:rsidTr="00783A66">
        <w:trPr>
          <w:trHeight w:val="366"/>
          <w:jc w:val="center"/>
        </w:trPr>
        <w:tc>
          <w:tcPr>
            <w:tcW w:w="3964" w:type="dxa"/>
            <w:tcBorders>
              <w:top w:val="nil"/>
              <w:left w:val="nil"/>
              <w:right w:val="nil"/>
            </w:tcBorders>
            <w:shd w:val="clear" w:color="auto" w:fill="auto"/>
            <w:noWrap/>
            <w:vAlign w:val="center"/>
            <w:hideMark/>
          </w:tcPr>
          <w:p w:rsidR="00675D1A" w:rsidRPr="00D65FA7" w:rsidRDefault="00675D1A" w:rsidP="00783A66">
            <w:pPr>
              <w:rPr>
                <w:color w:val="000000"/>
                <w:sz w:val="20"/>
                <w:szCs w:val="20"/>
              </w:rPr>
            </w:pPr>
            <w:r w:rsidRPr="00D65FA7">
              <w:rPr>
                <w:color w:val="000000"/>
                <w:sz w:val="20"/>
                <w:szCs w:val="20"/>
              </w:rPr>
              <w:t>Laboral</w:t>
            </w:r>
          </w:p>
        </w:tc>
        <w:tc>
          <w:tcPr>
            <w:tcW w:w="250" w:type="dxa"/>
            <w:tcBorders>
              <w:top w:val="nil"/>
              <w:left w:val="nil"/>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4</w:t>
            </w:r>
          </w:p>
        </w:tc>
        <w:tc>
          <w:tcPr>
            <w:tcW w:w="4460" w:type="dxa"/>
            <w:tcBorders>
              <w:top w:val="nil"/>
              <w:left w:val="nil"/>
              <w:right w:val="nil"/>
            </w:tcBorders>
            <w:shd w:val="clear" w:color="auto" w:fill="auto"/>
            <w:noWrap/>
            <w:vAlign w:val="center"/>
            <w:hideMark/>
          </w:tcPr>
          <w:p w:rsidR="00675D1A" w:rsidRPr="00D65FA7" w:rsidRDefault="00675D1A" w:rsidP="002C791A">
            <w:pPr>
              <w:rPr>
                <w:color w:val="000000"/>
                <w:sz w:val="20"/>
                <w:szCs w:val="20"/>
              </w:rPr>
            </w:pPr>
          </w:p>
        </w:tc>
        <w:tc>
          <w:tcPr>
            <w:tcW w:w="251" w:type="dxa"/>
            <w:tcBorders>
              <w:top w:val="nil"/>
              <w:left w:val="nil"/>
              <w:right w:val="nil"/>
            </w:tcBorders>
            <w:shd w:val="clear" w:color="auto" w:fill="auto"/>
            <w:noWrap/>
            <w:vAlign w:val="center"/>
            <w:hideMark/>
          </w:tcPr>
          <w:p w:rsidR="00675D1A" w:rsidRPr="00D65FA7" w:rsidRDefault="00675D1A" w:rsidP="002C791A">
            <w:pPr>
              <w:rPr>
                <w:color w:val="000000"/>
                <w:sz w:val="20"/>
                <w:szCs w:val="20"/>
              </w:rPr>
            </w:pPr>
          </w:p>
        </w:tc>
      </w:tr>
      <w:tr w:rsidR="00675D1A" w:rsidRPr="00D65FA7" w:rsidTr="00783A66">
        <w:trPr>
          <w:trHeight w:val="366"/>
          <w:jc w:val="center"/>
        </w:trPr>
        <w:tc>
          <w:tcPr>
            <w:tcW w:w="3964" w:type="dxa"/>
            <w:tcBorders>
              <w:top w:val="nil"/>
              <w:left w:val="nil"/>
              <w:bottom w:val="single" w:sz="4" w:space="0" w:color="auto"/>
              <w:right w:val="nil"/>
            </w:tcBorders>
            <w:shd w:val="clear" w:color="auto" w:fill="auto"/>
            <w:noWrap/>
            <w:vAlign w:val="center"/>
            <w:hideMark/>
          </w:tcPr>
          <w:p w:rsidR="00675D1A" w:rsidRPr="00D65FA7" w:rsidRDefault="00675D1A" w:rsidP="00783A66">
            <w:pPr>
              <w:rPr>
                <w:color w:val="000000"/>
                <w:sz w:val="20"/>
                <w:szCs w:val="20"/>
              </w:rPr>
            </w:pPr>
            <w:r w:rsidRPr="00D65FA7">
              <w:rPr>
                <w:color w:val="000000"/>
                <w:sz w:val="20"/>
                <w:szCs w:val="20"/>
              </w:rPr>
              <w:t>Administrativo</w:t>
            </w:r>
          </w:p>
        </w:tc>
        <w:tc>
          <w:tcPr>
            <w:tcW w:w="250" w:type="dxa"/>
            <w:tcBorders>
              <w:top w:val="nil"/>
              <w:left w:val="nil"/>
              <w:bottom w:val="single" w:sz="4" w:space="0" w:color="auto"/>
              <w:right w:val="nil"/>
            </w:tcBorders>
            <w:shd w:val="clear" w:color="auto" w:fill="auto"/>
            <w:noWrap/>
            <w:vAlign w:val="center"/>
            <w:hideMark/>
          </w:tcPr>
          <w:p w:rsidR="00675D1A" w:rsidRPr="00D65FA7" w:rsidRDefault="00675D1A" w:rsidP="002C791A">
            <w:pPr>
              <w:rPr>
                <w:color w:val="000000"/>
                <w:sz w:val="20"/>
                <w:szCs w:val="20"/>
              </w:rPr>
            </w:pPr>
            <w:r w:rsidRPr="00D65FA7">
              <w:rPr>
                <w:color w:val="000000"/>
                <w:sz w:val="20"/>
                <w:szCs w:val="20"/>
              </w:rPr>
              <w:t>4</w:t>
            </w:r>
          </w:p>
        </w:tc>
        <w:tc>
          <w:tcPr>
            <w:tcW w:w="4460" w:type="dxa"/>
            <w:tcBorders>
              <w:top w:val="nil"/>
              <w:left w:val="nil"/>
              <w:bottom w:val="single" w:sz="4" w:space="0" w:color="auto"/>
              <w:right w:val="nil"/>
            </w:tcBorders>
            <w:shd w:val="clear" w:color="auto" w:fill="auto"/>
            <w:noWrap/>
            <w:vAlign w:val="center"/>
            <w:hideMark/>
          </w:tcPr>
          <w:p w:rsidR="00675D1A" w:rsidRPr="00D65FA7" w:rsidRDefault="00675D1A" w:rsidP="002C791A">
            <w:pPr>
              <w:rPr>
                <w:color w:val="000000"/>
                <w:sz w:val="20"/>
                <w:szCs w:val="20"/>
              </w:rPr>
            </w:pPr>
          </w:p>
        </w:tc>
        <w:tc>
          <w:tcPr>
            <w:tcW w:w="251" w:type="dxa"/>
            <w:tcBorders>
              <w:top w:val="nil"/>
              <w:left w:val="nil"/>
              <w:bottom w:val="single" w:sz="4" w:space="0" w:color="auto"/>
              <w:right w:val="nil"/>
            </w:tcBorders>
            <w:shd w:val="clear" w:color="auto" w:fill="auto"/>
            <w:noWrap/>
            <w:vAlign w:val="center"/>
            <w:hideMark/>
          </w:tcPr>
          <w:p w:rsidR="00675D1A" w:rsidRPr="00D65FA7" w:rsidRDefault="00675D1A" w:rsidP="002C791A">
            <w:pPr>
              <w:rPr>
                <w:color w:val="000000"/>
                <w:sz w:val="20"/>
                <w:szCs w:val="20"/>
              </w:rPr>
            </w:pPr>
          </w:p>
        </w:tc>
      </w:tr>
    </w:tbl>
    <w:p w:rsidR="00675D1A" w:rsidRPr="00D531FD" w:rsidRDefault="00675D1A" w:rsidP="00675D1A">
      <w:pPr>
        <w:pStyle w:val="Sinespaciado"/>
        <w:spacing w:line="276" w:lineRule="auto"/>
        <w:jc w:val="left"/>
        <w:rPr>
          <w:rFonts w:ascii="Times New Roman" w:hAnsi="Times New Roman"/>
          <w:color w:val="000000"/>
          <w:sz w:val="16"/>
          <w:szCs w:val="16"/>
          <w:lang w:eastAsia="es-ES"/>
        </w:rPr>
      </w:pPr>
      <w:r w:rsidRPr="00D531FD">
        <w:rPr>
          <w:rFonts w:ascii="Times New Roman" w:hAnsi="Times New Roman"/>
          <w:color w:val="000000"/>
          <w:sz w:val="16"/>
          <w:szCs w:val="16"/>
          <w:lang w:eastAsia="es-ES"/>
        </w:rPr>
        <w:t>Fuente: Consejo Seccional de la Judicatura</w:t>
      </w:r>
    </w:p>
    <w:p w:rsidR="00675D1A" w:rsidRDefault="00675D1A" w:rsidP="00675D1A">
      <w:pPr>
        <w:pStyle w:val="Sinespaciado"/>
        <w:spacing w:line="276" w:lineRule="auto"/>
        <w:jc w:val="center"/>
        <w:rPr>
          <w:rFonts w:ascii="Times New Roman" w:hAnsi="Times New Roman"/>
          <w:color w:val="000000"/>
          <w:sz w:val="24"/>
          <w:szCs w:val="24"/>
          <w:lang w:eastAsia="es-ES"/>
        </w:rPr>
      </w:pPr>
    </w:p>
    <w:p w:rsidR="00D65FA7" w:rsidRDefault="00D65FA7" w:rsidP="00675D1A">
      <w:pPr>
        <w:pStyle w:val="Sinespaciado"/>
        <w:spacing w:line="276" w:lineRule="auto"/>
        <w:jc w:val="center"/>
        <w:rPr>
          <w:rFonts w:ascii="Times New Roman" w:hAnsi="Times New Roman"/>
          <w:color w:val="000000"/>
          <w:sz w:val="24"/>
          <w:szCs w:val="24"/>
          <w:lang w:eastAsia="es-ES"/>
        </w:rPr>
      </w:pPr>
    </w:p>
    <w:p w:rsidR="00D65FA7" w:rsidRPr="00D531FD" w:rsidRDefault="00D65FA7" w:rsidP="00675D1A">
      <w:pPr>
        <w:pStyle w:val="Sinespaciado"/>
        <w:spacing w:line="276" w:lineRule="auto"/>
        <w:jc w:val="center"/>
        <w:rPr>
          <w:rFonts w:ascii="Times New Roman" w:hAnsi="Times New Roman"/>
          <w:color w:val="000000"/>
          <w:sz w:val="24"/>
          <w:szCs w:val="24"/>
          <w:lang w:eastAsia="es-ES"/>
        </w:rPr>
      </w:pPr>
    </w:p>
    <w:p w:rsidR="00675D1A" w:rsidRPr="00D531FD" w:rsidRDefault="00882F89" w:rsidP="00511642">
      <w:pPr>
        <w:pStyle w:val="Sinespaciado"/>
        <w:ind w:left="907" w:firstLine="709"/>
        <w:jc w:val="left"/>
        <w:rPr>
          <w:rFonts w:ascii="Times New Roman" w:hAnsi="Times New Roman"/>
          <w:color w:val="000000"/>
          <w:sz w:val="24"/>
          <w:szCs w:val="24"/>
          <w:lang w:eastAsia="es-ES"/>
        </w:rPr>
      </w:pPr>
      <w:r>
        <w:rPr>
          <w:rFonts w:ascii="Times New Roman" w:hAnsi="Times New Roman"/>
          <w:color w:val="000000"/>
          <w:sz w:val="24"/>
          <w:szCs w:val="24"/>
          <w:lang w:eastAsia="es-ES"/>
        </w:rPr>
        <w:lastRenderedPageBreak/>
        <w:t>Tabla</w:t>
      </w:r>
      <w:r w:rsidR="001B7190">
        <w:rPr>
          <w:rFonts w:ascii="Times New Roman" w:hAnsi="Times New Roman"/>
          <w:color w:val="000000"/>
          <w:sz w:val="24"/>
          <w:szCs w:val="24"/>
          <w:lang w:eastAsia="es-ES"/>
        </w:rPr>
        <w:t xml:space="preserve"> I</w:t>
      </w:r>
      <w:r w:rsidR="00675D1A" w:rsidRPr="00D531FD">
        <w:rPr>
          <w:rFonts w:ascii="Times New Roman" w:hAnsi="Times New Roman"/>
          <w:color w:val="000000"/>
          <w:sz w:val="24"/>
          <w:szCs w:val="24"/>
          <w:lang w:eastAsia="es-ES"/>
        </w:rPr>
        <w:t>.2</w:t>
      </w:r>
    </w:p>
    <w:p w:rsidR="00675D1A" w:rsidRPr="00BE3911" w:rsidRDefault="00675D1A" w:rsidP="00511642">
      <w:pPr>
        <w:pStyle w:val="Sinespaciado"/>
        <w:ind w:left="907" w:firstLine="709"/>
        <w:jc w:val="left"/>
        <w:rPr>
          <w:rFonts w:ascii="Times New Roman" w:hAnsi="Times New Roman"/>
          <w:bCs/>
          <w:color w:val="000000"/>
        </w:rPr>
      </w:pPr>
      <w:r w:rsidRPr="00BE3911">
        <w:rPr>
          <w:rFonts w:ascii="Times New Roman" w:hAnsi="Times New Roman"/>
          <w:bCs/>
          <w:color w:val="000000"/>
        </w:rPr>
        <w:t>Municipios del departamento del Quindío</w:t>
      </w:r>
    </w:p>
    <w:p w:rsidR="00675D1A" w:rsidRPr="00D531FD" w:rsidRDefault="00675D1A" w:rsidP="00675D1A">
      <w:pPr>
        <w:pStyle w:val="Sinespaciado"/>
        <w:spacing w:line="276" w:lineRule="auto"/>
        <w:jc w:val="center"/>
        <w:rPr>
          <w:rFonts w:ascii="Times New Roman" w:hAnsi="Times New Roman"/>
          <w:color w:val="000000"/>
          <w:sz w:val="16"/>
          <w:szCs w:val="24"/>
          <w:lang w:eastAsia="es-ES"/>
        </w:rPr>
      </w:pPr>
    </w:p>
    <w:tbl>
      <w:tblPr>
        <w:tblW w:w="5680" w:type="dxa"/>
        <w:jc w:val="center"/>
        <w:tblCellMar>
          <w:left w:w="70" w:type="dxa"/>
          <w:right w:w="70" w:type="dxa"/>
        </w:tblCellMar>
        <w:tblLook w:val="04A0" w:firstRow="1" w:lastRow="0" w:firstColumn="1" w:lastColumn="0" w:noHBand="0" w:noVBand="1"/>
      </w:tblPr>
      <w:tblGrid>
        <w:gridCol w:w="2647"/>
        <w:gridCol w:w="3033"/>
      </w:tblGrid>
      <w:tr w:rsidR="00675D1A" w:rsidRPr="00D65FA7" w:rsidTr="006B6644">
        <w:trPr>
          <w:trHeight w:val="233"/>
          <w:jc w:val="center"/>
        </w:trPr>
        <w:tc>
          <w:tcPr>
            <w:tcW w:w="5680" w:type="dxa"/>
            <w:gridSpan w:val="2"/>
            <w:tcBorders>
              <w:top w:val="single" w:sz="4" w:space="0" w:color="auto"/>
              <w:left w:val="nil"/>
              <w:bottom w:val="single" w:sz="4" w:space="0" w:color="auto"/>
              <w:right w:val="nil"/>
            </w:tcBorders>
            <w:shd w:val="clear" w:color="auto" w:fill="auto"/>
            <w:vAlign w:val="center"/>
            <w:hideMark/>
          </w:tcPr>
          <w:p w:rsidR="00675D1A" w:rsidRPr="00D65FA7" w:rsidRDefault="00675D1A" w:rsidP="002C791A">
            <w:pPr>
              <w:jc w:val="center"/>
              <w:rPr>
                <w:b/>
                <w:bCs/>
                <w:color w:val="000000"/>
                <w:sz w:val="20"/>
                <w:szCs w:val="20"/>
              </w:rPr>
            </w:pPr>
            <w:r w:rsidRPr="00D65FA7">
              <w:rPr>
                <w:b/>
                <w:bCs/>
                <w:color w:val="000000"/>
                <w:sz w:val="20"/>
                <w:szCs w:val="20"/>
              </w:rPr>
              <w:t>Municipios</w:t>
            </w:r>
          </w:p>
        </w:tc>
      </w:tr>
      <w:tr w:rsidR="00675D1A" w:rsidRPr="00D65FA7" w:rsidTr="00882F89">
        <w:trPr>
          <w:trHeight w:val="300"/>
          <w:jc w:val="center"/>
        </w:trPr>
        <w:tc>
          <w:tcPr>
            <w:tcW w:w="2647"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Armenia</w:t>
            </w:r>
          </w:p>
        </w:tc>
        <w:tc>
          <w:tcPr>
            <w:tcW w:w="3033"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Génova</w:t>
            </w:r>
          </w:p>
        </w:tc>
      </w:tr>
      <w:tr w:rsidR="00675D1A" w:rsidRPr="00D65FA7" w:rsidTr="00882F89">
        <w:trPr>
          <w:trHeight w:val="300"/>
          <w:jc w:val="center"/>
        </w:trPr>
        <w:tc>
          <w:tcPr>
            <w:tcW w:w="2647"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Buenavista</w:t>
            </w:r>
          </w:p>
        </w:tc>
        <w:tc>
          <w:tcPr>
            <w:tcW w:w="3033"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La Tebaida</w:t>
            </w:r>
          </w:p>
        </w:tc>
      </w:tr>
      <w:tr w:rsidR="00675D1A" w:rsidRPr="00D65FA7" w:rsidTr="00882F89">
        <w:trPr>
          <w:trHeight w:val="300"/>
          <w:jc w:val="center"/>
        </w:trPr>
        <w:tc>
          <w:tcPr>
            <w:tcW w:w="2647"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Calarcá</w:t>
            </w:r>
          </w:p>
        </w:tc>
        <w:tc>
          <w:tcPr>
            <w:tcW w:w="3033"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Montenegro</w:t>
            </w:r>
          </w:p>
        </w:tc>
      </w:tr>
      <w:tr w:rsidR="00675D1A" w:rsidRPr="00D65FA7" w:rsidTr="00882F89">
        <w:trPr>
          <w:trHeight w:val="300"/>
          <w:jc w:val="center"/>
        </w:trPr>
        <w:tc>
          <w:tcPr>
            <w:tcW w:w="2647"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Circasia</w:t>
            </w:r>
          </w:p>
        </w:tc>
        <w:tc>
          <w:tcPr>
            <w:tcW w:w="3033"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Pijao</w:t>
            </w:r>
          </w:p>
        </w:tc>
      </w:tr>
      <w:tr w:rsidR="00675D1A" w:rsidRPr="00D65FA7" w:rsidTr="00882F89">
        <w:trPr>
          <w:trHeight w:val="300"/>
          <w:jc w:val="center"/>
        </w:trPr>
        <w:tc>
          <w:tcPr>
            <w:tcW w:w="2647" w:type="dxa"/>
            <w:tcBorders>
              <w:top w:val="nil"/>
              <w:left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Córdoba</w:t>
            </w:r>
          </w:p>
        </w:tc>
        <w:tc>
          <w:tcPr>
            <w:tcW w:w="3033" w:type="dxa"/>
            <w:tcBorders>
              <w:top w:val="nil"/>
              <w:left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Quimbaya</w:t>
            </w:r>
          </w:p>
        </w:tc>
      </w:tr>
      <w:tr w:rsidR="00675D1A" w:rsidRPr="00D65FA7" w:rsidTr="00882F89">
        <w:trPr>
          <w:trHeight w:val="300"/>
          <w:jc w:val="center"/>
        </w:trPr>
        <w:tc>
          <w:tcPr>
            <w:tcW w:w="2647" w:type="dxa"/>
            <w:tcBorders>
              <w:top w:val="nil"/>
              <w:left w:val="nil"/>
              <w:bottom w:val="single" w:sz="4" w:space="0" w:color="auto"/>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Filandia</w:t>
            </w:r>
          </w:p>
        </w:tc>
        <w:tc>
          <w:tcPr>
            <w:tcW w:w="3033" w:type="dxa"/>
            <w:tcBorders>
              <w:top w:val="nil"/>
              <w:left w:val="nil"/>
              <w:bottom w:val="single" w:sz="4" w:space="0" w:color="auto"/>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Salento</w:t>
            </w:r>
          </w:p>
        </w:tc>
      </w:tr>
    </w:tbl>
    <w:p w:rsidR="00675D1A" w:rsidRPr="00D531FD" w:rsidRDefault="00675D1A" w:rsidP="00675D1A">
      <w:pPr>
        <w:pStyle w:val="Sinespaciado"/>
        <w:rPr>
          <w:rFonts w:ascii="Times New Roman" w:hAnsi="Times New Roman"/>
          <w:sz w:val="24"/>
          <w:szCs w:val="24"/>
        </w:rPr>
      </w:pPr>
      <w:r w:rsidRPr="00D531FD">
        <w:rPr>
          <w:rFonts w:ascii="Times New Roman" w:hAnsi="Times New Roman"/>
          <w:sz w:val="24"/>
          <w:szCs w:val="24"/>
        </w:rPr>
        <w:t xml:space="preserve">     </w:t>
      </w:r>
      <w:r w:rsidRPr="00D531FD">
        <w:rPr>
          <w:rFonts w:ascii="Times New Roman" w:hAnsi="Times New Roman"/>
          <w:sz w:val="24"/>
          <w:szCs w:val="24"/>
        </w:rPr>
        <w:tab/>
      </w:r>
      <w:r w:rsidRPr="00D531FD">
        <w:rPr>
          <w:rFonts w:ascii="Times New Roman" w:hAnsi="Times New Roman"/>
          <w:sz w:val="24"/>
          <w:szCs w:val="24"/>
        </w:rPr>
        <w:tab/>
        <w:t xml:space="preserve">   </w:t>
      </w:r>
    </w:p>
    <w:p w:rsidR="00675D1A" w:rsidRDefault="00675D1A" w:rsidP="00675D1A">
      <w:pPr>
        <w:pStyle w:val="Sinespaciado"/>
        <w:rPr>
          <w:rFonts w:ascii="Times New Roman" w:hAnsi="Times New Roman"/>
          <w:sz w:val="10"/>
          <w:szCs w:val="24"/>
        </w:rPr>
      </w:pPr>
    </w:p>
    <w:p w:rsidR="002A1BBA" w:rsidRPr="006B6644" w:rsidRDefault="002A1BBA" w:rsidP="00675D1A">
      <w:pPr>
        <w:pStyle w:val="Sinespaciado"/>
        <w:rPr>
          <w:rFonts w:ascii="Times New Roman" w:hAnsi="Times New Roman"/>
          <w:sz w:val="10"/>
          <w:szCs w:val="24"/>
        </w:rPr>
      </w:pPr>
    </w:p>
    <w:p w:rsidR="00675D1A" w:rsidRPr="00D531FD" w:rsidRDefault="00584A67" w:rsidP="00675D1A">
      <w:pPr>
        <w:spacing w:line="360" w:lineRule="auto"/>
        <w:jc w:val="both"/>
        <w:rPr>
          <w:b/>
          <w:color w:val="000000"/>
          <w:sz w:val="30"/>
          <w:szCs w:val="30"/>
          <w:lang w:eastAsia="es-ES"/>
        </w:rPr>
      </w:pPr>
      <w:r>
        <w:rPr>
          <w:b/>
          <w:color w:val="000000"/>
          <w:sz w:val="30"/>
          <w:szCs w:val="30"/>
          <w:lang w:eastAsia="es-ES"/>
        </w:rPr>
        <w:t xml:space="preserve">Clima: </w:t>
      </w:r>
      <w:r w:rsidR="009E300B" w:rsidRPr="00D531FD">
        <w:rPr>
          <w:color w:val="000000"/>
          <w:lang w:eastAsia="es-ES"/>
        </w:rPr>
        <w:t>El</w:t>
      </w:r>
      <w:r w:rsidR="00675D1A" w:rsidRPr="00D531FD">
        <w:rPr>
          <w:color w:val="000000"/>
          <w:lang w:eastAsia="es-ES"/>
        </w:rPr>
        <w:t xml:space="preserve"> clima del Departamento de Quindío es muy variado, debido principalmente a factores como la latitud, altitud, orientación de los relieves montañosos, los vientos, etc. La distribución de las lluvias está condicionada a los desplazamientos de la Zona de Convergencia Intertropical (ZCIT), el relieve y la circulación atmosférica. La temperatura promedio oscila entre los 18º y 21°C aptas para el crecimiento del café en todas sus fases. Las tierras están comprendidas en los pisos términos templado, frío y bioclimático páramo.</w:t>
      </w:r>
    </w:p>
    <w:p w:rsidR="00675D1A" w:rsidRDefault="00675D1A" w:rsidP="00675D1A">
      <w:pPr>
        <w:spacing w:line="360" w:lineRule="auto"/>
        <w:jc w:val="both"/>
        <w:rPr>
          <w:color w:val="000000"/>
          <w:sz w:val="16"/>
          <w:lang w:eastAsia="es-ES"/>
        </w:rPr>
      </w:pPr>
    </w:p>
    <w:p w:rsidR="002A1BBA" w:rsidRPr="006B6644" w:rsidRDefault="002A1BBA" w:rsidP="00675D1A">
      <w:pPr>
        <w:spacing w:line="360" w:lineRule="auto"/>
        <w:jc w:val="both"/>
        <w:rPr>
          <w:color w:val="000000"/>
          <w:sz w:val="16"/>
          <w:lang w:eastAsia="es-ES"/>
        </w:rPr>
      </w:pPr>
    </w:p>
    <w:p w:rsidR="00675D1A" w:rsidRPr="00A42598" w:rsidRDefault="00A8553F" w:rsidP="00511642">
      <w:pPr>
        <w:pStyle w:val="Sinespaciado"/>
        <w:ind w:left="284"/>
        <w:rPr>
          <w:rFonts w:ascii="Times New Roman" w:hAnsi="Times New Roman"/>
          <w:color w:val="000000"/>
          <w:sz w:val="24"/>
          <w:szCs w:val="24"/>
          <w:lang w:eastAsia="es-ES"/>
        </w:rPr>
      </w:pPr>
      <w:r>
        <w:rPr>
          <w:rFonts w:ascii="Times New Roman" w:hAnsi="Times New Roman"/>
          <w:color w:val="000000"/>
          <w:sz w:val="24"/>
          <w:szCs w:val="24"/>
          <w:lang w:eastAsia="es-ES"/>
        </w:rPr>
        <w:t>Tabla</w:t>
      </w:r>
      <w:r w:rsidR="001B7190">
        <w:rPr>
          <w:rFonts w:ascii="Times New Roman" w:hAnsi="Times New Roman"/>
          <w:color w:val="000000"/>
          <w:sz w:val="24"/>
          <w:szCs w:val="24"/>
          <w:lang w:eastAsia="es-ES"/>
        </w:rPr>
        <w:t xml:space="preserve"> I</w:t>
      </w:r>
      <w:r w:rsidR="00675D1A" w:rsidRPr="00A42598">
        <w:rPr>
          <w:rFonts w:ascii="Times New Roman" w:hAnsi="Times New Roman"/>
          <w:color w:val="000000"/>
          <w:sz w:val="24"/>
          <w:szCs w:val="24"/>
          <w:lang w:eastAsia="es-ES"/>
        </w:rPr>
        <w:t>.3</w:t>
      </w:r>
    </w:p>
    <w:p w:rsidR="00675D1A" w:rsidRPr="00A42598" w:rsidRDefault="00675D1A" w:rsidP="00511642">
      <w:pPr>
        <w:pStyle w:val="Sinespaciado"/>
        <w:ind w:left="284"/>
        <w:jc w:val="left"/>
        <w:rPr>
          <w:rFonts w:ascii="Times New Roman" w:hAnsi="Times New Roman"/>
          <w:bCs/>
          <w:color w:val="000000"/>
          <w:sz w:val="24"/>
          <w:szCs w:val="20"/>
        </w:rPr>
      </w:pPr>
      <w:r w:rsidRPr="00A42598">
        <w:rPr>
          <w:rFonts w:ascii="Times New Roman" w:hAnsi="Times New Roman"/>
          <w:bCs/>
          <w:color w:val="000000"/>
          <w:sz w:val="24"/>
          <w:szCs w:val="20"/>
        </w:rPr>
        <w:t>Extensión geográfica municipios</w:t>
      </w:r>
    </w:p>
    <w:p w:rsidR="00D22718" w:rsidRPr="00A42598" w:rsidRDefault="00D22718" w:rsidP="00A42598">
      <w:pPr>
        <w:pStyle w:val="Sinespaciado"/>
        <w:rPr>
          <w:rFonts w:ascii="Times New Roman" w:hAnsi="Times New Roman"/>
          <w:b/>
          <w:bCs/>
          <w:color w:val="000000"/>
          <w:sz w:val="16"/>
          <w:szCs w:val="20"/>
        </w:rPr>
      </w:pPr>
    </w:p>
    <w:tbl>
      <w:tblPr>
        <w:tblW w:w="8450" w:type="dxa"/>
        <w:jc w:val="center"/>
        <w:tblCellMar>
          <w:left w:w="70" w:type="dxa"/>
          <w:right w:w="70" w:type="dxa"/>
        </w:tblCellMar>
        <w:tblLook w:val="04A0" w:firstRow="1" w:lastRow="0" w:firstColumn="1" w:lastColumn="0" w:noHBand="0" w:noVBand="1"/>
      </w:tblPr>
      <w:tblGrid>
        <w:gridCol w:w="1775"/>
        <w:gridCol w:w="1685"/>
        <w:gridCol w:w="1653"/>
        <w:gridCol w:w="1651"/>
        <w:gridCol w:w="1686"/>
      </w:tblGrid>
      <w:tr w:rsidR="00E45E32" w:rsidRPr="00D65FA7" w:rsidTr="00E45E32">
        <w:trPr>
          <w:trHeight w:val="753"/>
          <w:tblHeader/>
          <w:jc w:val="center"/>
        </w:trPr>
        <w:tc>
          <w:tcPr>
            <w:tcW w:w="1775" w:type="dxa"/>
            <w:tcBorders>
              <w:top w:val="single" w:sz="4" w:space="0" w:color="auto"/>
              <w:left w:val="nil"/>
              <w:bottom w:val="single" w:sz="4" w:space="0" w:color="auto"/>
              <w:right w:val="nil"/>
            </w:tcBorders>
            <w:shd w:val="clear" w:color="auto" w:fill="auto"/>
            <w:noWrap/>
            <w:vAlign w:val="center"/>
            <w:hideMark/>
          </w:tcPr>
          <w:p w:rsidR="00675D1A" w:rsidRPr="00D65FA7" w:rsidRDefault="00675D1A" w:rsidP="002C791A">
            <w:pPr>
              <w:jc w:val="center"/>
              <w:rPr>
                <w:b/>
                <w:bCs/>
                <w:color w:val="000000"/>
                <w:sz w:val="20"/>
                <w:szCs w:val="20"/>
              </w:rPr>
            </w:pPr>
            <w:r w:rsidRPr="00D65FA7">
              <w:rPr>
                <w:b/>
                <w:bCs/>
                <w:color w:val="000000"/>
                <w:sz w:val="20"/>
                <w:szCs w:val="20"/>
              </w:rPr>
              <w:t>Municipio</w:t>
            </w:r>
          </w:p>
        </w:tc>
        <w:tc>
          <w:tcPr>
            <w:tcW w:w="1685" w:type="dxa"/>
            <w:tcBorders>
              <w:top w:val="single" w:sz="4" w:space="0" w:color="auto"/>
              <w:left w:val="nil"/>
              <w:bottom w:val="single" w:sz="4" w:space="0" w:color="auto"/>
              <w:right w:val="nil"/>
            </w:tcBorders>
            <w:shd w:val="clear" w:color="auto" w:fill="auto"/>
            <w:vAlign w:val="center"/>
            <w:hideMark/>
          </w:tcPr>
          <w:p w:rsidR="00675D1A" w:rsidRPr="00D65FA7" w:rsidRDefault="00675D1A" w:rsidP="002C791A">
            <w:pPr>
              <w:jc w:val="center"/>
              <w:rPr>
                <w:b/>
                <w:bCs/>
                <w:color w:val="000000"/>
                <w:sz w:val="20"/>
                <w:szCs w:val="20"/>
              </w:rPr>
            </w:pPr>
            <w:r w:rsidRPr="00D65FA7">
              <w:rPr>
                <w:b/>
                <w:bCs/>
                <w:color w:val="000000"/>
                <w:sz w:val="20"/>
                <w:szCs w:val="20"/>
              </w:rPr>
              <w:t>Extensión Total Km2</w:t>
            </w:r>
          </w:p>
        </w:tc>
        <w:tc>
          <w:tcPr>
            <w:tcW w:w="1653" w:type="dxa"/>
            <w:tcBorders>
              <w:top w:val="single" w:sz="4" w:space="0" w:color="auto"/>
              <w:left w:val="nil"/>
              <w:bottom w:val="single" w:sz="4" w:space="0" w:color="auto"/>
              <w:right w:val="nil"/>
            </w:tcBorders>
            <w:shd w:val="clear" w:color="auto" w:fill="auto"/>
            <w:vAlign w:val="center"/>
            <w:hideMark/>
          </w:tcPr>
          <w:p w:rsidR="00675D1A" w:rsidRPr="00D65FA7" w:rsidRDefault="00675D1A" w:rsidP="002C791A">
            <w:pPr>
              <w:jc w:val="center"/>
              <w:rPr>
                <w:b/>
                <w:bCs/>
                <w:color w:val="000000"/>
                <w:sz w:val="20"/>
                <w:szCs w:val="20"/>
              </w:rPr>
            </w:pPr>
            <w:r w:rsidRPr="00D65FA7">
              <w:rPr>
                <w:b/>
                <w:bCs/>
                <w:color w:val="000000"/>
                <w:sz w:val="20"/>
                <w:szCs w:val="20"/>
              </w:rPr>
              <w:t>Área Total Casco Urbano Km2</w:t>
            </w:r>
          </w:p>
        </w:tc>
        <w:tc>
          <w:tcPr>
            <w:tcW w:w="1651" w:type="dxa"/>
            <w:tcBorders>
              <w:top w:val="single" w:sz="4" w:space="0" w:color="auto"/>
              <w:left w:val="nil"/>
              <w:bottom w:val="single" w:sz="4" w:space="0" w:color="auto"/>
              <w:right w:val="nil"/>
            </w:tcBorders>
            <w:shd w:val="clear" w:color="auto" w:fill="auto"/>
            <w:vAlign w:val="center"/>
            <w:hideMark/>
          </w:tcPr>
          <w:p w:rsidR="00675D1A" w:rsidRPr="00D65FA7" w:rsidRDefault="00675D1A" w:rsidP="002C791A">
            <w:pPr>
              <w:rPr>
                <w:b/>
                <w:bCs/>
                <w:color w:val="000000"/>
                <w:sz w:val="20"/>
                <w:szCs w:val="20"/>
              </w:rPr>
            </w:pPr>
            <w:r w:rsidRPr="00D65FA7">
              <w:rPr>
                <w:b/>
                <w:bCs/>
                <w:color w:val="000000"/>
                <w:sz w:val="20"/>
                <w:szCs w:val="20"/>
              </w:rPr>
              <w:t>Área Total Rural Km2</w:t>
            </w:r>
          </w:p>
        </w:tc>
        <w:tc>
          <w:tcPr>
            <w:tcW w:w="1686" w:type="dxa"/>
            <w:tcBorders>
              <w:top w:val="single" w:sz="4" w:space="0" w:color="auto"/>
              <w:left w:val="nil"/>
              <w:bottom w:val="single" w:sz="4" w:space="0" w:color="auto"/>
              <w:right w:val="nil"/>
            </w:tcBorders>
            <w:shd w:val="clear" w:color="auto" w:fill="auto"/>
            <w:vAlign w:val="center"/>
            <w:hideMark/>
          </w:tcPr>
          <w:p w:rsidR="00675D1A" w:rsidRPr="00D65FA7" w:rsidRDefault="00675D1A" w:rsidP="0025508C">
            <w:pPr>
              <w:jc w:val="center"/>
              <w:rPr>
                <w:b/>
                <w:bCs/>
                <w:color w:val="000000"/>
                <w:sz w:val="20"/>
                <w:szCs w:val="20"/>
              </w:rPr>
            </w:pPr>
            <w:r w:rsidRPr="00D65FA7">
              <w:rPr>
                <w:b/>
                <w:bCs/>
                <w:color w:val="000000"/>
                <w:sz w:val="20"/>
                <w:szCs w:val="20"/>
              </w:rPr>
              <w:t xml:space="preserve">Población </w:t>
            </w:r>
            <w:proofErr w:type="spellStart"/>
            <w:r w:rsidRPr="00D65FA7">
              <w:rPr>
                <w:b/>
                <w:bCs/>
                <w:color w:val="000000"/>
                <w:sz w:val="20"/>
                <w:szCs w:val="20"/>
              </w:rPr>
              <w:t>hab</w:t>
            </w:r>
            <w:proofErr w:type="spellEnd"/>
            <w:r w:rsidRPr="00D65FA7">
              <w:rPr>
                <w:b/>
                <w:bCs/>
                <w:color w:val="000000"/>
                <w:sz w:val="20"/>
                <w:szCs w:val="20"/>
              </w:rPr>
              <w:t xml:space="preserve"> Km 2</w:t>
            </w:r>
          </w:p>
        </w:tc>
      </w:tr>
      <w:tr w:rsidR="00E45E32" w:rsidRPr="00D65FA7" w:rsidTr="00E45E32">
        <w:trPr>
          <w:trHeight w:val="443"/>
          <w:jc w:val="center"/>
        </w:trPr>
        <w:tc>
          <w:tcPr>
            <w:tcW w:w="1775"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Armenia</w:t>
            </w:r>
          </w:p>
        </w:tc>
        <w:tc>
          <w:tcPr>
            <w:tcW w:w="1685"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121,33</w:t>
            </w:r>
          </w:p>
        </w:tc>
        <w:tc>
          <w:tcPr>
            <w:tcW w:w="1653"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22,53</w:t>
            </w:r>
          </w:p>
        </w:tc>
        <w:tc>
          <w:tcPr>
            <w:tcW w:w="1651"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98,8</w:t>
            </w:r>
          </w:p>
        </w:tc>
        <w:tc>
          <w:tcPr>
            <w:tcW w:w="1686"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2.394,13</w:t>
            </w:r>
          </w:p>
        </w:tc>
      </w:tr>
      <w:tr w:rsidR="00E45E32" w:rsidRPr="00D65FA7" w:rsidTr="00E45E32">
        <w:trPr>
          <w:trHeight w:val="236"/>
          <w:jc w:val="center"/>
        </w:trPr>
        <w:tc>
          <w:tcPr>
            <w:tcW w:w="1775"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Buenavista</w:t>
            </w:r>
          </w:p>
        </w:tc>
        <w:tc>
          <w:tcPr>
            <w:tcW w:w="1685"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41,12</w:t>
            </w:r>
          </w:p>
        </w:tc>
        <w:tc>
          <w:tcPr>
            <w:tcW w:w="1653"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0,14</w:t>
            </w:r>
          </w:p>
        </w:tc>
        <w:tc>
          <w:tcPr>
            <w:tcW w:w="1651"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40,98</w:t>
            </w:r>
          </w:p>
        </w:tc>
        <w:tc>
          <w:tcPr>
            <w:tcW w:w="1686"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71,3</w:t>
            </w:r>
          </w:p>
        </w:tc>
      </w:tr>
      <w:tr w:rsidR="00E45E32" w:rsidRPr="00D65FA7" w:rsidTr="00E45E32">
        <w:trPr>
          <w:trHeight w:val="220"/>
          <w:jc w:val="center"/>
        </w:trPr>
        <w:tc>
          <w:tcPr>
            <w:tcW w:w="1775"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Calarcá</w:t>
            </w:r>
          </w:p>
        </w:tc>
        <w:tc>
          <w:tcPr>
            <w:tcW w:w="1685"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219,23</w:t>
            </w:r>
          </w:p>
        </w:tc>
        <w:tc>
          <w:tcPr>
            <w:tcW w:w="1653"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2,44</w:t>
            </w:r>
          </w:p>
        </w:tc>
        <w:tc>
          <w:tcPr>
            <w:tcW w:w="1651"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216,79</w:t>
            </w:r>
          </w:p>
        </w:tc>
        <w:tc>
          <w:tcPr>
            <w:tcW w:w="1686"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346,77</w:t>
            </w:r>
          </w:p>
        </w:tc>
      </w:tr>
      <w:tr w:rsidR="00E45E32" w:rsidRPr="00D65FA7" w:rsidTr="00E45E32">
        <w:trPr>
          <w:trHeight w:val="228"/>
          <w:jc w:val="center"/>
        </w:trPr>
        <w:tc>
          <w:tcPr>
            <w:tcW w:w="1775"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Circasia</w:t>
            </w:r>
          </w:p>
        </w:tc>
        <w:tc>
          <w:tcPr>
            <w:tcW w:w="1685"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91,37</w:t>
            </w:r>
          </w:p>
        </w:tc>
        <w:tc>
          <w:tcPr>
            <w:tcW w:w="1653"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1,7</w:t>
            </w:r>
          </w:p>
        </w:tc>
        <w:tc>
          <w:tcPr>
            <w:tcW w:w="1651"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89,67</w:t>
            </w:r>
          </w:p>
        </w:tc>
        <w:tc>
          <w:tcPr>
            <w:tcW w:w="1686"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316,35</w:t>
            </w:r>
          </w:p>
        </w:tc>
      </w:tr>
      <w:tr w:rsidR="00E45E32" w:rsidRPr="00D65FA7" w:rsidTr="00E45E32">
        <w:trPr>
          <w:trHeight w:val="232"/>
          <w:jc w:val="center"/>
        </w:trPr>
        <w:tc>
          <w:tcPr>
            <w:tcW w:w="1775"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Córdoba</w:t>
            </w:r>
          </w:p>
        </w:tc>
        <w:tc>
          <w:tcPr>
            <w:tcW w:w="1685"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97,95</w:t>
            </w:r>
          </w:p>
        </w:tc>
        <w:tc>
          <w:tcPr>
            <w:tcW w:w="1653"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0,29</w:t>
            </w:r>
          </w:p>
        </w:tc>
        <w:tc>
          <w:tcPr>
            <w:tcW w:w="1651"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97,66</w:t>
            </w:r>
          </w:p>
        </w:tc>
        <w:tc>
          <w:tcPr>
            <w:tcW w:w="1686"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54,62</w:t>
            </w:r>
          </w:p>
        </w:tc>
      </w:tr>
      <w:tr w:rsidR="00E45E32" w:rsidRPr="00D65FA7" w:rsidTr="00E45E32">
        <w:trPr>
          <w:trHeight w:val="218"/>
          <w:jc w:val="center"/>
        </w:trPr>
        <w:tc>
          <w:tcPr>
            <w:tcW w:w="1775"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Filandia</w:t>
            </w:r>
          </w:p>
        </w:tc>
        <w:tc>
          <w:tcPr>
            <w:tcW w:w="1685"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109,4</w:t>
            </w:r>
          </w:p>
        </w:tc>
        <w:tc>
          <w:tcPr>
            <w:tcW w:w="1653"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0,8</w:t>
            </w:r>
          </w:p>
        </w:tc>
        <w:tc>
          <w:tcPr>
            <w:tcW w:w="1651"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108,6</w:t>
            </w:r>
          </w:p>
        </w:tc>
        <w:tc>
          <w:tcPr>
            <w:tcW w:w="1686"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120,78</w:t>
            </w:r>
          </w:p>
        </w:tc>
      </w:tr>
      <w:tr w:rsidR="00E45E32" w:rsidRPr="00D65FA7" w:rsidTr="00E45E32">
        <w:trPr>
          <w:trHeight w:val="126"/>
          <w:jc w:val="center"/>
        </w:trPr>
        <w:tc>
          <w:tcPr>
            <w:tcW w:w="1775"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Génova</w:t>
            </w:r>
          </w:p>
        </w:tc>
        <w:tc>
          <w:tcPr>
            <w:tcW w:w="1685"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297,89</w:t>
            </w:r>
          </w:p>
        </w:tc>
        <w:tc>
          <w:tcPr>
            <w:tcW w:w="1653"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0,55</w:t>
            </w:r>
          </w:p>
        </w:tc>
        <w:tc>
          <w:tcPr>
            <w:tcW w:w="1651"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297,34</w:t>
            </w:r>
          </w:p>
        </w:tc>
        <w:tc>
          <w:tcPr>
            <w:tcW w:w="1686"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28,66</w:t>
            </w:r>
          </w:p>
        </w:tc>
      </w:tr>
      <w:tr w:rsidR="00E45E32" w:rsidRPr="00D65FA7" w:rsidTr="00E45E32">
        <w:trPr>
          <w:trHeight w:val="172"/>
          <w:jc w:val="center"/>
        </w:trPr>
        <w:tc>
          <w:tcPr>
            <w:tcW w:w="1775"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La Tebaida</w:t>
            </w:r>
          </w:p>
        </w:tc>
        <w:tc>
          <w:tcPr>
            <w:tcW w:w="1685"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89,18</w:t>
            </w:r>
          </w:p>
        </w:tc>
        <w:tc>
          <w:tcPr>
            <w:tcW w:w="1653"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1,5</w:t>
            </w:r>
          </w:p>
        </w:tc>
        <w:tc>
          <w:tcPr>
            <w:tcW w:w="1651"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87,68</w:t>
            </w:r>
          </w:p>
        </w:tc>
        <w:tc>
          <w:tcPr>
            <w:tcW w:w="1686"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430,89</w:t>
            </w:r>
          </w:p>
        </w:tc>
      </w:tr>
      <w:tr w:rsidR="00E45E32" w:rsidRPr="00D65FA7" w:rsidTr="00E45E32">
        <w:trPr>
          <w:trHeight w:val="253"/>
          <w:jc w:val="center"/>
        </w:trPr>
        <w:tc>
          <w:tcPr>
            <w:tcW w:w="1775"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Montenegro</w:t>
            </w:r>
          </w:p>
        </w:tc>
        <w:tc>
          <w:tcPr>
            <w:tcW w:w="1685"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148,92</w:t>
            </w:r>
          </w:p>
        </w:tc>
        <w:tc>
          <w:tcPr>
            <w:tcW w:w="1653"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1,8</w:t>
            </w:r>
          </w:p>
        </w:tc>
        <w:tc>
          <w:tcPr>
            <w:tcW w:w="1651"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147,12</w:t>
            </w:r>
          </w:p>
        </w:tc>
        <w:tc>
          <w:tcPr>
            <w:tcW w:w="1686"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273,48</w:t>
            </w:r>
          </w:p>
        </w:tc>
      </w:tr>
      <w:tr w:rsidR="00E45E32" w:rsidRPr="00D65FA7" w:rsidTr="00E45E32">
        <w:trPr>
          <w:trHeight w:val="316"/>
          <w:jc w:val="center"/>
        </w:trPr>
        <w:tc>
          <w:tcPr>
            <w:tcW w:w="1775" w:type="dxa"/>
            <w:tcBorders>
              <w:top w:val="nil"/>
              <w:left w:val="nil"/>
              <w:bottom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Pijao</w:t>
            </w:r>
          </w:p>
        </w:tc>
        <w:tc>
          <w:tcPr>
            <w:tcW w:w="1685"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243,12</w:t>
            </w:r>
          </w:p>
        </w:tc>
        <w:tc>
          <w:tcPr>
            <w:tcW w:w="1653"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0,58</w:t>
            </w:r>
          </w:p>
        </w:tc>
        <w:tc>
          <w:tcPr>
            <w:tcW w:w="1651"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242,54</w:t>
            </w:r>
          </w:p>
        </w:tc>
        <w:tc>
          <w:tcPr>
            <w:tcW w:w="1686" w:type="dxa"/>
            <w:tcBorders>
              <w:top w:val="nil"/>
              <w:left w:val="nil"/>
              <w:bottom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26,16</w:t>
            </w:r>
          </w:p>
        </w:tc>
      </w:tr>
      <w:tr w:rsidR="00E45E32" w:rsidRPr="00D65FA7" w:rsidTr="00E45E32">
        <w:trPr>
          <w:trHeight w:val="220"/>
          <w:jc w:val="center"/>
        </w:trPr>
        <w:tc>
          <w:tcPr>
            <w:tcW w:w="1775" w:type="dxa"/>
            <w:tcBorders>
              <w:top w:val="nil"/>
              <w:left w:val="nil"/>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Quimbaya</w:t>
            </w:r>
          </w:p>
        </w:tc>
        <w:tc>
          <w:tcPr>
            <w:tcW w:w="1685" w:type="dxa"/>
            <w:tcBorders>
              <w:top w:val="nil"/>
              <w:left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126,69</w:t>
            </w:r>
          </w:p>
        </w:tc>
        <w:tc>
          <w:tcPr>
            <w:tcW w:w="1653" w:type="dxa"/>
            <w:tcBorders>
              <w:top w:val="nil"/>
              <w:left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2,21</w:t>
            </w:r>
          </w:p>
        </w:tc>
        <w:tc>
          <w:tcPr>
            <w:tcW w:w="1651" w:type="dxa"/>
            <w:tcBorders>
              <w:top w:val="nil"/>
              <w:left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124,48</w:t>
            </w:r>
          </w:p>
        </w:tc>
        <w:tc>
          <w:tcPr>
            <w:tcW w:w="1686" w:type="dxa"/>
            <w:tcBorders>
              <w:top w:val="nil"/>
              <w:left w:val="nil"/>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273,12</w:t>
            </w:r>
          </w:p>
        </w:tc>
      </w:tr>
      <w:tr w:rsidR="00E45E32" w:rsidRPr="00D65FA7" w:rsidTr="00E45E32">
        <w:trPr>
          <w:trHeight w:val="340"/>
          <w:jc w:val="center"/>
        </w:trPr>
        <w:tc>
          <w:tcPr>
            <w:tcW w:w="1775" w:type="dxa"/>
            <w:tcBorders>
              <w:top w:val="nil"/>
              <w:left w:val="nil"/>
              <w:bottom w:val="single" w:sz="4" w:space="0" w:color="auto"/>
              <w:right w:val="nil"/>
            </w:tcBorders>
            <w:shd w:val="clear" w:color="auto" w:fill="auto"/>
            <w:noWrap/>
            <w:vAlign w:val="bottom"/>
            <w:hideMark/>
          </w:tcPr>
          <w:p w:rsidR="00675D1A" w:rsidRPr="00D65FA7" w:rsidRDefault="00675D1A" w:rsidP="002C791A">
            <w:pPr>
              <w:rPr>
                <w:color w:val="000000"/>
                <w:sz w:val="20"/>
                <w:szCs w:val="20"/>
              </w:rPr>
            </w:pPr>
            <w:r w:rsidRPr="00D65FA7">
              <w:rPr>
                <w:color w:val="000000"/>
                <w:sz w:val="20"/>
                <w:szCs w:val="20"/>
              </w:rPr>
              <w:t>Salento</w:t>
            </w:r>
          </w:p>
        </w:tc>
        <w:tc>
          <w:tcPr>
            <w:tcW w:w="1685" w:type="dxa"/>
            <w:tcBorders>
              <w:top w:val="nil"/>
              <w:left w:val="nil"/>
              <w:bottom w:val="single" w:sz="4" w:space="0" w:color="auto"/>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375,63</w:t>
            </w:r>
          </w:p>
        </w:tc>
        <w:tc>
          <w:tcPr>
            <w:tcW w:w="1653" w:type="dxa"/>
            <w:tcBorders>
              <w:top w:val="nil"/>
              <w:left w:val="nil"/>
              <w:bottom w:val="single" w:sz="4" w:space="0" w:color="auto"/>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0,6</w:t>
            </w:r>
          </w:p>
        </w:tc>
        <w:tc>
          <w:tcPr>
            <w:tcW w:w="1651" w:type="dxa"/>
            <w:tcBorders>
              <w:top w:val="nil"/>
              <w:left w:val="nil"/>
              <w:bottom w:val="single" w:sz="4" w:space="0" w:color="auto"/>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375,03</w:t>
            </w:r>
          </w:p>
        </w:tc>
        <w:tc>
          <w:tcPr>
            <w:tcW w:w="1686" w:type="dxa"/>
            <w:tcBorders>
              <w:top w:val="nil"/>
              <w:left w:val="nil"/>
              <w:bottom w:val="single" w:sz="4" w:space="0" w:color="auto"/>
              <w:right w:val="nil"/>
            </w:tcBorders>
            <w:shd w:val="clear" w:color="auto" w:fill="auto"/>
            <w:vAlign w:val="bottom"/>
            <w:hideMark/>
          </w:tcPr>
          <w:p w:rsidR="00675D1A" w:rsidRPr="00D65FA7" w:rsidRDefault="00675D1A" w:rsidP="002C791A">
            <w:pPr>
              <w:jc w:val="center"/>
              <w:rPr>
                <w:color w:val="000000"/>
                <w:sz w:val="20"/>
                <w:szCs w:val="20"/>
              </w:rPr>
            </w:pPr>
            <w:r w:rsidRPr="00D65FA7">
              <w:rPr>
                <w:color w:val="000000"/>
                <w:sz w:val="20"/>
                <w:szCs w:val="20"/>
              </w:rPr>
              <w:t>19,03</w:t>
            </w:r>
          </w:p>
        </w:tc>
      </w:tr>
    </w:tbl>
    <w:p w:rsidR="009E300B" w:rsidRPr="00D531FD" w:rsidRDefault="00315672" w:rsidP="00315672">
      <w:pPr>
        <w:pStyle w:val="Sinespaciado"/>
        <w:jc w:val="left"/>
        <w:rPr>
          <w:rFonts w:ascii="Times New Roman" w:hAnsi="Times New Roman"/>
          <w:sz w:val="24"/>
          <w:szCs w:val="24"/>
        </w:rPr>
      </w:pPr>
      <w:r>
        <w:rPr>
          <w:color w:val="000000"/>
          <w:sz w:val="16"/>
          <w:szCs w:val="16"/>
        </w:rPr>
        <w:t xml:space="preserve">      </w:t>
      </w:r>
      <w:r w:rsidR="00A42598" w:rsidRPr="00A42598">
        <w:rPr>
          <w:color w:val="000000"/>
          <w:sz w:val="16"/>
          <w:szCs w:val="16"/>
        </w:rPr>
        <w:t>Fuente: IGAC</w:t>
      </w:r>
    </w:p>
    <w:p w:rsidR="002A1BBA" w:rsidRDefault="002A1BBA" w:rsidP="00511642">
      <w:pPr>
        <w:pStyle w:val="Sinespaciado"/>
        <w:ind w:left="397"/>
        <w:jc w:val="left"/>
        <w:rPr>
          <w:rFonts w:ascii="Times New Roman" w:hAnsi="Times New Roman"/>
          <w:sz w:val="24"/>
          <w:szCs w:val="24"/>
        </w:rPr>
      </w:pPr>
    </w:p>
    <w:p w:rsidR="002A1BBA" w:rsidRDefault="002A1BBA" w:rsidP="00511642">
      <w:pPr>
        <w:pStyle w:val="Sinespaciado"/>
        <w:ind w:left="397"/>
        <w:jc w:val="left"/>
        <w:rPr>
          <w:rFonts w:ascii="Times New Roman" w:hAnsi="Times New Roman"/>
          <w:sz w:val="24"/>
          <w:szCs w:val="24"/>
        </w:rPr>
      </w:pPr>
    </w:p>
    <w:p w:rsidR="002A1BBA" w:rsidRDefault="002A1BBA" w:rsidP="00511642">
      <w:pPr>
        <w:pStyle w:val="Sinespaciado"/>
        <w:ind w:left="397"/>
        <w:jc w:val="left"/>
        <w:rPr>
          <w:rFonts w:ascii="Times New Roman" w:hAnsi="Times New Roman"/>
          <w:sz w:val="24"/>
          <w:szCs w:val="24"/>
        </w:rPr>
      </w:pPr>
    </w:p>
    <w:p w:rsidR="00675D1A" w:rsidRPr="00D531FD" w:rsidRDefault="001B7190" w:rsidP="00511642">
      <w:pPr>
        <w:pStyle w:val="Sinespaciado"/>
        <w:ind w:left="397"/>
        <w:jc w:val="left"/>
        <w:rPr>
          <w:rFonts w:ascii="Times New Roman" w:hAnsi="Times New Roman"/>
          <w:sz w:val="24"/>
          <w:szCs w:val="24"/>
        </w:rPr>
      </w:pPr>
      <w:r>
        <w:rPr>
          <w:rFonts w:ascii="Times New Roman" w:hAnsi="Times New Roman"/>
          <w:sz w:val="24"/>
          <w:szCs w:val="24"/>
        </w:rPr>
        <w:lastRenderedPageBreak/>
        <w:t>Gráfico I</w:t>
      </w:r>
      <w:r w:rsidR="00675D1A" w:rsidRPr="00D531FD">
        <w:rPr>
          <w:rFonts w:ascii="Times New Roman" w:hAnsi="Times New Roman"/>
          <w:sz w:val="24"/>
          <w:szCs w:val="24"/>
        </w:rPr>
        <w:t>.1</w:t>
      </w:r>
    </w:p>
    <w:p w:rsidR="00675D1A" w:rsidRPr="00511642" w:rsidRDefault="00675D1A" w:rsidP="00511642">
      <w:pPr>
        <w:pStyle w:val="Sinespaciado"/>
        <w:ind w:left="397"/>
        <w:jc w:val="left"/>
        <w:rPr>
          <w:rFonts w:ascii="Times New Roman" w:hAnsi="Times New Roman"/>
          <w:sz w:val="24"/>
          <w:szCs w:val="24"/>
        </w:rPr>
      </w:pPr>
      <w:r w:rsidRPr="00511642">
        <w:rPr>
          <w:rFonts w:ascii="Times New Roman" w:hAnsi="Times New Roman"/>
          <w:sz w:val="24"/>
          <w:szCs w:val="24"/>
        </w:rPr>
        <w:t>División político administrativa del departamento del Quindío</w:t>
      </w:r>
    </w:p>
    <w:p w:rsidR="00675D1A" w:rsidRPr="00D531FD" w:rsidRDefault="00A8553F" w:rsidP="00675D1A">
      <w:pPr>
        <w:spacing w:line="360" w:lineRule="auto"/>
        <w:jc w:val="center"/>
      </w:pPr>
      <w:r>
        <w:rPr>
          <w:noProof/>
        </w:rPr>
        <w:drawing>
          <wp:inline distT="0" distB="0" distL="0" distR="0">
            <wp:extent cx="5612130" cy="7262756"/>
            <wp:effectExtent l="0" t="0" r="7620" b="0"/>
            <wp:docPr id="1" name="Imagen 1" descr="E:\OBSERVATORIO ECONÓMICO\ANUARIO ESTADÍSTICO\VIGENCIA 2013\ANUARIO ESTADÍSTICO 2013\INFORME\MPA OBSERVATORIO DEPARTA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BSERVATORIO ECONÓMICO\ANUARIO ESTADÍSTICO\VIGENCIA 2013\ANUARIO ESTADÍSTICO 2013\INFORME\MPA OBSERVATORIO DEPARTAMENT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675D1A" w:rsidRPr="00A91345" w:rsidRDefault="00A91345" w:rsidP="00315672">
      <w:pPr>
        <w:spacing w:line="360" w:lineRule="auto"/>
        <w:ind w:firstLine="708"/>
        <w:rPr>
          <w:sz w:val="16"/>
          <w:szCs w:val="16"/>
        </w:rPr>
      </w:pPr>
      <w:r w:rsidRPr="00A91345">
        <w:rPr>
          <w:sz w:val="16"/>
          <w:szCs w:val="16"/>
        </w:rPr>
        <w:t>Fuente: Sistema de Información Geográfica – SIG - Quindío</w:t>
      </w:r>
    </w:p>
    <w:p w:rsidR="00675D1A" w:rsidRPr="00D531FD" w:rsidRDefault="00002051" w:rsidP="00675D1A">
      <w:pPr>
        <w:spacing w:line="360" w:lineRule="auto"/>
      </w:pPr>
      <w:r>
        <w:rPr>
          <w:noProof/>
        </w:rPr>
        <w:lastRenderedPageBreak/>
        <w:drawing>
          <wp:anchor distT="0" distB="0" distL="114300" distR="114300" simplePos="0" relativeHeight="251705344" behindDoc="0" locked="0" layoutInCell="1" allowOverlap="0" wp14:anchorId="533A7F94" wp14:editId="063D39F8">
            <wp:simplePos x="0" y="0"/>
            <wp:positionH relativeFrom="page">
              <wp:posOffset>57150</wp:posOffset>
            </wp:positionH>
            <wp:positionV relativeFrom="page">
              <wp:posOffset>38100</wp:posOffset>
            </wp:positionV>
            <wp:extent cx="7720330" cy="10030460"/>
            <wp:effectExtent l="0" t="0" r="0" b="8890"/>
            <wp:wrapNone/>
            <wp:docPr id="4149" name="Picture 4149"/>
            <wp:cNvGraphicFramePr/>
            <a:graphic xmlns:a="http://schemas.openxmlformats.org/drawingml/2006/main">
              <a:graphicData uri="http://schemas.openxmlformats.org/drawingml/2006/picture">
                <pic:pic xmlns:pic="http://schemas.openxmlformats.org/drawingml/2006/picture">
                  <pic:nvPicPr>
                    <pic:cNvPr id="4149" name="Picture 4149"/>
                    <pic:cNvPicPr/>
                  </pic:nvPicPr>
                  <pic:blipFill>
                    <a:blip r:embed="rId15"/>
                    <a:stretch>
                      <a:fillRect/>
                    </a:stretch>
                  </pic:blipFill>
                  <pic:spPr>
                    <a:xfrm>
                      <a:off x="0" y="0"/>
                      <a:ext cx="7720330" cy="10030460"/>
                    </a:xfrm>
                    <a:prstGeom prst="rect">
                      <a:avLst/>
                    </a:prstGeom>
                  </pic:spPr>
                </pic:pic>
              </a:graphicData>
            </a:graphic>
          </wp:anchor>
        </w:drawing>
      </w: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D531FD" w:rsidRDefault="00675D1A" w:rsidP="00675D1A">
      <w:pPr>
        <w:spacing w:line="360" w:lineRule="auto"/>
      </w:pPr>
    </w:p>
    <w:p w:rsidR="00675D1A" w:rsidRPr="00356EA1" w:rsidRDefault="00675D1A" w:rsidP="009B398C">
      <w:pPr>
        <w:pStyle w:val="Ttulo1"/>
        <w:numPr>
          <w:ilvl w:val="0"/>
          <w:numId w:val="2"/>
        </w:numPr>
        <w:jc w:val="both"/>
        <w:rPr>
          <w:rFonts w:ascii="Times New Roman" w:hAnsi="Times New Roman"/>
        </w:rPr>
      </w:pPr>
      <w:bookmarkStart w:id="4" w:name="_Toc270655847"/>
      <w:bookmarkStart w:id="5" w:name="_Toc406754272"/>
      <w:r w:rsidRPr="00356EA1">
        <w:rPr>
          <w:rFonts w:ascii="Times New Roman" w:hAnsi="Times New Roman"/>
        </w:rPr>
        <w:t>Indicadores Sociales: Población, Pobreza y Desigualdad.</w:t>
      </w:r>
      <w:bookmarkEnd w:id="4"/>
      <w:bookmarkEnd w:id="5"/>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675D1A" w:rsidRPr="00D531FD" w:rsidRDefault="00675D1A" w:rsidP="00675D1A">
      <w:pPr>
        <w:rPr>
          <w:lang w:val="es-ES"/>
        </w:rPr>
      </w:pPr>
    </w:p>
    <w:p w:rsidR="00897978" w:rsidRDefault="00897978">
      <w:pPr>
        <w:spacing w:after="200" w:line="276" w:lineRule="auto"/>
        <w:rPr>
          <w:lang w:val="es-ES"/>
        </w:rPr>
      </w:pPr>
      <w:r>
        <w:rPr>
          <w:lang w:val="es-ES"/>
        </w:rPr>
        <w:br w:type="page"/>
      </w:r>
    </w:p>
    <w:p w:rsidR="00675D1A" w:rsidRPr="005A4ECF" w:rsidRDefault="00535F7A" w:rsidP="005A4ECF">
      <w:pPr>
        <w:pStyle w:val="Ttulo2"/>
        <w:rPr>
          <w:color w:val="auto"/>
          <w:sz w:val="30"/>
          <w:szCs w:val="30"/>
        </w:rPr>
      </w:pPr>
      <w:bookmarkStart w:id="6" w:name="_Toc406754273"/>
      <w:r w:rsidRPr="005A4ECF">
        <w:rPr>
          <w:color w:val="auto"/>
          <w:sz w:val="30"/>
          <w:szCs w:val="30"/>
        </w:rPr>
        <w:lastRenderedPageBreak/>
        <w:t>1.</w:t>
      </w:r>
      <w:r w:rsidR="005A4ECF">
        <w:rPr>
          <w:color w:val="auto"/>
          <w:sz w:val="30"/>
          <w:szCs w:val="30"/>
        </w:rPr>
        <w:t>1  Población</w:t>
      </w:r>
      <w:bookmarkEnd w:id="6"/>
    </w:p>
    <w:p w:rsidR="00675D1A" w:rsidRPr="00D531FD" w:rsidRDefault="00675D1A" w:rsidP="00675D1A">
      <w:pPr>
        <w:pStyle w:val="Sinespaciado"/>
        <w:rPr>
          <w:rFonts w:ascii="Times New Roman" w:hAnsi="Times New Roman"/>
          <w:color w:val="FF0000"/>
          <w:sz w:val="24"/>
          <w:szCs w:val="24"/>
        </w:rPr>
      </w:pPr>
    </w:p>
    <w:p w:rsidR="00675D1A" w:rsidRPr="00D531FD" w:rsidRDefault="00675D1A" w:rsidP="00675D1A">
      <w:pPr>
        <w:pStyle w:val="Sinespaciado"/>
        <w:spacing w:line="360" w:lineRule="auto"/>
        <w:rPr>
          <w:rFonts w:ascii="Times New Roman" w:hAnsi="Times New Roman"/>
          <w:sz w:val="24"/>
          <w:szCs w:val="24"/>
        </w:rPr>
      </w:pPr>
      <w:r w:rsidRPr="00D531FD">
        <w:rPr>
          <w:rFonts w:ascii="Times New Roman" w:hAnsi="Times New Roman"/>
          <w:sz w:val="24"/>
          <w:szCs w:val="24"/>
        </w:rPr>
        <w:t xml:space="preserve">     De acuerdo con las cifras del Censo General del </w:t>
      </w:r>
      <w:r w:rsidR="008F5FB2">
        <w:rPr>
          <w:rFonts w:ascii="Times New Roman" w:hAnsi="Times New Roman"/>
          <w:sz w:val="24"/>
          <w:szCs w:val="24"/>
        </w:rPr>
        <w:t>DANE</w:t>
      </w:r>
      <w:r w:rsidRPr="00D531FD">
        <w:rPr>
          <w:rFonts w:ascii="Times New Roman" w:hAnsi="Times New Roman"/>
          <w:sz w:val="24"/>
          <w:szCs w:val="24"/>
        </w:rPr>
        <w:t xml:space="preserve"> en el 2005</w:t>
      </w:r>
      <w:r w:rsidR="00506446" w:rsidRPr="00D531FD">
        <w:rPr>
          <w:rStyle w:val="Refdenotaalpie"/>
          <w:rFonts w:ascii="Times New Roman" w:hAnsi="Times New Roman"/>
          <w:sz w:val="24"/>
          <w:szCs w:val="24"/>
        </w:rPr>
        <w:footnoteReference w:id="2"/>
      </w:r>
      <w:r w:rsidRPr="00D531FD">
        <w:rPr>
          <w:rFonts w:ascii="Times New Roman" w:hAnsi="Times New Roman"/>
          <w:sz w:val="24"/>
          <w:szCs w:val="24"/>
        </w:rPr>
        <w:t>, el departamento del Quindío se</w:t>
      </w:r>
      <w:r w:rsidR="00564568">
        <w:rPr>
          <w:rFonts w:ascii="Times New Roman" w:hAnsi="Times New Roman"/>
          <w:sz w:val="24"/>
          <w:szCs w:val="24"/>
        </w:rPr>
        <w:t xml:space="preserve"> conforma por una población de </w:t>
      </w:r>
      <w:r w:rsidRPr="00D531FD">
        <w:rPr>
          <w:rFonts w:ascii="Times New Roman" w:hAnsi="Times New Roman"/>
          <w:sz w:val="24"/>
          <w:szCs w:val="24"/>
        </w:rPr>
        <w:t>534.506</w:t>
      </w:r>
      <w:r w:rsidR="00564568">
        <w:rPr>
          <w:rFonts w:ascii="Times New Roman" w:hAnsi="Times New Roman"/>
          <w:sz w:val="24"/>
          <w:szCs w:val="24"/>
        </w:rPr>
        <w:t xml:space="preserve"> habitantes</w:t>
      </w:r>
      <w:r w:rsidRPr="00D531FD">
        <w:rPr>
          <w:rFonts w:ascii="Times New Roman" w:hAnsi="Times New Roman"/>
          <w:sz w:val="24"/>
          <w:szCs w:val="24"/>
        </w:rPr>
        <w:t xml:space="preserve">, de los cuales 280.881 personas se ubican en la </w:t>
      </w:r>
      <w:r w:rsidR="00564568">
        <w:rPr>
          <w:rFonts w:ascii="Times New Roman" w:hAnsi="Times New Roman"/>
          <w:sz w:val="24"/>
          <w:szCs w:val="24"/>
        </w:rPr>
        <w:t>zona urbana,</w:t>
      </w:r>
      <w:r w:rsidRPr="00D531FD">
        <w:rPr>
          <w:rFonts w:ascii="Times New Roman" w:hAnsi="Times New Roman"/>
          <w:sz w:val="24"/>
          <w:szCs w:val="24"/>
        </w:rPr>
        <w:t xml:space="preserve"> mientras que 253.625 personas se ubican en </w:t>
      </w:r>
      <w:r w:rsidR="00564568">
        <w:rPr>
          <w:rFonts w:ascii="Times New Roman" w:hAnsi="Times New Roman"/>
          <w:sz w:val="24"/>
          <w:szCs w:val="24"/>
        </w:rPr>
        <w:t>la zona rural</w:t>
      </w:r>
      <w:r w:rsidRPr="00D531FD">
        <w:rPr>
          <w:rFonts w:ascii="Times New Roman" w:hAnsi="Times New Roman"/>
          <w:sz w:val="24"/>
          <w:szCs w:val="24"/>
        </w:rPr>
        <w:t xml:space="preserve"> del departamento. </w:t>
      </w:r>
      <w:r w:rsidR="00575873">
        <w:rPr>
          <w:rFonts w:ascii="Times New Roman" w:hAnsi="Times New Roman"/>
          <w:sz w:val="24"/>
          <w:szCs w:val="24"/>
        </w:rPr>
        <w:t>Para el 2013, l</w:t>
      </w:r>
      <w:r w:rsidRPr="00D531FD">
        <w:rPr>
          <w:rFonts w:ascii="Times New Roman" w:hAnsi="Times New Roman"/>
          <w:sz w:val="24"/>
          <w:szCs w:val="24"/>
        </w:rPr>
        <w:t>a población total del departamento presenta un incremento del 0,6%</w:t>
      </w:r>
      <w:r w:rsidRPr="00D531FD">
        <w:rPr>
          <w:rFonts w:ascii="Times New Roman" w:hAnsi="Times New Roman"/>
          <w:color w:val="FF0000"/>
          <w:sz w:val="24"/>
          <w:szCs w:val="24"/>
        </w:rPr>
        <w:t xml:space="preserve"> </w:t>
      </w:r>
      <w:r w:rsidRPr="00D531FD">
        <w:rPr>
          <w:rFonts w:ascii="Times New Roman" w:hAnsi="Times New Roman"/>
          <w:sz w:val="24"/>
          <w:szCs w:val="24"/>
        </w:rPr>
        <w:t>respecto al año 2012 cuando la población del departamento era de 555.836 personas.</w:t>
      </w:r>
    </w:p>
    <w:p w:rsidR="00675D1A" w:rsidRPr="00D531FD" w:rsidRDefault="00675D1A" w:rsidP="00675D1A">
      <w:pPr>
        <w:pStyle w:val="Sinespaciado"/>
        <w:spacing w:line="360" w:lineRule="auto"/>
        <w:rPr>
          <w:rFonts w:ascii="Times New Roman" w:hAnsi="Times New Roman"/>
          <w:sz w:val="24"/>
          <w:szCs w:val="24"/>
        </w:rPr>
      </w:pPr>
    </w:p>
    <w:p w:rsidR="00535F7A" w:rsidRPr="00EB1D68" w:rsidRDefault="00EB1D68" w:rsidP="00EB1D68">
      <w:pPr>
        <w:pStyle w:val="Sinespaciado"/>
        <w:rPr>
          <w:rFonts w:ascii="Times New Roman" w:hAnsi="Times New Roman"/>
          <w:sz w:val="24"/>
          <w:szCs w:val="24"/>
        </w:rPr>
      </w:pPr>
      <w:r>
        <w:rPr>
          <w:rFonts w:ascii="Times New Roman" w:hAnsi="Times New Roman"/>
          <w:sz w:val="24"/>
          <w:szCs w:val="24"/>
        </w:rPr>
        <w:t>Tabla</w:t>
      </w:r>
      <w:r w:rsidR="00675D1A" w:rsidRPr="00EB1D68">
        <w:rPr>
          <w:rFonts w:ascii="Times New Roman" w:hAnsi="Times New Roman"/>
          <w:sz w:val="24"/>
          <w:szCs w:val="24"/>
        </w:rPr>
        <w:t xml:space="preserve"> </w:t>
      </w:r>
      <w:r w:rsidR="001D3458" w:rsidRPr="00EB1D68">
        <w:rPr>
          <w:rFonts w:ascii="Times New Roman" w:hAnsi="Times New Roman"/>
          <w:sz w:val="24"/>
          <w:szCs w:val="24"/>
        </w:rPr>
        <w:t>1.</w:t>
      </w:r>
      <w:r w:rsidR="00675D1A" w:rsidRPr="00EB1D68">
        <w:rPr>
          <w:rFonts w:ascii="Times New Roman" w:hAnsi="Times New Roman"/>
          <w:sz w:val="24"/>
          <w:szCs w:val="24"/>
        </w:rPr>
        <w:t>1</w:t>
      </w:r>
    </w:p>
    <w:p w:rsidR="00675D1A" w:rsidRPr="00EB1D68" w:rsidRDefault="00675D1A" w:rsidP="00EB1D68">
      <w:pPr>
        <w:pStyle w:val="Sinespaciado"/>
        <w:rPr>
          <w:rFonts w:ascii="Times New Roman" w:hAnsi="Times New Roman"/>
          <w:bCs/>
          <w:color w:val="000000"/>
          <w:sz w:val="24"/>
          <w:szCs w:val="20"/>
        </w:rPr>
      </w:pPr>
      <w:r w:rsidRPr="00EB1D68">
        <w:rPr>
          <w:rFonts w:ascii="Times New Roman" w:hAnsi="Times New Roman"/>
          <w:bCs/>
          <w:color w:val="000000"/>
          <w:sz w:val="24"/>
          <w:szCs w:val="20"/>
        </w:rPr>
        <w:t>Población del departamento del Quindío según municipio</w:t>
      </w:r>
    </w:p>
    <w:p w:rsidR="00675D1A" w:rsidRPr="00EB1D68" w:rsidRDefault="00675D1A" w:rsidP="00EB1D68">
      <w:pPr>
        <w:pStyle w:val="Sinespaciado"/>
        <w:rPr>
          <w:rFonts w:ascii="Times New Roman" w:hAnsi="Times New Roman"/>
          <w:bCs/>
          <w:color w:val="000000"/>
          <w:sz w:val="24"/>
          <w:szCs w:val="20"/>
        </w:rPr>
      </w:pPr>
      <w:r w:rsidRPr="00EB1D68">
        <w:rPr>
          <w:rFonts w:ascii="Times New Roman" w:hAnsi="Times New Roman"/>
          <w:bCs/>
          <w:color w:val="000000"/>
          <w:sz w:val="24"/>
          <w:szCs w:val="20"/>
        </w:rPr>
        <w:t>2005 – 2013</w:t>
      </w:r>
    </w:p>
    <w:p w:rsidR="00675D1A" w:rsidRPr="00D531FD" w:rsidRDefault="00675D1A" w:rsidP="00675D1A">
      <w:pPr>
        <w:pStyle w:val="Sinespaciado"/>
        <w:jc w:val="center"/>
        <w:rPr>
          <w:rFonts w:ascii="Times New Roman" w:hAnsi="Times New Roman"/>
          <w:b/>
          <w:i/>
          <w:sz w:val="24"/>
          <w:szCs w:val="24"/>
        </w:rPr>
      </w:pPr>
    </w:p>
    <w:tbl>
      <w:tblPr>
        <w:tblW w:w="5219" w:type="pct"/>
        <w:tblCellMar>
          <w:left w:w="70" w:type="dxa"/>
          <w:right w:w="70" w:type="dxa"/>
        </w:tblCellMar>
        <w:tblLook w:val="04A0" w:firstRow="1" w:lastRow="0" w:firstColumn="1" w:lastColumn="0" w:noHBand="0" w:noVBand="1"/>
      </w:tblPr>
      <w:tblGrid>
        <w:gridCol w:w="1281"/>
        <w:gridCol w:w="900"/>
        <w:gridCol w:w="900"/>
        <w:gridCol w:w="900"/>
        <w:gridCol w:w="898"/>
        <w:gridCol w:w="898"/>
        <w:gridCol w:w="898"/>
        <w:gridCol w:w="898"/>
        <w:gridCol w:w="898"/>
        <w:gridCol w:w="902"/>
      </w:tblGrid>
      <w:tr w:rsidR="00675D1A" w:rsidRPr="00D531FD" w:rsidTr="009A7DF4">
        <w:trPr>
          <w:trHeight w:val="394"/>
        </w:trPr>
        <w:tc>
          <w:tcPr>
            <w:tcW w:w="683" w:type="pct"/>
            <w:tcBorders>
              <w:top w:val="single" w:sz="4" w:space="0" w:color="auto"/>
              <w:left w:val="nil"/>
              <w:bottom w:val="single" w:sz="4" w:space="0" w:color="auto"/>
              <w:right w:val="nil"/>
            </w:tcBorders>
            <w:shd w:val="clear" w:color="auto" w:fill="auto"/>
            <w:noWrap/>
            <w:vAlign w:val="center"/>
            <w:hideMark/>
          </w:tcPr>
          <w:p w:rsidR="00675D1A" w:rsidRPr="00D531FD" w:rsidRDefault="00675D1A" w:rsidP="002C791A">
            <w:pPr>
              <w:jc w:val="center"/>
              <w:rPr>
                <w:b/>
                <w:bCs/>
                <w:color w:val="000000"/>
                <w:sz w:val="20"/>
                <w:szCs w:val="20"/>
              </w:rPr>
            </w:pPr>
            <w:r w:rsidRPr="00D531FD">
              <w:rPr>
                <w:b/>
                <w:bCs/>
                <w:color w:val="000000"/>
                <w:sz w:val="20"/>
                <w:szCs w:val="20"/>
              </w:rPr>
              <w:t>Municipio</w:t>
            </w:r>
          </w:p>
        </w:tc>
        <w:tc>
          <w:tcPr>
            <w:tcW w:w="480" w:type="pct"/>
            <w:tcBorders>
              <w:top w:val="single" w:sz="4" w:space="0" w:color="auto"/>
              <w:left w:val="nil"/>
              <w:bottom w:val="single" w:sz="4" w:space="0" w:color="auto"/>
              <w:right w:val="nil"/>
            </w:tcBorders>
            <w:shd w:val="clear" w:color="auto" w:fill="auto"/>
            <w:noWrap/>
            <w:vAlign w:val="center"/>
            <w:hideMark/>
          </w:tcPr>
          <w:p w:rsidR="00675D1A" w:rsidRPr="00D531FD" w:rsidRDefault="00675D1A" w:rsidP="002C791A">
            <w:pPr>
              <w:jc w:val="center"/>
              <w:rPr>
                <w:b/>
                <w:bCs/>
                <w:color w:val="000000"/>
                <w:sz w:val="20"/>
                <w:szCs w:val="20"/>
              </w:rPr>
            </w:pPr>
            <w:r w:rsidRPr="00D531FD">
              <w:rPr>
                <w:b/>
                <w:bCs/>
                <w:color w:val="000000"/>
                <w:sz w:val="20"/>
                <w:szCs w:val="20"/>
              </w:rPr>
              <w:t>2005</w:t>
            </w:r>
          </w:p>
        </w:tc>
        <w:tc>
          <w:tcPr>
            <w:tcW w:w="480" w:type="pct"/>
            <w:tcBorders>
              <w:top w:val="single" w:sz="4" w:space="0" w:color="auto"/>
              <w:left w:val="nil"/>
              <w:bottom w:val="single" w:sz="4" w:space="0" w:color="auto"/>
              <w:right w:val="nil"/>
            </w:tcBorders>
            <w:shd w:val="clear" w:color="auto" w:fill="auto"/>
            <w:noWrap/>
            <w:vAlign w:val="center"/>
            <w:hideMark/>
          </w:tcPr>
          <w:p w:rsidR="00675D1A" w:rsidRPr="00D531FD" w:rsidRDefault="00675D1A" w:rsidP="002C791A">
            <w:pPr>
              <w:jc w:val="center"/>
              <w:rPr>
                <w:b/>
                <w:bCs/>
                <w:color w:val="000000"/>
                <w:sz w:val="20"/>
                <w:szCs w:val="20"/>
              </w:rPr>
            </w:pPr>
            <w:r w:rsidRPr="00D531FD">
              <w:rPr>
                <w:b/>
                <w:bCs/>
                <w:color w:val="000000"/>
                <w:sz w:val="20"/>
                <w:szCs w:val="20"/>
              </w:rPr>
              <w:t>2006</w:t>
            </w:r>
          </w:p>
        </w:tc>
        <w:tc>
          <w:tcPr>
            <w:tcW w:w="480" w:type="pct"/>
            <w:tcBorders>
              <w:top w:val="single" w:sz="4" w:space="0" w:color="auto"/>
              <w:left w:val="nil"/>
              <w:bottom w:val="single" w:sz="4" w:space="0" w:color="auto"/>
              <w:right w:val="nil"/>
            </w:tcBorders>
            <w:shd w:val="clear" w:color="auto" w:fill="auto"/>
            <w:noWrap/>
            <w:vAlign w:val="center"/>
            <w:hideMark/>
          </w:tcPr>
          <w:p w:rsidR="00675D1A" w:rsidRPr="00D531FD" w:rsidRDefault="00675D1A" w:rsidP="002C791A">
            <w:pPr>
              <w:jc w:val="center"/>
              <w:rPr>
                <w:b/>
                <w:bCs/>
                <w:color w:val="000000"/>
                <w:sz w:val="20"/>
                <w:szCs w:val="20"/>
              </w:rPr>
            </w:pPr>
            <w:r w:rsidRPr="00D531FD">
              <w:rPr>
                <w:b/>
                <w:bCs/>
                <w:color w:val="000000"/>
                <w:sz w:val="20"/>
                <w:szCs w:val="20"/>
              </w:rPr>
              <w:t>2007</w:t>
            </w:r>
          </w:p>
        </w:tc>
        <w:tc>
          <w:tcPr>
            <w:tcW w:w="479" w:type="pct"/>
            <w:tcBorders>
              <w:top w:val="single" w:sz="4" w:space="0" w:color="auto"/>
              <w:left w:val="nil"/>
              <w:bottom w:val="single" w:sz="4" w:space="0" w:color="auto"/>
              <w:right w:val="nil"/>
            </w:tcBorders>
            <w:shd w:val="clear" w:color="auto" w:fill="auto"/>
            <w:noWrap/>
            <w:vAlign w:val="center"/>
            <w:hideMark/>
          </w:tcPr>
          <w:p w:rsidR="00675D1A" w:rsidRPr="00D531FD" w:rsidRDefault="00675D1A" w:rsidP="002C791A">
            <w:pPr>
              <w:jc w:val="center"/>
              <w:rPr>
                <w:b/>
                <w:bCs/>
                <w:color w:val="000000"/>
                <w:sz w:val="20"/>
                <w:szCs w:val="20"/>
              </w:rPr>
            </w:pPr>
            <w:r w:rsidRPr="00D531FD">
              <w:rPr>
                <w:b/>
                <w:bCs/>
                <w:color w:val="000000"/>
                <w:sz w:val="20"/>
                <w:szCs w:val="20"/>
              </w:rPr>
              <w:t>2008</w:t>
            </w:r>
          </w:p>
        </w:tc>
        <w:tc>
          <w:tcPr>
            <w:tcW w:w="479" w:type="pct"/>
            <w:tcBorders>
              <w:top w:val="single" w:sz="4" w:space="0" w:color="auto"/>
              <w:left w:val="nil"/>
              <w:bottom w:val="single" w:sz="4" w:space="0" w:color="auto"/>
              <w:right w:val="nil"/>
            </w:tcBorders>
            <w:shd w:val="clear" w:color="auto" w:fill="auto"/>
            <w:noWrap/>
            <w:vAlign w:val="center"/>
            <w:hideMark/>
          </w:tcPr>
          <w:p w:rsidR="00675D1A" w:rsidRPr="00D531FD" w:rsidRDefault="00675D1A" w:rsidP="002C791A">
            <w:pPr>
              <w:jc w:val="center"/>
              <w:rPr>
                <w:b/>
                <w:bCs/>
                <w:color w:val="000000"/>
                <w:sz w:val="20"/>
                <w:szCs w:val="20"/>
              </w:rPr>
            </w:pPr>
            <w:r w:rsidRPr="00D531FD">
              <w:rPr>
                <w:b/>
                <w:bCs/>
                <w:color w:val="000000"/>
                <w:sz w:val="20"/>
                <w:szCs w:val="20"/>
              </w:rPr>
              <w:t>2009</w:t>
            </w:r>
          </w:p>
        </w:tc>
        <w:tc>
          <w:tcPr>
            <w:tcW w:w="479" w:type="pct"/>
            <w:tcBorders>
              <w:top w:val="single" w:sz="4" w:space="0" w:color="auto"/>
              <w:left w:val="nil"/>
              <w:bottom w:val="single" w:sz="4" w:space="0" w:color="auto"/>
              <w:right w:val="nil"/>
            </w:tcBorders>
            <w:shd w:val="clear" w:color="auto" w:fill="auto"/>
            <w:noWrap/>
            <w:vAlign w:val="center"/>
            <w:hideMark/>
          </w:tcPr>
          <w:p w:rsidR="00675D1A" w:rsidRPr="00D531FD" w:rsidRDefault="00675D1A" w:rsidP="002C791A">
            <w:pPr>
              <w:jc w:val="center"/>
              <w:rPr>
                <w:b/>
                <w:bCs/>
                <w:color w:val="000000"/>
                <w:sz w:val="20"/>
                <w:szCs w:val="20"/>
              </w:rPr>
            </w:pPr>
            <w:r w:rsidRPr="00D531FD">
              <w:rPr>
                <w:b/>
                <w:bCs/>
                <w:color w:val="000000"/>
                <w:sz w:val="20"/>
                <w:szCs w:val="20"/>
              </w:rPr>
              <w:t>2010</w:t>
            </w:r>
          </w:p>
        </w:tc>
        <w:tc>
          <w:tcPr>
            <w:tcW w:w="479" w:type="pct"/>
            <w:tcBorders>
              <w:top w:val="single" w:sz="4" w:space="0" w:color="auto"/>
              <w:left w:val="nil"/>
              <w:bottom w:val="single" w:sz="4" w:space="0" w:color="auto"/>
              <w:right w:val="nil"/>
            </w:tcBorders>
            <w:shd w:val="clear" w:color="auto" w:fill="auto"/>
            <w:noWrap/>
            <w:vAlign w:val="center"/>
            <w:hideMark/>
          </w:tcPr>
          <w:p w:rsidR="00675D1A" w:rsidRPr="00D531FD" w:rsidRDefault="00675D1A" w:rsidP="002C791A">
            <w:pPr>
              <w:jc w:val="center"/>
              <w:rPr>
                <w:b/>
                <w:bCs/>
                <w:color w:val="000000"/>
                <w:sz w:val="20"/>
                <w:szCs w:val="20"/>
              </w:rPr>
            </w:pPr>
            <w:r w:rsidRPr="00D531FD">
              <w:rPr>
                <w:b/>
                <w:bCs/>
                <w:color w:val="000000"/>
                <w:sz w:val="20"/>
                <w:szCs w:val="20"/>
              </w:rPr>
              <w:t>2011</w:t>
            </w:r>
          </w:p>
        </w:tc>
        <w:tc>
          <w:tcPr>
            <w:tcW w:w="479" w:type="pct"/>
            <w:tcBorders>
              <w:top w:val="single" w:sz="4" w:space="0" w:color="auto"/>
              <w:left w:val="nil"/>
              <w:bottom w:val="single" w:sz="4" w:space="0" w:color="auto"/>
              <w:right w:val="nil"/>
            </w:tcBorders>
            <w:shd w:val="clear" w:color="auto" w:fill="auto"/>
            <w:noWrap/>
            <w:vAlign w:val="center"/>
            <w:hideMark/>
          </w:tcPr>
          <w:p w:rsidR="00675D1A" w:rsidRPr="00D531FD" w:rsidRDefault="00675D1A" w:rsidP="002C791A">
            <w:pPr>
              <w:jc w:val="center"/>
              <w:rPr>
                <w:b/>
                <w:bCs/>
                <w:color w:val="000000"/>
                <w:sz w:val="20"/>
                <w:szCs w:val="20"/>
              </w:rPr>
            </w:pPr>
            <w:r w:rsidRPr="00D531FD">
              <w:rPr>
                <w:b/>
                <w:bCs/>
                <w:color w:val="000000"/>
                <w:sz w:val="20"/>
                <w:szCs w:val="20"/>
              </w:rPr>
              <w:t>2012</w:t>
            </w:r>
          </w:p>
        </w:tc>
        <w:tc>
          <w:tcPr>
            <w:tcW w:w="481" w:type="pct"/>
            <w:tcBorders>
              <w:top w:val="single" w:sz="4" w:space="0" w:color="auto"/>
              <w:left w:val="nil"/>
              <w:bottom w:val="single" w:sz="4" w:space="0" w:color="auto"/>
              <w:right w:val="nil"/>
            </w:tcBorders>
            <w:shd w:val="clear" w:color="auto" w:fill="auto"/>
            <w:noWrap/>
            <w:vAlign w:val="center"/>
            <w:hideMark/>
          </w:tcPr>
          <w:p w:rsidR="00675D1A" w:rsidRPr="00D531FD" w:rsidRDefault="00675D1A" w:rsidP="002C791A">
            <w:pPr>
              <w:jc w:val="center"/>
              <w:rPr>
                <w:b/>
                <w:bCs/>
                <w:color w:val="000000"/>
                <w:sz w:val="20"/>
                <w:szCs w:val="20"/>
              </w:rPr>
            </w:pPr>
            <w:r w:rsidRPr="00D531FD">
              <w:rPr>
                <w:b/>
                <w:bCs/>
                <w:color w:val="000000"/>
                <w:sz w:val="20"/>
                <w:szCs w:val="20"/>
              </w:rPr>
              <w:t>2013</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Armenia</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280.881</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282.518</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284.135</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285.733</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287.324</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288.905</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290.482</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292.045</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293.605</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Buenavista</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3.094</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3.066</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3.035</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3.010</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2.985</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2.961</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2.937</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2.911</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2.886</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Calarcá</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73.720</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74.089</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74.471</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74.851</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75.243</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75.633</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76.027</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76.415</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76.819</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Circasia</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27.443</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27.694</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27.934</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28.183</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28.418</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28.666</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28.903</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29.150</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29.393</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Córdoba</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5.449</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5.419</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5.405</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5.391</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5.382</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5.368</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5.354</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5.345</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5.325</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Filandia</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12.930</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12.973</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13.022</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13.070</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13.114</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13.164</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13.212</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13.255</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13.310</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Génova</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9.628</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9.436</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9.251</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9.067</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8.890</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8.714</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8.540</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8.380</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8.225</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La Tebaida</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33.501</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34.290</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35.093</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35.905</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36.727</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37.576</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38.445</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39.338</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40.247</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Montenegro</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39.871</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40.016</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40.159</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40.311</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40.445</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40.590</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40.733</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40.871</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41.010</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Pijao</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6.683</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6.631</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6.567</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6.513</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6.456</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6.399</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6.359</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6.300</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6.243</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Quimbaya</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34.060</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34.163</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34.254</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34.351</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34.431</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34.519</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34.604</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34.687</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34.777</w:t>
            </w:r>
          </w:p>
        </w:tc>
      </w:tr>
      <w:tr w:rsidR="00675D1A" w:rsidRPr="00D531FD" w:rsidTr="009A7DF4">
        <w:trPr>
          <w:trHeight w:val="394"/>
        </w:trPr>
        <w:tc>
          <w:tcPr>
            <w:tcW w:w="683" w:type="pct"/>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Salento</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7.246</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7.235</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7.207</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7.194</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7.178</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7.167</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7.159</w:t>
            </w:r>
          </w:p>
        </w:tc>
        <w:tc>
          <w:tcPr>
            <w:tcW w:w="479"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7.139</w:t>
            </w:r>
          </w:p>
        </w:tc>
        <w:tc>
          <w:tcPr>
            <w:tcW w:w="481" w:type="pct"/>
            <w:tcBorders>
              <w:top w:val="nil"/>
              <w:left w:val="nil"/>
              <w:bottom w:val="nil"/>
              <w:right w:val="nil"/>
            </w:tcBorders>
            <w:shd w:val="clear" w:color="auto" w:fill="auto"/>
            <w:noWrap/>
            <w:vAlign w:val="bottom"/>
            <w:hideMark/>
          </w:tcPr>
          <w:p w:rsidR="00675D1A" w:rsidRPr="00D531FD" w:rsidRDefault="00675D1A" w:rsidP="002C791A">
            <w:pPr>
              <w:jc w:val="center"/>
              <w:rPr>
                <w:sz w:val="20"/>
                <w:szCs w:val="20"/>
              </w:rPr>
            </w:pPr>
            <w:r w:rsidRPr="00D531FD">
              <w:rPr>
                <w:sz w:val="20"/>
                <w:szCs w:val="20"/>
              </w:rPr>
              <w:t>7.129</w:t>
            </w:r>
          </w:p>
        </w:tc>
      </w:tr>
      <w:tr w:rsidR="00675D1A" w:rsidRPr="00D531FD" w:rsidTr="009A7DF4">
        <w:trPr>
          <w:trHeight w:val="99"/>
        </w:trPr>
        <w:tc>
          <w:tcPr>
            <w:tcW w:w="683" w:type="pct"/>
            <w:tcBorders>
              <w:top w:val="nil"/>
              <w:left w:val="nil"/>
              <w:bottom w:val="single" w:sz="4" w:space="0" w:color="auto"/>
              <w:right w:val="nil"/>
            </w:tcBorders>
            <w:shd w:val="clear" w:color="auto" w:fill="auto"/>
            <w:noWrap/>
            <w:vAlign w:val="bottom"/>
            <w:hideMark/>
          </w:tcPr>
          <w:p w:rsidR="00675D1A" w:rsidRPr="00D531FD" w:rsidRDefault="00675D1A" w:rsidP="002C791A">
            <w:pPr>
              <w:rPr>
                <w:b/>
                <w:bCs/>
                <w:color w:val="000000"/>
                <w:sz w:val="20"/>
                <w:szCs w:val="20"/>
              </w:rPr>
            </w:pPr>
            <w:r w:rsidRPr="00D531FD">
              <w:rPr>
                <w:b/>
                <w:bCs/>
                <w:color w:val="000000"/>
                <w:sz w:val="20"/>
                <w:szCs w:val="20"/>
              </w:rPr>
              <w:t>Total</w:t>
            </w:r>
          </w:p>
        </w:tc>
        <w:tc>
          <w:tcPr>
            <w:tcW w:w="480" w:type="pct"/>
            <w:tcBorders>
              <w:top w:val="nil"/>
              <w:left w:val="nil"/>
              <w:bottom w:val="single" w:sz="4" w:space="0" w:color="auto"/>
              <w:right w:val="nil"/>
            </w:tcBorders>
            <w:shd w:val="clear" w:color="auto" w:fill="auto"/>
            <w:noWrap/>
            <w:vAlign w:val="bottom"/>
            <w:hideMark/>
          </w:tcPr>
          <w:p w:rsidR="00675D1A" w:rsidRPr="00D531FD" w:rsidRDefault="00675D1A" w:rsidP="002C791A">
            <w:pPr>
              <w:jc w:val="center"/>
              <w:rPr>
                <w:b/>
                <w:bCs/>
                <w:color w:val="000000"/>
                <w:sz w:val="20"/>
                <w:szCs w:val="20"/>
              </w:rPr>
            </w:pPr>
            <w:r w:rsidRPr="00D531FD">
              <w:rPr>
                <w:b/>
                <w:bCs/>
                <w:color w:val="000000"/>
                <w:sz w:val="20"/>
                <w:szCs w:val="20"/>
              </w:rPr>
              <w:t>534.506</w:t>
            </w:r>
          </w:p>
        </w:tc>
        <w:tc>
          <w:tcPr>
            <w:tcW w:w="480" w:type="pct"/>
            <w:tcBorders>
              <w:top w:val="nil"/>
              <w:left w:val="nil"/>
              <w:bottom w:val="single" w:sz="4" w:space="0" w:color="auto"/>
              <w:right w:val="nil"/>
            </w:tcBorders>
            <w:shd w:val="clear" w:color="auto" w:fill="auto"/>
            <w:noWrap/>
            <w:vAlign w:val="bottom"/>
            <w:hideMark/>
          </w:tcPr>
          <w:p w:rsidR="00675D1A" w:rsidRPr="00D531FD" w:rsidRDefault="00675D1A" w:rsidP="002C791A">
            <w:pPr>
              <w:jc w:val="center"/>
              <w:rPr>
                <w:b/>
                <w:bCs/>
                <w:color w:val="000000"/>
                <w:sz w:val="20"/>
                <w:szCs w:val="20"/>
              </w:rPr>
            </w:pPr>
            <w:r w:rsidRPr="00D531FD">
              <w:rPr>
                <w:b/>
                <w:bCs/>
                <w:color w:val="000000"/>
                <w:sz w:val="20"/>
                <w:szCs w:val="20"/>
              </w:rPr>
              <w:t>537.530</w:t>
            </w:r>
          </w:p>
        </w:tc>
        <w:tc>
          <w:tcPr>
            <w:tcW w:w="480" w:type="pct"/>
            <w:tcBorders>
              <w:top w:val="nil"/>
              <w:left w:val="nil"/>
              <w:bottom w:val="single" w:sz="4" w:space="0" w:color="auto"/>
              <w:right w:val="nil"/>
            </w:tcBorders>
            <w:shd w:val="clear" w:color="auto" w:fill="auto"/>
            <w:noWrap/>
            <w:vAlign w:val="bottom"/>
            <w:hideMark/>
          </w:tcPr>
          <w:p w:rsidR="00675D1A" w:rsidRPr="00D531FD" w:rsidRDefault="00675D1A" w:rsidP="002C791A">
            <w:pPr>
              <w:jc w:val="center"/>
              <w:rPr>
                <w:b/>
                <w:bCs/>
                <w:color w:val="000000"/>
                <w:sz w:val="20"/>
                <w:szCs w:val="20"/>
              </w:rPr>
            </w:pPr>
            <w:r w:rsidRPr="00D531FD">
              <w:rPr>
                <w:b/>
                <w:bCs/>
                <w:color w:val="000000"/>
                <w:sz w:val="20"/>
                <w:szCs w:val="20"/>
              </w:rPr>
              <w:t>540.533</w:t>
            </w:r>
          </w:p>
        </w:tc>
        <w:tc>
          <w:tcPr>
            <w:tcW w:w="479" w:type="pct"/>
            <w:tcBorders>
              <w:top w:val="nil"/>
              <w:left w:val="nil"/>
              <w:bottom w:val="single" w:sz="4" w:space="0" w:color="auto"/>
              <w:right w:val="nil"/>
            </w:tcBorders>
            <w:shd w:val="clear" w:color="auto" w:fill="auto"/>
            <w:noWrap/>
            <w:vAlign w:val="bottom"/>
            <w:hideMark/>
          </w:tcPr>
          <w:p w:rsidR="00675D1A" w:rsidRPr="00D531FD" w:rsidRDefault="00675D1A" w:rsidP="002C791A">
            <w:pPr>
              <w:jc w:val="center"/>
              <w:rPr>
                <w:b/>
                <w:bCs/>
                <w:color w:val="000000"/>
                <w:sz w:val="20"/>
                <w:szCs w:val="20"/>
              </w:rPr>
            </w:pPr>
            <w:r w:rsidRPr="00D531FD">
              <w:rPr>
                <w:b/>
                <w:bCs/>
                <w:color w:val="000000"/>
                <w:sz w:val="20"/>
                <w:szCs w:val="20"/>
              </w:rPr>
              <w:t>543.579</w:t>
            </w:r>
          </w:p>
        </w:tc>
        <w:tc>
          <w:tcPr>
            <w:tcW w:w="479" w:type="pct"/>
            <w:tcBorders>
              <w:top w:val="nil"/>
              <w:left w:val="nil"/>
              <w:bottom w:val="single" w:sz="4" w:space="0" w:color="auto"/>
              <w:right w:val="nil"/>
            </w:tcBorders>
            <w:shd w:val="clear" w:color="auto" w:fill="auto"/>
            <w:noWrap/>
            <w:vAlign w:val="bottom"/>
            <w:hideMark/>
          </w:tcPr>
          <w:p w:rsidR="00675D1A" w:rsidRPr="00D531FD" w:rsidRDefault="00675D1A" w:rsidP="002C791A">
            <w:pPr>
              <w:jc w:val="center"/>
              <w:rPr>
                <w:b/>
                <w:bCs/>
                <w:color w:val="000000"/>
                <w:sz w:val="20"/>
                <w:szCs w:val="20"/>
              </w:rPr>
            </w:pPr>
            <w:r w:rsidRPr="00D531FD">
              <w:rPr>
                <w:b/>
                <w:bCs/>
                <w:color w:val="000000"/>
                <w:sz w:val="20"/>
                <w:szCs w:val="20"/>
              </w:rPr>
              <w:t>546.593</w:t>
            </w:r>
          </w:p>
        </w:tc>
        <w:tc>
          <w:tcPr>
            <w:tcW w:w="479" w:type="pct"/>
            <w:tcBorders>
              <w:top w:val="nil"/>
              <w:left w:val="nil"/>
              <w:bottom w:val="single" w:sz="4" w:space="0" w:color="auto"/>
              <w:right w:val="nil"/>
            </w:tcBorders>
            <w:shd w:val="clear" w:color="auto" w:fill="auto"/>
            <w:noWrap/>
            <w:vAlign w:val="bottom"/>
            <w:hideMark/>
          </w:tcPr>
          <w:p w:rsidR="00675D1A" w:rsidRPr="00D531FD" w:rsidRDefault="00675D1A" w:rsidP="002C791A">
            <w:pPr>
              <w:jc w:val="center"/>
              <w:rPr>
                <w:b/>
                <w:bCs/>
                <w:color w:val="000000"/>
                <w:sz w:val="20"/>
                <w:szCs w:val="20"/>
              </w:rPr>
            </w:pPr>
            <w:r w:rsidRPr="00D531FD">
              <w:rPr>
                <w:b/>
                <w:bCs/>
                <w:color w:val="000000"/>
                <w:sz w:val="20"/>
                <w:szCs w:val="20"/>
              </w:rPr>
              <w:t>549.662</w:t>
            </w:r>
          </w:p>
        </w:tc>
        <w:tc>
          <w:tcPr>
            <w:tcW w:w="479" w:type="pct"/>
            <w:tcBorders>
              <w:top w:val="nil"/>
              <w:left w:val="nil"/>
              <w:bottom w:val="single" w:sz="4" w:space="0" w:color="auto"/>
              <w:right w:val="nil"/>
            </w:tcBorders>
            <w:shd w:val="clear" w:color="auto" w:fill="auto"/>
            <w:noWrap/>
            <w:vAlign w:val="bottom"/>
            <w:hideMark/>
          </w:tcPr>
          <w:p w:rsidR="00675D1A" w:rsidRPr="00D531FD" w:rsidRDefault="00675D1A" w:rsidP="002C791A">
            <w:pPr>
              <w:jc w:val="center"/>
              <w:rPr>
                <w:b/>
                <w:bCs/>
                <w:color w:val="000000"/>
                <w:sz w:val="20"/>
                <w:szCs w:val="20"/>
              </w:rPr>
            </w:pPr>
            <w:r w:rsidRPr="00D531FD">
              <w:rPr>
                <w:b/>
                <w:bCs/>
                <w:color w:val="000000"/>
                <w:sz w:val="20"/>
                <w:szCs w:val="20"/>
              </w:rPr>
              <w:t>552.755</w:t>
            </w:r>
          </w:p>
        </w:tc>
        <w:tc>
          <w:tcPr>
            <w:tcW w:w="479" w:type="pct"/>
            <w:tcBorders>
              <w:top w:val="nil"/>
              <w:left w:val="nil"/>
              <w:bottom w:val="single" w:sz="4" w:space="0" w:color="auto"/>
              <w:right w:val="nil"/>
            </w:tcBorders>
            <w:shd w:val="clear" w:color="auto" w:fill="auto"/>
            <w:noWrap/>
            <w:vAlign w:val="bottom"/>
            <w:hideMark/>
          </w:tcPr>
          <w:p w:rsidR="00675D1A" w:rsidRPr="00D531FD" w:rsidRDefault="00675D1A" w:rsidP="002C791A">
            <w:pPr>
              <w:jc w:val="center"/>
              <w:rPr>
                <w:b/>
                <w:bCs/>
                <w:color w:val="000000"/>
                <w:sz w:val="20"/>
                <w:szCs w:val="20"/>
              </w:rPr>
            </w:pPr>
            <w:r w:rsidRPr="00D531FD">
              <w:rPr>
                <w:b/>
                <w:bCs/>
                <w:color w:val="000000"/>
                <w:sz w:val="20"/>
                <w:szCs w:val="20"/>
              </w:rPr>
              <w:t>555.836</w:t>
            </w:r>
          </w:p>
        </w:tc>
        <w:tc>
          <w:tcPr>
            <w:tcW w:w="481" w:type="pct"/>
            <w:tcBorders>
              <w:top w:val="nil"/>
              <w:left w:val="nil"/>
              <w:bottom w:val="single" w:sz="4" w:space="0" w:color="auto"/>
              <w:right w:val="nil"/>
            </w:tcBorders>
            <w:shd w:val="clear" w:color="auto" w:fill="auto"/>
            <w:noWrap/>
            <w:vAlign w:val="bottom"/>
            <w:hideMark/>
          </w:tcPr>
          <w:p w:rsidR="00675D1A" w:rsidRPr="00D531FD" w:rsidRDefault="00675D1A" w:rsidP="002C791A">
            <w:pPr>
              <w:jc w:val="center"/>
              <w:rPr>
                <w:b/>
                <w:bCs/>
                <w:color w:val="000000"/>
                <w:sz w:val="20"/>
                <w:szCs w:val="20"/>
              </w:rPr>
            </w:pPr>
            <w:r w:rsidRPr="00D531FD">
              <w:rPr>
                <w:b/>
                <w:bCs/>
                <w:color w:val="000000"/>
                <w:sz w:val="20"/>
                <w:szCs w:val="20"/>
              </w:rPr>
              <w:t>558.969</w:t>
            </w:r>
          </w:p>
        </w:tc>
      </w:tr>
      <w:tr w:rsidR="00675D1A" w:rsidRPr="00D531FD" w:rsidTr="009A7DF4">
        <w:trPr>
          <w:trHeight w:val="394"/>
        </w:trPr>
        <w:tc>
          <w:tcPr>
            <w:tcW w:w="1163" w:type="pct"/>
            <w:gridSpan w:val="2"/>
            <w:tcBorders>
              <w:top w:val="nil"/>
              <w:left w:val="nil"/>
              <w:bottom w:val="nil"/>
              <w:right w:val="nil"/>
            </w:tcBorders>
            <w:shd w:val="clear" w:color="auto" w:fill="auto"/>
            <w:noWrap/>
            <w:vAlign w:val="bottom"/>
            <w:hideMark/>
          </w:tcPr>
          <w:p w:rsidR="00675D1A" w:rsidRPr="00D531FD" w:rsidRDefault="00675D1A" w:rsidP="002C791A">
            <w:pPr>
              <w:rPr>
                <w:color w:val="000000"/>
                <w:sz w:val="16"/>
                <w:szCs w:val="16"/>
              </w:rPr>
            </w:pPr>
            <w:r w:rsidRPr="00D531FD">
              <w:rPr>
                <w:iCs/>
                <w:color w:val="000000"/>
                <w:sz w:val="16"/>
                <w:szCs w:val="16"/>
              </w:rPr>
              <w:t>Fuente</w:t>
            </w:r>
            <w:r w:rsidRPr="00D531FD">
              <w:rPr>
                <w:color w:val="000000"/>
                <w:sz w:val="16"/>
                <w:szCs w:val="16"/>
              </w:rPr>
              <w:t xml:space="preserve">: </w:t>
            </w:r>
            <w:r w:rsidR="008F5FB2">
              <w:rPr>
                <w:color w:val="000000"/>
                <w:sz w:val="16"/>
                <w:szCs w:val="16"/>
              </w:rPr>
              <w:t>DANE</w:t>
            </w:r>
          </w:p>
        </w:tc>
        <w:tc>
          <w:tcPr>
            <w:tcW w:w="480" w:type="pct"/>
            <w:tcBorders>
              <w:top w:val="nil"/>
              <w:left w:val="nil"/>
              <w:bottom w:val="nil"/>
              <w:right w:val="nil"/>
            </w:tcBorders>
            <w:shd w:val="clear" w:color="auto" w:fill="auto"/>
            <w:noWrap/>
            <w:vAlign w:val="bottom"/>
            <w:hideMark/>
          </w:tcPr>
          <w:p w:rsidR="00675D1A" w:rsidRPr="00D531FD" w:rsidRDefault="00675D1A" w:rsidP="002C791A">
            <w:pPr>
              <w:rPr>
                <w:color w:val="000000"/>
                <w:sz w:val="18"/>
                <w:szCs w:val="20"/>
              </w:rPr>
            </w:pPr>
          </w:p>
        </w:tc>
        <w:tc>
          <w:tcPr>
            <w:tcW w:w="480" w:type="pct"/>
            <w:tcBorders>
              <w:top w:val="nil"/>
              <w:left w:val="nil"/>
              <w:bottom w:val="nil"/>
              <w:right w:val="nil"/>
            </w:tcBorders>
            <w:shd w:val="clear" w:color="auto" w:fill="auto"/>
            <w:noWrap/>
            <w:vAlign w:val="bottom"/>
            <w:hideMark/>
          </w:tcPr>
          <w:p w:rsidR="00675D1A" w:rsidRPr="00D531FD" w:rsidRDefault="00675D1A" w:rsidP="002C791A">
            <w:pPr>
              <w:rPr>
                <w:color w:val="000000"/>
                <w:sz w:val="18"/>
                <w:szCs w:val="20"/>
              </w:rPr>
            </w:pPr>
          </w:p>
        </w:tc>
        <w:tc>
          <w:tcPr>
            <w:tcW w:w="479" w:type="pct"/>
            <w:tcBorders>
              <w:top w:val="nil"/>
              <w:left w:val="nil"/>
              <w:bottom w:val="nil"/>
              <w:right w:val="nil"/>
            </w:tcBorders>
            <w:shd w:val="clear" w:color="auto" w:fill="auto"/>
            <w:noWrap/>
            <w:vAlign w:val="bottom"/>
            <w:hideMark/>
          </w:tcPr>
          <w:p w:rsidR="00675D1A" w:rsidRPr="00D531FD" w:rsidRDefault="00675D1A" w:rsidP="002C791A">
            <w:pPr>
              <w:rPr>
                <w:color w:val="000000"/>
                <w:sz w:val="18"/>
                <w:szCs w:val="20"/>
              </w:rPr>
            </w:pPr>
          </w:p>
        </w:tc>
        <w:tc>
          <w:tcPr>
            <w:tcW w:w="479" w:type="pct"/>
            <w:tcBorders>
              <w:top w:val="nil"/>
              <w:left w:val="nil"/>
              <w:bottom w:val="nil"/>
              <w:right w:val="nil"/>
            </w:tcBorders>
            <w:shd w:val="clear" w:color="auto" w:fill="auto"/>
            <w:noWrap/>
            <w:vAlign w:val="bottom"/>
            <w:hideMark/>
          </w:tcPr>
          <w:p w:rsidR="00675D1A" w:rsidRPr="00D531FD" w:rsidRDefault="00675D1A" w:rsidP="002C791A">
            <w:pPr>
              <w:rPr>
                <w:color w:val="000000"/>
                <w:sz w:val="18"/>
                <w:szCs w:val="20"/>
              </w:rPr>
            </w:pPr>
          </w:p>
        </w:tc>
        <w:tc>
          <w:tcPr>
            <w:tcW w:w="479" w:type="pct"/>
            <w:tcBorders>
              <w:top w:val="nil"/>
              <w:left w:val="nil"/>
              <w:bottom w:val="nil"/>
              <w:right w:val="nil"/>
            </w:tcBorders>
            <w:shd w:val="clear" w:color="auto" w:fill="auto"/>
            <w:noWrap/>
            <w:vAlign w:val="bottom"/>
            <w:hideMark/>
          </w:tcPr>
          <w:p w:rsidR="00675D1A" w:rsidRPr="00D531FD" w:rsidRDefault="00675D1A" w:rsidP="002C791A">
            <w:pPr>
              <w:rPr>
                <w:color w:val="000000"/>
                <w:sz w:val="18"/>
                <w:szCs w:val="20"/>
              </w:rPr>
            </w:pPr>
          </w:p>
        </w:tc>
        <w:tc>
          <w:tcPr>
            <w:tcW w:w="479" w:type="pct"/>
            <w:tcBorders>
              <w:top w:val="nil"/>
              <w:left w:val="nil"/>
              <w:bottom w:val="nil"/>
              <w:right w:val="nil"/>
            </w:tcBorders>
            <w:shd w:val="clear" w:color="auto" w:fill="auto"/>
            <w:noWrap/>
            <w:vAlign w:val="bottom"/>
            <w:hideMark/>
          </w:tcPr>
          <w:p w:rsidR="00675D1A" w:rsidRPr="00D531FD" w:rsidRDefault="00675D1A" w:rsidP="002C791A">
            <w:pPr>
              <w:rPr>
                <w:color w:val="000000"/>
                <w:sz w:val="18"/>
                <w:szCs w:val="20"/>
              </w:rPr>
            </w:pPr>
          </w:p>
        </w:tc>
        <w:tc>
          <w:tcPr>
            <w:tcW w:w="479" w:type="pct"/>
            <w:tcBorders>
              <w:top w:val="nil"/>
              <w:left w:val="nil"/>
              <w:bottom w:val="nil"/>
              <w:right w:val="nil"/>
            </w:tcBorders>
            <w:shd w:val="clear" w:color="auto" w:fill="auto"/>
            <w:noWrap/>
            <w:vAlign w:val="bottom"/>
            <w:hideMark/>
          </w:tcPr>
          <w:p w:rsidR="00675D1A" w:rsidRPr="00D531FD" w:rsidRDefault="00675D1A" w:rsidP="002C791A">
            <w:pPr>
              <w:rPr>
                <w:color w:val="000000"/>
                <w:sz w:val="18"/>
                <w:szCs w:val="20"/>
              </w:rPr>
            </w:pPr>
          </w:p>
        </w:tc>
        <w:tc>
          <w:tcPr>
            <w:tcW w:w="481" w:type="pct"/>
            <w:tcBorders>
              <w:top w:val="nil"/>
              <w:left w:val="nil"/>
              <w:bottom w:val="nil"/>
              <w:right w:val="nil"/>
            </w:tcBorders>
            <w:shd w:val="clear" w:color="auto" w:fill="auto"/>
            <w:noWrap/>
            <w:vAlign w:val="bottom"/>
            <w:hideMark/>
          </w:tcPr>
          <w:p w:rsidR="00675D1A" w:rsidRPr="00D531FD" w:rsidRDefault="00675D1A" w:rsidP="002C791A">
            <w:pPr>
              <w:rPr>
                <w:color w:val="000000"/>
                <w:sz w:val="18"/>
                <w:szCs w:val="20"/>
              </w:rPr>
            </w:pPr>
          </w:p>
        </w:tc>
      </w:tr>
    </w:tbl>
    <w:p w:rsidR="00675D1A" w:rsidRPr="00D531FD" w:rsidRDefault="00675D1A" w:rsidP="00675D1A">
      <w:pPr>
        <w:pStyle w:val="Sinespaciado"/>
        <w:spacing w:line="360" w:lineRule="auto"/>
        <w:rPr>
          <w:rFonts w:ascii="Times New Roman" w:hAnsi="Times New Roman"/>
          <w:sz w:val="24"/>
          <w:szCs w:val="24"/>
        </w:rPr>
      </w:pPr>
    </w:p>
    <w:p w:rsidR="00675D1A" w:rsidRPr="00D531FD" w:rsidRDefault="00675D1A" w:rsidP="00675D1A">
      <w:pPr>
        <w:rPr>
          <w:lang w:val="es-ES"/>
        </w:rPr>
      </w:pPr>
    </w:p>
    <w:p w:rsidR="00675D1A" w:rsidRPr="00D531FD" w:rsidRDefault="00675D1A" w:rsidP="00675D1A">
      <w:pPr>
        <w:spacing w:line="360" w:lineRule="auto"/>
      </w:pPr>
    </w:p>
    <w:p w:rsidR="00675D1A" w:rsidRPr="00D531FD" w:rsidRDefault="00675D1A" w:rsidP="00675D1A">
      <w:pPr>
        <w:spacing w:line="360" w:lineRule="auto"/>
      </w:pPr>
    </w:p>
    <w:p w:rsidR="00675D1A" w:rsidRPr="009A7DF4" w:rsidRDefault="00032FAD" w:rsidP="003E3E5C">
      <w:pPr>
        <w:pStyle w:val="Sinespaciado"/>
        <w:jc w:val="left"/>
        <w:rPr>
          <w:rFonts w:ascii="Times New Roman" w:hAnsi="Times New Roman"/>
          <w:sz w:val="24"/>
          <w:szCs w:val="24"/>
        </w:rPr>
      </w:pPr>
      <w:r w:rsidRPr="009A7DF4">
        <w:rPr>
          <w:rFonts w:ascii="Times New Roman" w:hAnsi="Times New Roman"/>
          <w:sz w:val="24"/>
          <w:szCs w:val="24"/>
        </w:rPr>
        <w:lastRenderedPageBreak/>
        <w:t>G</w:t>
      </w:r>
      <w:r w:rsidR="00675D1A" w:rsidRPr="009A7DF4">
        <w:rPr>
          <w:rFonts w:ascii="Times New Roman" w:hAnsi="Times New Roman"/>
          <w:sz w:val="24"/>
          <w:szCs w:val="24"/>
        </w:rPr>
        <w:t xml:space="preserve">ráfico </w:t>
      </w:r>
      <w:r w:rsidR="001D3458" w:rsidRPr="009A7DF4">
        <w:rPr>
          <w:rFonts w:ascii="Times New Roman" w:hAnsi="Times New Roman"/>
          <w:sz w:val="24"/>
          <w:szCs w:val="24"/>
        </w:rPr>
        <w:t>1.</w:t>
      </w:r>
      <w:r w:rsidR="00D531FD" w:rsidRPr="009A7DF4">
        <w:rPr>
          <w:rFonts w:ascii="Times New Roman" w:hAnsi="Times New Roman"/>
          <w:sz w:val="24"/>
          <w:szCs w:val="24"/>
        </w:rPr>
        <w:t>1</w:t>
      </w:r>
    </w:p>
    <w:p w:rsidR="00675D1A" w:rsidRPr="009A7DF4" w:rsidRDefault="00675D1A" w:rsidP="003E3E5C">
      <w:pPr>
        <w:pStyle w:val="Sinespaciado"/>
        <w:jc w:val="left"/>
        <w:rPr>
          <w:rFonts w:ascii="Times New Roman" w:hAnsi="Times New Roman"/>
          <w:bCs/>
          <w:color w:val="000000"/>
          <w:sz w:val="24"/>
          <w:szCs w:val="24"/>
        </w:rPr>
      </w:pPr>
      <w:r w:rsidRPr="009A7DF4">
        <w:rPr>
          <w:rFonts w:ascii="Times New Roman" w:hAnsi="Times New Roman"/>
          <w:bCs/>
          <w:color w:val="000000"/>
          <w:sz w:val="24"/>
          <w:szCs w:val="24"/>
        </w:rPr>
        <w:t>Evolución Demográfica del Departamento del Quindío</w:t>
      </w:r>
    </w:p>
    <w:p w:rsidR="00675D1A" w:rsidRPr="009A7DF4" w:rsidRDefault="00675D1A" w:rsidP="003E3E5C">
      <w:pPr>
        <w:pStyle w:val="Sinespaciado"/>
        <w:jc w:val="left"/>
        <w:rPr>
          <w:rFonts w:ascii="Times New Roman" w:hAnsi="Times New Roman"/>
          <w:bCs/>
          <w:color w:val="000000"/>
          <w:sz w:val="24"/>
          <w:szCs w:val="24"/>
        </w:rPr>
      </w:pPr>
      <w:r w:rsidRPr="009A7DF4">
        <w:rPr>
          <w:rFonts w:ascii="Times New Roman" w:hAnsi="Times New Roman"/>
          <w:bCs/>
          <w:color w:val="000000"/>
          <w:sz w:val="24"/>
          <w:szCs w:val="24"/>
        </w:rPr>
        <w:t>2005 – 2013</w:t>
      </w:r>
    </w:p>
    <w:p w:rsidR="009A7DF4" w:rsidRPr="00D531FD" w:rsidRDefault="009A7DF4" w:rsidP="009A7DF4">
      <w:pPr>
        <w:pStyle w:val="Sinespaciado"/>
        <w:ind w:left="1588"/>
        <w:jc w:val="left"/>
        <w:rPr>
          <w:rFonts w:ascii="Times New Roman" w:hAnsi="Times New Roman"/>
          <w:bCs/>
          <w:color w:val="000000"/>
        </w:rPr>
      </w:pPr>
    </w:p>
    <w:p w:rsidR="00675D1A" w:rsidRPr="00D531FD" w:rsidRDefault="00675D1A" w:rsidP="003E3E5C">
      <w:pPr>
        <w:pStyle w:val="Sinespaciado"/>
        <w:jc w:val="left"/>
        <w:rPr>
          <w:rFonts w:ascii="Times New Roman" w:hAnsi="Times New Roman"/>
          <w:i/>
          <w:noProof/>
          <w:sz w:val="24"/>
          <w:szCs w:val="24"/>
          <w:lang w:val="es-CO" w:eastAsia="es-CO"/>
        </w:rPr>
      </w:pPr>
      <w:r w:rsidRPr="00D531FD">
        <w:rPr>
          <w:rFonts w:ascii="Times New Roman" w:hAnsi="Times New Roman"/>
          <w:i/>
          <w:noProof/>
          <w:sz w:val="24"/>
          <w:szCs w:val="24"/>
          <w:lang w:val="es-CO" w:eastAsia="es-CO"/>
        </w:rPr>
        <w:drawing>
          <wp:inline distT="0" distB="0" distL="0" distR="0" wp14:anchorId="24C27E85" wp14:editId="547C7B46">
            <wp:extent cx="3552088" cy="1916582"/>
            <wp:effectExtent l="0" t="0" r="10795" b="26670"/>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5D1A" w:rsidRPr="00D531FD" w:rsidRDefault="003E3E5C" w:rsidP="00675D1A">
      <w:pPr>
        <w:pStyle w:val="Sinespaciado"/>
        <w:jc w:val="left"/>
        <w:rPr>
          <w:rFonts w:ascii="Times New Roman" w:hAnsi="Times New Roman"/>
          <w:noProof/>
          <w:sz w:val="16"/>
          <w:szCs w:val="16"/>
          <w:lang w:val="es-CO" w:eastAsia="es-CO"/>
        </w:rPr>
      </w:pPr>
      <w:r>
        <w:rPr>
          <w:rFonts w:ascii="Times New Roman" w:hAnsi="Times New Roman"/>
          <w:noProof/>
          <w:sz w:val="16"/>
          <w:szCs w:val="16"/>
          <w:lang w:val="es-CO" w:eastAsia="es-CO"/>
        </w:rPr>
        <w:t xml:space="preserve">       </w:t>
      </w:r>
      <w:r w:rsidR="00675D1A" w:rsidRPr="00D531FD">
        <w:rPr>
          <w:rFonts w:ascii="Times New Roman" w:hAnsi="Times New Roman"/>
          <w:noProof/>
          <w:sz w:val="16"/>
          <w:szCs w:val="16"/>
          <w:lang w:val="es-CO" w:eastAsia="es-CO"/>
        </w:rPr>
        <w:t xml:space="preserve">Fuente: </w:t>
      </w:r>
      <w:r w:rsidR="008F5FB2">
        <w:rPr>
          <w:rFonts w:ascii="Times New Roman" w:hAnsi="Times New Roman"/>
          <w:noProof/>
          <w:sz w:val="16"/>
          <w:szCs w:val="16"/>
          <w:lang w:val="es-CO" w:eastAsia="es-CO"/>
        </w:rPr>
        <w:t>DANE</w:t>
      </w:r>
      <w:r w:rsidR="00675D1A" w:rsidRPr="00D531FD">
        <w:rPr>
          <w:rFonts w:ascii="Times New Roman" w:hAnsi="Times New Roman"/>
          <w:noProof/>
          <w:sz w:val="16"/>
          <w:szCs w:val="16"/>
          <w:lang w:val="es-CO" w:eastAsia="es-CO"/>
        </w:rPr>
        <w:t xml:space="preserve"> y cálculos propios</w:t>
      </w:r>
    </w:p>
    <w:p w:rsidR="00675D1A" w:rsidRPr="00D531FD" w:rsidRDefault="00675D1A" w:rsidP="00675D1A">
      <w:pPr>
        <w:spacing w:line="360" w:lineRule="auto"/>
      </w:pPr>
    </w:p>
    <w:p w:rsidR="00571E8B" w:rsidRDefault="00675D1A" w:rsidP="00675D1A">
      <w:pPr>
        <w:pStyle w:val="Sinespaciado"/>
        <w:spacing w:line="360" w:lineRule="auto"/>
        <w:rPr>
          <w:rFonts w:ascii="Times New Roman" w:hAnsi="Times New Roman"/>
          <w:sz w:val="24"/>
          <w:szCs w:val="24"/>
        </w:rPr>
      </w:pPr>
      <w:r w:rsidRPr="00D531FD">
        <w:rPr>
          <w:rFonts w:ascii="Times New Roman" w:hAnsi="Times New Roman"/>
          <w:sz w:val="24"/>
          <w:szCs w:val="24"/>
        </w:rPr>
        <w:t xml:space="preserve">    </w:t>
      </w:r>
    </w:p>
    <w:p w:rsidR="00675D1A" w:rsidRPr="00D531FD" w:rsidRDefault="00675D1A" w:rsidP="00675D1A">
      <w:pPr>
        <w:pStyle w:val="Sinespaciado"/>
        <w:spacing w:line="360" w:lineRule="auto"/>
        <w:rPr>
          <w:rFonts w:ascii="Times New Roman" w:hAnsi="Times New Roman"/>
          <w:sz w:val="24"/>
          <w:szCs w:val="24"/>
        </w:rPr>
      </w:pPr>
      <w:r w:rsidRPr="00D531FD">
        <w:rPr>
          <w:rFonts w:ascii="Times New Roman" w:hAnsi="Times New Roman"/>
          <w:sz w:val="24"/>
          <w:szCs w:val="24"/>
        </w:rPr>
        <w:t xml:space="preserve"> Con respecto al total nacional, la población del Quindío representa el 0.01% de la población total del país</w:t>
      </w:r>
      <w:r w:rsidRPr="00D531FD">
        <w:rPr>
          <w:rFonts w:ascii="Times New Roman" w:hAnsi="Times New Roman"/>
          <w:color w:val="FF0000"/>
          <w:sz w:val="24"/>
          <w:szCs w:val="24"/>
        </w:rPr>
        <w:t xml:space="preserve"> </w:t>
      </w:r>
      <w:r w:rsidRPr="00D531FD">
        <w:rPr>
          <w:rFonts w:ascii="Times New Roman" w:hAnsi="Times New Roman"/>
          <w:sz w:val="24"/>
          <w:szCs w:val="24"/>
        </w:rPr>
        <w:t>y se ubica en el puesto 22</w:t>
      </w:r>
      <w:r w:rsidRPr="00D531FD">
        <w:rPr>
          <w:rFonts w:ascii="Times New Roman" w:hAnsi="Times New Roman"/>
          <w:color w:val="FF0000"/>
          <w:sz w:val="24"/>
          <w:szCs w:val="24"/>
        </w:rPr>
        <w:t xml:space="preserve"> </w:t>
      </w:r>
      <w:r w:rsidRPr="00D531FD">
        <w:rPr>
          <w:rFonts w:ascii="Times New Roman" w:hAnsi="Times New Roman"/>
          <w:sz w:val="24"/>
          <w:szCs w:val="24"/>
        </w:rPr>
        <w:t>de los departamentos; mientras que Bogotá Distrito Capital se caracteriza por concentrar la mayor población dentro del total nacional al registrar una participación poblacional cercana al 6,14%.</w:t>
      </w:r>
      <w:r w:rsidRPr="00D531FD">
        <w:rPr>
          <w:rFonts w:ascii="Times New Roman" w:hAnsi="Times New Roman"/>
          <w:color w:val="FF0000"/>
          <w:sz w:val="24"/>
          <w:szCs w:val="24"/>
        </w:rPr>
        <w:t xml:space="preserve">  </w:t>
      </w:r>
      <w:r w:rsidRPr="00D531FD">
        <w:rPr>
          <w:rFonts w:ascii="Times New Roman" w:hAnsi="Times New Roman"/>
          <w:sz w:val="24"/>
          <w:szCs w:val="24"/>
        </w:rPr>
        <w:t>Por su parte, departamentos como Antioquia, Valle del Cauca y Cundinamarca concentran el 3,5% de los habitantes del país.</w:t>
      </w:r>
    </w:p>
    <w:p w:rsidR="00675D1A" w:rsidRPr="00D531FD" w:rsidRDefault="00675D1A" w:rsidP="00675D1A">
      <w:pPr>
        <w:pStyle w:val="Sinespaciado"/>
        <w:spacing w:line="360" w:lineRule="auto"/>
        <w:rPr>
          <w:rFonts w:ascii="Times New Roman" w:hAnsi="Times New Roman"/>
          <w:sz w:val="24"/>
          <w:szCs w:val="24"/>
        </w:rPr>
      </w:pPr>
    </w:p>
    <w:p w:rsidR="00675D1A" w:rsidRPr="005F3485" w:rsidRDefault="00CA4B02" w:rsidP="005F3485">
      <w:pPr>
        <w:pStyle w:val="Sinespaciado"/>
        <w:jc w:val="left"/>
        <w:rPr>
          <w:rFonts w:ascii="Times New Roman" w:hAnsi="Times New Roman"/>
          <w:sz w:val="24"/>
          <w:szCs w:val="24"/>
        </w:rPr>
      </w:pPr>
      <w:r>
        <w:rPr>
          <w:rFonts w:ascii="Times New Roman" w:hAnsi="Times New Roman"/>
          <w:sz w:val="24"/>
          <w:szCs w:val="24"/>
        </w:rPr>
        <w:t>Tabla</w:t>
      </w:r>
      <w:r w:rsidR="001D3458" w:rsidRPr="005F3485">
        <w:rPr>
          <w:rFonts w:ascii="Times New Roman" w:hAnsi="Times New Roman"/>
          <w:sz w:val="24"/>
          <w:szCs w:val="24"/>
        </w:rPr>
        <w:t xml:space="preserve"> 1.</w:t>
      </w:r>
      <w:r w:rsidR="00D531FD" w:rsidRPr="005F3485">
        <w:rPr>
          <w:rFonts w:ascii="Times New Roman" w:hAnsi="Times New Roman"/>
          <w:sz w:val="24"/>
          <w:szCs w:val="24"/>
        </w:rPr>
        <w:t>2</w:t>
      </w:r>
    </w:p>
    <w:p w:rsidR="00675D1A" w:rsidRDefault="00675D1A" w:rsidP="005F3485">
      <w:pPr>
        <w:pStyle w:val="Sinespaciado"/>
        <w:jc w:val="left"/>
        <w:rPr>
          <w:rFonts w:ascii="Times New Roman" w:hAnsi="Times New Roman"/>
          <w:bCs/>
          <w:color w:val="000000"/>
          <w:sz w:val="24"/>
          <w:szCs w:val="24"/>
        </w:rPr>
      </w:pPr>
      <w:r w:rsidRPr="005F3485">
        <w:rPr>
          <w:rFonts w:ascii="Times New Roman" w:hAnsi="Times New Roman"/>
          <w:bCs/>
          <w:color w:val="000000"/>
          <w:sz w:val="24"/>
          <w:szCs w:val="24"/>
        </w:rPr>
        <w:t>Población nacional según departamento</w:t>
      </w:r>
      <w:r w:rsidR="005F3485">
        <w:rPr>
          <w:rFonts w:ascii="Times New Roman" w:hAnsi="Times New Roman"/>
          <w:bCs/>
          <w:color w:val="000000"/>
          <w:sz w:val="24"/>
          <w:szCs w:val="24"/>
        </w:rPr>
        <w:t>. 2005</w:t>
      </w:r>
    </w:p>
    <w:p w:rsidR="00675D1A" w:rsidRPr="00D531FD" w:rsidRDefault="00675D1A" w:rsidP="00D531FD">
      <w:pPr>
        <w:pStyle w:val="Sinespaciado"/>
      </w:pPr>
    </w:p>
    <w:tbl>
      <w:tblPr>
        <w:tblW w:w="8949" w:type="dxa"/>
        <w:jc w:val="center"/>
        <w:tblCellMar>
          <w:left w:w="70" w:type="dxa"/>
          <w:right w:w="70" w:type="dxa"/>
        </w:tblCellMar>
        <w:tblLook w:val="04A0" w:firstRow="1" w:lastRow="0" w:firstColumn="1" w:lastColumn="0" w:noHBand="0" w:noVBand="1"/>
      </w:tblPr>
      <w:tblGrid>
        <w:gridCol w:w="1625"/>
        <w:gridCol w:w="1224"/>
        <w:gridCol w:w="1726"/>
        <w:gridCol w:w="1625"/>
        <w:gridCol w:w="1124"/>
        <w:gridCol w:w="1625"/>
      </w:tblGrid>
      <w:tr w:rsidR="00675D1A" w:rsidRPr="009A7DF4" w:rsidTr="00CA4B02">
        <w:trPr>
          <w:trHeight w:val="637"/>
          <w:tblHeader/>
          <w:jc w:val="center"/>
        </w:trPr>
        <w:tc>
          <w:tcPr>
            <w:tcW w:w="1625" w:type="dxa"/>
            <w:tcBorders>
              <w:top w:val="single" w:sz="8" w:space="0" w:color="auto"/>
              <w:left w:val="nil"/>
              <w:bottom w:val="double" w:sz="6" w:space="0" w:color="auto"/>
              <w:right w:val="nil"/>
            </w:tcBorders>
            <w:shd w:val="clear" w:color="000000" w:fill="FFFFFF"/>
            <w:vAlign w:val="center"/>
            <w:hideMark/>
          </w:tcPr>
          <w:p w:rsidR="00675D1A" w:rsidRPr="009A7DF4" w:rsidRDefault="00675D1A" w:rsidP="0077768E">
            <w:pPr>
              <w:jc w:val="center"/>
              <w:rPr>
                <w:b/>
                <w:bCs/>
                <w:sz w:val="20"/>
                <w:szCs w:val="20"/>
              </w:rPr>
            </w:pPr>
            <w:r w:rsidRPr="009A7DF4">
              <w:rPr>
                <w:b/>
                <w:bCs/>
                <w:sz w:val="20"/>
                <w:szCs w:val="20"/>
                <w:lang w:val="es-AR" w:eastAsia="es-AR"/>
              </w:rPr>
              <w:t>Departamento</w:t>
            </w:r>
          </w:p>
        </w:tc>
        <w:tc>
          <w:tcPr>
            <w:tcW w:w="1224" w:type="dxa"/>
            <w:tcBorders>
              <w:top w:val="single" w:sz="8" w:space="0" w:color="auto"/>
              <w:left w:val="nil"/>
              <w:bottom w:val="double" w:sz="6" w:space="0" w:color="auto"/>
              <w:right w:val="nil"/>
            </w:tcBorders>
            <w:shd w:val="clear" w:color="000000" w:fill="FFFFFF"/>
            <w:vAlign w:val="center"/>
            <w:hideMark/>
          </w:tcPr>
          <w:p w:rsidR="00675D1A" w:rsidRPr="009A7DF4" w:rsidRDefault="00675D1A" w:rsidP="0077768E">
            <w:pPr>
              <w:jc w:val="center"/>
              <w:rPr>
                <w:b/>
                <w:bCs/>
                <w:sz w:val="20"/>
                <w:szCs w:val="20"/>
              </w:rPr>
            </w:pPr>
            <w:r w:rsidRPr="009A7DF4">
              <w:rPr>
                <w:b/>
                <w:bCs/>
                <w:sz w:val="20"/>
                <w:szCs w:val="20"/>
                <w:lang w:val="es-AR" w:eastAsia="es-AR"/>
              </w:rPr>
              <w:t>2005</w:t>
            </w:r>
          </w:p>
        </w:tc>
        <w:tc>
          <w:tcPr>
            <w:tcW w:w="1726" w:type="dxa"/>
            <w:tcBorders>
              <w:top w:val="single" w:sz="8" w:space="0" w:color="auto"/>
              <w:left w:val="nil"/>
              <w:bottom w:val="double" w:sz="6" w:space="0" w:color="auto"/>
              <w:right w:val="nil"/>
            </w:tcBorders>
            <w:shd w:val="clear" w:color="000000" w:fill="FFFFFF"/>
            <w:vAlign w:val="center"/>
            <w:hideMark/>
          </w:tcPr>
          <w:p w:rsidR="00675D1A" w:rsidRPr="009A7DF4" w:rsidRDefault="00675D1A" w:rsidP="0077768E">
            <w:pPr>
              <w:jc w:val="center"/>
              <w:rPr>
                <w:b/>
                <w:bCs/>
                <w:sz w:val="20"/>
                <w:szCs w:val="20"/>
              </w:rPr>
            </w:pPr>
            <w:r w:rsidRPr="009A7DF4">
              <w:rPr>
                <w:b/>
                <w:bCs/>
                <w:sz w:val="20"/>
                <w:szCs w:val="20"/>
                <w:lang w:val="es-AR" w:eastAsia="es-AR"/>
              </w:rPr>
              <w:t>Participación %</w:t>
            </w:r>
          </w:p>
        </w:tc>
        <w:tc>
          <w:tcPr>
            <w:tcW w:w="1625" w:type="dxa"/>
            <w:tcBorders>
              <w:top w:val="single" w:sz="8" w:space="0" w:color="auto"/>
              <w:left w:val="nil"/>
              <w:bottom w:val="double" w:sz="6" w:space="0" w:color="auto"/>
              <w:right w:val="nil"/>
            </w:tcBorders>
            <w:shd w:val="clear" w:color="000000" w:fill="FFFFFF"/>
            <w:vAlign w:val="center"/>
            <w:hideMark/>
          </w:tcPr>
          <w:p w:rsidR="00675D1A" w:rsidRPr="009A7DF4" w:rsidRDefault="00675D1A" w:rsidP="0077768E">
            <w:pPr>
              <w:jc w:val="center"/>
              <w:rPr>
                <w:b/>
                <w:bCs/>
                <w:sz w:val="20"/>
                <w:szCs w:val="20"/>
              </w:rPr>
            </w:pPr>
            <w:r w:rsidRPr="009A7DF4">
              <w:rPr>
                <w:b/>
                <w:bCs/>
                <w:sz w:val="20"/>
                <w:szCs w:val="20"/>
                <w:lang w:val="es-AR" w:eastAsia="es-AR"/>
              </w:rPr>
              <w:t>Departamento</w:t>
            </w:r>
          </w:p>
        </w:tc>
        <w:tc>
          <w:tcPr>
            <w:tcW w:w="1124" w:type="dxa"/>
            <w:tcBorders>
              <w:top w:val="single" w:sz="8" w:space="0" w:color="auto"/>
              <w:left w:val="nil"/>
              <w:bottom w:val="double" w:sz="6" w:space="0" w:color="auto"/>
              <w:right w:val="nil"/>
            </w:tcBorders>
            <w:shd w:val="clear" w:color="000000" w:fill="FFFFFF"/>
            <w:vAlign w:val="center"/>
            <w:hideMark/>
          </w:tcPr>
          <w:p w:rsidR="00675D1A" w:rsidRPr="009A7DF4" w:rsidRDefault="00675D1A" w:rsidP="0077768E">
            <w:pPr>
              <w:jc w:val="center"/>
              <w:rPr>
                <w:b/>
                <w:bCs/>
                <w:sz w:val="20"/>
                <w:szCs w:val="20"/>
              </w:rPr>
            </w:pPr>
            <w:r w:rsidRPr="009A7DF4">
              <w:rPr>
                <w:b/>
                <w:bCs/>
                <w:sz w:val="20"/>
                <w:szCs w:val="20"/>
                <w:lang w:val="es-AR" w:eastAsia="es-AR"/>
              </w:rPr>
              <w:t>2005</w:t>
            </w:r>
          </w:p>
        </w:tc>
        <w:tc>
          <w:tcPr>
            <w:tcW w:w="1625" w:type="dxa"/>
            <w:tcBorders>
              <w:top w:val="single" w:sz="8" w:space="0" w:color="auto"/>
              <w:left w:val="nil"/>
              <w:bottom w:val="double" w:sz="6" w:space="0" w:color="auto"/>
              <w:right w:val="nil"/>
            </w:tcBorders>
            <w:shd w:val="clear" w:color="000000" w:fill="FFFFFF"/>
            <w:vAlign w:val="center"/>
            <w:hideMark/>
          </w:tcPr>
          <w:p w:rsidR="00675D1A" w:rsidRPr="009A7DF4" w:rsidRDefault="00675D1A" w:rsidP="0077768E">
            <w:pPr>
              <w:jc w:val="center"/>
              <w:rPr>
                <w:b/>
                <w:bCs/>
                <w:sz w:val="20"/>
                <w:szCs w:val="20"/>
              </w:rPr>
            </w:pPr>
            <w:r w:rsidRPr="009A7DF4">
              <w:rPr>
                <w:b/>
                <w:bCs/>
                <w:sz w:val="20"/>
                <w:szCs w:val="20"/>
                <w:lang w:val="es-AR" w:eastAsia="es-AR"/>
              </w:rPr>
              <w:t>Participación %</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b/>
                <w:bCs/>
                <w:sz w:val="20"/>
                <w:szCs w:val="20"/>
              </w:rPr>
            </w:pPr>
            <w:r w:rsidRPr="009A7DF4">
              <w:rPr>
                <w:b/>
                <w:bCs/>
                <w:sz w:val="20"/>
                <w:szCs w:val="20"/>
                <w:lang w:val="es-AR" w:eastAsia="es-AR"/>
              </w:rPr>
              <w:t>Total Nacional</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b/>
                <w:bCs/>
                <w:sz w:val="20"/>
                <w:szCs w:val="20"/>
              </w:rPr>
            </w:pPr>
            <w:r w:rsidRPr="009A7DF4">
              <w:rPr>
                <w:b/>
                <w:bCs/>
                <w:sz w:val="20"/>
                <w:szCs w:val="20"/>
                <w:lang w:val="es-AR" w:eastAsia="es-AR"/>
              </w:rPr>
              <w:t>42.888.592</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b/>
                <w:bCs/>
                <w:sz w:val="20"/>
                <w:szCs w:val="20"/>
              </w:rPr>
            </w:pPr>
            <w:r w:rsidRPr="009A7DF4">
              <w:rPr>
                <w:b/>
                <w:bCs/>
                <w:sz w:val="20"/>
                <w:szCs w:val="20"/>
                <w:lang w:val="es-AR" w:eastAsia="es-AR"/>
              </w:rPr>
              <w:t>100,00%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Cesar</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903.279</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2,10%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Bogotá, D.C.</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6.840.116</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15,90%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Risaralda</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897.509</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2,10%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Antioquia</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5.682.276</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13,20%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Meta</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783.168</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1,80%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Valle del Cauca</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4.161.425</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9,70%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Sucre</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772.010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1,80%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Cundinamarca</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2.280.037</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5,30%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La Guajira</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681.575</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1,60%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Atlántico</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2.166.156</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5,10%</w:t>
            </w:r>
          </w:p>
        </w:tc>
        <w:tc>
          <w:tcPr>
            <w:tcW w:w="1625" w:type="dxa"/>
            <w:tcBorders>
              <w:top w:val="nil"/>
              <w:left w:val="nil"/>
              <w:bottom w:val="nil"/>
              <w:right w:val="nil"/>
            </w:tcBorders>
            <w:shd w:val="clear" w:color="000000" w:fill="FFFFFF"/>
            <w:noWrap/>
            <w:vAlign w:val="bottom"/>
            <w:hideMark/>
          </w:tcPr>
          <w:p w:rsidR="00675D1A" w:rsidRPr="00CA4B02" w:rsidRDefault="00675D1A" w:rsidP="0077768E">
            <w:pPr>
              <w:rPr>
                <w:b/>
                <w:bCs/>
                <w:color w:val="C00000"/>
                <w:sz w:val="20"/>
                <w:szCs w:val="20"/>
              </w:rPr>
            </w:pPr>
            <w:r w:rsidRPr="00CA4B02">
              <w:rPr>
                <w:b/>
                <w:bCs/>
                <w:color w:val="C00000"/>
                <w:sz w:val="20"/>
                <w:szCs w:val="20"/>
                <w:lang w:val="es-AR" w:eastAsia="es-AR"/>
              </w:rPr>
              <w:t>Quindío</w:t>
            </w:r>
          </w:p>
        </w:tc>
        <w:tc>
          <w:tcPr>
            <w:tcW w:w="1124" w:type="dxa"/>
            <w:tcBorders>
              <w:top w:val="nil"/>
              <w:left w:val="nil"/>
              <w:bottom w:val="nil"/>
              <w:right w:val="nil"/>
            </w:tcBorders>
            <w:shd w:val="clear" w:color="000000" w:fill="FFFFFF"/>
            <w:noWrap/>
            <w:vAlign w:val="bottom"/>
            <w:hideMark/>
          </w:tcPr>
          <w:p w:rsidR="00675D1A" w:rsidRPr="00CA4B02" w:rsidRDefault="00675D1A" w:rsidP="0077768E">
            <w:pPr>
              <w:jc w:val="center"/>
              <w:rPr>
                <w:b/>
                <w:bCs/>
                <w:color w:val="C00000"/>
                <w:sz w:val="20"/>
                <w:szCs w:val="20"/>
              </w:rPr>
            </w:pPr>
            <w:r w:rsidRPr="00CA4B02">
              <w:rPr>
                <w:b/>
                <w:bCs/>
                <w:color w:val="C00000"/>
                <w:sz w:val="20"/>
                <w:szCs w:val="20"/>
                <w:lang w:val="es-AR" w:eastAsia="es-AR"/>
              </w:rPr>
              <w:t>534.506</w:t>
            </w:r>
          </w:p>
        </w:tc>
        <w:tc>
          <w:tcPr>
            <w:tcW w:w="1625" w:type="dxa"/>
            <w:tcBorders>
              <w:top w:val="nil"/>
              <w:left w:val="nil"/>
              <w:bottom w:val="nil"/>
              <w:right w:val="nil"/>
            </w:tcBorders>
            <w:shd w:val="clear" w:color="000000" w:fill="FFFFFF"/>
            <w:noWrap/>
            <w:vAlign w:val="bottom"/>
            <w:hideMark/>
          </w:tcPr>
          <w:p w:rsidR="00675D1A" w:rsidRPr="00CA4B02" w:rsidRDefault="00675D1A" w:rsidP="0077768E">
            <w:pPr>
              <w:jc w:val="center"/>
              <w:rPr>
                <w:b/>
                <w:bCs/>
                <w:color w:val="C00000"/>
                <w:sz w:val="20"/>
                <w:szCs w:val="20"/>
              </w:rPr>
            </w:pPr>
            <w:r w:rsidRPr="00CA4B02">
              <w:rPr>
                <w:b/>
                <w:bCs/>
                <w:color w:val="C00000"/>
                <w:sz w:val="20"/>
                <w:szCs w:val="20"/>
                <w:lang w:val="es-AR" w:eastAsia="es-AR"/>
              </w:rPr>
              <w:t>1,20%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Santander</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1.957.789</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4,60%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Chocó</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454.030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1,10%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lastRenderedPageBreak/>
              <w:t>Bolívar</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1.878.993</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4,40%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Caquetá</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420.337</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1,00%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Nariño</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1.541.956</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3,60%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Putumayo</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310.132</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0,70%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Córdoba</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1.467.929</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3,40%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Casanare</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295.353</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0,70%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Tolima</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1.365.342</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3,20%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Arauca</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232.118</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0,50%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Cauca</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1.268.937</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3,00%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Guaviare</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95.551</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0,20%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Boyacá</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1.255.311</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2,90%</w:t>
            </w:r>
          </w:p>
        </w:tc>
        <w:tc>
          <w:tcPr>
            <w:tcW w:w="1625" w:type="dxa"/>
            <w:tcBorders>
              <w:top w:val="nil"/>
              <w:left w:val="nil"/>
              <w:bottom w:val="nil"/>
              <w:right w:val="nil"/>
            </w:tcBorders>
            <w:shd w:val="clear" w:color="000000" w:fill="FFFFFF"/>
            <w:vAlign w:val="center"/>
            <w:hideMark/>
          </w:tcPr>
          <w:p w:rsidR="00675D1A" w:rsidRPr="009A7DF4" w:rsidRDefault="00675D1A" w:rsidP="0077768E">
            <w:pPr>
              <w:rPr>
                <w:sz w:val="20"/>
                <w:szCs w:val="20"/>
              </w:rPr>
            </w:pPr>
            <w:r w:rsidRPr="009A7DF4">
              <w:rPr>
                <w:sz w:val="20"/>
                <w:szCs w:val="20"/>
                <w:lang w:val="es-AR" w:eastAsia="es-AR"/>
              </w:rPr>
              <w:t>Archipiélago de San Andrés</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70.554</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0,20%</w:t>
            </w:r>
          </w:p>
        </w:tc>
      </w:tr>
      <w:tr w:rsidR="00675D1A" w:rsidRPr="009A7DF4" w:rsidTr="00CA4B02">
        <w:trPr>
          <w:trHeight w:val="411"/>
          <w:jc w:val="center"/>
        </w:trPr>
        <w:tc>
          <w:tcPr>
            <w:tcW w:w="1625" w:type="dxa"/>
            <w:tcBorders>
              <w:top w:val="nil"/>
              <w:left w:val="nil"/>
              <w:bottom w:val="nil"/>
              <w:right w:val="nil"/>
            </w:tcBorders>
            <w:shd w:val="clear" w:color="000000" w:fill="FFFFFF"/>
            <w:vAlign w:val="center"/>
            <w:hideMark/>
          </w:tcPr>
          <w:p w:rsidR="00675D1A" w:rsidRPr="009A7DF4" w:rsidRDefault="00675D1A" w:rsidP="0077768E">
            <w:pPr>
              <w:rPr>
                <w:sz w:val="20"/>
                <w:szCs w:val="20"/>
              </w:rPr>
            </w:pPr>
            <w:r w:rsidRPr="009A7DF4">
              <w:rPr>
                <w:sz w:val="20"/>
                <w:szCs w:val="20"/>
                <w:lang w:val="es-AR" w:eastAsia="es-AR"/>
              </w:rPr>
              <w:t>Norte de Santander</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1.243.975</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2,90%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Amazonas</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67.726</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0,20%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Magdalena</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1.149.917</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2,70%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Vichada</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55.872</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0,10%</w:t>
            </w:r>
          </w:p>
        </w:tc>
      </w:tr>
      <w:tr w:rsidR="00675D1A" w:rsidRPr="009A7DF4" w:rsidTr="00CA4B02">
        <w:trPr>
          <w:trHeight w:val="411"/>
          <w:jc w:val="center"/>
        </w:trPr>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Huila</w:t>
            </w:r>
          </w:p>
        </w:tc>
        <w:tc>
          <w:tcPr>
            <w:tcW w:w="12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1.011.418</w:t>
            </w:r>
          </w:p>
        </w:tc>
        <w:tc>
          <w:tcPr>
            <w:tcW w:w="1726"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2,40%</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Vaupés</w:t>
            </w:r>
          </w:p>
        </w:tc>
        <w:tc>
          <w:tcPr>
            <w:tcW w:w="1124"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39.279</w:t>
            </w:r>
          </w:p>
        </w:tc>
        <w:tc>
          <w:tcPr>
            <w:tcW w:w="1625" w:type="dxa"/>
            <w:tcBorders>
              <w:top w:val="nil"/>
              <w:left w:val="nil"/>
              <w:bottom w:val="nil"/>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0,10%</w:t>
            </w:r>
          </w:p>
        </w:tc>
      </w:tr>
      <w:tr w:rsidR="00675D1A" w:rsidRPr="009A7DF4" w:rsidTr="00CA4B02">
        <w:trPr>
          <w:trHeight w:val="411"/>
          <w:jc w:val="center"/>
        </w:trPr>
        <w:tc>
          <w:tcPr>
            <w:tcW w:w="1625" w:type="dxa"/>
            <w:tcBorders>
              <w:top w:val="nil"/>
              <w:left w:val="nil"/>
              <w:bottom w:val="single" w:sz="8" w:space="0" w:color="auto"/>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Caldas</w:t>
            </w:r>
          </w:p>
        </w:tc>
        <w:tc>
          <w:tcPr>
            <w:tcW w:w="1224" w:type="dxa"/>
            <w:tcBorders>
              <w:top w:val="nil"/>
              <w:left w:val="nil"/>
              <w:bottom w:val="single" w:sz="8" w:space="0" w:color="auto"/>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968.740</w:t>
            </w:r>
          </w:p>
        </w:tc>
        <w:tc>
          <w:tcPr>
            <w:tcW w:w="1726" w:type="dxa"/>
            <w:tcBorders>
              <w:top w:val="nil"/>
              <w:left w:val="nil"/>
              <w:bottom w:val="single" w:sz="8" w:space="0" w:color="auto"/>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2,30%</w:t>
            </w:r>
          </w:p>
        </w:tc>
        <w:tc>
          <w:tcPr>
            <w:tcW w:w="1625" w:type="dxa"/>
            <w:tcBorders>
              <w:top w:val="nil"/>
              <w:left w:val="nil"/>
              <w:bottom w:val="single" w:sz="8" w:space="0" w:color="auto"/>
              <w:right w:val="nil"/>
            </w:tcBorders>
            <w:shd w:val="clear" w:color="000000" w:fill="FFFFFF"/>
            <w:noWrap/>
            <w:vAlign w:val="bottom"/>
            <w:hideMark/>
          </w:tcPr>
          <w:p w:rsidR="00675D1A" w:rsidRPr="009A7DF4" w:rsidRDefault="00675D1A" w:rsidP="0077768E">
            <w:pPr>
              <w:rPr>
                <w:sz w:val="20"/>
                <w:szCs w:val="20"/>
              </w:rPr>
            </w:pPr>
            <w:r w:rsidRPr="009A7DF4">
              <w:rPr>
                <w:sz w:val="20"/>
                <w:szCs w:val="20"/>
                <w:lang w:val="es-AR" w:eastAsia="es-AR"/>
              </w:rPr>
              <w:t>Guainía</w:t>
            </w:r>
          </w:p>
        </w:tc>
        <w:tc>
          <w:tcPr>
            <w:tcW w:w="1124" w:type="dxa"/>
            <w:tcBorders>
              <w:top w:val="nil"/>
              <w:left w:val="nil"/>
              <w:bottom w:val="single" w:sz="8" w:space="0" w:color="auto"/>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35.230</w:t>
            </w:r>
          </w:p>
        </w:tc>
        <w:tc>
          <w:tcPr>
            <w:tcW w:w="1625" w:type="dxa"/>
            <w:tcBorders>
              <w:top w:val="nil"/>
              <w:left w:val="nil"/>
              <w:bottom w:val="single" w:sz="8" w:space="0" w:color="auto"/>
              <w:right w:val="nil"/>
            </w:tcBorders>
            <w:shd w:val="clear" w:color="000000" w:fill="FFFFFF"/>
            <w:noWrap/>
            <w:vAlign w:val="bottom"/>
            <w:hideMark/>
          </w:tcPr>
          <w:p w:rsidR="00675D1A" w:rsidRPr="009A7DF4" w:rsidRDefault="00675D1A" w:rsidP="0077768E">
            <w:pPr>
              <w:jc w:val="center"/>
              <w:rPr>
                <w:sz w:val="20"/>
                <w:szCs w:val="20"/>
              </w:rPr>
            </w:pPr>
            <w:r w:rsidRPr="009A7DF4">
              <w:rPr>
                <w:sz w:val="20"/>
                <w:szCs w:val="20"/>
                <w:lang w:val="es-AR" w:eastAsia="es-AR"/>
              </w:rPr>
              <w:t>0,10%</w:t>
            </w:r>
          </w:p>
        </w:tc>
      </w:tr>
    </w:tbl>
    <w:p w:rsidR="00675D1A" w:rsidRPr="00CA4B02" w:rsidRDefault="00CA4B02" w:rsidP="00CA4B02">
      <w:pPr>
        <w:pStyle w:val="Sinespaciado"/>
        <w:rPr>
          <w:rFonts w:ascii="Times New Roman" w:hAnsi="Times New Roman"/>
          <w:color w:val="FF0000"/>
          <w:sz w:val="16"/>
          <w:szCs w:val="16"/>
        </w:rPr>
      </w:pPr>
      <w:r w:rsidRPr="00D531FD">
        <w:rPr>
          <w:rFonts w:ascii="Times New Roman" w:hAnsi="Times New Roman"/>
          <w:noProof/>
          <w:sz w:val="16"/>
          <w:szCs w:val="16"/>
          <w:lang w:val="es-CO" w:eastAsia="es-CO"/>
        </w:rPr>
        <w:t xml:space="preserve">Fuente: </w:t>
      </w:r>
      <w:r w:rsidR="008F5FB2">
        <w:rPr>
          <w:rFonts w:ascii="Times New Roman" w:hAnsi="Times New Roman"/>
          <w:noProof/>
          <w:sz w:val="16"/>
          <w:szCs w:val="16"/>
          <w:lang w:val="es-CO" w:eastAsia="es-CO"/>
        </w:rPr>
        <w:t>DANE</w:t>
      </w:r>
      <w:r w:rsidRPr="00D531FD">
        <w:rPr>
          <w:rFonts w:ascii="Times New Roman" w:hAnsi="Times New Roman"/>
          <w:noProof/>
          <w:sz w:val="16"/>
          <w:szCs w:val="16"/>
          <w:lang w:val="es-CO" w:eastAsia="es-CO"/>
        </w:rPr>
        <w:t xml:space="preserve"> y cálculos propios</w:t>
      </w:r>
    </w:p>
    <w:p w:rsidR="0077768E" w:rsidRDefault="0077768E" w:rsidP="00675D1A">
      <w:pPr>
        <w:pStyle w:val="Sinespaciado"/>
        <w:rPr>
          <w:rFonts w:ascii="Times New Roman" w:hAnsi="Times New Roman"/>
          <w:b/>
          <w:sz w:val="30"/>
          <w:szCs w:val="30"/>
        </w:rPr>
      </w:pPr>
    </w:p>
    <w:p w:rsidR="0077768E" w:rsidRDefault="0077768E" w:rsidP="00675D1A">
      <w:pPr>
        <w:pStyle w:val="Sinespaciado"/>
        <w:rPr>
          <w:rFonts w:ascii="Times New Roman" w:hAnsi="Times New Roman"/>
          <w:b/>
          <w:sz w:val="30"/>
          <w:szCs w:val="30"/>
        </w:rPr>
      </w:pPr>
    </w:p>
    <w:p w:rsidR="00675D1A" w:rsidRPr="00E75C28" w:rsidRDefault="00E75C28" w:rsidP="00E75C28">
      <w:pPr>
        <w:pStyle w:val="Ttulo2"/>
        <w:rPr>
          <w:rFonts w:ascii="Times New Roman" w:hAnsi="Times New Roman" w:cs="Times New Roman"/>
          <w:color w:val="auto"/>
          <w:sz w:val="30"/>
          <w:szCs w:val="30"/>
        </w:rPr>
      </w:pPr>
      <w:bookmarkStart w:id="7" w:name="_Toc406754274"/>
      <w:r w:rsidRPr="00E75C28">
        <w:rPr>
          <w:rFonts w:ascii="Times New Roman" w:hAnsi="Times New Roman" w:cs="Times New Roman"/>
          <w:color w:val="auto"/>
          <w:sz w:val="30"/>
          <w:szCs w:val="30"/>
        </w:rPr>
        <w:t xml:space="preserve">1.1.1 </w:t>
      </w:r>
      <w:r w:rsidR="00675D1A" w:rsidRPr="00E75C28">
        <w:rPr>
          <w:rFonts w:ascii="Times New Roman" w:hAnsi="Times New Roman" w:cs="Times New Roman"/>
          <w:color w:val="auto"/>
          <w:sz w:val="30"/>
          <w:szCs w:val="30"/>
        </w:rPr>
        <w:t>Población según rangos de edad</w:t>
      </w:r>
      <w:bookmarkEnd w:id="7"/>
    </w:p>
    <w:p w:rsidR="00675D1A" w:rsidRDefault="00675D1A" w:rsidP="00675D1A">
      <w:pPr>
        <w:pStyle w:val="Sinespaciado"/>
        <w:rPr>
          <w:rFonts w:ascii="Times New Roman" w:hAnsi="Times New Roman"/>
        </w:rPr>
      </w:pPr>
    </w:p>
    <w:p w:rsidR="00F03E6E" w:rsidRPr="00D531FD" w:rsidRDefault="00F03E6E" w:rsidP="00675D1A">
      <w:pPr>
        <w:pStyle w:val="Sinespaciado"/>
        <w:rPr>
          <w:rFonts w:ascii="Times New Roman" w:hAnsi="Times New Roman"/>
        </w:rPr>
      </w:pPr>
    </w:p>
    <w:p w:rsidR="00675D1A" w:rsidRPr="00E75C28" w:rsidRDefault="00675D1A" w:rsidP="0006639D">
      <w:pPr>
        <w:pStyle w:val="Sinespaciado"/>
        <w:spacing w:line="360" w:lineRule="auto"/>
        <w:ind w:firstLine="284"/>
        <w:rPr>
          <w:rFonts w:ascii="Times New Roman" w:hAnsi="Times New Roman"/>
          <w:sz w:val="24"/>
          <w:szCs w:val="24"/>
        </w:rPr>
      </w:pPr>
      <w:r w:rsidRPr="00E75C28">
        <w:rPr>
          <w:rFonts w:ascii="Times New Roman" w:hAnsi="Times New Roman"/>
          <w:sz w:val="24"/>
          <w:szCs w:val="24"/>
        </w:rPr>
        <w:t xml:space="preserve">De acuerdo a la composición demográfica del </w:t>
      </w:r>
      <w:r w:rsidR="008E1893">
        <w:rPr>
          <w:rFonts w:ascii="Times New Roman" w:hAnsi="Times New Roman"/>
          <w:sz w:val="24"/>
          <w:szCs w:val="24"/>
        </w:rPr>
        <w:t>D</w:t>
      </w:r>
      <w:r w:rsidRPr="00E75C28">
        <w:rPr>
          <w:rFonts w:ascii="Times New Roman" w:hAnsi="Times New Roman"/>
          <w:sz w:val="24"/>
          <w:szCs w:val="24"/>
        </w:rPr>
        <w:t>epartamento del Quindío, se evidencia q</w:t>
      </w:r>
      <w:r w:rsidR="008E1893">
        <w:rPr>
          <w:rFonts w:ascii="Times New Roman" w:hAnsi="Times New Roman"/>
          <w:sz w:val="24"/>
          <w:szCs w:val="24"/>
        </w:rPr>
        <w:t xml:space="preserve">ue en el último periodo censal </w:t>
      </w:r>
      <w:r w:rsidRPr="00E75C28">
        <w:rPr>
          <w:rFonts w:ascii="Times New Roman" w:hAnsi="Times New Roman"/>
          <w:sz w:val="24"/>
          <w:szCs w:val="24"/>
        </w:rPr>
        <w:t>(2005) y en el año de análisis (2013)</w:t>
      </w:r>
      <w:r w:rsidR="00BC2FE8" w:rsidRPr="00E75C28">
        <w:rPr>
          <w:rStyle w:val="Refdenotaalpie"/>
          <w:rFonts w:ascii="Times New Roman" w:hAnsi="Times New Roman"/>
          <w:sz w:val="24"/>
          <w:szCs w:val="24"/>
        </w:rPr>
        <w:footnoteReference w:id="3"/>
      </w:r>
      <w:r w:rsidRPr="00E75C28">
        <w:rPr>
          <w:rFonts w:ascii="Times New Roman" w:hAnsi="Times New Roman"/>
          <w:sz w:val="24"/>
          <w:szCs w:val="24"/>
        </w:rPr>
        <w:t xml:space="preserve"> existe una relación muy pareja de hombres y mujeres al ser del 49% y 51%, respectivamente. La población entre los 15 y 64 años en el año 2013 representa alrededor del 75% de la población total, los cuales se caracterizan por estar en edad de trabajar y constituirse como la población económicamente activa, este dato implica que el departamento debe de generar la cantidad suficiente de empleos p</w:t>
      </w:r>
      <w:r w:rsidR="00F03E6E">
        <w:rPr>
          <w:rFonts w:ascii="Times New Roman" w:hAnsi="Times New Roman"/>
          <w:sz w:val="24"/>
          <w:szCs w:val="24"/>
        </w:rPr>
        <w:t>ara suplir la demanda existente</w:t>
      </w:r>
      <w:r w:rsidRPr="00E75C28">
        <w:rPr>
          <w:rFonts w:ascii="Times New Roman" w:hAnsi="Times New Roman"/>
          <w:sz w:val="24"/>
          <w:szCs w:val="24"/>
        </w:rPr>
        <w:t>. El sexo masculino presenta una mayor participación en las edades comprendidas entre los 0 y 29 años; mientras que las mujeres son más numerosas entre los 30 años y más; por tanto</w:t>
      </w:r>
      <w:r w:rsidR="00E00AFF">
        <w:rPr>
          <w:rFonts w:ascii="Times New Roman" w:hAnsi="Times New Roman"/>
          <w:sz w:val="24"/>
          <w:szCs w:val="24"/>
        </w:rPr>
        <w:t>,</w:t>
      </w:r>
      <w:r w:rsidRPr="00E75C28">
        <w:rPr>
          <w:rFonts w:ascii="Times New Roman" w:hAnsi="Times New Roman"/>
          <w:sz w:val="24"/>
          <w:szCs w:val="24"/>
        </w:rPr>
        <w:t xml:space="preserve"> la población en edad de trabajar en el </w:t>
      </w:r>
      <w:r w:rsidR="008E1893">
        <w:rPr>
          <w:rFonts w:ascii="Times New Roman" w:hAnsi="Times New Roman"/>
          <w:sz w:val="24"/>
          <w:szCs w:val="24"/>
        </w:rPr>
        <w:t>Quindío,</w:t>
      </w:r>
      <w:r w:rsidRPr="00E75C28">
        <w:rPr>
          <w:rFonts w:ascii="Times New Roman" w:hAnsi="Times New Roman"/>
          <w:sz w:val="24"/>
          <w:szCs w:val="24"/>
        </w:rPr>
        <w:t xml:space="preserve"> es principalmente femenina.</w:t>
      </w:r>
    </w:p>
    <w:p w:rsidR="00675D1A" w:rsidRDefault="00675D1A" w:rsidP="00675D1A">
      <w:pPr>
        <w:pStyle w:val="Sinespaciado"/>
        <w:spacing w:line="360" w:lineRule="auto"/>
        <w:ind w:left="284"/>
        <w:rPr>
          <w:rFonts w:ascii="Times New Roman" w:hAnsi="Times New Roman"/>
        </w:rPr>
      </w:pPr>
    </w:p>
    <w:p w:rsidR="00315672" w:rsidRDefault="00315672" w:rsidP="00675D1A">
      <w:pPr>
        <w:pStyle w:val="Sinespaciado"/>
        <w:spacing w:line="360" w:lineRule="auto"/>
        <w:ind w:left="284"/>
        <w:rPr>
          <w:rFonts w:ascii="Times New Roman" w:hAnsi="Times New Roman"/>
        </w:rPr>
      </w:pPr>
    </w:p>
    <w:p w:rsidR="00675D1A" w:rsidRPr="00F96AF4" w:rsidRDefault="00675D1A" w:rsidP="00F96AF4">
      <w:pPr>
        <w:pStyle w:val="Sinespaciado"/>
        <w:jc w:val="left"/>
        <w:rPr>
          <w:rFonts w:ascii="Times New Roman" w:hAnsi="Times New Roman"/>
          <w:sz w:val="24"/>
          <w:szCs w:val="24"/>
        </w:rPr>
      </w:pPr>
      <w:r w:rsidRPr="00F96AF4">
        <w:rPr>
          <w:rFonts w:ascii="Times New Roman" w:hAnsi="Times New Roman"/>
          <w:sz w:val="24"/>
          <w:szCs w:val="24"/>
        </w:rPr>
        <w:lastRenderedPageBreak/>
        <w:t xml:space="preserve">Gráfico </w:t>
      </w:r>
      <w:r w:rsidR="00764478" w:rsidRPr="00F96AF4">
        <w:rPr>
          <w:rFonts w:ascii="Times New Roman" w:hAnsi="Times New Roman"/>
          <w:sz w:val="24"/>
          <w:szCs w:val="24"/>
        </w:rPr>
        <w:t>1</w:t>
      </w:r>
      <w:r w:rsidR="001D3458" w:rsidRPr="00F96AF4">
        <w:rPr>
          <w:rFonts w:ascii="Times New Roman" w:hAnsi="Times New Roman"/>
          <w:sz w:val="24"/>
          <w:szCs w:val="24"/>
        </w:rPr>
        <w:t>.</w:t>
      </w:r>
      <w:r w:rsidR="00E15700" w:rsidRPr="00F96AF4">
        <w:rPr>
          <w:rFonts w:ascii="Times New Roman" w:hAnsi="Times New Roman"/>
          <w:sz w:val="24"/>
          <w:szCs w:val="24"/>
        </w:rPr>
        <w:t>2</w:t>
      </w:r>
    </w:p>
    <w:p w:rsidR="00675D1A" w:rsidRPr="00F96AF4" w:rsidRDefault="00675D1A" w:rsidP="00F96AF4">
      <w:pPr>
        <w:pStyle w:val="Sinespaciado"/>
        <w:jc w:val="left"/>
        <w:rPr>
          <w:rFonts w:ascii="Times New Roman" w:hAnsi="Times New Roman"/>
          <w:sz w:val="24"/>
          <w:szCs w:val="24"/>
        </w:rPr>
      </w:pPr>
      <w:r w:rsidRPr="00F96AF4">
        <w:rPr>
          <w:rFonts w:ascii="Times New Roman" w:hAnsi="Times New Roman"/>
          <w:sz w:val="24"/>
          <w:szCs w:val="24"/>
        </w:rPr>
        <w:t>Quindío, Pirámides Poblacionales estructuradas por sexo y por edad</w:t>
      </w:r>
    </w:p>
    <w:p w:rsidR="00675D1A" w:rsidRPr="00F96AF4" w:rsidRDefault="00675D1A" w:rsidP="00F96AF4">
      <w:pPr>
        <w:pStyle w:val="Sinespaciado"/>
        <w:jc w:val="left"/>
        <w:rPr>
          <w:rFonts w:ascii="Times New Roman" w:hAnsi="Times New Roman"/>
          <w:sz w:val="24"/>
          <w:szCs w:val="24"/>
        </w:rPr>
      </w:pPr>
      <w:r w:rsidRPr="00F96AF4">
        <w:rPr>
          <w:rFonts w:ascii="Times New Roman" w:hAnsi="Times New Roman"/>
          <w:sz w:val="24"/>
          <w:szCs w:val="24"/>
        </w:rPr>
        <w:t>Periodos censales 1985 - 2005 y Proyecciones 2013</w:t>
      </w:r>
    </w:p>
    <w:p w:rsidR="00675D1A" w:rsidRPr="00D531FD" w:rsidRDefault="00675D1A" w:rsidP="00675D1A">
      <w:pPr>
        <w:pStyle w:val="Sinespaciado"/>
        <w:rPr>
          <w:rFonts w:ascii="Times New Roman" w:hAnsi="Times New Roman"/>
          <w:sz w:val="20"/>
          <w:szCs w:val="20"/>
        </w:rPr>
      </w:pPr>
    </w:p>
    <w:p w:rsidR="00675D1A" w:rsidRPr="00BD70D3" w:rsidRDefault="00675D1A" w:rsidP="00675D1A">
      <w:pPr>
        <w:pStyle w:val="Sinespaciado"/>
        <w:rPr>
          <w:rFonts w:ascii="Times New Roman" w:hAnsi="Times New Roman"/>
          <w:sz w:val="24"/>
          <w:szCs w:val="24"/>
        </w:rPr>
      </w:pPr>
      <w:r w:rsidRPr="00D531FD">
        <w:rPr>
          <w:rFonts w:ascii="Times New Roman" w:hAnsi="Times New Roman"/>
          <w:sz w:val="20"/>
          <w:szCs w:val="20"/>
        </w:rPr>
        <w:tab/>
      </w:r>
      <w:r w:rsidRPr="00D531FD">
        <w:rPr>
          <w:rFonts w:ascii="Times New Roman" w:hAnsi="Times New Roman"/>
          <w:sz w:val="20"/>
          <w:szCs w:val="20"/>
        </w:rPr>
        <w:tab/>
      </w:r>
      <w:r w:rsidRPr="00D531FD">
        <w:rPr>
          <w:rFonts w:ascii="Times New Roman" w:hAnsi="Times New Roman"/>
          <w:sz w:val="20"/>
          <w:szCs w:val="20"/>
        </w:rPr>
        <w:tab/>
      </w:r>
      <w:r w:rsidRPr="00BD70D3">
        <w:rPr>
          <w:rFonts w:ascii="Times New Roman" w:hAnsi="Times New Roman"/>
          <w:sz w:val="24"/>
          <w:szCs w:val="24"/>
        </w:rPr>
        <w:t>1985</w:t>
      </w:r>
      <w:r w:rsidRPr="00BD70D3">
        <w:rPr>
          <w:rFonts w:ascii="Times New Roman" w:hAnsi="Times New Roman"/>
          <w:sz w:val="24"/>
          <w:szCs w:val="24"/>
        </w:rPr>
        <w:tab/>
      </w:r>
      <w:r w:rsidRPr="00BD70D3">
        <w:rPr>
          <w:rFonts w:ascii="Times New Roman" w:hAnsi="Times New Roman"/>
          <w:sz w:val="24"/>
          <w:szCs w:val="24"/>
        </w:rPr>
        <w:tab/>
      </w:r>
      <w:r w:rsidRPr="00BD70D3">
        <w:rPr>
          <w:rFonts w:ascii="Times New Roman" w:hAnsi="Times New Roman"/>
          <w:sz w:val="24"/>
          <w:szCs w:val="24"/>
        </w:rPr>
        <w:tab/>
      </w:r>
      <w:r w:rsidRPr="00BD70D3">
        <w:rPr>
          <w:rFonts w:ascii="Times New Roman" w:hAnsi="Times New Roman"/>
          <w:sz w:val="24"/>
          <w:szCs w:val="24"/>
        </w:rPr>
        <w:tab/>
      </w:r>
      <w:r w:rsidRPr="00BD70D3">
        <w:rPr>
          <w:rFonts w:ascii="Times New Roman" w:hAnsi="Times New Roman"/>
          <w:sz w:val="24"/>
          <w:szCs w:val="24"/>
        </w:rPr>
        <w:tab/>
      </w:r>
      <w:r w:rsidRPr="00BD70D3">
        <w:rPr>
          <w:rFonts w:ascii="Times New Roman" w:hAnsi="Times New Roman"/>
          <w:sz w:val="24"/>
          <w:szCs w:val="24"/>
        </w:rPr>
        <w:tab/>
        <w:t xml:space="preserve">    1995</w:t>
      </w:r>
      <w:r w:rsidRPr="00BD70D3">
        <w:rPr>
          <w:rFonts w:ascii="Times New Roman" w:hAnsi="Times New Roman"/>
          <w:sz w:val="24"/>
          <w:szCs w:val="24"/>
        </w:rPr>
        <w:tab/>
      </w:r>
      <w:r w:rsidRPr="00BD70D3">
        <w:rPr>
          <w:rFonts w:ascii="Times New Roman" w:hAnsi="Times New Roman"/>
          <w:sz w:val="24"/>
          <w:szCs w:val="24"/>
        </w:rPr>
        <w:tab/>
        <w:t xml:space="preserve">    </w:t>
      </w:r>
    </w:p>
    <w:p w:rsidR="00675D1A" w:rsidRPr="00D531FD" w:rsidRDefault="00E15700" w:rsidP="00675D1A">
      <w:pPr>
        <w:pStyle w:val="Sinespaciado"/>
        <w:rPr>
          <w:rFonts w:ascii="Times New Roman" w:hAnsi="Times New Roman"/>
          <w:sz w:val="14"/>
          <w:szCs w:val="14"/>
        </w:rPr>
      </w:pPr>
      <w:r>
        <w:rPr>
          <w:rFonts w:ascii="Times New Roman" w:hAnsi="Times New Roman"/>
          <w:noProof/>
          <w:lang w:val="es-CO" w:eastAsia="es-CO"/>
        </w:rPr>
        <w:drawing>
          <wp:anchor distT="0" distB="0" distL="114300" distR="114300" simplePos="0" relativeHeight="251660288" behindDoc="1" locked="0" layoutInCell="1" allowOverlap="1" wp14:anchorId="469206CB" wp14:editId="6B1B75D5">
            <wp:simplePos x="0" y="0"/>
            <wp:positionH relativeFrom="column">
              <wp:posOffset>3063240</wp:posOffset>
            </wp:positionH>
            <wp:positionV relativeFrom="paragraph">
              <wp:posOffset>31750</wp:posOffset>
            </wp:positionV>
            <wp:extent cx="2847975" cy="2266950"/>
            <wp:effectExtent l="19050" t="0" r="9525" b="0"/>
            <wp:wrapThrough wrapText="bothSides">
              <wp:wrapPolygon edited="0">
                <wp:start x="144" y="0"/>
                <wp:lineTo x="-144" y="1089"/>
                <wp:lineTo x="0" y="21600"/>
                <wp:lineTo x="144" y="21600"/>
                <wp:lineTo x="21383" y="21600"/>
                <wp:lineTo x="21528" y="21600"/>
                <wp:lineTo x="21672" y="20692"/>
                <wp:lineTo x="21672" y="545"/>
                <wp:lineTo x="21239" y="0"/>
                <wp:lineTo x="144" y="0"/>
              </wp:wrapPolygon>
            </wp:wrapThrough>
            <wp:docPr id="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675D1A" w:rsidRPr="00D531FD">
        <w:rPr>
          <w:rFonts w:ascii="Times New Roman" w:hAnsi="Times New Roman"/>
          <w:noProof/>
          <w:lang w:val="es-CO" w:eastAsia="es-CO"/>
        </w:rPr>
        <w:drawing>
          <wp:anchor distT="0" distB="0" distL="114300" distR="114300" simplePos="0" relativeHeight="251659264" behindDoc="1" locked="0" layoutInCell="1" allowOverlap="1" wp14:anchorId="17844F49" wp14:editId="49E2745E">
            <wp:simplePos x="0" y="0"/>
            <wp:positionH relativeFrom="column">
              <wp:posOffset>-80010</wp:posOffset>
            </wp:positionH>
            <wp:positionV relativeFrom="paragraph">
              <wp:posOffset>21590</wp:posOffset>
            </wp:positionV>
            <wp:extent cx="2819400" cy="2276475"/>
            <wp:effectExtent l="19050" t="0" r="19050" b="0"/>
            <wp:wrapThrough wrapText="bothSides">
              <wp:wrapPolygon edited="0">
                <wp:start x="146" y="0"/>
                <wp:lineTo x="-146" y="1085"/>
                <wp:lineTo x="0" y="21510"/>
                <wp:lineTo x="146" y="21510"/>
                <wp:lineTo x="21454" y="21510"/>
                <wp:lineTo x="21600" y="21510"/>
                <wp:lineTo x="21746" y="20606"/>
                <wp:lineTo x="21746" y="542"/>
                <wp:lineTo x="21308" y="0"/>
                <wp:lineTo x="146" y="0"/>
              </wp:wrapPolygon>
            </wp:wrapThrough>
            <wp:docPr id="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75D1A" w:rsidRPr="00D531FD">
        <w:rPr>
          <w:rFonts w:ascii="Times New Roman" w:hAnsi="Times New Roman"/>
        </w:rPr>
        <w:t xml:space="preserve">    </w:t>
      </w:r>
      <w:r w:rsidR="00675D1A" w:rsidRPr="00D531FD">
        <w:rPr>
          <w:rFonts w:ascii="Times New Roman" w:hAnsi="Times New Roman"/>
          <w:sz w:val="14"/>
          <w:szCs w:val="14"/>
        </w:rPr>
        <w:t xml:space="preserve">Fuente: </w:t>
      </w:r>
      <w:r w:rsidR="008F5FB2">
        <w:rPr>
          <w:rFonts w:ascii="Times New Roman" w:hAnsi="Times New Roman"/>
          <w:sz w:val="14"/>
          <w:szCs w:val="14"/>
        </w:rPr>
        <w:t>DANE</w:t>
      </w:r>
      <w:r w:rsidR="00675D1A" w:rsidRPr="00D531FD">
        <w:rPr>
          <w:rFonts w:ascii="Times New Roman" w:hAnsi="Times New Roman"/>
          <w:sz w:val="14"/>
          <w:szCs w:val="14"/>
        </w:rPr>
        <w:t xml:space="preserve"> y cálculos propios</w:t>
      </w:r>
      <w:r w:rsidR="00675D1A" w:rsidRPr="00D531FD">
        <w:rPr>
          <w:rFonts w:ascii="Times New Roman" w:hAnsi="Times New Roman"/>
          <w:sz w:val="14"/>
          <w:szCs w:val="14"/>
        </w:rPr>
        <w:tab/>
      </w:r>
      <w:r w:rsidR="00675D1A" w:rsidRPr="00D531FD">
        <w:rPr>
          <w:rFonts w:ascii="Times New Roman" w:hAnsi="Times New Roman"/>
          <w:sz w:val="14"/>
          <w:szCs w:val="14"/>
        </w:rPr>
        <w:tab/>
      </w:r>
      <w:r w:rsidR="00675D1A" w:rsidRPr="00D531FD">
        <w:rPr>
          <w:rFonts w:ascii="Times New Roman" w:hAnsi="Times New Roman"/>
          <w:sz w:val="14"/>
          <w:szCs w:val="14"/>
        </w:rPr>
        <w:tab/>
      </w:r>
      <w:r w:rsidR="00675D1A" w:rsidRPr="00D531FD">
        <w:rPr>
          <w:rFonts w:ascii="Times New Roman" w:hAnsi="Times New Roman"/>
          <w:sz w:val="14"/>
          <w:szCs w:val="14"/>
        </w:rPr>
        <w:tab/>
      </w:r>
      <w:r w:rsidR="00675D1A" w:rsidRPr="00D531FD">
        <w:rPr>
          <w:rFonts w:ascii="Times New Roman" w:hAnsi="Times New Roman"/>
          <w:sz w:val="14"/>
          <w:szCs w:val="14"/>
        </w:rPr>
        <w:tab/>
        <w:t xml:space="preserve">Fuente: </w:t>
      </w:r>
      <w:r w:rsidR="008F5FB2">
        <w:rPr>
          <w:rFonts w:ascii="Times New Roman" w:hAnsi="Times New Roman"/>
          <w:sz w:val="14"/>
          <w:szCs w:val="14"/>
        </w:rPr>
        <w:t>DANE</w:t>
      </w:r>
      <w:r w:rsidR="00675D1A" w:rsidRPr="00D531FD">
        <w:rPr>
          <w:rFonts w:ascii="Times New Roman" w:hAnsi="Times New Roman"/>
          <w:sz w:val="14"/>
          <w:szCs w:val="14"/>
        </w:rPr>
        <w:t xml:space="preserve"> y cálculos propios</w:t>
      </w:r>
      <w:r w:rsidR="00675D1A" w:rsidRPr="00D531FD">
        <w:rPr>
          <w:rFonts w:ascii="Times New Roman" w:hAnsi="Times New Roman"/>
          <w:sz w:val="14"/>
          <w:szCs w:val="14"/>
        </w:rPr>
        <w:tab/>
      </w:r>
      <w:r w:rsidR="00675D1A" w:rsidRPr="00D531FD">
        <w:rPr>
          <w:rFonts w:ascii="Times New Roman" w:hAnsi="Times New Roman"/>
          <w:sz w:val="14"/>
          <w:szCs w:val="14"/>
        </w:rPr>
        <w:tab/>
      </w:r>
    </w:p>
    <w:p w:rsidR="00675D1A" w:rsidRPr="00D531FD" w:rsidRDefault="00675D1A" w:rsidP="00675D1A">
      <w:pPr>
        <w:pStyle w:val="Sinespaciado"/>
        <w:jc w:val="center"/>
        <w:rPr>
          <w:rFonts w:ascii="Times New Roman" w:hAnsi="Times New Roman"/>
          <w:sz w:val="10"/>
        </w:rPr>
      </w:pPr>
    </w:p>
    <w:p w:rsidR="00675D1A" w:rsidRPr="00D531FD" w:rsidRDefault="00675D1A" w:rsidP="00675D1A">
      <w:pPr>
        <w:pStyle w:val="Sinespaciado"/>
        <w:jc w:val="center"/>
        <w:rPr>
          <w:rFonts w:ascii="Times New Roman" w:hAnsi="Times New Roman"/>
        </w:rPr>
      </w:pPr>
    </w:p>
    <w:p w:rsidR="00675D1A" w:rsidRPr="00D531FD" w:rsidRDefault="00675D1A" w:rsidP="00675D1A">
      <w:pPr>
        <w:pStyle w:val="Sinespaciado"/>
        <w:jc w:val="center"/>
        <w:rPr>
          <w:rFonts w:ascii="Times New Roman" w:hAnsi="Times New Roman"/>
        </w:rPr>
      </w:pPr>
    </w:p>
    <w:p w:rsidR="00675D1A" w:rsidRPr="00BD70D3" w:rsidRDefault="00675D1A" w:rsidP="00675D1A">
      <w:pPr>
        <w:pStyle w:val="Sinespaciado"/>
        <w:jc w:val="center"/>
        <w:rPr>
          <w:rFonts w:ascii="Times New Roman" w:hAnsi="Times New Roman"/>
          <w:sz w:val="24"/>
          <w:szCs w:val="24"/>
        </w:rPr>
      </w:pPr>
      <w:r w:rsidRPr="00BD70D3">
        <w:rPr>
          <w:rFonts w:ascii="Times New Roman" w:hAnsi="Times New Roman"/>
          <w:sz w:val="24"/>
          <w:szCs w:val="24"/>
        </w:rPr>
        <w:t xml:space="preserve">2005       </w:t>
      </w:r>
      <w:r w:rsidRPr="00BD70D3">
        <w:rPr>
          <w:rFonts w:ascii="Times New Roman" w:hAnsi="Times New Roman"/>
          <w:sz w:val="24"/>
          <w:szCs w:val="24"/>
        </w:rPr>
        <w:tab/>
      </w:r>
      <w:r w:rsidRPr="00BD70D3">
        <w:rPr>
          <w:rFonts w:ascii="Times New Roman" w:hAnsi="Times New Roman"/>
          <w:sz w:val="24"/>
          <w:szCs w:val="24"/>
        </w:rPr>
        <w:tab/>
      </w:r>
      <w:r w:rsidRPr="00BD70D3">
        <w:rPr>
          <w:rFonts w:ascii="Times New Roman" w:hAnsi="Times New Roman"/>
          <w:sz w:val="24"/>
          <w:szCs w:val="24"/>
        </w:rPr>
        <w:tab/>
      </w:r>
      <w:r w:rsidRPr="00BD70D3">
        <w:rPr>
          <w:rFonts w:ascii="Times New Roman" w:hAnsi="Times New Roman"/>
          <w:sz w:val="24"/>
          <w:szCs w:val="24"/>
        </w:rPr>
        <w:tab/>
      </w:r>
      <w:r w:rsidRPr="00BD70D3">
        <w:rPr>
          <w:rFonts w:ascii="Times New Roman" w:hAnsi="Times New Roman"/>
          <w:sz w:val="24"/>
          <w:szCs w:val="24"/>
        </w:rPr>
        <w:tab/>
      </w:r>
      <w:r w:rsidRPr="00BD70D3">
        <w:rPr>
          <w:rFonts w:ascii="Times New Roman" w:hAnsi="Times New Roman"/>
          <w:sz w:val="24"/>
          <w:szCs w:val="24"/>
        </w:rPr>
        <w:tab/>
        <w:t xml:space="preserve"> 2013</w:t>
      </w:r>
    </w:p>
    <w:p w:rsidR="00675D1A" w:rsidRPr="00D531FD" w:rsidRDefault="00E15700" w:rsidP="00675D1A">
      <w:pPr>
        <w:pStyle w:val="Sinespaciado"/>
        <w:rPr>
          <w:rFonts w:ascii="Times New Roman" w:hAnsi="Times New Roman"/>
          <w:sz w:val="16"/>
          <w:szCs w:val="16"/>
        </w:rPr>
      </w:pPr>
      <w:r>
        <w:rPr>
          <w:rFonts w:ascii="Times New Roman" w:hAnsi="Times New Roman"/>
          <w:noProof/>
          <w:sz w:val="16"/>
          <w:szCs w:val="16"/>
          <w:lang w:val="es-CO" w:eastAsia="es-CO"/>
        </w:rPr>
        <w:drawing>
          <wp:anchor distT="0" distB="0" distL="114300" distR="114300" simplePos="0" relativeHeight="251662336" behindDoc="1" locked="0" layoutInCell="1" allowOverlap="1" wp14:anchorId="0F97139E" wp14:editId="31D8433B">
            <wp:simplePos x="0" y="0"/>
            <wp:positionH relativeFrom="column">
              <wp:posOffset>3044190</wp:posOffset>
            </wp:positionH>
            <wp:positionV relativeFrom="paragraph">
              <wp:posOffset>151130</wp:posOffset>
            </wp:positionV>
            <wp:extent cx="2847975" cy="2066925"/>
            <wp:effectExtent l="19050" t="0" r="9525" b="0"/>
            <wp:wrapThrough wrapText="bothSides">
              <wp:wrapPolygon edited="0">
                <wp:start x="144" y="0"/>
                <wp:lineTo x="-144" y="1194"/>
                <wp:lineTo x="0" y="21500"/>
                <wp:lineTo x="144" y="21500"/>
                <wp:lineTo x="21383" y="21500"/>
                <wp:lineTo x="21528" y="21500"/>
                <wp:lineTo x="21672" y="20306"/>
                <wp:lineTo x="21672" y="597"/>
                <wp:lineTo x="21239" y="0"/>
                <wp:lineTo x="144" y="0"/>
              </wp:wrapPolygon>
            </wp:wrapThrough>
            <wp:docPr id="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ascii="Times New Roman" w:hAnsi="Times New Roman"/>
          <w:noProof/>
          <w:sz w:val="16"/>
          <w:szCs w:val="16"/>
          <w:lang w:val="es-CO" w:eastAsia="es-CO"/>
        </w:rPr>
        <w:drawing>
          <wp:anchor distT="0" distB="0" distL="114300" distR="114300" simplePos="0" relativeHeight="251661312" behindDoc="1" locked="0" layoutInCell="1" allowOverlap="1" wp14:anchorId="5097F610" wp14:editId="70C7B686">
            <wp:simplePos x="0" y="0"/>
            <wp:positionH relativeFrom="column">
              <wp:posOffset>5715</wp:posOffset>
            </wp:positionH>
            <wp:positionV relativeFrom="paragraph">
              <wp:posOffset>151130</wp:posOffset>
            </wp:positionV>
            <wp:extent cx="2895600" cy="2066925"/>
            <wp:effectExtent l="19050" t="0" r="19050" b="0"/>
            <wp:wrapTight wrapText="bothSides">
              <wp:wrapPolygon edited="0">
                <wp:start x="142" y="0"/>
                <wp:lineTo x="-142" y="1194"/>
                <wp:lineTo x="0" y="21500"/>
                <wp:lineTo x="142" y="21500"/>
                <wp:lineTo x="21458" y="21500"/>
                <wp:lineTo x="21600" y="21500"/>
                <wp:lineTo x="21742" y="20306"/>
                <wp:lineTo x="21742" y="597"/>
                <wp:lineTo x="21316" y="0"/>
                <wp:lineTo x="142" y="0"/>
              </wp:wrapPolygon>
            </wp:wrapTight>
            <wp:docPr id="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675D1A" w:rsidRPr="00D531FD" w:rsidRDefault="00E15700" w:rsidP="00675D1A">
      <w:pPr>
        <w:pStyle w:val="Sinespaciado"/>
        <w:rPr>
          <w:rFonts w:ascii="Times New Roman" w:hAnsi="Times New Roman"/>
        </w:rPr>
      </w:pPr>
      <w:r>
        <w:rPr>
          <w:rFonts w:ascii="Times New Roman" w:hAnsi="Times New Roman"/>
          <w:sz w:val="16"/>
          <w:szCs w:val="16"/>
        </w:rPr>
        <w:t xml:space="preserve"> </w:t>
      </w:r>
      <w:r w:rsidR="00675D1A" w:rsidRPr="00D531FD">
        <w:rPr>
          <w:rFonts w:ascii="Times New Roman" w:hAnsi="Times New Roman"/>
          <w:sz w:val="16"/>
          <w:szCs w:val="16"/>
        </w:rPr>
        <w:t xml:space="preserve">Fuente: </w:t>
      </w:r>
      <w:r w:rsidR="008F5FB2">
        <w:rPr>
          <w:rFonts w:ascii="Times New Roman" w:hAnsi="Times New Roman"/>
          <w:sz w:val="16"/>
          <w:szCs w:val="16"/>
        </w:rPr>
        <w:t>DANE</w:t>
      </w:r>
      <w:r w:rsidR="00675D1A" w:rsidRPr="00D531FD">
        <w:rPr>
          <w:rFonts w:ascii="Times New Roman" w:hAnsi="Times New Roman"/>
          <w:sz w:val="16"/>
          <w:szCs w:val="16"/>
        </w:rPr>
        <w:t xml:space="preserve"> y cálculos propios</w:t>
      </w:r>
      <w:r w:rsidR="00675D1A" w:rsidRPr="00D531FD">
        <w:rPr>
          <w:rFonts w:ascii="Times New Roman" w:hAnsi="Times New Roman"/>
        </w:rPr>
        <w:t xml:space="preserve">   </w:t>
      </w:r>
      <w:r w:rsidR="00675D1A" w:rsidRPr="00D531FD">
        <w:rPr>
          <w:rFonts w:ascii="Times New Roman" w:hAnsi="Times New Roman"/>
        </w:rPr>
        <w:tab/>
      </w:r>
      <w:r w:rsidR="00675D1A" w:rsidRPr="00D531FD">
        <w:rPr>
          <w:rFonts w:ascii="Times New Roman" w:hAnsi="Times New Roman"/>
        </w:rPr>
        <w:tab/>
      </w:r>
      <w:r w:rsidR="00675D1A" w:rsidRPr="00D531FD">
        <w:rPr>
          <w:rFonts w:ascii="Times New Roman" w:hAnsi="Times New Roman"/>
        </w:rPr>
        <w:tab/>
        <w:t xml:space="preserve">         </w:t>
      </w:r>
      <w:r w:rsidR="00675D1A" w:rsidRPr="00D531FD">
        <w:rPr>
          <w:rFonts w:ascii="Times New Roman" w:hAnsi="Times New Roman"/>
        </w:rPr>
        <w:tab/>
        <w:t xml:space="preserve"> </w:t>
      </w:r>
      <w:r w:rsidR="00675D1A" w:rsidRPr="00D531FD">
        <w:rPr>
          <w:rFonts w:ascii="Times New Roman" w:hAnsi="Times New Roman"/>
          <w:sz w:val="16"/>
          <w:szCs w:val="16"/>
        </w:rPr>
        <w:t xml:space="preserve">Fuente: </w:t>
      </w:r>
      <w:r w:rsidR="008F5FB2">
        <w:rPr>
          <w:rFonts w:ascii="Times New Roman" w:hAnsi="Times New Roman"/>
          <w:sz w:val="16"/>
          <w:szCs w:val="16"/>
        </w:rPr>
        <w:t>DANE</w:t>
      </w:r>
      <w:r w:rsidR="00675D1A" w:rsidRPr="00D531FD">
        <w:rPr>
          <w:rFonts w:ascii="Times New Roman" w:hAnsi="Times New Roman"/>
          <w:sz w:val="16"/>
          <w:szCs w:val="16"/>
        </w:rPr>
        <w:t xml:space="preserve"> y cálculos propios</w:t>
      </w:r>
    </w:p>
    <w:p w:rsidR="00675D1A" w:rsidRPr="00D531FD" w:rsidRDefault="00675D1A" w:rsidP="00675D1A">
      <w:pPr>
        <w:pStyle w:val="Sinespaciado"/>
        <w:spacing w:line="360" w:lineRule="auto"/>
        <w:ind w:left="284"/>
        <w:rPr>
          <w:rFonts w:ascii="Times New Roman" w:hAnsi="Times New Roman"/>
        </w:rPr>
      </w:pPr>
    </w:p>
    <w:p w:rsidR="00B42B34" w:rsidRDefault="00675D1A" w:rsidP="00675D1A">
      <w:pPr>
        <w:pStyle w:val="Sinespaciado"/>
        <w:spacing w:line="360" w:lineRule="auto"/>
        <w:rPr>
          <w:rFonts w:ascii="Times New Roman" w:hAnsi="Times New Roman"/>
          <w:sz w:val="24"/>
          <w:szCs w:val="24"/>
        </w:rPr>
      </w:pPr>
      <w:r w:rsidRPr="00D531FD">
        <w:rPr>
          <w:rFonts w:ascii="Times New Roman" w:hAnsi="Times New Roman"/>
          <w:sz w:val="24"/>
          <w:szCs w:val="24"/>
        </w:rPr>
        <w:t xml:space="preserve">  </w:t>
      </w:r>
    </w:p>
    <w:p w:rsidR="00675D1A" w:rsidRPr="00D531FD" w:rsidRDefault="00227D88" w:rsidP="00B42B34">
      <w:pPr>
        <w:pStyle w:val="Sinespaciado"/>
        <w:spacing w:line="360" w:lineRule="auto"/>
        <w:ind w:firstLine="284"/>
        <w:rPr>
          <w:rFonts w:ascii="Times New Roman" w:hAnsi="Times New Roman"/>
          <w:sz w:val="24"/>
          <w:szCs w:val="24"/>
        </w:rPr>
      </w:pPr>
      <w:r>
        <w:rPr>
          <w:rFonts w:ascii="Times New Roman" w:hAnsi="Times New Roman"/>
          <w:sz w:val="24"/>
          <w:szCs w:val="24"/>
        </w:rPr>
        <w:t>La</w:t>
      </w:r>
      <w:r w:rsidR="00675D1A" w:rsidRPr="00D531FD">
        <w:rPr>
          <w:rFonts w:ascii="Times New Roman" w:hAnsi="Times New Roman"/>
          <w:sz w:val="24"/>
          <w:szCs w:val="24"/>
        </w:rPr>
        <w:t xml:space="preserve"> población comprendida entre los 0 a 14 años, concentra alrededor del 24% de la población del departamento el cual constituye el segmento que hará parte de la población económicamente activa en el mediano plazo y que por tanto, es clave para realizar el relevo de las personas que sobrellevan la carga económica del departamento.</w:t>
      </w:r>
    </w:p>
    <w:p w:rsidR="00675D1A" w:rsidRPr="00D531FD" w:rsidRDefault="00675D1A" w:rsidP="00F03E6E">
      <w:pPr>
        <w:pStyle w:val="Sinespaciado"/>
        <w:spacing w:line="360" w:lineRule="auto"/>
        <w:ind w:firstLine="284"/>
        <w:rPr>
          <w:rFonts w:ascii="Times New Roman" w:hAnsi="Times New Roman"/>
          <w:sz w:val="24"/>
          <w:szCs w:val="24"/>
        </w:rPr>
      </w:pPr>
      <w:r w:rsidRPr="00D531FD">
        <w:rPr>
          <w:rFonts w:ascii="Times New Roman" w:hAnsi="Times New Roman"/>
          <w:sz w:val="24"/>
          <w:szCs w:val="24"/>
        </w:rPr>
        <w:lastRenderedPageBreak/>
        <w:t>En el caso de los habitantes mayores a 65 años, se agrupa el 9% del total poblacional y aunque representa el conjunto de la población que por algún motivo ha dejado de trabajar no corresponde a una alta participación, es por ello que el Plan de Desarrollo “</w:t>
      </w:r>
      <w:r w:rsidRPr="00500EEC">
        <w:rPr>
          <w:rFonts w:ascii="Times New Roman" w:hAnsi="Times New Roman"/>
          <w:i/>
          <w:sz w:val="24"/>
          <w:szCs w:val="24"/>
        </w:rPr>
        <w:t>Gobierno firme por un Quindío</w:t>
      </w:r>
      <w:r w:rsidR="00500EEC" w:rsidRPr="00500EEC">
        <w:rPr>
          <w:rFonts w:ascii="Times New Roman" w:hAnsi="Times New Roman"/>
          <w:i/>
          <w:sz w:val="24"/>
          <w:szCs w:val="24"/>
        </w:rPr>
        <w:t xml:space="preserve"> más Humano</w:t>
      </w:r>
      <w:r w:rsidR="00500EEC">
        <w:rPr>
          <w:rFonts w:ascii="Times New Roman" w:hAnsi="Times New Roman"/>
          <w:sz w:val="24"/>
          <w:szCs w:val="24"/>
        </w:rPr>
        <w:t>”</w:t>
      </w:r>
      <w:r w:rsidRPr="00D531FD">
        <w:rPr>
          <w:rFonts w:ascii="Times New Roman" w:hAnsi="Times New Roman"/>
          <w:sz w:val="24"/>
          <w:szCs w:val="24"/>
        </w:rPr>
        <w:t xml:space="preserve"> se orienta a garantizar el bienestar integral de este segmento poblacional por medio de la realización de programas sociales de generación de ingresos y atención integral.</w:t>
      </w:r>
    </w:p>
    <w:p w:rsidR="00675D1A" w:rsidRPr="00D531FD" w:rsidRDefault="00675D1A" w:rsidP="00F03E6E">
      <w:pPr>
        <w:pStyle w:val="Sinespaciado"/>
        <w:spacing w:line="360" w:lineRule="auto"/>
        <w:ind w:firstLine="284"/>
        <w:rPr>
          <w:rFonts w:ascii="Times New Roman" w:hAnsi="Times New Roman"/>
          <w:sz w:val="24"/>
          <w:szCs w:val="24"/>
        </w:rPr>
      </w:pPr>
    </w:p>
    <w:p w:rsidR="00675D1A" w:rsidRPr="00D531FD" w:rsidRDefault="00675D1A" w:rsidP="00F03E6E">
      <w:pPr>
        <w:pStyle w:val="Sinespaciado"/>
        <w:spacing w:line="360" w:lineRule="auto"/>
        <w:ind w:firstLine="284"/>
        <w:rPr>
          <w:rFonts w:ascii="Times New Roman" w:hAnsi="Times New Roman"/>
          <w:sz w:val="24"/>
          <w:szCs w:val="24"/>
        </w:rPr>
      </w:pPr>
      <w:r w:rsidRPr="00D531FD">
        <w:rPr>
          <w:rFonts w:ascii="Times New Roman" w:hAnsi="Times New Roman"/>
          <w:sz w:val="24"/>
          <w:szCs w:val="24"/>
        </w:rPr>
        <w:t>Es pertinente mencionar</w:t>
      </w:r>
      <w:r w:rsidR="003B799D">
        <w:rPr>
          <w:rFonts w:ascii="Times New Roman" w:hAnsi="Times New Roman"/>
          <w:sz w:val="24"/>
          <w:szCs w:val="24"/>
        </w:rPr>
        <w:t>,</w:t>
      </w:r>
      <w:r w:rsidRPr="00D531FD">
        <w:rPr>
          <w:rFonts w:ascii="Times New Roman" w:hAnsi="Times New Roman"/>
          <w:sz w:val="24"/>
          <w:szCs w:val="24"/>
        </w:rPr>
        <w:t xml:space="preserve"> que la evolución de la pirámide poblacional del departamento del Quindío desde la vigencia 1985 al año de estudio, evidencia un cambio notorio en su forma, puesto que a 2013 el número de personas en el rango de 0 a 14 años presenta una disminución en el crecimiento poblacional, mientras que el promedio de personas entre 15 y 24 años es mayor al resto de la población.</w:t>
      </w:r>
      <w:r w:rsidR="009919C1" w:rsidRPr="00D531FD">
        <w:rPr>
          <w:rStyle w:val="Refdenotaalpie"/>
          <w:rFonts w:ascii="Times New Roman" w:hAnsi="Times New Roman"/>
          <w:sz w:val="24"/>
          <w:szCs w:val="24"/>
        </w:rPr>
        <w:footnoteReference w:id="4"/>
      </w:r>
      <w:r w:rsidRPr="00D531FD">
        <w:rPr>
          <w:rFonts w:ascii="Times New Roman" w:hAnsi="Times New Roman"/>
          <w:sz w:val="24"/>
          <w:szCs w:val="24"/>
        </w:rPr>
        <w:t xml:space="preserve"> </w:t>
      </w:r>
    </w:p>
    <w:p w:rsidR="00675D1A" w:rsidRPr="00D531FD" w:rsidRDefault="00675D1A" w:rsidP="00675D1A">
      <w:pPr>
        <w:pStyle w:val="Sinespaciado"/>
        <w:rPr>
          <w:rFonts w:ascii="Times New Roman" w:hAnsi="Times New Roman"/>
        </w:rPr>
      </w:pPr>
    </w:p>
    <w:p w:rsidR="00675D1A" w:rsidRPr="00D531FD" w:rsidRDefault="00675D1A" w:rsidP="00675D1A">
      <w:pPr>
        <w:pStyle w:val="Sinespaciado"/>
        <w:rPr>
          <w:rFonts w:ascii="Times New Roman" w:hAnsi="Times New Roman"/>
        </w:rPr>
      </w:pPr>
    </w:p>
    <w:p w:rsidR="00675D1A" w:rsidRPr="00FC5A59" w:rsidRDefault="00FC5A59" w:rsidP="00A33966">
      <w:pPr>
        <w:pStyle w:val="Sinespaciado"/>
        <w:jc w:val="left"/>
        <w:rPr>
          <w:rFonts w:ascii="Times New Roman" w:hAnsi="Times New Roman"/>
          <w:sz w:val="24"/>
        </w:rPr>
      </w:pPr>
      <w:r>
        <w:rPr>
          <w:rFonts w:ascii="Times New Roman" w:hAnsi="Times New Roman"/>
          <w:sz w:val="24"/>
        </w:rPr>
        <w:t>Tabla</w:t>
      </w:r>
      <w:r w:rsidR="00675D1A" w:rsidRPr="00FC5A59">
        <w:rPr>
          <w:rFonts w:ascii="Times New Roman" w:hAnsi="Times New Roman"/>
          <w:sz w:val="24"/>
        </w:rPr>
        <w:t xml:space="preserve"> 1.</w:t>
      </w:r>
      <w:r w:rsidR="00A062B4" w:rsidRPr="00FC5A59">
        <w:rPr>
          <w:rFonts w:ascii="Times New Roman" w:hAnsi="Times New Roman"/>
          <w:sz w:val="24"/>
        </w:rPr>
        <w:t>3</w:t>
      </w:r>
    </w:p>
    <w:p w:rsidR="00675D1A" w:rsidRPr="00FC5A59" w:rsidRDefault="00675D1A" w:rsidP="00A33966">
      <w:pPr>
        <w:pStyle w:val="Sinespaciado"/>
        <w:jc w:val="left"/>
        <w:rPr>
          <w:rFonts w:ascii="Times New Roman" w:hAnsi="Times New Roman"/>
          <w:sz w:val="24"/>
        </w:rPr>
      </w:pPr>
      <w:r w:rsidRPr="00FC5A59">
        <w:rPr>
          <w:rFonts w:ascii="Times New Roman" w:hAnsi="Times New Roman"/>
          <w:sz w:val="24"/>
        </w:rPr>
        <w:t>Población según grupo de edad departamento del Quindío</w:t>
      </w:r>
    </w:p>
    <w:p w:rsidR="00675D1A" w:rsidRPr="00FC5A59" w:rsidRDefault="00675D1A" w:rsidP="00A33966">
      <w:pPr>
        <w:pStyle w:val="Sinespaciado"/>
        <w:jc w:val="left"/>
        <w:rPr>
          <w:rFonts w:ascii="Times New Roman" w:hAnsi="Times New Roman"/>
          <w:sz w:val="24"/>
        </w:rPr>
      </w:pPr>
      <w:r w:rsidRPr="00FC5A59">
        <w:rPr>
          <w:rFonts w:ascii="Times New Roman" w:hAnsi="Times New Roman"/>
          <w:sz w:val="24"/>
        </w:rPr>
        <w:t>2013</w:t>
      </w:r>
    </w:p>
    <w:p w:rsidR="00675D1A" w:rsidRPr="00D531FD" w:rsidRDefault="00675D1A" w:rsidP="00675D1A">
      <w:pPr>
        <w:pStyle w:val="Sinespaciado"/>
        <w:jc w:val="center"/>
        <w:rPr>
          <w:rFonts w:ascii="Times New Roman" w:hAnsi="Times New Roman"/>
          <w:sz w:val="24"/>
        </w:rPr>
      </w:pPr>
    </w:p>
    <w:tbl>
      <w:tblPr>
        <w:tblW w:w="0" w:type="auto"/>
        <w:tblCellMar>
          <w:left w:w="70" w:type="dxa"/>
          <w:right w:w="70" w:type="dxa"/>
        </w:tblCellMar>
        <w:tblLook w:val="04A0" w:firstRow="1" w:lastRow="0" w:firstColumn="1" w:lastColumn="0" w:noHBand="0" w:noVBand="1"/>
      </w:tblPr>
      <w:tblGrid>
        <w:gridCol w:w="1496"/>
        <w:gridCol w:w="790"/>
        <w:gridCol w:w="929"/>
        <w:gridCol w:w="851"/>
      </w:tblGrid>
      <w:tr w:rsidR="00675D1A" w:rsidRPr="00D531FD" w:rsidTr="00A33966">
        <w:trPr>
          <w:trHeight w:val="499"/>
          <w:tblHeader/>
        </w:trPr>
        <w:tc>
          <w:tcPr>
            <w:tcW w:w="0" w:type="auto"/>
            <w:tcBorders>
              <w:top w:val="single" w:sz="4" w:space="0" w:color="auto"/>
              <w:left w:val="nil"/>
              <w:bottom w:val="double" w:sz="6" w:space="0" w:color="auto"/>
              <w:right w:val="nil"/>
            </w:tcBorders>
            <w:shd w:val="clear" w:color="000000" w:fill="FFFFFF"/>
            <w:vAlign w:val="center"/>
            <w:hideMark/>
          </w:tcPr>
          <w:p w:rsidR="00675D1A" w:rsidRPr="00D531FD" w:rsidRDefault="00675D1A" w:rsidP="002C791A">
            <w:pPr>
              <w:jc w:val="center"/>
              <w:rPr>
                <w:b/>
                <w:bCs/>
                <w:sz w:val="20"/>
                <w:szCs w:val="20"/>
                <w:lang w:val="es-AR" w:eastAsia="es-AR"/>
              </w:rPr>
            </w:pPr>
            <w:r w:rsidRPr="00D531FD">
              <w:rPr>
                <w:b/>
                <w:bCs/>
                <w:sz w:val="20"/>
                <w:szCs w:val="20"/>
                <w:lang w:val="es-AR" w:eastAsia="es-AR"/>
              </w:rPr>
              <w:t>Grupos de edad</w:t>
            </w:r>
          </w:p>
        </w:tc>
        <w:tc>
          <w:tcPr>
            <w:tcW w:w="0" w:type="auto"/>
            <w:tcBorders>
              <w:top w:val="single" w:sz="4" w:space="0" w:color="auto"/>
              <w:left w:val="nil"/>
              <w:bottom w:val="double" w:sz="6" w:space="0" w:color="auto"/>
              <w:right w:val="nil"/>
            </w:tcBorders>
            <w:shd w:val="clear" w:color="000000" w:fill="FFFFFF"/>
            <w:vAlign w:val="center"/>
            <w:hideMark/>
          </w:tcPr>
          <w:p w:rsidR="00675D1A" w:rsidRPr="00D531FD" w:rsidRDefault="00675D1A" w:rsidP="002C791A">
            <w:pPr>
              <w:jc w:val="center"/>
              <w:rPr>
                <w:b/>
                <w:bCs/>
                <w:sz w:val="20"/>
                <w:szCs w:val="20"/>
                <w:lang w:val="es-AR" w:eastAsia="es-AR"/>
              </w:rPr>
            </w:pPr>
            <w:r w:rsidRPr="00D531FD">
              <w:rPr>
                <w:b/>
                <w:bCs/>
                <w:sz w:val="20"/>
                <w:szCs w:val="20"/>
                <w:lang w:val="es-AR" w:eastAsia="es-AR"/>
              </w:rPr>
              <w:t>Total</w:t>
            </w:r>
          </w:p>
        </w:tc>
        <w:tc>
          <w:tcPr>
            <w:tcW w:w="0" w:type="auto"/>
            <w:tcBorders>
              <w:top w:val="single" w:sz="4" w:space="0" w:color="auto"/>
              <w:left w:val="nil"/>
              <w:bottom w:val="double" w:sz="6" w:space="0" w:color="auto"/>
              <w:right w:val="nil"/>
            </w:tcBorders>
            <w:shd w:val="clear" w:color="000000" w:fill="FFFFFF"/>
            <w:vAlign w:val="center"/>
            <w:hideMark/>
          </w:tcPr>
          <w:p w:rsidR="00675D1A" w:rsidRPr="00D531FD" w:rsidRDefault="00675D1A" w:rsidP="002C791A">
            <w:pPr>
              <w:jc w:val="center"/>
              <w:rPr>
                <w:b/>
                <w:bCs/>
                <w:sz w:val="20"/>
                <w:szCs w:val="20"/>
                <w:lang w:val="es-AR" w:eastAsia="es-AR"/>
              </w:rPr>
            </w:pPr>
            <w:r w:rsidRPr="00D531FD">
              <w:rPr>
                <w:b/>
                <w:bCs/>
                <w:sz w:val="20"/>
                <w:szCs w:val="20"/>
                <w:lang w:val="es-AR" w:eastAsia="es-AR"/>
              </w:rPr>
              <w:t>Hombres</w:t>
            </w:r>
          </w:p>
        </w:tc>
        <w:tc>
          <w:tcPr>
            <w:tcW w:w="0" w:type="auto"/>
            <w:tcBorders>
              <w:top w:val="single" w:sz="4" w:space="0" w:color="auto"/>
              <w:left w:val="nil"/>
              <w:bottom w:val="double" w:sz="6" w:space="0" w:color="auto"/>
              <w:right w:val="nil"/>
            </w:tcBorders>
            <w:shd w:val="clear" w:color="000000" w:fill="FFFFFF"/>
            <w:vAlign w:val="center"/>
            <w:hideMark/>
          </w:tcPr>
          <w:p w:rsidR="00675D1A" w:rsidRPr="00D531FD" w:rsidRDefault="00675D1A" w:rsidP="002C791A">
            <w:pPr>
              <w:jc w:val="center"/>
              <w:rPr>
                <w:b/>
                <w:bCs/>
                <w:sz w:val="20"/>
                <w:szCs w:val="20"/>
                <w:lang w:val="es-AR" w:eastAsia="es-AR"/>
              </w:rPr>
            </w:pPr>
            <w:r w:rsidRPr="00D531FD">
              <w:rPr>
                <w:b/>
                <w:bCs/>
                <w:sz w:val="20"/>
                <w:szCs w:val="20"/>
                <w:lang w:val="es-AR" w:eastAsia="es-AR"/>
              </w:rPr>
              <w:t>Mujeres</w:t>
            </w:r>
          </w:p>
        </w:tc>
      </w:tr>
      <w:tr w:rsidR="00675D1A" w:rsidRPr="00D531FD" w:rsidTr="00A33966">
        <w:trPr>
          <w:trHeight w:val="315"/>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Total</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558.969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274.379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284.590</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0-4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45.979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23.567</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22.412</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5-9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45.466</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23.231</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22.235</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10-14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46.509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23.751</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22.758</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15-19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49.508</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25.232</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24.276</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20-24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48.561</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24.669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23.892</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25-29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41.433</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20.662</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20.771</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30-34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37.118</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17.950</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19.168</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35-39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34.364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16.757</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17.607</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40-44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34.663</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16.682</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17.981</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45-49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37.357</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17.694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19.663</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50-54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34.783</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16.501</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18.282</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55-59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29.644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13.995</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15.649</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60-64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23.884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11.233</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12.651</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65-69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17.745</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8.278</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9.467</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lastRenderedPageBreak/>
              <w:t>70-74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12.974</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5.930</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7.044</w:t>
            </w:r>
          </w:p>
        </w:tc>
      </w:tr>
      <w:tr w:rsidR="00675D1A" w:rsidRPr="00D531FD" w:rsidTr="00A33966">
        <w:trPr>
          <w:trHeight w:val="300"/>
        </w:trPr>
        <w:tc>
          <w:tcPr>
            <w:tcW w:w="0" w:type="auto"/>
            <w:tcBorders>
              <w:top w:val="nil"/>
              <w:left w:val="nil"/>
              <w:bottom w:val="nil"/>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75-79</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9.630</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4.308</w:t>
            </w:r>
          </w:p>
        </w:tc>
        <w:tc>
          <w:tcPr>
            <w:tcW w:w="0" w:type="auto"/>
            <w:tcBorders>
              <w:top w:val="nil"/>
              <w:left w:val="nil"/>
              <w:bottom w:val="nil"/>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5.322</w:t>
            </w:r>
          </w:p>
        </w:tc>
      </w:tr>
      <w:tr w:rsidR="00675D1A" w:rsidRPr="00D531FD" w:rsidTr="00A33966">
        <w:trPr>
          <w:trHeight w:val="300"/>
        </w:trPr>
        <w:tc>
          <w:tcPr>
            <w:tcW w:w="0" w:type="auto"/>
            <w:tcBorders>
              <w:top w:val="nil"/>
              <w:left w:val="nil"/>
              <w:bottom w:val="single" w:sz="4" w:space="0" w:color="auto"/>
              <w:right w:val="nil"/>
            </w:tcBorders>
            <w:shd w:val="clear" w:color="000000" w:fill="FFFFFF"/>
            <w:noWrap/>
            <w:vAlign w:val="bottom"/>
            <w:hideMark/>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80 Y MÁS</w:t>
            </w:r>
          </w:p>
        </w:tc>
        <w:tc>
          <w:tcPr>
            <w:tcW w:w="0" w:type="auto"/>
            <w:tcBorders>
              <w:top w:val="nil"/>
              <w:left w:val="nil"/>
              <w:bottom w:val="single" w:sz="4" w:space="0" w:color="auto"/>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9.351</w:t>
            </w:r>
          </w:p>
        </w:tc>
        <w:tc>
          <w:tcPr>
            <w:tcW w:w="0" w:type="auto"/>
            <w:tcBorders>
              <w:top w:val="nil"/>
              <w:left w:val="nil"/>
              <w:bottom w:val="single" w:sz="4" w:space="0" w:color="auto"/>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3.939</w:t>
            </w:r>
          </w:p>
        </w:tc>
        <w:tc>
          <w:tcPr>
            <w:tcW w:w="0" w:type="auto"/>
            <w:tcBorders>
              <w:top w:val="nil"/>
              <w:left w:val="nil"/>
              <w:bottom w:val="single" w:sz="4" w:space="0" w:color="auto"/>
              <w:right w:val="nil"/>
            </w:tcBorders>
            <w:shd w:val="clear" w:color="000000" w:fill="FFFFFF"/>
            <w:noWrap/>
            <w:vAlign w:val="bottom"/>
          </w:tcPr>
          <w:p w:rsidR="00675D1A" w:rsidRPr="00D531FD" w:rsidRDefault="00675D1A" w:rsidP="002C791A">
            <w:pPr>
              <w:jc w:val="center"/>
              <w:rPr>
                <w:color w:val="000000"/>
                <w:sz w:val="20"/>
                <w:szCs w:val="20"/>
                <w:lang w:val="es-AR" w:eastAsia="es-AR"/>
              </w:rPr>
            </w:pPr>
            <w:r w:rsidRPr="00D531FD">
              <w:rPr>
                <w:color w:val="000000"/>
                <w:sz w:val="20"/>
                <w:szCs w:val="20"/>
                <w:lang w:val="es-AR" w:eastAsia="es-AR"/>
              </w:rPr>
              <w:t>5.412</w:t>
            </w:r>
          </w:p>
        </w:tc>
      </w:tr>
    </w:tbl>
    <w:p w:rsidR="00675D1A" w:rsidRPr="00D531FD" w:rsidRDefault="00675D1A" w:rsidP="00675D1A">
      <w:pPr>
        <w:pStyle w:val="Sinespaciado"/>
        <w:spacing w:line="360" w:lineRule="auto"/>
        <w:rPr>
          <w:rFonts w:ascii="Times New Roman" w:hAnsi="Times New Roman"/>
          <w:sz w:val="16"/>
          <w:szCs w:val="16"/>
        </w:rPr>
      </w:pPr>
      <w:r w:rsidRPr="00D531FD">
        <w:rPr>
          <w:rFonts w:ascii="Times New Roman" w:hAnsi="Times New Roman"/>
          <w:sz w:val="16"/>
          <w:szCs w:val="16"/>
        </w:rPr>
        <w:t xml:space="preserve">Fuente: </w:t>
      </w:r>
      <w:r w:rsidR="008F5FB2">
        <w:rPr>
          <w:rFonts w:ascii="Times New Roman" w:hAnsi="Times New Roman"/>
          <w:sz w:val="16"/>
          <w:szCs w:val="16"/>
        </w:rPr>
        <w:t>DANE</w:t>
      </w:r>
    </w:p>
    <w:p w:rsidR="00675D1A" w:rsidRDefault="00675D1A" w:rsidP="00675D1A">
      <w:pPr>
        <w:pStyle w:val="Sinespaciado"/>
        <w:spacing w:line="360" w:lineRule="auto"/>
        <w:rPr>
          <w:rFonts w:ascii="Times New Roman" w:hAnsi="Times New Roman"/>
          <w:sz w:val="24"/>
          <w:szCs w:val="24"/>
        </w:rPr>
      </w:pPr>
    </w:p>
    <w:p w:rsidR="00661DA8" w:rsidRDefault="00661DA8" w:rsidP="00675D1A">
      <w:pPr>
        <w:pStyle w:val="Sinespaciado"/>
        <w:spacing w:line="360" w:lineRule="auto"/>
        <w:rPr>
          <w:rFonts w:ascii="Times New Roman" w:hAnsi="Times New Roman"/>
          <w:sz w:val="24"/>
          <w:szCs w:val="24"/>
        </w:rPr>
      </w:pPr>
    </w:p>
    <w:p w:rsidR="00675D1A" w:rsidRPr="003B799D" w:rsidRDefault="003B799D" w:rsidP="003B799D">
      <w:pPr>
        <w:pStyle w:val="Ttulo2"/>
        <w:rPr>
          <w:rFonts w:ascii="Times New Roman" w:hAnsi="Times New Roman" w:cs="Times New Roman"/>
          <w:color w:val="auto"/>
          <w:sz w:val="30"/>
          <w:szCs w:val="30"/>
        </w:rPr>
      </w:pPr>
      <w:bookmarkStart w:id="8" w:name="_Toc406754275"/>
      <w:r w:rsidRPr="003B799D">
        <w:rPr>
          <w:rFonts w:ascii="Times New Roman" w:hAnsi="Times New Roman" w:cs="Times New Roman"/>
          <w:color w:val="auto"/>
          <w:sz w:val="30"/>
          <w:szCs w:val="30"/>
        </w:rPr>
        <w:t xml:space="preserve">1.2 </w:t>
      </w:r>
      <w:r w:rsidR="00675D1A" w:rsidRPr="003B799D">
        <w:rPr>
          <w:rFonts w:ascii="Times New Roman" w:hAnsi="Times New Roman" w:cs="Times New Roman"/>
          <w:color w:val="auto"/>
          <w:sz w:val="30"/>
          <w:szCs w:val="30"/>
        </w:rPr>
        <w:t>Población Vulnerable del Departamento</w:t>
      </w:r>
      <w:bookmarkEnd w:id="8"/>
    </w:p>
    <w:p w:rsidR="00675D1A" w:rsidRPr="00D531FD" w:rsidRDefault="00675D1A" w:rsidP="00675D1A">
      <w:pPr>
        <w:pStyle w:val="Sinespaciado"/>
        <w:rPr>
          <w:rFonts w:ascii="Times New Roman" w:hAnsi="Times New Roman"/>
          <w:sz w:val="42"/>
          <w:szCs w:val="42"/>
        </w:rPr>
      </w:pPr>
    </w:p>
    <w:p w:rsidR="00675D1A" w:rsidRPr="00D531FD" w:rsidRDefault="00675D1A" w:rsidP="00675D1A">
      <w:pPr>
        <w:pStyle w:val="Sinespaciado"/>
        <w:spacing w:line="360" w:lineRule="auto"/>
        <w:rPr>
          <w:rFonts w:ascii="Times New Roman" w:hAnsi="Times New Roman"/>
          <w:color w:val="000000"/>
          <w:sz w:val="24"/>
          <w:szCs w:val="24"/>
          <w:lang w:eastAsia="es-ES"/>
        </w:rPr>
      </w:pPr>
      <w:r w:rsidRPr="00D531FD">
        <w:rPr>
          <w:rFonts w:ascii="Times New Roman" w:hAnsi="Times New Roman"/>
          <w:color w:val="000000"/>
          <w:sz w:val="24"/>
          <w:szCs w:val="24"/>
          <w:lang w:eastAsia="es-ES"/>
        </w:rPr>
        <w:t xml:space="preserve">     De acuerdo a las cifras poblacionales del censo de 2005, el 3.36% de los encuestados en el país pertenece a la población indígena, el 10.31% es población negra, mulata o afrocolombiana, el pueblo </w:t>
      </w:r>
      <w:proofErr w:type="spellStart"/>
      <w:r w:rsidR="004E52BC">
        <w:rPr>
          <w:rFonts w:ascii="Times New Roman" w:hAnsi="Times New Roman"/>
          <w:color w:val="000000"/>
          <w:sz w:val="24"/>
          <w:szCs w:val="24"/>
          <w:lang w:eastAsia="es-ES"/>
        </w:rPr>
        <w:t>Rom</w:t>
      </w:r>
      <w:proofErr w:type="spellEnd"/>
      <w:r w:rsidRPr="00D531FD">
        <w:rPr>
          <w:rFonts w:ascii="Times New Roman" w:hAnsi="Times New Roman"/>
          <w:color w:val="000000"/>
          <w:sz w:val="24"/>
          <w:szCs w:val="24"/>
          <w:lang w:eastAsia="es-ES"/>
        </w:rPr>
        <w:t xml:space="preserve"> o gitano tiene una participación del 0,01% dentro del t</w:t>
      </w:r>
      <w:r w:rsidR="00AA125C">
        <w:rPr>
          <w:rFonts w:ascii="Times New Roman" w:hAnsi="Times New Roman"/>
          <w:color w:val="000000"/>
          <w:sz w:val="24"/>
          <w:szCs w:val="24"/>
          <w:lang w:eastAsia="es-ES"/>
        </w:rPr>
        <w:t>otal nacional mientras que el 84</w:t>
      </w:r>
      <w:r w:rsidRPr="00D531FD">
        <w:rPr>
          <w:rFonts w:ascii="Times New Roman" w:hAnsi="Times New Roman"/>
          <w:color w:val="000000"/>
          <w:sz w:val="24"/>
          <w:szCs w:val="24"/>
          <w:lang w:eastAsia="es-ES"/>
        </w:rPr>
        <w:t>.16% no pertenece a ningún grupo étnico y el restante 2.08% no informó sobre su pertenencia étnica.</w:t>
      </w:r>
    </w:p>
    <w:p w:rsidR="00675D1A" w:rsidRPr="00D531FD" w:rsidRDefault="00675D1A" w:rsidP="00675D1A">
      <w:pPr>
        <w:pStyle w:val="Sinespaciado"/>
        <w:rPr>
          <w:rFonts w:ascii="Times New Roman" w:hAnsi="Times New Roman"/>
          <w:color w:val="000000"/>
          <w:sz w:val="24"/>
          <w:szCs w:val="24"/>
          <w:lang w:eastAsia="es-ES"/>
        </w:rPr>
      </w:pPr>
    </w:p>
    <w:p w:rsidR="00675D1A" w:rsidRPr="00D531FD" w:rsidRDefault="00675D1A" w:rsidP="00675D1A">
      <w:pPr>
        <w:pStyle w:val="Sinespaciado"/>
        <w:rPr>
          <w:rFonts w:ascii="Times New Roman" w:hAnsi="Times New Roman"/>
          <w:color w:val="000000"/>
          <w:sz w:val="24"/>
          <w:szCs w:val="24"/>
          <w:lang w:eastAsia="es-ES"/>
        </w:rPr>
      </w:pPr>
    </w:p>
    <w:p w:rsidR="00675D1A" w:rsidRPr="00D531FD" w:rsidRDefault="00675D1A" w:rsidP="00675D1A">
      <w:pPr>
        <w:pStyle w:val="Sinespaciado"/>
        <w:rPr>
          <w:rFonts w:ascii="Times New Roman" w:hAnsi="Times New Roman"/>
          <w:color w:val="000000"/>
          <w:sz w:val="24"/>
          <w:szCs w:val="24"/>
          <w:lang w:eastAsia="es-ES"/>
        </w:rPr>
      </w:pPr>
    </w:p>
    <w:p w:rsidR="00675D1A" w:rsidRPr="003B799D" w:rsidRDefault="00675D1A" w:rsidP="001D352C">
      <w:pPr>
        <w:pStyle w:val="Sinespaciado"/>
        <w:rPr>
          <w:rFonts w:ascii="Times New Roman" w:hAnsi="Times New Roman"/>
          <w:sz w:val="24"/>
        </w:rPr>
      </w:pPr>
      <w:r w:rsidRPr="003B799D">
        <w:rPr>
          <w:rFonts w:ascii="Times New Roman" w:hAnsi="Times New Roman"/>
          <w:sz w:val="24"/>
        </w:rPr>
        <w:t>Gráfico1</w:t>
      </w:r>
      <w:r w:rsidR="00764478" w:rsidRPr="003B799D">
        <w:rPr>
          <w:rFonts w:ascii="Times New Roman" w:hAnsi="Times New Roman"/>
          <w:sz w:val="24"/>
        </w:rPr>
        <w:t>.</w:t>
      </w:r>
      <w:r w:rsidR="00737678" w:rsidRPr="003B799D">
        <w:rPr>
          <w:rFonts w:ascii="Times New Roman" w:hAnsi="Times New Roman"/>
          <w:sz w:val="24"/>
        </w:rPr>
        <w:t>3</w:t>
      </w:r>
    </w:p>
    <w:p w:rsidR="00675D1A" w:rsidRPr="003B799D" w:rsidRDefault="00675D1A" w:rsidP="001D352C">
      <w:pPr>
        <w:pStyle w:val="Sinespaciado"/>
        <w:rPr>
          <w:rFonts w:ascii="Times New Roman" w:hAnsi="Times New Roman"/>
          <w:sz w:val="24"/>
        </w:rPr>
      </w:pPr>
      <w:r w:rsidRPr="003B799D">
        <w:rPr>
          <w:rFonts w:ascii="Times New Roman" w:hAnsi="Times New Roman"/>
          <w:sz w:val="24"/>
        </w:rPr>
        <w:t>Población colombiana según pertenencia étnica</w:t>
      </w:r>
    </w:p>
    <w:p w:rsidR="00675D1A" w:rsidRPr="003B799D" w:rsidRDefault="00675D1A" w:rsidP="001D352C">
      <w:pPr>
        <w:pStyle w:val="Sinespaciado"/>
        <w:rPr>
          <w:rFonts w:ascii="Times New Roman" w:hAnsi="Times New Roman"/>
          <w:sz w:val="24"/>
        </w:rPr>
      </w:pPr>
      <w:r w:rsidRPr="003B799D">
        <w:rPr>
          <w:rFonts w:ascii="Times New Roman" w:hAnsi="Times New Roman"/>
          <w:sz w:val="24"/>
        </w:rPr>
        <w:t>Censo 2005</w:t>
      </w:r>
    </w:p>
    <w:p w:rsidR="00675D1A" w:rsidRPr="00D531FD" w:rsidRDefault="00675D1A" w:rsidP="00675D1A">
      <w:pPr>
        <w:pStyle w:val="Sinespaciado"/>
        <w:jc w:val="center"/>
        <w:rPr>
          <w:rFonts w:ascii="Times New Roman" w:hAnsi="Times New Roman"/>
          <w:sz w:val="24"/>
        </w:rPr>
      </w:pPr>
    </w:p>
    <w:p w:rsidR="001D352C" w:rsidRDefault="00675D1A" w:rsidP="001D352C">
      <w:pPr>
        <w:pStyle w:val="Sinespaciado"/>
        <w:jc w:val="left"/>
        <w:rPr>
          <w:rFonts w:ascii="Times New Roman" w:hAnsi="Times New Roman"/>
          <w:sz w:val="16"/>
          <w:szCs w:val="16"/>
        </w:rPr>
      </w:pPr>
      <w:r w:rsidRPr="00D531FD">
        <w:rPr>
          <w:rFonts w:ascii="Times New Roman" w:hAnsi="Times New Roman"/>
          <w:noProof/>
          <w:lang w:val="es-CO" w:eastAsia="es-CO"/>
        </w:rPr>
        <w:drawing>
          <wp:inline distT="0" distB="0" distL="0" distR="0" wp14:anchorId="095272EF" wp14:editId="3B0FFD49">
            <wp:extent cx="4181211" cy="2486025"/>
            <wp:effectExtent l="0" t="0" r="0" b="0"/>
            <wp:docPr id="1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1" cstate="print"/>
                    <a:srcRect/>
                    <a:stretch>
                      <a:fillRect/>
                    </a:stretch>
                  </pic:blipFill>
                  <pic:spPr bwMode="auto">
                    <a:xfrm>
                      <a:off x="0" y="0"/>
                      <a:ext cx="4184200" cy="2487802"/>
                    </a:xfrm>
                    <a:prstGeom prst="rect">
                      <a:avLst/>
                    </a:prstGeom>
                    <a:noFill/>
                    <a:ln w="9525">
                      <a:noFill/>
                      <a:miter lim="800000"/>
                      <a:headEnd/>
                      <a:tailEnd/>
                    </a:ln>
                  </pic:spPr>
                </pic:pic>
              </a:graphicData>
            </a:graphic>
          </wp:inline>
        </w:drawing>
      </w:r>
    </w:p>
    <w:p w:rsidR="00675D1A" w:rsidRPr="001D352C" w:rsidRDefault="00675D1A" w:rsidP="001D352C">
      <w:pPr>
        <w:pStyle w:val="Sinespaciado"/>
        <w:jc w:val="left"/>
        <w:rPr>
          <w:rFonts w:ascii="Times New Roman" w:hAnsi="Times New Roman"/>
        </w:rPr>
      </w:pPr>
      <w:r w:rsidRPr="00D531FD">
        <w:rPr>
          <w:rFonts w:ascii="Times New Roman" w:hAnsi="Times New Roman"/>
          <w:sz w:val="16"/>
          <w:szCs w:val="16"/>
        </w:rPr>
        <w:t xml:space="preserve">Fuente: </w:t>
      </w:r>
      <w:r w:rsidR="008F5FB2">
        <w:rPr>
          <w:rFonts w:ascii="Times New Roman" w:hAnsi="Times New Roman"/>
          <w:sz w:val="16"/>
          <w:szCs w:val="16"/>
        </w:rPr>
        <w:t>DANE</w:t>
      </w:r>
      <w:r w:rsidRPr="00D531FD">
        <w:rPr>
          <w:rFonts w:ascii="Times New Roman" w:hAnsi="Times New Roman"/>
          <w:sz w:val="16"/>
          <w:szCs w:val="16"/>
        </w:rPr>
        <w:t xml:space="preserve"> – </w:t>
      </w:r>
      <w:proofErr w:type="spellStart"/>
      <w:r w:rsidRPr="00D531FD">
        <w:rPr>
          <w:rFonts w:ascii="Times New Roman" w:hAnsi="Times New Roman"/>
          <w:sz w:val="16"/>
          <w:szCs w:val="16"/>
        </w:rPr>
        <w:t>Redatam</w:t>
      </w:r>
      <w:proofErr w:type="spellEnd"/>
      <w:r w:rsidRPr="00D531FD">
        <w:rPr>
          <w:rFonts w:ascii="Times New Roman" w:hAnsi="Times New Roman"/>
          <w:sz w:val="16"/>
          <w:szCs w:val="16"/>
        </w:rPr>
        <w:t xml:space="preserve"> Censo básico 2005</w:t>
      </w:r>
    </w:p>
    <w:p w:rsidR="00675D1A" w:rsidRPr="00D531FD" w:rsidRDefault="00675D1A" w:rsidP="00675D1A">
      <w:pPr>
        <w:pStyle w:val="Sinespaciado"/>
        <w:rPr>
          <w:rFonts w:ascii="Times New Roman" w:hAnsi="Times New Roman"/>
          <w:sz w:val="16"/>
          <w:szCs w:val="16"/>
        </w:rPr>
      </w:pPr>
    </w:p>
    <w:p w:rsidR="00675D1A" w:rsidRPr="00F53FE4" w:rsidRDefault="00F53FE4" w:rsidP="00F53FE4">
      <w:pPr>
        <w:pStyle w:val="Ttulo2"/>
        <w:rPr>
          <w:rFonts w:ascii="Times New Roman" w:hAnsi="Times New Roman" w:cs="Times New Roman"/>
          <w:color w:val="auto"/>
          <w:sz w:val="30"/>
          <w:szCs w:val="30"/>
        </w:rPr>
      </w:pPr>
      <w:bookmarkStart w:id="9" w:name="_Toc406754276"/>
      <w:r w:rsidRPr="00F53FE4">
        <w:rPr>
          <w:rFonts w:ascii="Times New Roman" w:hAnsi="Times New Roman" w:cs="Times New Roman"/>
          <w:color w:val="auto"/>
          <w:sz w:val="30"/>
          <w:szCs w:val="30"/>
        </w:rPr>
        <w:lastRenderedPageBreak/>
        <w:t xml:space="preserve">1.2.1 </w:t>
      </w:r>
      <w:r w:rsidR="00AA125C">
        <w:rPr>
          <w:rFonts w:ascii="Times New Roman" w:hAnsi="Times New Roman" w:cs="Times New Roman"/>
          <w:color w:val="auto"/>
          <w:sz w:val="30"/>
          <w:szCs w:val="30"/>
        </w:rPr>
        <w:t>Grupos É</w:t>
      </w:r>
      <w:r>
        <w:rPr>
          <w:rFonts w:ascii="Times New Roman" w:hAnsi="Times New Roman" w:cs="Times New Roman"/>
          <w:color w:val="auto"/>
          <w:sz w:val="30"/>
          <w:szCs w:val="30"/>
        </w:rPr>
        <w:t>tnicos en el D</w:t>
      </w:r>
      <w:r w:rsidR="00675D1A" w:rsidRPr="00F53FE4">
        <w:rPr>
          <w:rFonts w:ascii="Times New Roman" w:hAnsi="Times New Roman" w:cs="Times New Roman"/>
          <w:color w:val="auto"/>
          <w:sz w:val="30"/>
          <w:szCs w:val="30"/>
        </w:rPr>
        <w:t>epartamento del Quindío</w:t>
      </w:r>
      <w:bookmarkEnd w:id="9"/>
    </w:p>
    <w:p w:rsidR="00675D1A" w:rsidRPr="00D531FD" w:rsidRDefault="00675D1A" w:rsidP="00675D1A">
      <w:pPr>
        <w:pStyle w:val="Sinespaciado"/>
        <w:rPr>
          <w:rFonts w:ascii="Times New Roman" w:hAnsi="Times New Roman"/>
          <w:sz w:val="34"/>
          <w:szCs w:val="34"/>
        </w:rPr>
      </w:pPr>
    </w:p>
    <w:p w:rsidR="00675D1A" w:rsidRPr="00D531FD" w:rsidRDefault="00675D1A" w:rsidP="00F53FE4">
      <w:pPr>
        <w:pStyle w:val="Sinespaciado"/>
        <w:spacing w:line="360" w:lineRule="auto"/>
        <w:ind w:firstLine="284"/>
        <w:rPr>
          <w:rFonts w:ascii="Times New Roman" w:hAnsi="Times New Roman"/>
          <w:color w:val="000000"/>
          <w:sz w:val="24"/>
          <w:szCs w:val="24"/>
          <w:lang w:eastAsia="es-ES"/>
        </w:rPr>
      </w:pPr>
      <w:r w:rsidRPr="00D531FD">
        <w:rPr>
          <w:rFonts w:ascii="Times New Roman" w:hAnsi="Times New Roman"/>
          <w:color w:val="000000"/>
          <w:sz w:val="24"/>
          <w:szCs w:val="24"/>
          <w:lang w:eastAsia="es-ES"/>
        </w:rPr>
        <w:t xml:space="preserve">Según las estadísticas del </w:t>
      </w:r>
      <w:r w:rsidR="008F5FB2">
        <w:rPr>
          <w:rFonts w:ascii="Times New Roman" w:hAnsi="Times New Roman"/>
          <w:color w:val="000000"/>
          <w:sz w:val="24"/>
          <w:szCs w:val="24"/>
          <w:lang w:eastAsia="es-ES"/>
        </w:rPr>
        <w:t>DANE</w:t>
      </w:r>
      <w:r w:rsidRPr="00D531FD">
        <w:rPr>
          <w:rFonts w:ascii="Times New Roman" w:hAnsi="Times New Roman"/>
          <w:color w:val="000000"/>
          <w:sz w:val="24"/>
          <w:szCs w:val="24"/>
          <w:lang w:eastAsia="es-ES"/>
        </w:rPr>
        <w:t xml:space="preserve">, del total de personas encuestadas en el periodo censal de 2005 en el departamento del Quindío, el 4,13% es población indígena que corresponde a 2.145 personas. En relación al total nacional, el Quindío concentra el 0,15% del total de la población indígena y si bien los datos de </w:t>
      </w:r>
      <w:r w:rsidR="008F5FB2">
        <w:rPr>
          <w:rFonts w:ascii="Times New Roman" w:hAnsi="Times New Roman"/>
          <w:color w:val="000000"/>
          <w:sz w:val="24"/>
          <w:szCs w:val="24"/>
          <w:lang w:eastAsia="es-ES"/>
        </w:rPr>
        <w:t>DANE</w:t>
      </w:r>
      <w:r w:rsidRPr="00D531FD">
        <w:rPr>
          <w:rFonts w:ascii="Times New Roman" w:hAnsi="Times New Roman"/>
          <w:color w:val="000000"/>
          <w:sz w:val="24"/>
          <w:szCs w:val="24"/>
          <w:lang w:eastAsia="es-ES"/>
        </w:rPr>
        <w:t xml:space="preserve">, en el país existen 796 resguardos indígenas, en el departamento del Quindío el único pueblo reconocido con territorio, se encuentra en Calarcá y corresponde a la población </w:t>
      </w:r>
      <w:proofErr w:type="spellStart"/>
      <w:r w:rsidRPr="00D531FD">
        <w:rPr>
          <w:rFonts w:ascii="Times New Roman" w:hAnsi="Times New Roman"/>
          <w:color w:val="000000"/>
          <w:sz w:val="24"/>
          <w:szCs w:val="24"/>
          <w:lang w:eastAsia="es-ES"/>
        </w:rPr>
        <w:t>Embera</w:t>
      </w:r>
      <w:proofErr w:type="spellEnd"/>
      <w:r w:rsidRPr="00D531FD">
        <w:rPr>
          <w:rFonts w:ascii="Times New Roman" w:hAnsi="Times New Roman"/>
          <w:color w:val="000000"/>
          <w:sz w:val="24"/>
          <w:szCs w:val="24"/>
          <w:lang w:eastAsia="es-ES"/>
        </w:rPr>
        <w:t xml:space="preserve"> </w:t>
      </w:r>
      <w:proofErr w:type="spellStart"/>
      <w:r w:rsidRPr="00D531FD">
        <w:rPr>
          <w:rFonts w:ascii="Times New Roman" w:hAnsi="Times New Roman"/>
          <w:color w:val="000000"/>
          <w:sz w:val="24"/>
          <w:szCs w:val="24"/>
          <w:lang w:eastAsia="es-ES"/>
        </w:rPr>
        <w:t>Chami</w:t>
      </w:r>
      <w:proofErr w:type="spellEnd"/>
      <w:r w:rsidRPr="00D531FD">
        <w:rPr>
          <w:rFonts w:ascii="Times New Roman" w:hAnsi="Times New Roman"/>
          <w:color w:val="000000"/>
          <w:sz w:val="24"/>
          <w:szCs w:val="24"/>
          <w:lang w:eastAsia="es-ES"/>
        </w:rPr>
        <w:t xml:space="preserve">, (DACHI AGORE DRUA). </w:t>
      </w:r>
    </w:p>
    <w:p w:rsidR="00675D1A" w:rsidRPr="00D531FD" w:rsidRDefault="00675D1A" w:rsidP="00F53FE4">
      <w:pPr>
        <w:pStyle w:val="Sinespaciado"/>
        <w:spacing w:line="360" w:lineRule="auto"/>
        <w:ind w:firstLine="284"/>
        <w:rPr>
          <w:rFonts w:ascii="Times New Roman" w:hAnsi="Times New Roman"/>
          <w:color w:val="000000"/>
          <w:sz w:val="24"/>
          <w:szCs w:val="24"/>
          <w:lang w:eastAsia="es-ES"/>
        </w:rPr>
      </w:pPr>
    </w:p>
    <w:p w:rsidR="00675D1A" w:rsidRPr="00D531FD" w:rsidRDefault="00675D1A" w:rsidP="00F53FE4">
      <w:pPr>
        <w:pStyle w:val="Sinespaciado"/>
        <w:spacing w:line="360" w:lineRule="auto"/>
        <w:ind w:firstLine="284"/>
        <w:rPr>
          <w:rFonts w:ascii="Times New Roman" w:hAnsi="Times New Roman"/>
          <w:color w:val="000000"/>
          <w:sz w:val="24"/>
          <w:szCs w:val="24"/>
          <w:lang w:eastAsia="es-ES"/>
        </w:rPr>
      </w:pPr>
      <w:r w:rsidRPr="00D531FD">
        <w:rPr>
          <w:rFonts w:ascii="Times New Roman" w:hAnsi="Times New Roman"/>
          <w:color w:val="000000"/>
          <w:sz w:val="24"/>
          <w:szCs w:val="24"/>
          <w:lang w:eastAsia="es-ES"/>
        </w:rPr>
        <w:t xml:space="preserve">Con respecto a la población negra, mulata o afrodescendiente se encontró que el 0,03% del total poblacional del departamento pertenece a esta categoría y corresponde a 12.718 personas. La categoría étnica que tiene la más baja participación dentro de la población total del departamento es la de los raizales de San Andrés y Providencia con 26 personas, a esta le sigue la categoría </w:t>
      </w:r>
      <w:proofErr w:type="spellStart"/>
      <w:r w:rsidR="004E52BC">
        <w:rPr>
          <w:rFonts w:ascii="Times New Roman" w:hAnsi="Times New Roman"/>
          <w:color w:val="000000"/>
          <w:sz w:val="24"/>
          <w:szCs w:val="24"/>
          <w:lang w:eastAsia="es-ES"/>
        </w:rPr>
        <w:t>Rom</w:t>
      </w:r>
      <w:proofErr w:type="spellEnd"/>
      <w:r w:rsidRPr="00D531FD">
        <w:rPr>
          <w:rFonts w:ascii="Times New Roman" w:hAnsi="Times New Roman"/>
          <w:color w:val="000000"/>
          <w:sz w:val="24"/>
          <w:szCs w:val="24"/>
          <w:lang w:eastAsia="es-ES"/>
        </w:rPr>
        <w:t xml:space="preserve"> con 37  personas. </w:t>
      </w:r>
    </w:p>
    <w:p w:rsidR="00675D1A" w:rsidRPr="00D531FD" w:rsidRDefault="00675D1A" w:rsidP="00675D1A">
      <w:pPr>
        <w:pStyle w:val="Sinespaciado"/>
        <w:spacing w:line="360" w:lineRule="auto"/>
        <w:rPr>
          <w:rFonts w:ascii="Times New Roman" w:hAnsi="Times New Roman"/>
          <w:sz w:val="24"/>
          <w:szCs w:val="24"/>
        </w:rPr>
      </w:pPr>
    </w:p>
    <w:p w:rsidR="00675D1A" w:rsidRPr="00052699" w:rsidRDefault="00FC5A59" w:rsidP="001D352C">
      <w:pPr>
        <w:pStyle w:val="Sinespaciado"/>
        <w:jc w:val="left"/>
        <w:rPr>
          <w:rFonts w:ascii="Times New Roman" w:hAnsi="Times New Roman"/>
          <w:sz w:val="24"/>
          <w:szCs w:val="24"/>
        </w:rPr>
      </w:pPr>
      <w:r>
        <w:rPr>
          <w:rFonts w:ascii="Times New Roman" w:hAnsi="Times New Roman"/>
          <w:sz w:val="24"/>
          <w:szCs w:val="24"/>
        </w:rPr>
        <w:t>Tabla</w:t>
      </w:r>
      <w:r w:rsidR="00675D1A" w:rsidRPr="00052699">
        <w:rPr>
          <w:rFonts w:ascii="Times New Roman" w:hAnsi="Times New Roman"/>
          <w:sz w:val="24"/>
          <w:szCs w:val="24"/>
        </w:rPr>
        <w:t xml:space="preserve"> 1.</w:t>
      </w:r>
      <w:r w:rsidR="00F9635E" w:rsidRPr="00052699">
        <w:rPr>
          <w:rFonts w:ascii="Times New Roman" w:hAnsi="Times New Roman"/>
          <w:sz w:val="24"/>
          <w:szCs w:val="24"/>
        </w:rPr>
        <w:t>4</w:t>
      </w:r>
    </w:p>
    <w:p w:rsidR="00675D1A" w:rsidRPr="00052699" w:rsidRDefault="00675D1A" w:rsidP="001D352C">
      <w:pPr>
        <w:pStyle w:val="Sinespaciado"/>
        <w:jc w:val="left"/>
        <w:rPr>
          <w:rFonts w:ascii="Times New Roman" w:hAnsi="Times New Roman"/>
          <w:sz w:val="24"/>
          <w:szCs w:val="24"/>
        </w:rPr>
      </w:pPr>
      <w:r w:rsidRPr="00052699">
        <w:rPr>
          <w:rFonts w:ascii="Times New Roman" w:hAnsi="Times New Roman"/>
          <w:sz w:val="24"/>
          <w:szCs w:val="24"/>
        </w:rPr>
        <w:t>Categorías de pertenencia étnica en el departamento del Quindío</w:t>
      </w:r>
    </w:p>
    <w:p w:rsidR="00675D1A" w:rsidRPr="00052699" w:rsidRDefault="00675D1A" w:rsidP="001D352C">
      <w:pPr>
        <w:pStyle w:val="Sinespaciado"/>
        <w:jc w:val="left"/>
        <w:rPr>
          <w:rFonts w:ascii="Times New Roman" w:hAnsi="Times New Roman"/>
          <w:sz w:val="24"/>
          <w:szCs w:val="24"/>
        </w:rPr>
      </w:pPr>
      <w:r w:rsidRPr="00052699">
        <w:rPr>
          <w:rFonts w:ascii="Times New Roman" w:hAnsi="Times New Roman"/>
          <w:sz w:val="24"/>
          <w:szCs w:val="24"/>
        </w:rPr>
        <w:t>2005</w:t>
      </w:r>
    </w:p>
    <w:p w:rsidR="00675D1A" w:rsidRPr="00D531FD" w:rsidRDefault="00675D1A" w:rsidP="00675D1A">
      <w:pPr>
        <w:pStyle w:val="Sinespaciado"/>
        <w:jc w:val="center"/>
        <w:rPr>
          <w:rFonts w:ascii="Times New Roman" w:hAnsi="Times New Roman"/>
          <w:sz w:val="24"/>
          <w:szCs w:val="24"/>
        </w:rPr>
      </w:pPr>
    </w:p>
    <w:tbl>
      <w:tblPr>
        <w:tblW w:w="7374" w:type="dxa"/>
        <w:tblCellMar>
          <w:left w:w="70" w:type="dxa"/>
          <w:right w:w="70" w:type="dxa"/>
        </w:tblCellMar>
        <w:tblLook w:val="04A0" w:firstRow="1" w:lastRow="0" w:firstColumn="1" w:lastColumn="0" w:noHBand="0" w:noVBand="1"/>
      </w:tblPr>
      <w:tblGrid>
        <w:gridCol w:w="1384"/>
        <w:gridCol w:w="1251"/>
        <w:gridCol w:w="934"/>
        <w:gridCol w:w="1660"/>
        <w:gridCol w:w="2145"/>
      </w:tblGrid>
      <w:tr w:rsidR="00675D1A" w:rsidRPr="00052699" w:rsidTr="001D352C">
        <w:trPr>
          <w:trHeight w:val="423"/>
        </w:trPr>
        <w:tc>
          <w:tcPr>
            <w:tcW w:w="7374" w:type="dxa"/>
            <w:gridSpan w:val="5"/>
            <w:tcBorders>
              <w:top w:val="single" w:sz="4" w:space="0" w:color="auto"/>
              <w:left w:val="nil"/>
              <w:bottom w:val="single" w:sz="4" w:space="0" w:color="auto"/>
              <w:right w:val="nil"/>
            </w:tcBorders>
            <w:shd w:val="clear" w:color="auto" w:fill="auto"/>
            <w:noWrap/>
            <w:vAlign w:val="center"/>
            <w:hideMark/>
          </w:tcPr>
          <w:p w:rsidR="00675D1A" w:rsidRPr="00052699" w:rsidRDefault="00675D1A" w:rsidP="00052699">
            <w:pPr>
              <w:jc w:val="center"/>
              <w:rPr>
                <w:b/>
                <w:bCs/>
                <w:color w:val="000000"/>
                <w:sz w:val="20"/>
                <w:szCs w:val="20"/>
              </w:rPr>
            </w:pPr>
            <w:r w:rsidRPr="00052699">
              <w:rPr>
                <w:b/>
                <w:bCs/>
                <w:color w:val="000000"/>
                <w:sz w:val="20"/>
                <w:szCs w:val="20"/>
              </w:rPr>
              <w:t>ETNIAS</w:t>
            </w:r>
          </w:p>
        </w:tc>
      </w:tr>
      <w:tr w:rsidR="00675D1A" w:rsidRPr="00052699" w:rsidTr="001D352C">
        <w:trPr>
          <w:trHeight w:val="483"/>
        </w:trPr>
        <w:tc>
          <w:tcPr>
            <w:tcW w:w="1384" w:type="dxa"/>
            <w:tcBorders>
              <w:top w:val="nil"/>
              <w:left w:val="nil"/>
              <w:bottom w:val="single" w:sz="4" w:space="0" w:color="auto"/>
              <w:right w:val="nil"/>
            </w:tcBorders>
            <w:shd w:val="clear" w:color="000000" w:fill="FFFFFF"/>
            <w:vAlign w:val="center"/>
            <w:hideMark/>
          </w:tcPr>
          <w:p w:rsidR="00675D1A" w:rsidRPr="00052699" w:rsidRDefault="00675D1A" w:rsidP="002C791A">
            <w:pPr>
              <w:jc w:val="center"/>
              <w:rPr>
                <w:b/>
                <w:bCs/>
                <w:color w:val="000000"/>
                <w:sz w:val="20"/>
                <w:szCs w:val="20"/>
              </w:rPr>
            </w:pPr>
            <w:r w:rsidRPr="00052699">
              <w:rPr>
                <w:b/>
                <w:bCs/>
                <w:color w:val="000000"/>
                <w:sz w:val="20"/>
                <w:szCs w:val="20"/>
              </w:rPr>
              <w:t>Sexo</w:t>
            </w:r>
          </w:p>
        </w:tc>
        <w:tc>
          <w:tcPr>
            <w:tcW w:w="1251" w:type="dxa"/>
            <w:tcBorders>
              <w:top w:val="nil"/>
              <w:left w:val="nil"/>
              <w:bottom w:val="single" w:sz="4" w:space="0" w:color="auto"/>
              <w:right w:val="nil"/>
            </w:tcBorders>
            <w:shd w:val="clear" w:color="000000" w:fill="FFFFFF"/>
            <w:vAlign w:val="center"/>
            <w:hideMark/>
          </w:tcPr>
          <w:p w:rsidR="00675D1A" w:rsidRPr="00052699" w:rsidRDefault="00675D1A" w:rsidP="002C791A">
            <w:pPr>
              <w:jc w:val="center"/>
              <w:rPr>
                <w:b/>
                <w:bCs/>
                <w:color w:val="000000"/>
                <w:sz w:val="20"/>
                <w:szCs w:val="20"/>
              </w:rPr>
            </w:pPr>
            <w:r w:rsidRPr="00052699">
              <w:rPr>
                <w:b/>
                <w:bCs/>
                <w:color w:val="000000"/>
                <w:sz w:val="20"/>
                <w:szCs w:val="20"/>
              </w:rPr>
              <w:t>Indígena</w:t>
            </w:r>
          </w:p>
        </w:tc>
        <w:tc>
          <w:tcPr>
            <w:tcW w:w="934" w:type="dxa"/>
            <w:tcBorders>
              <w:top w:val="nil"/>
              <w:left w:val="nil"/>
              <w:bottom w:val="single" w:sz="4" w:space="0" w:color="auto"/>
              <w:right w:val="nil"/>
            </w:tcBorders>
            <w:shd w:val="clear" w:color="000000" w:fill="FFFFFF"/>
            <w:vAlign w:val="center"/>
            <w:hideMark/>
          </w:tcPr>
          <w:p w:rsidR="00675D1A" w:rsidRPr="00052699" w:rsidRDefault="00675D1A" w:rsidP="002C791A">
            <w:pPr>
              <w:jc w:val="center"/>
              <w:rPr>
                <w:b/>
                <w:bCs/>
                <w:color w:val="000000"/>
                <w:sz w:val="20"/>
                <w:szCs w:val="20"/>
              </w:rPr>
            </w:pPr>
            <w:proofErr w:type="spellStart"/>
            <w:r w:rsidRPr="00052699">
              <w:rPr>
                <w:b/>
                <w:bCs/>
                <w:color w:val="000000"/>
                <w:sz w:val="20"/>
                <w:szCs w:val="20"/>
              </w:rPr>
              <w:t>Rom</w:t>
            </w:r>
            <w:proofErr w:type="spellEnd"/>
          </w:p>
        </w:tc>
        <w:tc>
          <w:tcPr>
            <w:tcW w:w="1660" w:type="dxa"/>
            <w:tcBorders>
              <w:top w:val="nil"/>
              <w:left w:val="nil"/>
              <w:bottom w:val="single" w:sz="4" w:space="0" w:color="auto"/>
              <w:right w:val="nil"/>
            </w:tcBorders>
            <w:shd w:val="clear" w:color="000000" w:fill="FFFFFF"/>
            <w:vAlign w:val="center"/>
            <w:hideMark/>
          </w:tcPr>
          <w:p w:rsidR="00675D1A" w:rsidRPr="00052699" w:rsidRDefault="00675D1A" w:rsidP="002C791A">
            <w:pPr>
              <w:jc w:val="center"/>
              <w:rPr>
                <w:b/>
                <w:bCs/>
                <w:color w:val="000000"/>
                <w:sz w:val="20"/>
                <w:szCs w:val="20"/>
              </w:rPr>
            </w:pPr>
            <w:r w:rsidRPr="00052699">
              <w:rPr>
                <w:b/>
                <w:bCs/>
                <w:color w:val="000000"/>
                <w:sz w:val="20"/>
                <w:szCs w:val="20"/>
              </w:rPr>
              <w:t>Raizal de San Andrés y Providencia</w:t>
            </w:r>
          </w:p>
        </w:tc>
        <w:tc>
          <w:tcPr>
            <w:tcW w:w="2145" w:type="dxa"/>
            <w:tcBorders>
              <w:top w:val="nil"/>
              <w:left w:val="nil"/>
              <w:bottom w:val="single" w:sz="4" w:space="0" w:color="auto"/>
              <w:right w:val="nil"/>
            </w:tcBorders>
            <w:shd w:val="clear" w:color="000000" w:fill="FFFFFF"/>
            <w:vAlign w:val="center"/>
            <w:hideMark/>
          </w:tcPr>
          <w:p w:rsidR="00675D1A" w:rsidRPr="00052699" w:rsidRDefault="00675D1A" w:rsidP="002C791A">
            <w:pPr>
              <w:jc w:val="center"/>
              <w:rPr>
                <w:b/>
                <w:bCs/>
                <w:color w:val="000000"/>
                <w:sz w:val="20"/>
                <w:szCs w:val="20"/>
              </w:rPr>
            </w:pPr>
            <w:r w:rsidRPr="00052699">
              <w:rPr>
                <w:b/>
                <w:bCs/>
                <w:color w:val="000000"/>
                <w:sz w:val="20"/>
                <w:szCs w:val="20"/>
              </w:rPr>
              <w:t>Negro (a) Mulato, Afrocolombiano</w:t>
            </w:r>
          </w:p>
        </w:tc>
      </w:tr>
      <w:tr w:rsidR="00675D1A" w:rsidRPr="00052699" w:rsidTr="001D352C">
        <w:trPr>
          <w:trHeight w:val="305"/>
        </w:trPr>
        <w:tc>
          <w:tcPr>
            <w:tcW w:w="1384" w:type="dxa"/>
            <w:tcBorders>
              <w:top w:val="nil"/>
              <w:left w:val="nil"/>
              <w:bottom w:val="nil"/>
              <w:right w:val="nil"/>
            </w:tcBorders>
            <w:shd w:val="clear" w:color="000000" w:fill="FFFFFF"/>
            <w:vAlign w:val="center"/>
            <w:hideMark/>
          </w:tcPr>
          <w:p w:rsidR="00675D1A" w:rsidRPr="00052699" w:rsidRDefault="00675D1A" w:rsidP="00052699">
            <w:pPr>
              <w:rPr>
                <w:color w:val="000000"/>
                <w:sz w:val="20"/>
                <w:szCs w:val="20"/>
              </w:rPr>
            </w:pPr>
            <w:r w:rsidRPr="00052699">
              <w:rPr>
                <w:color w:val="000000"/>
                <w:sz w:val="20"/>
                <w:szCs w:val="20"/>
              </w:rPr>
              <w:t>Hombre</w:t>
            </w:r>
          </w:p>
        </w:tc>
        <w:tc>
          <w:tcPr>
            <w:tcW w:w="1251" w:type="dxa"/>
            <w:tcBorders>
              <w:top w:val="nil"/>
              <w:left w:val="nil"/>
              <w:bottom w:val="nil"/>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1.123</w:t>
            </w:r>
          </w:p>
        </w:tc>
        <w:tc>
          <w:tcPr>
            <w:tcW w:w="934" w:type="dxa"/>
            <w:tcBorders>
              <w:top w:val="nil"/>
              <w:left w:val="nil"/>
              <w:bottom w:val="nil"/>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25</w:t>
            </w:r>
          </w:p>
        </w:tc>
        <w:tc>
          <w:tcPr>
            <w:tcW w:w="1660" w:type="dxa"/>
            <w:tcBorders>
              <w:top w:val="nil"/>
              <w:left w:val="nil"/>
              <w:bottom w:val="nil"/>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14</w:t>
            </w:r>
          </w:p>
        </w:tc>
        <w:tc>
          <w:tcPr>
            <w:tcW w:w="2145" w:type="dxa"/>
            <w:tcBorders>
              <w:top w:val="nil"/>
              <w:left w:val="nil"/>
              <w:bottom w:val="nil"/>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6.590</w:t>
            </w:r>
          </w:p>
        </w:tc>
      </w:tr>
      <w:tr w:rsidR="00675D1A" w:rsidRPr="00052699" w:rsidTr="001D352C">
        <w:trPr>
          <w:trHeight w:val="305"/>
        </w:trPr>
        <w:tc>
          <w:tcPr>
            <w:tcW w:w="1384" w:type="dxa"/>
            <w:tcBorders>
              <w:top w:val="nil"/>
              <w:left w:val="nil"/>
              <w:bottom w:val="nil"/>
              <w:right w:val="nil"/>
            </w:tcBorders>
            <w:shd w:val="clear" w:color="000000" w:fill="FFFFFF"/>
            <w:vAlign w:val="center"/>
            <w:hideMark/>
          </w:tcPr>
          <w:p w:rsidR="00675D1A" w:rsidRPr="00052699" w:rsidRDefault="00675D1A" w:rsidP="00052699">
            <w:pPr>
              <w:rPr>
                <w:color w:val="000000"/>
                <w:sz w:val="20"/>
                <w:szCs w:val="20"/>
              </w:rPr>
            </w:pPr>
            <w:r w:rsidRPr="00052699">
              <w:rPr>
                <w:color w:val="000000"/>
                <w:sz w:val="20"/>
                <w:szCs w:val="20"/>
              </w:rPr>
              <w:t>Mujer</w:t>
            </w:r>
          </w:p>
        </w:tc>
        <w:tc>
          <w:tcPr>
            <w:tcW w:w="1251" w:type="dxa"/>
            <w:tcBorders>
              <w:top w:val="nil"/>
              <w:left w:val="nil"/>
              <w:bottom w:val="nil"/>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1.022</w:t>
            </w:r>
          </w:p>
        </w:tc>
        <w:tc>
          <w:tcPr>
            <w:tcW w:w="934" w:type="dxa"/>
            <w:tcBorders>
              <w:top w:val="nil"/>
              <w:left w:val="nil"/>
              <w:bottom w:val="nil"/>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12</w:t>
            </w:r>
          </w:p>
        </w:tc>
        <w:tc>
          <w:tcPr>
            <w:tcW w:w="1660" w:type="dxa"/>
            <w:tcBorders>
              <w:top w:val="nil"/>
              <w:left w:val="nil"/>
              <w:bottom w:val="nil"/>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12</w:t>
            </w:r>
          </w:p>
        </w:tc>
        <w:tc>
          <w:tcPr>
            <w:tcW w:w="2145" w:type="dxa"/>
            <w:tcBorders>
              <w:top w:val="nil"/>
              <w:left w:val="nil"/>
              <w:bottom w:val="nil"/>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6.128</w:t>
            </w:r>
          </w:p>
        </w:tc>
      </w:tr>
      <w:tr w:rsidR="00675D1A" w:rsidRPr="00052699" w:rsidTr="001D352C">
        <w:trPr>
          <w:trHeight w:val="305"/>
        </w:trPr>
        <w:tc>
          <w:tcPr>
            <w:tcW w:w="1384" w:type="dxa"/>
            <w:tcBorders>
              <w:top w:val="single" w:sz="4" w:space="0" w:color="auto"/>
              <w:left w:val="nil"/>
              <w:bottom w:val="single" w:sz="4" w:space="0" w:color="auto"/>
              <w:right w:val="nil"/>
            </w:tcBorders>
            <w:shd w:val="clear" w:color="000000" w:fill="FFFFFF"/>
            <w:vAlign w:val="center"/>
            <w:hideMark/>
          </w:tcPr>
          <w:p w:rsidR="00675D1A" w:rsidRPr="00052699" w:rsidRDefault="00052699" w:rsidP="00052699">
            <w:pPr>
              <w:rPr>
                <w:b/>
                <w:bCs/>
                <w:color w:val="000000"/>
                <w:sz w:val="20"/>
                <w:szCs w:val="20"/>
              </w:rPr>
            </w:pPr>
            <w:r w:rsidRPr="00052699">
              <w:rPr>
                <w:b/>
                <w:bCs/>
                <w:color w:val="000000"/>
                <w:sz w:val="20"/>
                <w:szCs w:val="20"/>
              </w:rPr>
              <w:t>Total</w:t>
            </w:r>
          </w:p>
        </w:tc>
        <w:tc>
          <w:tcPr>
            <w:tcW w:w="1251" w:type="dxa"/>
            <w:tcBorders>
              <w:top w:val="single" w:sz="4" w:space="0" w:color="auto"/>
              <w:left w:val="nil"/>
              <w:bottom w:val="single" w:sz="4" w:space="0" w:color="auto"/>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2.145</w:t>
            </w:r>
          </w:p>
        </w:tc>
        <w:tc>
          <w:tcPr>
            <w:tcW w:w="934" w:type="dxa"/>
            <w:tcBorders>
              <w:top w:val="single" w:sz="4" w:space="0" w:color="auto"/>
              <w:left w:val="nil"/>
              <w:bottom w:val="single" w:sz="4" w:space="0" w:color="auto"/>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37</w:t>
            </w:r>
          </w:p>
        </w:tc>
        <w:tc>
          <w:tcPr>
            <w:tcW w:w="1660" w:type="dxa"/>
            <w:tcBorders>
              <w:top w:val="single" w:sz="4" w:space="0" w:color="auto"/>
              <w:left w:val="nil"/>
              <w:bottom w:val="single" w:sz="4" w:space="0" w:color="auto"/>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26</w:t>
            </w:r>
          </w:p>
        </w:tc>
        <w:tc>
          <w:tcPr>
            <w:tcW w:w="2145" w:type="dxa"/>
            <w:tcBorders>
              <w:top w:val="single" w:sz="4" w:space="0" w:color="auto"/>
              <w:left w:val="nil"/>
              <w:bottom w:val="single" w:sz="4" w:space="0" w:color="auto"/>
              <w:right w:val="nil"/>
            </w:tcBorders>
            <w:shd w:val="clear" w:color="000000" w:fill="FFFFFF"/>
            <w:vAlign w:val="center"/>
            <w:hideMark/>
          </w:tcPr>
          <w:p w:rsidR="00675D1A" w:rsidRPr="00052699" w:rsidRDefault="00675D1A" w:rsidP="00052699">
            <w:pPr>
              <w:jc w:val="center"/>
              <w:rPr>
                <w:color w:val="000000"/>
                <w:sz w:val="20"/>
                <w:szCs w:val="20"/>
              </w:rPr>
            </w:pPr>
            <w:r w:rsidRPr="00052699">
              <w:rPr>
                <w:color w:val="000000"/>
                <w:sz w:val="20"/>
                <w:szCs w:val="20"/>
              </w:rPr>
              <w:t>12.718</w:t>
            </w:r>
          </w:p>
        </w:tc>
      </w:tr>
    </w:tbl>
    <w:p w:rsidR="00675D1A" w:rsidRPr="00D531FD" w:rsidRDefault="00675D1A" w:rsidP="00675D1A">
      <w:pPr>
        <w:pStyle w:val="Sinespaciado"/>
        <w:ind w:firstLine="708"/>
        <w:rPr>
          <w:rFonts w:ascii="Times New Roman" w:hAnsi="Times New Roman"/>
          <w:color w:val="222222"/>
          <w:sz w:val="12"/>
          <w:szCs w:val="18"/>
        </w:rPr>
      </w:pPr>
    </w:p>
    <w:p w:rsidR="00675D1A" w:rsidRPr="00D531FD" w:rsidRDefault="00675D1A" w:rsidP="001D352C">
      <w:pPr>
        <w:pStyle w:val="Sinespaciado"/>
        <w:rPr>
          <w:rFonts w:ascii="Times New Roman" w:hAnsi="Times New Roman"/>
          <w:sz w:val="16"/>
          <w:szCs w:val="16"/>
        </w:rPr>
      </w:pPr>
      <w:r w:rsidRPr="00D531FD">
        <w:rPr>
          <w:rFonts w:ascii="Times New Roman" w:hAnsi="Times New Roman"/>
          <w:color w:val="222222"/>
          <w:sz w:val="16"/>
          <w:szCs w:val="16"/>
        </w:rPr>
        <w:t xml:space="preserve">Fuente: </w:t>
      </w:r>
      <w:r w:rsidR="008F5FB2">
        <w:rPr>
          <w:rFonts w:ascii="Times New Roman" w:hAnsi="Times New Roman"/>
          <w:color w:val="222222"/>
          <w:sz w:val="16"/>
          <w:szCs w:val="16"/>
        </w:rPr>
        <w:t>DANE</w:t>
      </w:r>
      <w:r w:rsidRPr="00D531FD">
        <w:rPr>
          <w:rFonts w:ascii="Times New Roman" w:hAnsi="Times New Roman"/>
          <w:color w:val="222222"/>
          <w:sz w:val="16"/>
          <w:szCs w:val="16"/>
        </w:rPr>
        <w:t xml:space="preserve">, </w:t>
      </w:r>
      <w:proofErr w:type="spellStart"/>
      <w:r w:rsidRPr="00D531FD">
        <w:rPr>
          <w:rFonts w:ascii="Times New Roman" w:hAnsi="Times New Roman"/>
          <w:color w:val="222222"/>
          <w:sz w:val="16"/>
          <w:szCs w:val="16"/>
        </w:rPr>
        <w:t>Redatam</w:t>
      </w:r>
      <w:proofErr w:type="spellEnd"/>
      <w:r w:rsidRPr="00D531FD">
        <w:rPr>
          <w:rFonts w:ascii="Times New Roman" w:hAnsi="Times New Roman"/>
          <w:color w:val="222222"/>
          <w:sz w:val="16"/>
          <w:szCs w:val="16"/>
        </w:rPr>
        <w:t xml:space="preserve"> - Censo Básico. 2005</w:t>
      </w:r>
    </w:p>
    <w:p w:rsidR="005E36B6" w:rsidRDefault="005E36B6" w:rsidP="005E36B6">
      <w:pPr>
        <w:pStyle w:val="Sinespaciado"/>
        <w:spacing w:line="360" w:lineRule="auto"/>
        <w:rPr>
          <w:rFonts w:ascii="Times New Roman" w:eastAsia="Times New Roman" w:hAnsi="Times New Roman"/>
          <w:sz w:val="24"/>
          <w:szCs w:val="24"/>
          <w:lang w:eastAsia="es-CO"/>
        </w:rPr>
      </w:pPr>
    </w:p>
    <w:p w:rsidR="00675D1A" w:rsidRPr="00D531FD" w:rsidRDefault="00732A41" w:rsidP="005E36B6">
      <w:pPr>
        <w:pStyle w:val="Sinespaciado"/>
        <w:spacing w:line="360" w:lineRule="auto"/>
        <w:ind w:firstLine="284"/>
        <w:rPr>
          <w:rFonts w:ascii="Times New Roman" w:hAnsi="Times New Roman"/>
          <w:sz w:val="24"/>
          <w:szCs w:val="24"/>
        </w:rPr>
      </w:pPr>
      <w:r>
        <w:rPr>
          <w:rFonts w:ascii="Times New Roman" w:hAnsi="Times New Roman"/>
          <w:sz w:val="24"/>
          <w:szCs w:val="24"/>
        </w:rPr>
        <w:t>De acuerdo a la distr</w:t>
      </w:r>
      <w:r w:rsidR="00932D73">
        <w:rPr>
          <w:rFonts w:ascii="Times New Roman" w:hAnsi="Times New Roman"/>
          <w:sz w:val="24"/>
          <w:szCs w:val="24"/>
        </w:rPr>
        <w:t xml:space="preserve">ibución de la población étnica </w:t>
      </w:r>
      <w:r>
        <w:rPr>
          <w:rFonts w:ascii="Times New Roman" w:hAnsi="Times New Roman"/>
          <w:sz w:val="24"/>
          <w:szCs w:val="24"/>
        </w:rPr>
        <w:t xml:space="preserve">según </w:t>
      </w:r>
      <w:r w:rsidR="00675D1A" w:rsidRPr="00D531FD">
        <w:rPr>
          <w:rFonts w:ascii="Times New Roman" w:hAnsi="Times New Roman"/>
          <w:sz w:val="24"/>
          <w:szCs w:val="24"/>
        </w:rPr>
        <w:t xml:space="preserve">municipio, </w:t>
      </w:r>
      <w:r>
        <w:rPr>
          <w:rFonts w:ascii="Times New Roman" w:hAnsi="Times New Roman"/>
          <w:sz w:val="24"/>
          <w:szCs w:val="24"/>
        </w:rPr>
        <w:t xml:space="preserve">estos grupos </w:t>
      </w:r>
      <w:r w:rsidR="00675D1A" w:rsidRPr="00D531FD">
        <w:rPr>
          <w:rFonts w:ascii="Times New Roman" w:hAnsi="Times New Roman"/>
          <w:sz w:val="24"/>
          <w:szCs w:val="24"/>
        </w:rPr>
        <w:t xml:space="preserve">se ubican principalmente en: </w:t>
      </w:r>
      <w:r w:rsidR="00932D73">
        <w:rPr>
          <w:rFonts w:ascii="Times New Roman" w:hAnsi="Times New Roman"/>
          <w:sz w:val="24"/>
          <w:szCs w:val="24"/>
        </w:rPr>
        <w:t>Armenia, Montenegro</w:t>
      </w:r>
      <w:r w:rsidR="00AA125C">
        <w:rPr>
          <w:rFonts w:ascii="Times New Roman" w:hAnsi="Times New Roman"/>
          <w:sz w:val="24"/>
          <w:szCs w:val="24"/>
        </w:rPr>
        <w:t xml:space="preserve"> </w:t>
      </w:r>
      <w:r w:rsidR="00932D73">
        <w:rPr>
          <w:rFonts w:ascii="Times New Roman" w:hAnsi="Times New Roman"/>
          <w:sz w:val="24"/>
          <w:szCs w:val="24"/>
        </w:rPr>
        <w:t xml:space="preserve">y Calarcá; </w:t>
      </w:r>
      <w:r w:rsidR="00675D1A" w:rsidRPr="00D531FD">
        <w:rPr>
          <w:rFonts w:ascii="Times New Roman" w:hAnsi="Times New Roman"/>
          <w:sz w:val="24"/>
          <w:szCs w:val="24"/>
        </w:rPr>
        <w:t>en consecuencia</w:t>
      </w:r>
      <w:r w:rsidR="00932D73">
        <w:rPr>
          <w:rFonts w:ascii="Times New Roman" w:hAnsi="Times New Roman"/>
          <w:sz w:val="24"/>
          <w:szCs w:val="24"/>
        </w:rPr>
        <w:t>,</w:t>
      </w:r>
      <w:r w:rsidR="00675D1A" w:rsidRPr="00D531FD">
        <w:rPr>
          <w:rFonts w:ascii="Times New Roman" w:hAnsi="Times New Roman"/>
          <w:sz w:val="24"/>
          <w:szCs w:val="24"/>
        </w:rPr>
        <w:t xml:space="preserve"> la población indígena se concentra en mayor proporción en el municipio de Armenia con el 0,30%, seguido del muni</w:t>
      </w:r>
      <w:r w:rsidR="00AB7344">
        <w:rPr>
          <w:rFonts w:ascii="Times New Roman" w:hAnsi="Times New Roman"/>
          <w:sz w:val="24"/>
          <w:szCs w:val="24"/>
        </w:rPr>
        <w:t>cipio de Montenegro con un 0.3% y</w:t>
      </w:r>
      <w:r w:rsidR="00675D1A" w:rsidRPr="00D531FD">
        <w:rPr>
          <w:rFonts w:ascii="Times New Roman" w:hAnsi="Times New Roman"/>
          <w:sz w:val="24"/>
          <w:szCs w:val="24"/>
        </w:rPr>
        <w:t xml:space="preserve"> Calarcá con un 0.02%.</w:t>
      </w:r>
      <w:r w:rsidR="00675D1A" w:rsidRPr="00D531FD">
        <w:rPr>
          <w:rFonts w:ascii="Times New Roman" w:hAnsi="Times New Roman"/>
          <w:color w:val="FF0000"/>
          <w:sz w:val="24"/>
          <w:szCs w:val="24"/>
        </w:rPr>
        <w:t xml:space="preserve"> </w:t>
      </w:r>
      <w:r w:rsidR="00675D1A" w:rsidRPr="00D531FD">
        <w:rPr>
          <w:rFonts w:ascii="Times New Roman" w:hAnsi="Times New Roman"/>
          <w:sz w:val="24"/>
          <w:szCs w:val="24"/>
        </w:rPr>
        <w:t>La población afrodescendiente se ubica en su gran mayoría en el municipio de</w:t>
      </w:r>
      <w:r w:rsidR="00675D1A" w:rsidRPr="00D531FD">
        <w:rPr>
          <w:rFonts w:ascii="Times New Roman" w:hAnsi="Times New Roman"/>
          <w:color w:val="FF0000"/>
          <w:sz w:val="24"/>
          <w:szCs w:val="24"/>
        </w:rPr>
        <w:t xml:space="preserve">  </w:t>
      </w:r>
      <w:r w:rsidR="00675D1A" w:rsidRPr="00D531FD">
        <w:rPr>
          <w:rFonts w:ascii="Times New Roman" w:hAnsi="Times New Roman"/>
          <w:sz w:val="24"/>
          <w:szCs w:val="24"/>
        </w:rPr>
        <w:t xml:space="preserve">Armenia con una </w:t>
      </w:r>
      <w:r w:rsidR="00675D1A" w:rsidRPr="00D531FD">
        <w:rPr>
          <w:rFonts w:ascii="Times New Roman" w:hAnsi="Times New Roman"/>
          <w:sz w:val="24"/>
          <w:szCs w:val="24"/>
        </w:rPr>
        <w:lastRenderedPageBreak/>
        <w:t>participación del 1,77%,</w:t>
      </w:r>
      <w:r w:rsidR="00675D1A" w:rsidRPr="00D531FD">
        <w:rPr>
          <w:rFonts w:ascii="Times New Roman" w:hAnsi="Times New Roman"/>
          <w:color w:val="FF0000"/>
          <w:sz w:val="24"/>
          <w:szCs w:val="24"/>
        </w:rPr>
        <w:t xml:space="preserve"> </w:t>
      </w:r>
      <w:r w:rsidR="00675D1A" w:rsidRPr="00D531FD">
        <w:rPr>
          <w:rFonts w:ascii="Times New Roman" w:hAnsi="Times New Roman"/>
          <w:sz w:val="24"/>
          <w:szCs w:val="24"/>
        </w:rPr>
        <w:t xml:space="preserve">le siguen </w:t>
      </w:r>
      <w:r w:rsidR="00AB7344">
        <w:rPr>
          <w:rFonts w:ascii="Times New Roman" w:hAnsi="Times New Roman"/>
          <w:sz w:val="24"/>
          <w:szCs w:val="24"/>
        </w:rPr>
        <w:t xml:space="preserve">los </w:t>
      </w:r>
      <w:r w:rsidR="00675D1A" w:rsidRPr="00D531FD">
        <w:rPr>
          <w:rFonts w:ascii="Times New Roman" w:hAnsi="Times New Roman"/>
          <w:sz w:val="24"/>
          <w:szCs w:val="24"/>
        </w:rPr>
        <w:t>municipios Montenegro y Calarcá con</w:t>
      </w:r>
      <w:r w:rsidR="00675D1A" w:rsidRPr="00D531FD">
        <w:rPr>
          <w:rFonts w:ascii="Times New Roman" w:hAnsi="Times New Roman"/>
          <w:color w:val="FF0000"/>
          <w:sz w:val="24"/>
          <w:szCs w:val="24"/>
        </w:rPr>
        <w:t xml:space="preserve"> </w:t>
      </w:r>
      <w:r w:rsidR="00675D1A" w:rsidRPr="00D531FD">
        <w:rPr>
          <w:rFonts w:ascii="Times New Roman" w:hAnsi="Times New Roman"/>
          <w:sz w:val="24"/>
          <w:szCs w:val="24"/>
        </w:rPr>
        <w:t>participaciones del 0.20%</w:t>
      </w:r>
      <w:r w:rsidR="001A3DE9">
        <w:rPr>
          <w:rFonts w:ascii="Times New Roman" w:hAnsi="Times New Roman"/>
          <w:sz w:val="24"/>
          <w:szCs w:val="24"/>
        </w:rPr>
        <w:t>, cada uno</w:t>
      </w:r>
      <w:r w:rsidR="00675D1A" w:rsidRPr="00D531FD">
        <w:rPr>
          <w:rFonts w:ascii="Times New Roman" w:hAnsi="Times New Roman"/>
          <w:sz w:val="24"/>
          <w:szCs w:val="24"/>
        </w:rPr>
        <w:t>.</w:t>
      </w:r>
      <w:r w:rsidR="00675D1A" w:rsidRPr="00D531FD">
        <w:rPr>
          <w:rFonts w:ascii="Times New Roman" w:hAnsi="Times New Roman"/>
          <w:color w:val="FF0000"/>
          <w:sz w:val="24"/>
          <w:szCs w:val="24"/>
        </w:rPr>
        <w:t xml:space="preserve"> </w:t>
      </w:r>
      <w:r w:rsidR="00675D1A" w:rsidRPr="00D531FD">
        <w:rPr>
          <w:rFonts w:ascii="Times New Roman" w:hAnsi="Times New Roman"/>
          <w:sz w:val="24"/>
          <w:szCs w:val="24"/>
        </w:rPr>
        <w:t xml:space="preserve">Las categorías étnicas como </w:t>
      </w:r>
      <w:proofErr w:type="spellStart"/>
      <w:r w:rsidR="00675D1A" w:rsidRPr="00D531FD">
        <w:rPr>
          <w:rFonts w:ascii="Times New Roman" w:hAnsi="Times New Roman"/>
          <w:sz w:val="24"/>
          <w:szCs w:val="24"/>
        </w:rPr>
        <w:t>Rom</w:t>
      </w:r>
      <w:proofErr w:type="spellEnd"/>
      <w:r w:rsidR="00675D1A" w:rsidRPr="00D531FD">
        <w:rPr>
          <w:rFonts w:ascii="Times New Roman" w:hAnsi="Times New Roman"/>
          <w:sz w:val="24"/>
          <w:szCs w:val="24"/>
        </w:rPr>
        <w:t xml:space="preserve"> y </w:t>
      </w:r>
      <w:proofErr w:type="spellStart"/>
      <w:r w:rsidR="00675D1A" w:rsidRPr="00D531FD">
        <w:rPr>
          <w:rFonts w:ascii="Times New Roman" w:hAnsi="Times New Roman"/>
          <w:sz w:val="24"/>
          <w:szCs w:val="24"/>
        </w:rPr>
        <w:t>Palenquero</w:t>
      </w:r>
      <w:proofErr w:type="spellEnd"/>
      <w:r w:rsidR="00675D1A" w:rsidRPr="00D531FD">
        <w:rPr>
          <w:rFonts w:ascii="Times New Roman" w:hAnsi="Times New Roman"/>
          <w:sz w:val="24"/>
          <w:szCs w:val="24"/>
        </w:rPr>
        <w:t xml:space="preserve"> se encuentran casi en su totalidad en</w:t>
      </w:r>
      <w:r w:rsidR="00675D1A" w:rsidRPr="00D531FD">
        <w:rPr>
          <w:rFonts w:ascii="Times New Roman" w:hAnsi="Times New Roman"/>
          <w:color w:val="FF0000"/>
          <w:sz w:val="24"/>
          <w:szCs w:val="24"/>
        </w:rPr>
        <w:t xml:space="preserve"> </w:t>
      </w:r>
      <w:r w:rsidR="00675D1A" w:rsidRPr="00D531FD">
        <w:rPr>
          <w:rFonts w:ascii="Times New Roman" w:hAnsi="Times New Roman"/>
          <w:sz w:val="24"/>
          <w:szCs w:val="24"/>
        </w:rPr>
        <w:t>Armenia con un porcentaje del 0,007% y del 0,002%, respectivamente.</w:t>
      </w:r>
    </w:p>
    <w:p w:rsidR="00675D1A" w:rsidRPr="00D531FD" w:rsidRDefault="00675D1A" w:rsidP="00675D1A">
      <w:pPr>
        <w:spacing w:line="360" w:lineRule="auto"/>
      </w:pPr>
    </w:p>
    <w:p w:rsidR="00675D1A" w:rsidRPr="00AB7344" w:rsidRDefault="00FC5A59" w:rsidP="00AB7344">
      <w:pPr>
        <w:pStyle w:val="Sinespaciado"/>
        <w:jc w:val="left"/>
        <w:rPr>
          <w:rFonts w:ascii="Times New Roman" w:hAnsi="Times New Roman"/>
          <w:sz w:val="24"/>
          <w:szCs w:val="24"/>
        </w:rPr>
      </w:pPr>
      <w:r>
        <w:rPr>
          <w:rFonts w:ascii="Times New Roman" w:hAnsi="Times New Roman"/>
          <w:sz w:val="24"/>
          <w:szCs w:val="24"/>
        </w:rPr>
        <w:t>Tabla</w:t>
      </w:r>
      <w:r w:rsidR="00675D1A" w:rsidRPr="00AB7344">
        <w:rPr>
          <w:rFonts w:ascii="Times New Roman" w:hAnsi="Times New Roman"/>
          <w:sz w:val="24"/>
          <w:szCs w:val="24"/>
        </w:rPr>
        <w:t xml:space="preserve"> 1.8</w:t>
      </w:r>
    </w:p>
    <w:p w:rsidR="00675D1A" w:rsidRPr="00AB7344" w:rsidRDefault="00675D1A" w:rsidP="00AB7344">
      <w:pPr>
        <w:pStyle w:val="Sinespaciado"/>
        <w:jc w:val="left"/>
        <w:rPr>
          <w:rFonts w:ascii="Times New Roman" w:hAnsi="Times New Roman"/>
          <w:bCs/>
          <w:color w:val="000000"/>
          <w:sz w:val="24"/>
          <w:szCs w:val="24"/>
        </w:rPr>
      </w:pPr>
      <w:r w:rsidRPr="00AB7344">
        <w:rPr>
          <w:rFonts w:ascii="Times New Roman" w:hAnsi="Times New Roman"/>
          <w:bCs/>
          <w:color w:val="000000"/>
          <w:sz w:val="24"/>
          <w:szCs w:val="24"/>
        </w:rPr>
        <w:t>Distribución de la Población étnica según municipio</w:t>
      </w:r>
    </w:p>
    <w:p w:rsidR="00675D1A" w:rsidRPr="00D531FD" w:rsidRDefault="00675D1A" w:rsidP="00AB7344">
      <w:pPr>
        <w:pStyle w:val="Sinespaciado"/>
        <w:jc w:val="left"/>
        <w:rPr>
          <w:rFonts w:ascii="Times New Roman" w:hAnsi="Times New Roman"/>
          <w:bCs/>
          <w:color w:val="000000"/>
          <w:sz w:val="20"/>
          <w:szCs w:val="20"/>
        </w:rPr>
      </w:pPr>
      <w:r w:rsidRPr="00AB7344">
        <w:rPr>
          <w:rFonts w:ascii="Times New Roman" w:hAnsi="Times New Roman"/>
          <w:bCs/>
          <w:color w:val="000000"/>
          <w:sz w:val="24"/>
          <w:szCs w:val="24"/>
        </w:rPr>
        <w:t>Censo 2005</w:t>
      </w:r>
    </w:p>
    <w:p w:rsidR="00675D1A" w:rsidRPr="00D531FD" w:rsidRDefault="00675D1A" w:rsidP="00675D1A">
      <w:pPr>
        <w:pStyle w:val="Sinespaciado"/>
        <w:jc w:val="center"/>
        <w:rPr>
          <w:rFonts w:ascii="Times New Roman" w:hAnsi="Times New Roman"/>
          <w:bCs/>
          <w:color w:val="000000"/>
          <w:sz w:val="20"/>
          <w:szCs w:val="20"/>
        </w:rPr>
      </w:pPr>
    </w:p>
    <w:tbl>
      <w:tblPr>
        <w:tblW w:w="8591" w:type="dxa"/>
        <w:tblInd w:w="57" w:type="dxa"/>
        <w:tblCellMar>
          <w:left w:w="70" w:type="dxa"/>
          <w:right w:w="70" w:type="dxa"/>
        </w:tblCellMar>
        <w:tblLook w:val="04A0" w:firstRow="1" w:lastRow="0" w:firstColumn="1" w:lastColumn="0" w:noHBand="0" w:noVBand="1"/>
      </w:tblPr>
      <w:tblGrid>
        <w:gridCol w:w="1284"/>
        <w:gridCol w:w="1083"/>
        <w:gridCol w:w="1072"/>
        <w:gridCol w:w="1006"/>
        <w:gridCol w:w="1262"/>
        <w:gridCol w:w="1626"/>
        <w:gridCol w:w="1258"/>
      </w:tblGrid>
      <w:tr w:rsidR="00675D1A" w:rsidRPr="00AB7344" w:rsidTr="00AB7344">
        <w:trPr>
          <w:trHeight w:val="424"/>
        </w:trPr>
        <w:tc>
          <w:tcPr>
            <w:tcW w:w="1284"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Municipio</w:t>
            </w:r>
          </w:p>
        </w:tc>
        <w:tc>
          <w:tcPr>
            <w:tcW w:w="1083"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Población</w:t>
            </w:r>
          </w:p>
        </w:tc>
        <w:tc>
          <w:tcPr>
            <w:tcW w:w="1072"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Indígenas</w:t>
            </w:r>
          </w:p>
        </w:tc>
        <w:tc>
          <w:tcPr>
            <w:tcW w:w="1006" w:type="dxa"/>
            <w:tcBorders>
              <w:top w:val="single" w:sz="4" w:space="0" w:color="auto"/>
              <w:left w:val="nil"/>
              <w:bottom w:val="single" w:sz="4" w:space="0" w:color="auto"/>
              <w:right w:val="nil"/>
            </w:tcBorders>
            <w:shd w:val="clear" w:color="auto" w:fill="auto"/>
            <w:vAlign w:val="center"/>
            <w:hideMark/>
          </w:tcPr>
          <w:p w:rsidR="00675D1A" w:rsidRPr="00AB7344" w:rsidRDefault="004E52BC" w:rsidP="002C791A">
            <w:pPr>
              <w:jc w:val="center"/>
              <w:rPr>
                <w:b/>
                <w:bCs/>
                <w:color w:val="000000"/>
                <w:sz w:val="20"/>
                <w:szCs w:val="20"/>
              </w:rPr>
            </w:pPr>
            <w:proofErr w:type="spellStart"/>
            <w:r w:rsidRPr="00AB7344">
              <w:rPr>
                <w:b/>
                <w:bCs/>
                <w:color w:val="000000"/>
                <w:sz w:val="20"/>
                <w:szCs w:val="20"/>
              </w:rPr>
              <w:t>Rom</w:t>
            </w:r>
            <w:proofErr w:type="spellEnd"/>
          </w:p>
        </w:tc>
        <w:tc>
          <w:tcPr>
            <w:tcW w:w="1262"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Raizal de San Andrés y Providencia</w:t>
            </w:r>
          </w:p>
        </w:tc>
        <w:tc>
          <w:tcPr>
            <w:tcW w:w="1626"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Negro (a) Mulato, Afrocolombiano</w:t>
            </w:r>
          </w:p>
        </w:tc>
        <w:tc>
          <w:tcPr>
            <w:tcW w:w="1258"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Ninguno</w:t>
            </w:r>
          </w:p>
        </w:tc>
      </w:tr>
      <w:tr w:rsidR="00675D1A" w:rsidRPr="00AB7344" w:rsidTr="00AB7344">
        <w:trPr>
          <w:trHeight w:val="315"/>
        </w:trPr>
        <w:tc>
          <w:tcPr>
            <w:tcW w:w="1284" w:type="dxa"/>
            <w:tcBorders>
              <w:top w:val="nil"/>
              <w:left w:val="nil"/>
              <w:bottom w:val="single" w:sz="4" w:space="0" w:color="auto"/>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 </w:t>
            </w:r>
          </w:p>
        </w:tc>
        <w:tc>
          <w:tcPr>
            <w:tcW w:w="1083" w:type="dxa"/>
            <w:tcBorders>
              <w:top w:val="nil"/>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Total</w:t>
            </w:r>
          </w:p>
        </w:tc>
        <w:tc>
          <w:tcPr>
            <w:tcW w:w="1072" w:type="dxa"/>
            <w:tcBorders>
              <w:top w:val="nil"/>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Personas</w:t>
            </w:r>
          </w:p>
        </w:tc>
        <w:tc>
          <w:tcPr>
            <w:tcW w:w="1006" w:type="dxa"/>
            <w:tcBorders>
              <w:top w:val="nil"/>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Personas</w:t>
            </w:r>
          </w:p>
        </w:tc>
        <w:tc>
          <w:tcPr>
            <w:tcW w:w="1262" w:type="dxa"/>
            <w:tcBorders>
              <w:top w:val="nil"/>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Personas</w:t>
            </w:r>
          </w:p>
        </w:tc>
        <w:tc>
          <w:tcPr>
            <w:tcW w:w="1626" w:type="dxa"/>
            <w:tcBorders>
              <w:top w:val="nil"/>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Personas</w:t>
            </w:r>
          </w:p>
        </w:tc>
        <w:tc>
          <w:tcPr>
            <w:tcW w:w="1258" w:type="dxa"/>
            <w:tcBorders>
              <w:top w:val="nil"/>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Personas</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Armenia</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272.574</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1.564</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35</w:t>
            </w: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12</w:t>
            </w: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9.175</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261.788</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Buenavista</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2.954</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7</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43</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2.904</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Calarcá</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71.605</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119</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w:t>
            </w: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994</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70.490</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Circasia</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26.705</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60</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132</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26.513</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Córdoba</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5.238</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28</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47</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5.163</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Filandia</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12.510</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3</w:t>
            </w: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27</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12.479</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Génova</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9.293</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9</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34</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9.250</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La Tebaida</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32.748</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99</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4</w:t>
            </w: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628</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32.017</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Montenegro</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38.714</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156</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w:t>
            </w: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w:t>
            </w: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1.076</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37.479</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Pijao</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6.421</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6</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w:t>
            </w: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21</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6.392</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Quimbaya</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32.928</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80</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w:t>
            </w: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w:t>
            </w: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426</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32.420</w:t>
            </w:r>
          </w:p>
        </w:tc>
      </w:tr>
      <w:tr w:rsidR="00675D1A" w:rsidRPr="00AB7344" w:rsidTr="00AB7344">
        <w:trPr>
          <w:trHeight w:val="244"/>
        </w:trPr>
        <w:tc>
          <w:tcPr>
            <w:tcW w:w="1284" w:type="dxa"/>
            <w:tcBorders>
              <w:top w:val="nil"/>
              <w:left w:val="nil"/>
              <w:bottom w:val="nil"/>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Salento</w:t>
            </w:r>
          </w:p>
        </w:tc>
        <w:tc>
          <w:tcPr>
            <w:tcW w:w="1083"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7.001</w:t>
            </w:r>
          </w:p>
        </w:tc>
        <w:tc>
          <w:tcPr>
            <w:tcW w:w="107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16</w:t>
            </w:r>
          </w:p>
        </w:tc>
        <w:tc>
          <w:tcPr>
            <w:tcW w:w="100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262"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p>
        </w:tc>
        <w:tc>
          <w:tcPr>
            <w:tcW w:w="1626"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115</w:t>
            </w:r>
          </w:p>
        </w:tc>
        <w:tc>
          <w:tcPr>
            <w:tcW w:w="1258" w:type="dxa"/>
            <w:tcBorders>
              <w:top w:val="nil"/>
              <w:left w:val="nil"/>
              <w:bottom w:val="nil"/>
              <w:right w:val="nil"/>
            </w:tcBorders>
            <w:shd w:val="clear" w:color="auto" w:fill="auto"/>
            <w:vAlign w:val="center"/>
            <w:hideMark/>
          </w:tcPr>
          <w:p w:rsidR="00675D1A" w:rsidRPr="00AB7344" w:rsidRDefault="00675D1A" w:rsidP="002C791A">
            <w:pPr>
              <w:jc w:val="center"/>
              <w:rPr>
                <w:color w:val="000000"/>
                <w:sz w:val="20"/>
                <w:szCs w:val="20"/>
              </w:rPr>
            </w:pPr>
            <w:r w:rsidRPr="00AB7344">
              <w:rPr>
                <w:color w:val="000000"/>
                <w:sz w:val="20"/>
                <w:szCs w:val="20"/>
              </w:rPr>
              <w:t>6.870</w:t>
            </w:r>
          </w:p>
        </w:tc>
      </w:tr>
      <w:tr w:rsidR="00675D1A" w:rsidRPr="00AB7344" w:rsidTr="00AB7344">
        <w:trPr>
          <w:trHeight w:val="160"/>
        </w:trPr>
        <w:tc>
          <w:tcPr>
            <w:tcW w:w="1284"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rPr>
                <w:b/>
                <w:bCs/>
                <w:color w:val="000000"/>
                <w:sz w:val="20"/>
                <w:szCs w:val="20"/>
              </w:rPr>
            </w:pPr>
            <w:r w:rsidRPr="00AB7344">
              <w:rPr>
                <w:b/>
                <w:bCs/>
                <w:color w:val="000000"/>
                <w:sz w:val="20"/>
                <w:szCs w:val="20"/>
              </w:rPr>
              <w:t>Total</w:t>
            </w:r>
          </w:p>
        </w:tc>
        <w:tc>
          <w:tcPr>
            <w:tcW w:w="1083"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518.691</w:t>
            </w:r>
          </w:p>
        </w:tc>
        <w:tc>
          <w:tcPr>
            <w:tcW w:w="1072"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2.145</w:t>
            </w:r>
          </w:p>
        </w:tc>
        <w:tc>
          <w:tcPr>
            <w:tcW w:w="1006"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37</w:t>
            </w:r>
          </w:p>
        </w:tc>
        <w:tc>
          <w:tcPr>
            <w:tcW w:w="1262"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26</w:t>
            </w:r>
          </w:p>
        </w:tc>
        <w:tc>
          <w:tcPr>
            <w:tcW w:w="1626"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12.718</w:t>
            </w:r>
          </w:p>
        </w:tc>
        <w:tc>
          <w:tcPr>
            <w:tcW w:w="1258" w:type="dxa"/>
            <w:tcBorders>
              <w:top w:val="single" w:sz="4" w:space="0" w:color="auto"/>
              <w:left w:val="nil"/>
              <w:bottom w:val="single" w:sz="4" w:space="0" w:color="auto"/>
              <w:right w:val="nil"/>
            </w:tcBorders>
            <w:shd w:val="clear" w:color="auto" w:fill="auto"/>
            <w:vAlign w:val="center"/>
            <w:hideMark/>
          </w:tcPr>
          <w:p w:rsidR="00675D1A" w:rsidRPr="00AB7344" w:rsidRDefault="00675D1A" w:rsidP="002C791A">
            <w:pPr>
              <w:jc w:val="center"/>
              <w:rPr>
                <w:b/>
                <w:bCs/>
                <w:color w:val="000000"/>
                <w:sz w:val="20"/>
                <w:szCs w:val="20"/>
              </w:rPr>
            </w:pPr>
            <w:r w:rsidRPr="00AB7344">
              <w:rPr>
                <w:b/>
                <w:bCs/>
                <w:color w:val="000000"/>
                <w:sz w:val="20"/>
                <w:szCs w:val="20"/>
              </w:rPr>
              <w:t>503.765</w:t>
            </w:r>
          </w:p>
        </w:tc>
      </w:tr>
      <w:tr w:rsidR="00675D1A" w:rsidRPr="00AB7344" w:rsidTr="00AB7344">
        <w:trPr>
          <w:trHeight w:val="259"/>
        </w:trPr>
        <w:tc>
          <w:tcPr>
            <w:tcW w:w="8590" w:type="dxa"/>
            <w:gridSpan w:val="7"/>
            <w:tcBorders>
              <w:top w:val="single" w:sz="4" w:space="0" w:color="auto"/>
              <w:left w:val="nil"/>
              <w:bottom w:val="nil"/>
              <w:right w:val="nil"/>
            </w:tcBorders>
            <w:shd w:val="clear" w:color="auto" w:fill="auto"/>
            <w:vAlign w:val="center"/>
            <w:hideMark/>
          </w:tcPr>
          <w:p w:rsidR="00675D1A" w:rsidRPr="00AB7344" w:rsidRDefault="00675D1A" w:rsidP="002C791A">
            <w:pPr>
              <w:rPr>
                <w:color w:val="000000"/>
                <w:sz w:val="16"/>
                <w:szCs w:val="16"/>
              </w:rPr>
            </w:pPr>
            <w:r w:rsidRPr="00AB7344">
              <w:rPr>
                <w:color w:val="000000"/>
                <w:sz w:val="16"/>
                <w:szCs w:val="16"/>
                <w:lang w:val="es-ES"/>
              </w:rPr>
              <w:t xml:space="preserve">Fuente: </w:t>
            </w:r>
            <w:r w:rsidR="008F5FB2">
              <w:rPr>
                <w:color w:val="000000"/>
                <w:sz w:val="16"/>
                <w:szCs w:val="16"/>
                <w:lang w:val="es-ES"/>
              </w:rPr>
              <w:t>DANE</w:t>
            </w:r>
            <w:r w:rsidRPr="00AB7344">
              <w:rPr>
                <w:color w:val="000000"/>
                <w:sz w:val="16"/>
                <w:szCs w:val="16"/>
                <w:lang w:val="es-ES"/>
              </w:rPr>
              <w:t xml:space="preserve"> – </w:t>
            </w:r>
            <w:proofErr w:type="spellStart"/>
            <w:r w:rsidRPr="00AB7344">
              <w:rPr>
                <w:color w:val="000000"/>
                <w:sz w:val="16"/>
                <w:szCs w:val="16"/>
                <w:lang w:val="es-ES"/>
              </w:rPr>
              <w:t>Redatam</w:t>
            </w:r>
            <w:proofErr w:type="spellEnd"/>
            <w:r w:rsidRPr="00AB7344">
              <w:rPr>
                <w:color w:val="000000"/>
                <w:sz w:val="16"/>
                <w:szCs w:val="16"/>
                <w:lang w:val="es-ES"/>
              </w:rPr>
              <w:t xml:space="preserve"> Censo básico 2005</w:t>
            </w:r>
          </w:p>
        </w:tc>
      </w:tr>
    </w:tbl>
    <w:p w:rsidR="00AB7344" w:rsidRDefault="00AB7344" w:rsidP="00675D1A">
      <w:pPr>
        <w:pStyle w:val="Sinespaciado"/>
        <w:rPr>
          <w:rFonts w:ascii="Times New Roman" w:hAnsi="Times New Roman"/>
          <w:b/>
          <w:sz w:val="30"/>
          <w:szCs w:val="30"/>
        </w:rPr>
      </w:pPr>
    </w:p>
    <w:p w:rsidR="00AB7344" w:rsidRDefault="00AB7344" w:rsidP="00675D1A">
      <w:pPr>
        <w:pStyle w:val="Sinespaciado"/>
        <w:rPr>
          <w:rFonts w:ascii="Times New Roman" w:hAnsi="Times New Roman"/>
          <w:b/>
          <w:sz w:val="30"/>
          <w:szCs w:val="30"/>
        </w:rPr>
      </w:pPr>
    </w:p>
    <w:p w:rsidR="00675D1A" w:rsidRPr="00D531FD" w:rsidRDefault="00FE620A" w:rsidP="00675D1A">
      <w:pPr>
        <w:pStyle w:val="Sinespaciado"/>
        <w:rPr>
          <w:rFonts w:ascii="Times New Roman" w:hAnsi="Times New Roman"/>
          <w:b/>
          <w:sz w:val="30"/>
          <w:szCs w:val="30"/>
        </w:rPr>
      </w:pPr>
      <w:bookmarkStart w:id="10" w:name="_Toc406754277"/>
      <w:r w:rsidRPr="00FE620A">
        <w:rPr>
          <w:rStyle w:val="Ttulo2Car"/>
          <w:rFonts w:ascii="Times New Roman" w:hAnsi="Times New Roman" w:cs="Times New Roman"/>
          <w:color w:val="auto"/>
          <w:sz w:val="30"/>
          <w:szCs w:val="30"/>
        </w:rPr>
        <w:t xml:space="preserve">1.2.2 </w:t>
      </w:r>
      <w:r w:rsidR="00675D1A" w:rsidRPr="00FE620A">
        <w:rPr>
          <w:rStyle w:val="Ttulo2Car"/>
          <w:rFonts w:ascii="Times New Roman" w:hAnsi="Times New Roman" w:cs="Times New Roman"/>
          <w:color w:val="auto"/>
          <w:sz w:val="30"/>
          <w:szCs w:val="30"/>
        </w:rPr>
        <w:t>Población discapacitada en el departamento del Quindío</w:t>
      </w:r>
      <w:bookmarkEnd w:id="10"/>
    </w:p>
    <w:p w:rsidR="00675D1A" w:rsidRPr="00D531FD" w:rsidRDefault="00675D1A" w:rsidP="00675D1A">
      <w:pPr>
        <w:pStyle w:val="Sinespaciado"/>
        <w:rPr>
          <w:rFonts w:ascii="Times New Roman" w:hAnsi="Times New Roman"/>
          <w:b/>
          <w:sz w:val="30"/>
          <w:szCs w:val="30"/>
        </w:rPr>
      </w:pPr>
    </w:p>
    <w:p w:rsidR="00675D1A" w:rsidRPr="00D531FD" w:rsidRDefault="00675D1A" w:rsidP="00675D1A">
      <w:pPr>
        <w:pStyle w:val="Sinespaciado"/>
        <w:spacing w:line="360" w:lineRule="auto"/>
        <w:rPr>
          <w:rFonts w:ascii="Times New Roman" w:hAnsi="Times New Roman"/>
          <w:color w:val="000000"/>
          <w:sz w:val="24"/>
          <w:szCs w:val="24"/>
          <w:lang w:eastAsia="es-ES"/>
        </w:rPr>
      </w:pPr>
      <w:r w:rsidRPr="00D531FD">
        <w:rPr>
          <w:rFonts w:ascii="Times New Roman" w:hAnsi="Times New Roman"/>
          <w:b/>
          <w:sz w:val="30"/>
          <w:szCs w:val="30"/>
        </w:rPr>
        <w:t xml:space="preserve">     </w:t>
      </w:r>
      <w:r w:rsidRPr="00D531FD">
        <w:rPr>
          <w:rFonts w:ascii="Times New Roman" w:hAnsi="Times New Roman"/>
          <w:color w:val="000000"/>
          <w:sz w:val="24"/>
          <w:szCs w:val="24"/>
          <w:lang w:eastAsia="es-ES"/>
        </w:rPr>
        <w:t>De acuerdo con la información disponible a 2014, se encuentran identificadas un total de 12.429 personas en estado de discapacidad; conforme con el registro para la localización de personas en condición de discapacidad</w:t>
      </w:r>
      <w:r w:rsidRPr="00D531FD">
        <w:rPr>
          <w:rStyle w:val="Refdenotaalpie"/>
          <w:rFonts w:ascii="Times New Roman" w:hAnsi="Times New Roman"/>
          <w:color w:val="000000"/>
          <w:sz w:val="24"/>
          <w:szCs w:val="24"/>
          <w:lang w:eastAsia="es-ES"/>
        </w:rPr>
        <w:footnoteReference w:id="5"/>
      </w:r>
      <w:r w:rsidRPr="00D531FD">
        <w:rPr>
          <w:rFonts w:ascii="Times New Roman" w:hAnsi="Times New Roman"/>
          <w:color w:val="000000"/>
          <w:sz w:val="24"/>
          <w:szCs w:val="24"/>
          <w:lang w:eastAsia="es-ES"/>
        </w:rPr>
        <w:t xml:space="preserve">; lo cual representa el 2,21% de la población total del departamento. En términos generales, al observar el registro en cada una de las opciones de discapacidad se tiene que la mayor participación la obtienen aquellas que afectan el movimiento del cuerpo, manos, brazos y piernas 37,0%; mientras que las discapacidades </w:t>
      </w:r>
      <w:r w:rsidRPr="00D531FD">
        <w:rPr>
          <w:rFonts w:ascii="Times New Roman" w:hAnsi="Times New Roman"/>
          <w:color w:val="000000"/>
          <w:sz w:val="24"/>
          <w:szCs w:val="24"/>
          <w:lang w:eastAsia="es-ES"/>
        </w:rPr>
        <w:lastRenderedPageBreak/>
        <w:t xml:space="preserve">referentes al sistema nervioso, ojos, al sistema </w:t>
      </w:r>
      <w:proofErr w:type="spellStart"/>
      <w:r w:rsidRPr="00D531FD">
        <w:rPr>
          <w:rFonts w:ascii="Times New Roman" w:hAnsi="Times New Roman"/>
          <w:color w:val="000000"/>
          <w:sz w:val="24"/>
          <w:szCs w:val="24"/>
          <w:lang w:eastAsia="es-ES"/>
        </w:rPr>
        <w:t>cardio</w:t>
      </w:r>
      <w:proofErr w:type="spellEnd"/>
      <w:r w:rsidRPr="00D531FD">
        <w:rPr>
          <w:rFonts w:ascii="Times New Roman" w:hAnsi="Times New Roman"/>
          <w:color w:val="000000"/>
          <w:sz w:val="24"/>
          <w:szCs w:val="24"/>
          <w:lang w:eastAsia="es-ES"/>
        </w:rPr>
        <w:t xml:space="preserve">-respiratorio y las defensas afectan al 22,0%, 13,4%, y el 12,2%, respectivamente. El tipo de discapacidad que menos incidencia tiene es la que afecta a los demás órganos de los sentidos (olfato, tacto y gusto) la cual tiene una participación del 0,16% y a esta le siguen discapacidades de la piel, otra, el sistema genital y reproductivo, la digestión el metabolismo y las hormonas, la voz y el habla, los oídos </w:t>
      </w:r>
      <w:r w:rsidR="00922603">
        <w:rPr>
          <w:rFonts w:ascii="Times New Roman" w:hAnsi="Times New Roman"/>
          <w:color w:val="000000"/>
          <w:sz w:val="24"/>
          <w:szCs w:val="24"/>
          <w:lang w:eastAsia="es-ES"/>
        </w:rPr>
        <w:t>con</w:t>
      </w:r>
      <w:r w:rsidRPr="00D531FD">
        <w:rPr>
          <w:rFonts w:ascii="Times New Roman" w:hAnsi="Times New Roman"/>
          <w:color w:val="000000"/>
          <w:sz w:val="24"/>
          <w:szCs w:val="24"/>
          <w:lang w:eastAsia="es-ES"/>
        </w:rPr>
        <w:t xml:space="preserve"> 0,53%, 0,6%, 0,91%, 4,00%, 4,59% y 5,02%,  respectivamente.</w:t>
      </w:r>
    </w:p>
    <w:p w:rsidR="00675D1A" w:rsidRPr="00D531FD" w:rsidRDefault="00675D1A" w:rsidP="00675D1A">
      <w:pPr>
        <w:pStyle w:val="Sinespaciado"/>
        <w:spacing w:line="360" w:lineRule="auto"/>
        <w:rPr>
          <w:rFonts w:ascii="Times New Roman" w:hAnsi="Times New Roman"/>
          <w:color w:val="000000"/>
          <w:sz w:val="24"/>
          <w:szCs w:val="24"/>
          <w:lang w:eastAsia="es-ES"/>
        </w:rPr>
      </w:pPr>
    </w:p>
    <w:p w:rsidR="00675D1A" w:rsidRPr="00922603" w:rsidRDefault="00FC5A59" w:rsidP="00922603">
      <w:pPr>
        <w:pStyle w:val="Sinespaciado"/>
        <w:ind w:left="851"/>
        <w:jc w:val="left"/>
        <w:rPr>
          <w:rFonts w:ascii="Times New Roman" w:hAnsi="Times New Roman"/>
          <w:sz w:val="24"/>
        </w:rPr>
      </w:pPr>
      <w:r>
        <w:rPr>
          <w:rFonts w:ascii="Times New Roman" w:hAnsi="Times New Roman"/>
          <w:sz w:val="24"/>
        </w:rPr>
        <w:t>Tabla</w:t>
      </w:r>
      <w:r w:rsidR="00425256" w:rsidRPr="00922603">
        <w:rPr>
          <w:rFonts w:ascii="Times New Roman" w:hAnsi="Times New Roman"/>
          <w:sz w:val="24"/>
        </w:rPr>
        <w:t xml:space="preserve"> 1.4</w:t>
      </w:r>
    </w:p>
    <w:p w:rsidR="00675D1A" w:rsidRPr="00922603" w:rsidRDefault="00675D1A" w:rsidP="00922603">
      <w:pPr>
        <w:pStyle w:val="Sinespaciado"/>
        <w:ind w:left="851"/>
        <w:jc w:val="left"/>
        <w:rPr>
          <w:rFonts w:ascii="Times New Roman" w:hAnsi="Times New Roman"/>
          <w:sz w:val="24"/>
        </w:rPr>
      </w:pPr>
      <w:r w:rsidRPr="00922603">
        <w:rPr>
          <w:rFonts w:ascii="Times New Roman" w:hAnsi="Times New Roman"/>
          <w:sz w:val="24"/>
        </w:rPr>
        <w:t>Identificación de población discapacitada en el departamento del Quindío</w:t>
      </w:r>
    </w:p>
    <w:p w:rsidR="00675D1A" w:rsidRPr="00922603" w:rsidRDefault="00675D1A" w:rsidP="00922603">
      <w:pPr>
        <w:pStyle w:val="Sinespaciado"/>
        <w:ind w:left="851"/>
        <w:jc w:val="left"/>
        <w:rPr>
          <w:rFonts w:ascii="Times New Roman" w:hAnsi="Times New Roman"/>
          <w:sz w:val="24"/>
        </w:rPr>
      </w:pPr>
      <w:r w:rsidRPr="00922603">
        <w:rPr>
          <w:rFonts w:ascii="Times New Roman" w:hAnsi="Times New Roman"/>
          <w:sz w:val="24"/>
        </w:rPr>
        <w:t>Mayo 2014</w:t>
      </w:r>
    </w:p>
    <w:p w:rsidR="00675D1A" w:rsidRPr="00D531FD" w:rsidRDefault="00675D1A" w:rsidP="00675D1A">
      <w:pPr>
        <w:pStyle w:val="Sinespaciado"/>
        <w:jc w:val="center"/>
        <w:rPr>
          <w:rFonts w:ascii="Times New Roman" w:hAnsi="Times New Roman"/>
          <w:sz w:val="24"/>
        </w:rPr>
      </w:pPr>
    </w:p>
    <w:p w:rsidR="00675D1A" w:rsidRPr="00D531FD" w:rsidRDefault="00675D1A" w:rsidP="00675D1A">
      <w:pPr>
        <w:pStyle w:val="Sinespaciado"/>
        <w:jc w:val="center"/>
        <w:rPr>
          <w:rFonts w:ascii="Times New Roman" w:hAnsi="Times New Roman"/>
          <w:noProof/>
          <w:lang w:val="es-CO" w:eastAsia="es-CO"/>
        </w:rPr>
      </w:pPr>
      <w:r w:rsidRPr="00D531FD">
        <w:rPr>
          <w:rFonts w:ascii="Times New Roman" w:hAnsi="Times New Roman"/>
          <w:noProof/>
          <w:lang w:val="es-CO" w:eastAsia="es-CO"/>
        </w:rPr>
        <w:drawing>
          <wp:inline distT="0" distB="0" distL="0" distR="0" wp14:anchorId="08DACB2F" wp14:editId="4CB1838B">
            <wp:extent cx="4705350" cy="2600325"/>
            <wp:effectExtent l="0" t="0" r="19050" b="9525"/>
            <wp:docPr id="1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5D1A" w:rsidRPr="00D531FD" w:rsidRDefault="00675D1A" w:rsidP="00922603">
      <w:pPr>
        <w:pStyle w:val="Sinespaciado"/>
        <w:rPr>
          <w:rFonts w:ascii="Times New Roman" w:hAnsi="Times New Roman"/>
          <w:sz w:val="16"/>
          <w:szCs w:val="16"/>
        </w:rPr>
      </w:pPr>
      <w:r w:rsidRPr="00D531FD">
        <w:rPr>
          <w:rFonts w:ascii="Times New Roman" w:hAnsi="Times New Roman"/>
          <w:noProof/>
          <w:lang w:val="es-CO" w:eastAsia="es-CO"/>
        </w:rPr>
        <w:t xml:space="preserve">             </w:t>
      </w:r>
      <w:r w:rsidRPr="00D531FD">
        <w:rPr>
          <w:rFonts w:ascii="Times New Roman" w:hAnsi="Times New Roman"/>
          <w:noProof/>
          <w:sz w:val="16"/>
          <w:szCs w:val="16"/>
          <w:lang w:val="es-CO" w:eastAsia="es-CO"/>
        </w:rPr>
        <w:t>Fuente: Secretaría de Salud Departamental - Quindío</w:t>
      </w:r>
    </w:p>
    <w:p w:rsidR="00922603" w:rsidRDefault="00675D1A" w:rsidP="00675D1A">
      <w:pPr>
        <w:spacing w:line="360" w:lineRule="auto"/>
        <w:jc w:val="both"/>
      </w:pPr>
      <w:r w:rsidRPr="00D531FD">
        <w:t xml:space="preserve">     </w:t>
      </w:r>
    </w:p>
    <w:p w:rsidR="00922603" w:rsidRDefault="00922603" w:rsidP="00675D1A">
      <w:pPr>
        <w:spacing w:line="360" w:lineRule="auto"/>
        <w:jc w:val="both"/>
      </w:pPr>
    </w:p>
    <w:p w:rsidR="00675D1A" w:rsidRPr="00D531FD" w:rsidRDefault="00675D1A" w:rsidP="00675D1A">
      <w:pPr>
        <w:spacing w:line="360" w:lineRule="auto"/>
        <w:jc w:val="both"/>
      </w:pPr>
      <w:r w:rsidRPr="00D531FD">
        <w:t>Según municipios, la población en situación de discapacidad registrada hasta la fecha de referencia se concentra en el municipio de Armenia con un 26,0%; es decir, 3.228 personas de las cuales 1.327 presentan alteraciones en el movimiento del cuerpo, manos, brazos, piernas, 903 alteraciones en el sistema nervioso y tan solo el 0,15% presenta alteraciones en los demás órganos de los sentidos como olfato, tacto y gusto.</w:t>
      </w:r>
      <w:r w:rsidRPr="00D531FD">
        <w:rPr>
          <w:color w:val="FF0000"/>
        </w:rPr>
        <w:t xml:space="preserve"> </w:t>
      </w:r>
      <w:r w:rsidRPr="00D531FD">
        <w:t xml:space="preserve">Por su parte,  el municipio de Montenegro registra un total de 1.886 personas con alguna discapacidad, donde al igual que Armenia predominan las afectaciones en las extremidades con un total de 720 personas en esta condición; así mismo, el sistema nervioso en el municipio corresponde a la segunda </w:t>
      </w:r>
      <w:r w:rsidRPr="00D531FD">
        <w:lastRenderedPageBreak/>
        <w:t>afe</w:t>
      </w:r>
      <w:r w:rsidR="00CC3530">
        <w:t xml:space="preserve">cción que presenta la población </w:t>
      </w:r>
      <w:r w:rsidRPr="00D531FD">
        <w:t>discapacitada. Es particular, observar que las alteraciones sob</w:t>
      </w:r>
      <w:r w:rsidR="00CC3530">
        <w:t>re los sentidos y la piel son la</w:t>
      </w:r>
      <w:r w:rsidRPr="00D531FD">
        <w:t xml:space="preserve">s menos comunes </w:t>
      </w:r>
      <w:r w:rsidR="00DC0A62">
        <w:t>en el</w:t>
      </w:r>
      <w:r w:rsidR="00425256">
        <w:t xml:space="preserve"> departamento.</w:t>
      </w:r>
      <w:r w:rsidRPr="00D531FD">
        <w:t xml:space="preserve"> </w:t>
      </w:r>
    </w:p>
    <w:p w:rsidR="00675D1A" w:rsidRPr="00D531FD" w:rsidRDefault="00675D1A" w:rsidP="00675D1A">
      <w:pPr>
        <w:spacing w:line="360" w:lineRule="auto"/>
      </w:pPr>
    </w:p>
    <w:p w:rsidR="00675D1A" w:rsidRPr="00CC3530" w:rsidRDefault="005A513D" w:rsidP="00CC3530">
      <w:r>
        <w:t>Tabla</w:t>
      </w:r>
      <w:r w:rsidR="00675D1A" w:rsidRPr="00CC3530">
        <w:t xml:space="preserve">  1.</w:t>
      </w:r>
      <w:r w:rsidR="00DB23C9" w:rsidRPr="00CC3530">
        <w:t>5</w:t>
      </w:r>
    </w:p>
    <w:p w:rsidR="00675D1A" w:rsidRPr="00CC3530" w:rsidRDefault="00675D1A" w:rsidP="00CC3530">
      <w:pPr>
        <w:rPr>
          <w:bCs/>
          <w:color w:val="000000"/>
        </w:rPr>
      </w:pPr>
      <w:r w:rsidRPr="00CC3530">
        <w:rPr>
          <w:bCs/>
          <w:color w:val="000000"/>
        </w:rPr>
        <w:t>Población con discapacidad según municipio y tipo de afección</w:t>
      </w:r>
    </w:p>
    <w:p w:rsidR="00675D1A" w:rsidRPr="00CC3530" w:rsidRDefault="00675D1A" w:rsidP="00CC3530">
      <w:pPr>
        <w:rPr>
          <w:bCs/>
          <w:color w:val="000000"/>
        </w:rPr>
      </w:pPr>
      <w:r w:rsidRPr="00CC3530">
        <w:rPr>
          <w:bCs/>
          <w:color w:val="000000"/>
        </w:rPr>
        <w:t>Mayo de 2014</w:t>
      </w:r>
    </w:p>
    <w:p w:rsidR="00675D1A" w:rsidRPr="00D531FD" w:rsidRDefault="00675D1A" w:rsidP="00675D1A">
      <w:pPr>
        <w:jc w:val="center"/>
        <w:rPr>
          <w:i/>
        </w:rPr>
      </w:pPr>
    </w:p>
    <w:tbl>
      <w:tblPr>
        <w:tblW w:w="5025" w:type="pct"/>
        <w:tblCellMar>
          <w:left w:w="70" w:type="dxa"/>
          <w:right w:w="70" w:type="dxa"/>
        </w:tblCellMar>
        <w:tblLook w:val="04A0" w:firstRow="1" w:lastRow="0" w:firstColumn="1" w:lastColumn="0" w:noHBand="0" w:noVBand="1"/>
      </w:tblPr>
      <w:tblGrid>
        <w:gridCol w:w="1277"/>
        <w:gridCol w:w="760"/>
        <w:gridCol w:w="740"/>
        <w:gridCol w:w="657"/>
        <w:gridCol w:w="569"/>
        <w:gridCol w:w="561"/>
        <w:gridCol w:w="558"/>
        <w:gridCol w:w="782"/>
        <w:gridCol w:w="664"/>
        <w:gridCol w:w="578"/>
        <w:gridCol w:w="906"/>
        <w:gridCol w:w="495"/>
        <w:gridCol w:w="478"/>
      </w:tblGrid>
      <w:tr w:rsidR="00675D1A" w:rsidRPr="00D531FD" w:rsidTr="00CC3530">
        <w:trPr>
          <w:trHeight w:val="2442"/>
        </w:trPr>
        <w:tc>
          <w:tcPr>
            <w:tcW w:w="708"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Principal alteración</w:t>
            </w:r>
          </w:p>
        </w:tc>
        <w:tc>
          <w:tcPr>
            <w:tcW w:w="421"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Total</w:t>
            </w:r>
          </w:p>
        </w:tc>
        <w:tc>
          <w:tcPr>
            <w:tcW w:w="410"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1 - El sistema nervioso</w:t>
            </w:r>
          </w:p>
        </w:tc>
        <w:tc>
          <w:tcPr>
            <w:tcW w:w="364"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2 - Los ojos</w:t>
            </w:r>
          </w:p>
        </w:tc>
        <w:tc>
          <w:tcPr>
            <w:tcW w:w="315"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3 - Los oídos</w:t>
            </w:r>
          </w:p>
        </w:tc>
        <w:tc>
          <w:tcPr>
            <w:tcW w:w="311"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4 - Los demás órganos de los sentidos (olfato, tacto y gusto)</w:t>
            </w:r>
          </w:p>
        </w:tc>
        <w:tc>
          <w:tcPr>
            <w:tcW w:w="309"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5 - La voz y el habla</w:t>
            </w:r>
          </w:p>
        </w:tc>
        <w:tc>
          <w:tcPr>
            <w:tcW w:w="433"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6 - El sistema cardiorrespiratorio y las defensas</w:t>
            </w:r>
          </w:p>
        </w:tc>
        <w:tc>
          <w:tcPr>
            <w:tcW w:w="368"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7 - La digestión, el metabolismo, las hormonas</w:t>
            </w:r>
          </w:p>
        </w:tc>
        <w:tc>
          <w:tcPr>
            <w:tcW w:w="320"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8 - El sistema genital y reproductivo</w:t>
            </w:r>
          </w:p>
        </w:tc>
        <w:tc>
          <w:tcPr>
            <w:tcW w:w="502"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9 - El movimiento del cuerpo, manos, brazos, piernas</w:t>
            </w:r>
          </w:p>
        </w:tc>
        <w:tc>
          <w:tcPr>
            <w:tcW w:w="274"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10 - La piel</w:t>
            </w:r>
          </w:p>
        </w:tc>
        <w:tc>
          <w:tcPr>
            <w:tcW w:w="265" w:type="pct"/>
            <w:tcBorders>
              <w:top w:val="single" w:sz="4" w:space="0" w:color="auto"/>
              <w:left w:val="nil"/>
              <w:bottom w:val="double" w:sz="4" w:space="0" w:color="auto"/>
              <w:right w:val="nil"/>
            </w:tcBorders>
            <w:shd w:val="clear" w:color="auto" w:fill="auto"/>
            <w:textDirection w:val="btLr"/>
            <w:vAlign w:val="center"/>
            <w:hideMark/>
          </w:tcPr>
          <w:p w:rsidR="00675D1A" w:rsidRPr="00D531FD" w:rsidRDefault="00675D1A" w:rsidP="002C791A">
            <w:pPr>
              <w:jc w:val="center"/>
              <w:rPr>
                <w:b/>
                <w:bCs/>
                <w:color w:val="000000"/>
                <w:sz w:val="20"/>
                <w:szCs w:val="20"/>
              </w:rPr>
            </w:pPr>
            <w:r w:rsidRPr="00D531FD">
              <w:rPr>
                <w:b/>
                <w:bCs/>
                <w:color w:val="000000"/>
                <w:sz w:val="20"/>
                <w:szCs w:val="20"/>
              </w:rPr>
              <w:t>otra</w:t>
            </w:r>
          </w:p>
        </w:tc>
      </w:tr>
      <w:tr w:rsidR="00675D1A" w:rsidRPr="00D531FD" w:rsidTr="00CC3530">
        <w:trPr>
          <w:trHeight w:hRule="exact" w:val="253"/>
        </w:trPr>
        <w:tc>
          <w:tcPr>
            <w:tcW w:w="708" w:type="pct"/>
            <w:tcBorders>
              <w:top w:val="double" w:sz="4" w:space="0" w:color="auto"/>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Armenia</w:t>
            </w:r>
          </w:p>
        </w:tc>
        <w:tc>
          <w:tcPr>
            <w:tcW w:w="421"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3.228</w:t>
            </w:r>
          </w:p>
        </w:tc>
        <w:tc>
          <w:tcPr>
            <w:tcW w:w="410"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903</w:t>
            </w:r>
          </w:p>
        </w:tc>
        <w:tc>
          <w:tcPr>
            <w:tcW w:w="364"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338</w:t>
            </w:r>
          </w:p>
        </w:tc>
        <w:tc>
          <w:tcPr>
            <w:tcW w:w="315"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174</w:t>
            </w:r>
          </w:p>
        </w:tc>
        <w:tc>
          <w:tcPr>
            <w:tcW w:w="311"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5</w:t>
            </w:r>
          </w:p>
        </w:tc>
        <w:tc>
          <w:tcPr>
            <w:tcW w:w="309"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143</w:t>
            </w:r>
          </w:p>
        </w:tc>
        <w:tc>
          <w:tcPr>
            <w:tcW w:w="433"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202</w:t>
            </w:r>
          </w:p>
        </w:tc>
        <w:tc>
          <w:tcPr>
            <w:tcW w:w="368"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65</w:t>
            </w:r>
          </w:p>
        </w:tc>
        <w:tc>
          <w:tcPr>
            <w:tcW w:w="320"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23</w:t>
            </w:r>
          </w:p>
        </w:tc>
        <w:tc>
          <w:tcPr>
            <w:tcW w:w="502"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1.327</w:t>
            </w:r>
          </w:p>
        </w:tc>
        <w:tc>
          <w:tcPr>
            <w:tcW w:w="274"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15</w:t>
            </w:r>
          </w:p>
        </w:tc>
        <w:tc>
          <w:tcPr>
            <w:tcW w:w="265" w:type="pct"/>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33</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Buenavista</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70</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17</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8</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0</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5</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0</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33</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0</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0</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Calarcá</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1338</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319</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195</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82</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0</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89</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68</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29</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5</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539</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7</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5</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Circasia</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505</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135</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59</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30</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46</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14</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206</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Córdoba</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491</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91</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46</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33</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0</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14</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131</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18</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153</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Filandia</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1291</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178</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364</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35</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0</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27</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347</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154</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6</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173</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6</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Génova</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308</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63</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31</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16</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8</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29</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13</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140</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La Tebaida</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1089</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289</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158</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68</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62</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60</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14</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9</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421</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6</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Montenegro</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1866</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418</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181</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95</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75</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212</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113</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32</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720</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8</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10</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Pijao</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749</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80</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110</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23</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11</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254</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54</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19</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189</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7</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0</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Quimbaya</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1294</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173</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173</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47</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7</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76</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191</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23</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10</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577</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8</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9</w:t>
            </w:r>
          </w:p>
        </w:tc>
      </w:tr>
      <w:tr w:rsidR="00675D1A" w:rsidRPr="00D531FD" w:rsidTr="00CC3530">
        <w:trPr>
          <w:trHeight w:hRule="exact" w:val="253"/>
        </w:trPr>
        <w:tc>
          <w:tcPr>
            <w:tcW w:w="708" w:type="pct"/>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bCs/>
                <w:color w:val="000000"/>
                <w:sz w:val="20"/>
                <w:szCs w:val="20"/>
              </w:rPr>
              <w:t>Salento</w:t>
            </w:r>
          </w:p>
        </w:tc>
        <w:tc>
          <w:tcPr>
            <w:tcW w:w="42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200</w:t>
            </w:r>
          </w:p>
        </w:tc>
        <w:tc>
          <w:tcPr>
            <w:tcW w:w="41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45</w:t>
            </w:r>
          </w:p>
        </w:tc>
        <w:tc>
          <w:tcPr>
            <w:tcW w:w="36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12</w:t>
            </w:r>
          </w:p>
        </w:tc>
        <w:tc>
          <w:tcPr>
            <w:tcW w:w="31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18</w:t>
            </w:r>
          </w:p>
        </w:tc>
        <w:tc>
          <w:tcPr>
            <w:tcW w:w="311"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w:t>
            </w:r>
          </w:p>
        </w:tc>
        <w:tc>
          <w:tcPr>
            <w:tcW w:w="309"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15</w:t>
            </w:r>
          </w:p>
        </w:tc>
        <w:tc>
          <w:tcPr>
            <w:tcW w:w="433"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9</w:t>
            </w:r>
          </w:p>
        </w:tc>
        <w:tc>
          <w:tcPr>
            <w:tcW w:w="368"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w:t>
            </w:r>
          </w:p>
        </w:tc>
        <w:tc>
          <w:tcPr>
            <w:tcW w:w="320"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w:t>
            </w:r>
          </w:p>
        </w:tc>
        <w:tc>
          <w:tcPr>
            <w:tcW w:w="502"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88</w:t>
            </w:r>
          </w:p>
        </w:tc>
        <w:tc>
          <w:tcPr>
            <w:tcW w:w="274"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5</w:t>
            </w:r>
          </w:p>
        </w:tc>
        <w:tc>
          <w:tcPr>
            <w:tcW w:w="265" w:type="pct"/>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w:t>
            </w:r>
          </w:p>
        </w:tc>
      </w:tr>
      <w:tr w:rsidR="00675D1A" w:rsidRPr="00D531FD" w:rsidTr="00CC3530">
        <w:trPr>
          <w:trHeight w:hRule="exact" w:val="430"/>
        </w:trPr>
        <w:tc>
          <w:tcPr>
            <w:tcW w:w="708"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Total</w:t>
            </w:r>
          </w:p>
        </w:tc>
        <w:tc>
          <w:tcPr>
            <w:tcW w:w="421"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color w:val="000000"/>
                <w:sz w:val="20"/>
                <w:szCs w:val="20"/>
              </w:rPr>
            </w:pPr>
            <w:r w:rsidRPr="00D531FD">
              <w:rPr>
                <w:b/>
                <w:color w:val="000000"/>
                <w:sz w:val="20"/>
                <w:szCs w:val="20"/>
              </w:rPr>
              <w:t>12.429</w:t>
            </w:r>
          </w:p>
        </w:tc>
        <w:tc>
          <w:tcPr>
            <w:tcW w:w="410"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2.711</w:t>
            </w:r>
          </w:p>
        </w:tc>
        <w:tc>
          <w:tcPr>
            <w:tcW w:w="364"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1.675</w:t>
            </w:r>
          </w:p>
        </w:tc>
        <w:tc>
          <w:tcPr>
            <w:tcW w:w="315"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625</w:t>
            </w:r>
          </w:p>
        </w:tc>
        <w:tc>
          <w:tcPr>
            <w:tcW w:w="311"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21</w:t>
            </w:r>
          </w:p>
        </w:tc>
        <w:tc>
          <w:tcPr>
            <w:tcW w:w="309"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571</w:t>
            </w:r>
          </w:p>
        </w:tc>
        <w:tc>
          <w:tcPr>
            <w:tcW w:w="433"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1.519</w:t>
            </w:r>
          </w:p>
        </w:tc>
        <w:tc>
          <w:tcPr>
            <w:tcW w:w="368"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490</w:t>
            </w:r>
          </w:p>
        </w:tc>
        <w:tc>
          <w:tcPr>
            <w:tcW w:w="320"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114</w:t>
            </w:r>
          </w:p>
        </w:tc>
        <w:tc>
          <w:tcPr>
            <w:tcW w:w="502"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4.566</w:t>
            </w:r>
          </w:p>
        </w:tc>
        <w:tc>
          <w:tcPr>
            <w:tcW w:w="274"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bCs/>
                <w:color w:val="000000"/>
                <w:sz w:val="20"/>
                <w:szCs w:val="20"/>
              </w:rPr>
            </w:pPr>
            <w:r w:rsidRPr="00D531FD">
              <w:rPr>
                <w:b/>
                <w:bCs/>
                <w:color w:val="000000"/>
                <w:sz w:val="20"/>
                <w:szCs w:val="20"/>
              </w:rPr>
              <w:t>66</w:t>
            </w:r>
          </w:p>
        </w:tc>
        <w:tc>
          <w:tcPr>
            <w:tcW w:w="265" w:type="pct"/>
            <w:tcBorders>
              <w:top w:val="single" w:sz="4" w:space="0" w:color="auto"/>
              <w:left w:val="nil"/>
              <w:bottom w:val="single" w:sz="4" w:space="0" w:color="auto"/>
              <w:right w:val="nil"/>
            </w:tcBorders>
            <w:shd w:val="clear" w:color="auto" w:fill="auto"/>
            <w:vAlign w:val="center"/>
            <w:hideMark/>
          </w:tcPr>
          <w:p w:rsidR="00675D1A" w:rsidRPr="00D531FD" w:rsidRDefault="00675D1A" w:rsidP="002C791A">
            <w:pPr>
              <w:jc w:val="center"/>
              <w:rPr>
                <w:b/>
                <w:color w:val="000000"/>
                <w:sz w:val="20"/>
                <w:szCs w:val="20"/>
              </w:rPr>
            </w:pPr>
            <w:r w:rsidRPr="00D531FD">
              <w:rPr>
                <w:b/>
                <w:color w:val="000000"/>
                <w:sz w:val="20"/>
                <w:szCs w:val="20"/>
              </w:rPr>
              <w:t>71</w:t>
            </w:r>
          </w:p>
        </w:tc>
      </w:tr>
    </w:tbl>
    <w:p w:rsidR="00675D1A" w:rsidRPr="00D531FD" w:rsidRDefault="00675D1A" w:rsidP="00675D1A">
      <w:pPr>
        <w:spacing w:line="360" w:lineRule="auto"/>
        <w:rPr>
          <w:sz w:val="16"/>
          <w:szCs w:val="16"/>
        </w:rPr>
      </w:pPr>
      <w:r w:rsidRPr="00D531FD">
        <w:rPr>
          <w:iCs/>
          <w:color w:val="000000"/>
          <w:sz w:val="16"/>
          <w:szCs w:val="16"/>
        </w:rPr>
        <w:t>Fuente: Secretaría de Salud Departamental</w:t>
      </w:r>
    </w:p>
    <w:p w:rsidR="00675D1A" w:rsidRPr="00D531FD" w:rsidRDefault="00675D1A" w:rsidP="00675D1A">
      <w:pPr>
        <w:spacing w:line="360" w:lineRule="auto"/>
      </w:pPr>
    </w:p>
    <w:p w:rsidR="000E358B" w:rsidRPr="00A64407" w:rsidRDefault="000E358B" w:rsidP="000E358B">
      <w:pPr>
        <w:pStyle w:val="Ttulo2"/>
        <w:rPr>
          <w:rFonts w:ascii="Times New Roman" w:hAnsi="Times New Roman" w:cs="Times New Roman"/>
          <w:color w:val="auto"/>
          <w:sz w:val="30"/>
          <w:szCs w:val="30"/>
        </w:rPr>
      </w:pPr>
      <w:bookmarkStart w:id="11" w:name="_Toc406754278"/>
      <w:r w:rsidRPr="00A64407">
        <w:rPr>
          <w:rFonts w:ascii="Times New Roman" w:hAnsi="Times New Roman" w:cs="Times New Roman"/>
          <w:color w:val="auto"/>
          <w:sz w:val="30"/>
          <w:szCs w:val="30"/>
        </w:rPr>
        <w:t>1.3 Migración</w:t>
      </w:r>
      <w:bookmarkEnd w:id="11"/>
    </w:p>
    <w:p w:rsidR="000E358B" w:rsidRPr="00A64407" w:rsidRDefault="000E358B" w:rsidP="00A64407">
      <w:pPr>
        <w:pStyle w:val="Sinespaciado"/>
        <w:spacing w:line="360" w:lineRule="auto"/>
        <w:rPr>
          <w:rFonts w:ascii="Times New Roman" w:hAnsi="Times New Roman"/>
          <w:b/>
          <w:sz w:val="24"/>
          <w:szCs w:val="24"/>
        </w:rPr>
      </w:pPr>
    </w:p>
    <w:p w:rsidR="00675D1A" w:rsidRPr="00D531FD" w:rsidRDefault="00675D1A" w:rsidP="00F21B88">
      <w:pPr>
        <w:pStyle w:val="Sinespaciado"/>
        <w:spacing w:line="360" w:lineRule="auto"/>
        <w:ind w:firstLine="284"/>
        <w:rPr>
          <w:rFonts w:ascii="Times New Roman" w:hAnsi="Times New Roman"/>
          <w:sz w:val="24"/>
          <w:szCs w:val="24"/>
        </w:rPr>
      </w:pPr>
      <w:r w:rsidRPr="00A64407">
        <w:rPr>
          <w:rFonts w:ascii="Times New Roman" w:hAnsi="Times New Roman"/>
          <w:sz w:val="24"/>
          <w:szCs w:val="24"/>
        </w:rPr>
        <w:t>Formalmente en Colombia no existe un instrumento estadístico específico que mida la migración exterior; sin</w:t>
      </w:r>
      <w:r w:rsidRPr="00D531FD">
        <w:rPr>
          <w:rFonts w:ascii="Times New Roman" w:hAnsi="Times New Roman"/>
          <w:sz w:val="24"/>
          <w:szCs w:val="24"/>
        </w:rPr>
        <w:t xml:space="preserve"> embargo, se cuenta con una fuente </w:t>
      </w:r>
      <w:r w:rsidR="008D77AA">
        <w:rPr>
          <w:rFonts w:ascii="Times New Roman" w:hAnsi="Times New Roman"/>
          <w:sz w:val="24"/>
          <w:szCs w:val="24"/>
        </w:rPr>
        <w:t>a</w:t>
      </w:r>
      <w:r w:rsidRPr="00D531FD">
        <w:rPr>
          <w:rFonts w:ascii="Times New Roman" w:hAnsi="Times New Roman"/>
          <w:sz w:val="24"/>
          <w:szCs w:val="24"/>
        </w:rPr>
        <w:t>dministrativa que registra la información relacionada con el control de fronteras, la cual ha sido adaptada mediante procedimientos específicos para lograr una medición indirecta de la emigración e inmigración internacional.</w:t>
      </w:r>
    </w:p>
    <w:p w:rsidR="00675D1A" w:rsidRPr="00D531FD" w:rsidRDefault="00675D1A" w:rsidP="00675D1A">
      <w:pPr>
        <w:pStyle w:val="Sinespaciado"/>
        <w:spacing w:line="360" w:lineRule="auto"/>
        <w:rPr>
          <w:rFonts w:ascii="Times New Roman" w:hAnsi="Times New Roman"/>
          <w:sz w:val="24"/>
          <w:szCs w:val="24"/>
        </w:rPr>
      </w:pPr>
      <w:r w:rsidRPr="00D531FD">
        <w:rPr>
          <w:rFonts w:ascii="Times New Roman" w:hAnsi="Times New Roman"/>
          <w:sz w:val="24"/>
          <w:szCs w:val="24"/>
        </w:rPr>
        <w:lastRenderedPageBreak/>
        <w:t xml:space="preserve">    De acuerdo con la metodología del </w:t>
      </w:r>
      <w:r w:rsidR="008F5FB2">
        <w:rPr>
          <w:rFonts w:ascii="Times New Roman" w:hAnsi="Times New Roman"/>
          <w:sz w:val="24"/>
          <w:szCs w:val="24"/>
        </w:rPr>
        <w:t>DANE</w:t>
      </w:r>
      <w:r w:rsidRPr="00D531FD">
        <w:rPr>
          <w:rFonts w:ascii="Times New Roman" w:hAnsi="Times New Roman"/>
          <w:sz w:val="24"/>
          <w:szCs w:val="24"/>
        </w:rPr>
        <w:t>, las estimaciones de migración desarrolladas para el país según departamentos hasta el año 2020, se basan en los registros individuales de viajeros recopilados por Migración Colombia en el control fronterizo aéreo, marítimo,  terrestre y fluvial y a su vez, se encuentran adaptados a la definición de Naciones Unidas sobre migraciones internacionales.</w:t>
      </w:r>
      <w:r w:rsidR="008369C5">
        <w:rPr>
          <w:rFonts w:ascii="Times New Roman" w:hAnsi="Times New Roman"/>
          <w:sz w:val="24"/>
          <w:szCs w:val="24"/>
        </w:rPr>
        <w:t xml:space="preserve"> (</w:t>
      </w:r>
      <w:r w:rsidR="00502027">
        <w:rPr>
          <w:rFonts w:ascii="Times New Roman" w:hAnsi="Times New Roman"/>
          <w:sz w:val="24"/>
          <w:szCs w:val="24"/>
        </w:rPr>
        <w:t>Torres</w:t>
      </w:r>
      <w:r w:rsidR="008369C5">
        <w:rPr>
          <w:rFonts w:ascii="Times New Roman" w:hAnsi="Times New Roman"/>
          <w:sz w:val="24"/>
          <w:szCs w:val="24"/>
        </w:rPr>
        <w:t>, 2003</w:t>
      </w:r>
      <w:r w:rsidR="00926E13">
        <w:rPr>
          <w:rFonts w:ascii="Times New Roman" w:hAnsi="Times New Roman"/>
          <w:sz w:val="24"/>
          <w:szCs w:val="24"/>
        </w:rPr>
        <w:t>)</w:t>
      </w:r>
    </w:p>
    <w:p w:rsidR="00675D1A" w:rsidRPr="00D531FD" w:rsidRDefault="00675D1A" w:rsidP="00675D1A">
      <w:pPr>
        <w:pStyle w:val="Sinespaciado"/>
        <w:spacing w:line="360" w:lineRule="auto"/>
        <w:ind w:left="284"/>
        <w:rPr>
          <w:rFonts w:ascii="Times New Roman" w:hAnsi="Times New Roman"/>
          <w:sz w:val="24"/>
          <w:szCs w:val="24"/>
        </w:rPr>
      </w:pPr>
    </w:p>
    <w:p w:rsidR="00675D1A" w:rsidRPr="00D531FD" w:rsidRDefault="00675D1A" w:rsidP="002F0D3A">
      <w:pPr>
        <w:pStyle w:val="Sinespaciado"/>
        <w:spacing w:line="360" w:lineRule="auto"/>
        <w:ind w:firstLine="284"/>
        <w:rPr>
          <w:rFonts w:ascii="Times New Roman" w:hAnsi="Times New Roman"/>
          <w:sz w:val="24"/>
          <w:szCs w:val="24"/>
        </w:rPr>
      </w:pPr>
      <w:r w:rsidRPr="00D531FD">
        <w:rPr>
          <w:rFonts w:ascii="Times New Roman" w:hAnsi="Times New Roman"/>
          <w:sz w:val="24"/>
          <w:szCs w:val="24"/>
        </w:rPr>
        <w:t>De lo anterior, los cálculos realizados para el departamento del Quindío evidencian que para los años 2010 a 2020 los volúmenes de personas que salen del país son mayores a las que ingresan; es decir, que el número de emigrantes es mayor al número de inmigrantes; no obstante, se evidencia una tendencia decreciente desde el periodo 1995-2000 a 2015-2020.</w:t>
      </w:r>
    </w:p>
    <w:p w:rsidR="00675D1A" w:rsidRPr="00D531FD" w:rsidRDefault="00675D1A" w:rsidP="00675D1A">
      <w:pPr>
        <w:spacing w:line="360" w:lineRule="auto"/>
      </w:pPr>
    </w:p>
    <w:p w:rsidR="00675D1A" w:rsidRPr="00DE7447" w:rsidRDefault="00675D1A" w:rsidP="00CF0384">
      <w:pPr>
        <w:pStyle w:val="Sinespaciado"/>
        <w:jc w:val="left"/>
        <w:rPr>
          <w:rFonts w:ascii="Times New Roman" w:hAnsi="Times New Roman"/>
          <w:sz w:val="24"/>
          <w:szCs w:val="24"/>
        </w:rPr>
      </w:pPr>
      <w:r w:rsidRPr="00DE7447">
        <w:rPr>
          <w:rFonts w:ascii="Times New Roman" w:hAnsi="Times New Roman"/>
          <w:sz w:val="24"/>
          <w:szCs w:val="24"/>
        </w:rPr>
        <w:t>Gráfico 1.</w:t>
      </w:r>
      <w:r w:rsidR="008D77AA" w:rsidRPr="00DE7447">
        <w:rPr>
          <w:rFonts w:ascii="Times New Roman" w:hAnsi="Times New Roman"/>
          <w:sz w:val="24"/>
          <w:szCs w:val="24"/>
        </w:rPr>
        <w:t>5</w:t>
      </w:r>
    </w:p>
    <w:p w:rsidR="00675D1A" w:rsidRPr="00DE7447" w:rsidRDefault="00675D1A" w:rsidP="00CF0384">
      <w:pPr>
        <w:pStyle w:val="Sinespaciado"/>
        <w:jc w:val="left"/>
        <w:rPr>
          <w:rFonts w:ascii="Times New Roman" w:hAnsi="Times New Roman"/>
          <w:sz w:val="24"/>
          <w:szCs w:val="24"/>
        </w:rPr>
      </w:pPr>
      <w:r w:rsidRPr="00DE7447">
        <w:rPr>
          <w:rFonts w:ascii="Times New Roman" w:hAnsi="Times New Roman"/>
          <w:sz w:val="24"/>
          <w:szCs w:val="24"/>
        </w:rPr>
        <w:t>Estimaciones y proyecciones de migración departamento del Quindío</w:t>
      </w:r>
    </w:p>
    <w:p w:rsidR="00675D1A" w:rsidRPr="00DE7447" w:rsidRDefault="00675D1A" w:rsidP="00CF0384">
      <w:pPr>
        <w:pStyle w:val="Sinespaciado"/>
        <w:jc w:val="left"/>
        <w:rPr>
          <w:rFonts w:ascii="Times New Roman" w:hAnsi="Times New Roman"/>
          <w:sz w:val="24"/>
          <w:szCs w:val="24"/>
        </w:rPr>
      </w:pPr>
      <w:r w:rsidRPr="00DE7447">
        <w:rPr>
          <w:rFonts w:ascii="Times New Roman" w:hAnsi="Times New Roman"/>
          <w:sz w:val="24"/>
          <w:szCs w:val="24"/>
        </w:rPr>
        <w:t>1985-2020</w:t>
      </w:r>
    </w:p>
    <w:p w:rsidR="00675D1A" w:rsidRPr="00D531FD" w:rsidRDefault="00675D1A" w:rsidP="00675D1A">
      <w:pPr>
        <w:pStyle w:val="Sinespaciado"/>
        <w:jc w:val="center"/>
        <w:rPr>
          <w:rFonts w:ascii="Times New Roman" w:hAnsi="Times New Roman"/>
          <w:sz w:val="24"/>
          <w:szCs w:val="24"/>
        </w:rPr>
      </w:pPr>
    </w:p>
    <w:p w:rsidR="00CF0384" w:rsidRDefault="00675D1A" w:rsidP="00CF0384">
      <w:pPr>
        <w:spacing w:line="360" w:lineRule="auto"/>
        <w:rPr>
          <w:sz w:val="16"/>
          <w:szCs w:val="16"/>
        </w:rPr>
      </w:pPr>
      <w:r w:rsidRPr="00D531FD">
        <w:rPr>
          <w:noProof/>
        </w:rPr>
        <w:drawing>
          <wp:inline distT="0" distB="0" distL="0" distR="0" wp14:anchorId="0AC2A992" wp14:editId="68F0013B">
            <wp:extent cx="4276725" cy="2085975"/>
            <wp:effectExtent l="0" t="0" r="9525" b="9525"/>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5D1A" w:rsidRPr="00CF0384" w:rsidRDefault="00675D1A" w:rsidP="00CF0384">
      <w:pPr>
        <w:spacing w:line="360" w:lineRule="auto"/>
      </w:pPr>
      <w:r w:rsidRPr="00D531FD">
        <w:rPr>
          <w:sz w:val="16"/>
          <w:szCs w:val="16"/>
        </w:rPr>
        <w:t xml:space="preserve">Fuente: </w:t>
      </w:r>
      <w:r w:rsidR="008F5FB2">
        <w:rPr>
          <w:sz w:val="16"/>
          <w:szCs w:val="16"/>
        </w:rPr>
        <w:t>DANE</w:t>
      </w:r>
      <w:r w:rsidRPr="00D531FD">
        <w:rPr>
          <w:sz w:val="16"/>
          <w:szCs w:val="16"/>
        </w:rPr>
        <w:t xml:space="preserve"> – Estimaciones de migración, cálculos propios.</w:t>
      </w:r>
    </w:p>
    <w:p w:rsidR="008B0551" w:rsidRDefault="00675D1A" w:rsidP="00675D1A">
      <w:pPr>
        <w:pStyle w:val="Sinespaciado"/>
        <w:spacing w:line="360" w:lineRule="auto"/>
        <w:rPr>
          <w:rFonts w:ascii="Times New Roman" w:hAnsi="Times New Roman"/>
          <w:sz w:val="24"/>
          <w:szCs w:val="24"/>
        </w:rPr>
      </w:pPr>
      <w:r w:rsidRPr="00D531FD">
        <w:rPr>
          <w:rFonts w:ascii="Times New Roman" w:hAnsi="Times New Roman"/>
          <w:sz w:val="24"/>
          <w:szCs w:val="24"/>
        </w:rPr>
        <w:t xml:space="preserve">     </w:t>
      </w:r>
    </w:p>
    <w:p w:rsidR="00675D1A" w:rsidRPr="00D531FD" w:rsidRDefault="00675D1A" w:rsidP="00F278FE">
      <w:pPr>
        <w:pStyle w:val="Sinespaciado"/>
        <w:spacing w:line="360" w:lineRule="auto"/>
        <w:ind w:firstLine="284"/>
        <w:rPr>
          <w:rFonts w:ascii="Times New Roman" w:hAnsi="Times New Roman"/>
          <w:sz w:val="24"/>
          <w:szCs w:val="24"/>
        </w:rPr>
      </w:pPr>
      <w:r w:rsidRPr="00D531FD">
        <w:rPr>
          <w:rFonts w:ascii="Times New Roman" w:hAnsi="Times New Roman"/>
          <w:sz w:val="24"/>
          <w:szCs w:val="24"/>
        </w:rPr>
        <w:t xml:space="preserve">Teniendo en cuenta que la oficina de Migración Colombia ha dispuesto para la ciudadanía 27 centros facilitadores de servicios migratorios en el país, siendo el Departamento del Quindío uno de ellos, </w:t>
      </w:r>
      <w:r w:rsidR="009B7C44">
        <w:rPr>
          <w:rFonts w:ascii="Times New Roman" w:hAnsi="Times New Roman"/>
          <w:sz w:val="24"/>
          <w:szCs w:val="24"/>
        </w:rPr>
        <w:t>se encontró</w:t>
      </w:r>
      <w:r w:rsidRPr="00D531FD">
        <w:rPr>
          <w:rFonts w:ascii="Times New Roman" w:hAnsi="Times New Roman"/>
          <w:sz w:val="24"/>
          <w:szCs w:val="24"/>
        </w:rPr>
        <w:t xml:space="preserve"> que se pueden realizar los trámites de: Registro de visa de extranjeros, Permiso temporal de permanencia, Salvoconducto de permanencia y salida, Expedición de cédula de extranjería y Certificación de movimientos migratorios.</w:t>
      </w:r>
    </w:p>
    <w:p w:rsidR="00675D1A" w:rsidRPr="00331087" w:rsidRDefault="005A513D" w:rsidP="00A82E5C">
      <w:pPr>
        <w:pStyle w:val="Sinespaciado"/>
        <w:jc w:val="left"/>
        <w:rPr>
          <w:rFonts w:ascii="Times New Roman" w:hAnsi="Times New Roman"/>
          <w:sz w:val="24"/>
        </w:rPr>
      </w:pPr>
      <w:r>
        <w:rPr>
          <w:rFonts w:ascii="Times New Roman" w:hAnsi="Times New Roman"/>
          <w:sz w:val="24"/>
        </w:rPr>
        <w:lastRenderedPageBreak/>
        <w:t>Tabla</w:t>
      </w:r>
      <w:r w:rsidR="00675D1A" w:rsidRPr="00331087">
        <w:rPr>
          <w:rFonts w:ascii="Times New Roman" w:hAnsi="Times New Roman"/>
          <w:sz w:val="24"/>
        </w:rPr>
        <w:t xml:space="preserve"> 1.</w:t>
      </w:r>
      <w:r w:rsidR="00483565" w:rsidRPr="00331087">
        <w:rPr>
          <w:rFonts w:ascii="Times New Roman" w:hAnsi="Times New Roman"/>
          <w:sz w:val="24"/>
        </w:rPr>
        <w:t>6</w:t>
      </w:r>
    </w:p>
    <w:p w:rsidR="00675D1A" w:rsidRPr="00331087" w:rsidRDefault="00675D1A" w:rsidP="00A82E5C">
      <w:pPr>
        <w:rPr>
          <w:bCs/>
        </w:rPr>
      </w:pPr>
      <w:r w:rsidRPr="00331087">
        <w:rPr>
          <w:bCs/>
        </w:rPr>
        <w:t>Estadísticas servicios de migración en el departamento del Quindío</w:t>
      </w:r>
    </w:p>
    <w:p w:rsidR="00483565" w:rsidRPr="00D531FD" w:rsidRDefault="00483565" w:rsidP="00675D1A">
      <w:pPr>
        <w:jc w:val="center"/>
        <w:rPr>
          <w:b/>
          <w:bCs/>
        </w:rPr>
      </w:pPr>
    </w:p>
    <w:tbl>
      <w:tblPr>
        <w:tblW w:w="5895" w:type="dxa"/>
        <w:tblCellMar>
          <w:left w:w="70" w:type="dxa"/>
          <w:right w:w="70" w:type="dxa"/>
        </w:tblCellMar>
        <w:tblLook w:val="04A0" w:firstRow="1" w:lastRow="0" w:firstColumn="1" w:lastColumn="0" w:noHBand="0" w:noVBand="1"/>
      </w:tblPr>
      <w:tblGrid>
        <w:gridCol w:w="2749"/>
        <w:gridCol w:w="1743"/>
        <w:gridCol w:w="1403"/>
      </w:tblGrid>
      <w:tr w:rsidR="00675D1A" w:rsidRPr="00D531FD" w:rsidTr="00A82E5C">
        <w:trPr>
          <w:trHeight w:val="664"/>
        </w:trPr>
        <w:tc>
          <w:tcPr>
            <w:tcW w:w="2749" w:type="dxa"/>
            <w:tcBorders>
              <w:top w:val="single" w:sz="4" w:space="0" w:color="auto"/>
              <w:left w:val="nil"/>
              <w:bottom w:val="double" w:sz="4" w:space="0" w:color="auto"/>
              <w:right w:val="nil"/>
            </w:tcBorders>
            <w:shd w:val="clear" w:color="auto" w:fill="auto"/>
            <w:vAlign w:val="center"/>
            <w:hideMark/>
          </w:tcPr>
          <w:p w:rsidR="00675D1A" w:rsidRPr="00D531FD" w:rsidRDefault="00675D1A" w:rsidP="002C791A">
            <w:pPr>
              <w:rPr>
                <w:b/>
                <w:bCs/>
                <w:color w:val="000000"/>
                <w:sz w:val="20"/>
                <w:szCs w:val="20"/>
              </w:rPr>
            </w:pPr>
            <w:r w:rsidRPr="00D531FD">
              <w:rPr>
                <w:b/>
                <w:bCs/>
                <w:color w:val="000000"/>
                <w:sz w:val="20"/>
                <w:szCs w:val="20"/>
              </w:rPr>
              <w:t xml:space="preserve">Trámites en Centros Facilitadores de Servicios </w:t>
            </w:r>
          </w:p>
        </w:tc>
        <w:tc>
          <w:tcPr>
            <w:tcW w:w="1743" w:type="dxa"/>
            <w:tcBorders>
              <w:top w:val="single" w:sz="4" w:space="0" w:color="auto"/>
              <w:left w:val="nil"/>
              <w:bottom w:val="double" w:sz="4" w:space="0" w:color="auto"/>
              <w:right w:val="nil"/>
            </w:tcBorders>
            <w:shd w:val="clear" w:color="auto" w:fill="auto"/>
            <w:vAlign w:val="center"/>
            <w:hideMark/>
          </w:tcPr>
          <w:p w:rsidR="00675D1A" w:rsidRPr="00D531FD" w:rsidRDefault="00675D1A" w:rsidP="002C791A">
            <w:pPr>
              <w:rPr>
                <w:b/>
                <w:bCs/>
                <w:color w:val="000000"/>
                <w:sz w:val="20"/>
                <w:szCs w:val="20"/>
              </w:rPr>
            </w:pPr>
            <w:r w:rsidRPr="00D531FD">
              <w:rPr>
                <w:b/>
                <w:bCs/>
                <w:color w:val="000000"/>
                <w:sz w:val="20"/>
                <w:szCs w:val="20"/>
              </w:rPr>
              <w:t>Año 2012</w:t>
            </w:r>
          </w:p>
        </w:tc>
        <w:tc>
          <w:tcPr>
            <w:tcW w:w="1403" w:type="dxa"/>
            <w:tcBorders>
              <w:top w:val="single" w:sz="4" w:space="0" w:color="auto"/>
              <w:left w:val="nil"/>
              <w:bottom w:val="double" w:sz="4" w:space="0" w:color="auto"/>
              <w:right w:val="nil"/>
            </w:tcBorders>
            <w:shd w:val="clear" w:color="auto" w:fill="auto"/>
            <w:vAlign w:val="center"/>
            <w:hideMark/>
          </w:tcPr>
          <w:p w:rsidR="00675D1A" w:rsidRPr="00D531FD" w:rsidRDefault="00675D1A" w:rsidP="002C791A">
            <w:pPr>
              <w:rPr>
                <w:b/>
                <w:bCs/>
                <w:color w:val="000000"/>
                <w:sz w:val="20"/>
                <w:szCs w:val="20"/>
              </w:rPr>
            </w:pPr>
            <w:r w:rsidRPr="00D531FD">
              <w:rPr>
                <w:b/>
                <w:bCs/>
                <w:color w:val="000000"/>
                <w:sz w:val="20"/>
                <w:szCs w:val="20"/>
              </w:rPr>
              <w:t>Año 2013</w:t>
            </w:r>
          </w:p>
        </w:tc>
      </w:tr>
      <w:tr w:rsidR="00675D1A" w:rsidRPr="00D531FD" w:rsidTr="00A82E5C">
        <w:trPr>
          <w:trHeight w:val="382"/>
        </w:trPr>
        <w:tc>
          <w:tcPr>
            <w:tcW w:w="2749" w:type="dxa"/>
            <w:tcBorders>
              <w:top w:val="double" w:sz="4" w:space="0" w:color="auto"/>
              <w:left w:val="nil"/>
              <w:bottom w:val="nil"/>
              <w:right w:val="nil"/>
            </w:tcBorders>
            <w:shd w:val="clear" w:color="auto" w:fill="auto"/>
            <w:vAlign w:val="center"/>
            <w:hideMark/>
          </w:tcPr>
          <w:p w:rsidR="00675D1A" w:rsidRPr="00D531FD" w:rsidRDefault="00675D1A" w:rsidP="002C791A">
            <w:pPr>
              <w:rPr>
                <w:color w:val="000000"/>
                <w:sz w:val="20"/>
                <w:szCs w:val="20"/>
              </w:rPr>
            </w:pPr>
            <w:r w:rsidRPr="00D531FD">
              <w:rPr>
                <w:color w:val="000000"/>
                <w:sz w:val="20"/>
                <w:szCs w:val="20"/>
              </w:rPr>
              <w:t>Registro de Visa Extranjeros</w:t>
            </w:r>
          </w:p>
        </w:tc>
        <w:tc>
          <w:tcPr>
            <w:tcW w:w="1743" w:type="dxa"/>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349</w:t>
            </w:r>
          </w:p>
        </w:tc>
        <w:tc>
          <w:tcPr>
            <w:tcW w:w="1403" w:type="dxa"/>
            <w:tcBorders>
              <w:top w:val="double" w:sz="4" w:space="0" w:color="auto"/>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340</w:t>
            </w:r>
          </w:p>
        </w:tc>
      </w:tr>
      <w:tr w:rsidR="00675D1A" w:rsidRPr="00D531FD" w:rsidTr="00A82E5C">
        <w:trPr>
          <w:trHeight w:val="581"/>
        </w:trPr>
        <w:tc>
          <w:tcPr>
            <w:tcW w:w="2749" w:type="dxa"/>
            <w:tcBorders>
              <w:top w:val="nil"/>
              <w:left w:val="nil"/>
              <w:bottom w:val="nil"/>
              <w:right w:val="nil"/>
            </w:tcBorders>
            <w:shd w:val="clear" w:color="auto" w:fill="auto"/>
            <w:vAlign w:val="center"/>
            <w:hideMark/>
          </w:tcPr>
          <w:p w:rsidR="00675D1A" w:rsidRPr="00D531FD" w:rsidRDefault="00675D1A" w:rsidP="002C791A">
            <w:pPr>
              <w:rPr>
                <w:color w:val="000000"/>
                <w:sz w:val="20"/>
                <w:szCs w:val="20"/>
              </w:rPr>
            </w:pPr>
            <w:r w:rsidRPr="00D531FD">
              <w:rPr>
                <w:color w:val="000000"/>
                <w:sz w:val="20"/>
                <w:szCs w:val="20"/>
              </w:rPr>
              <w:t>Permisos Temporales de Permanencia.</w:t>
            </w:r>
          </w:p>
        </w:tc>
        <w:tc>
          <w:tcPr>
            <w:tcW w:w="1743" w:type="dxa"/>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213</w:t>
            </w:r>
          </w:p>
        </w:tc>
        <w:tc>
          <w:tcPr>
            <w:tcW w:w="1403" w:type="dxa"/>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207</w:t>
            </w:r>
          </w:p>
        </w:tc>
      </w:tr>
      <w:tr w:rsidR="00675D1A" w:rsidRPr="00D531FD" w:rsidTr="00A82E5C">
        <w:trPr>
          <w:trHeight w:val="540"/>
        </w:trPr>
        <w:tc>
          <w:tcPr>
            <w:tcW w:w="2749" w:type="dxa"/>
            <w:tcBorders>
              <w:top w:val="nil"/>
              <w:left w:val="nil"/>
              <w:bottom w:val="nil"/>
              <w:right w:val="nil"/>
            </w:tcBorders>
            <w:shd w:val="clear" w:color="auto" w:fill="auto"/>
            <w:vAlign w:val="center"/>
            <w:hideMark/>
          </w:tcPr>
          <w:p w:rsidR="00675D1A" w:rsidRPr="00D531FD" w:rsidRDefault="00675D1A" w:rsidP="002C791A">
            <w:pPr>
              <w:rPr>
                <w:color w:val="000000"/>
                <w:sz w:val="20"/>
                <w:szCs w:val="20"/>
              </w:rPr>
            </w:pPr>
            <w:r w:rsidRPr="00D531FD">
              <w:rPr>
                <w:color w:val="000000"/>
                <w:sz w:val="20"/>
                <w:szCs w:val="20"/>
              </w:rPr>
              <w:t>Salvoconducto de Permanencia y Salida.</w:t>
            </w:r>
          </w:p>
        </w:tc>
        <w:tc>
          <w:tcPr>
            <w:tcW w:w="1743" w:type="dxa"/>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112</w:t>
            </w:r>
          </w:p>
        </w:tc>
        <w:tc>
          <w:tcPr>
            <w:tcW w:w="1403" w:type="dxa"/>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120</w:t>
            </w:r>
          </w:p>
        </w:tc>
      </w:tr>
      <w:tr w:rsidR="00675D1A" w:rsidRPr="00D531FD" w:rsidTr="00A82E5C">
        <w:trPr>
          <w:trHeight w:val="633"/>
        </w:trPr>
        <w:tc>
          <w:tcPr>
            <w:tcW w:w="2749" w:type="dxa"/>
            <w:tcBorders>
              <w:top w:val="nil"/>
              <w:left w:val="nil"/>
              <w:bottom w:val="nil"/>
              <w:right w:val="nil"/>
            </w:tcBorders>
            <w:shd w:val="clear" w:color="auto" w:fill="auto"/>
            <w:vAlign w:val="center"/>
            <w:hideMark/>
          </w:tcPr>
          <w:p w:rsidR="00675D1A" w:rsidRPr="00D531FD" w:rsidRDefault="00675D1A" w:rsidP="002C791A">
            <w:pPr>
              <w:rPr>
                <w:color w:val="000000"/>
                <w:sz w:val="20"/>
                <w:szCs w:val="20"/>
              </w:rPr>
            </w:pPr>
            <w:r w:rsidRPr="00D531FD">
              <w:rPr>
                <w:color w:val="000000"/>
                <w:sz w:val="20"/>
                <w:szCs w:val="20"/>
              </w:rPr>
              <w:t>Expedición de Cédulas de Extranjería.</w:t>
            </w:r>
          </w:p>
        </w:tc>
        <w:tc>
          <w:tcPr>
            <w:tcW w:w="1743" w:type="dxa"/>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338</w:t>
            </w:r>
          </w:p>
        </w:tc>
        <w:tc>
          <w:tcPr>
            <w:tcW w:w="1403" w:type="dxa"/>
            <w:tcBorders>
              <w:top w:val="nil"/>
              <w:left w:val="nil"/>
              <w:bottom w:val="nil"/>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371</w:t>
            </w:r>
          </w:p>
        </w:tc>
      </w:tr>
      <w:tr w:rsidR="00675D1A" w:rsidRPr="00D531FD" w:rsidTr="00A82E5C">
        <w:trPr>
          <w:trHeight w:val="713"/>
        </w:trPr>
        <w:tc>
          <w:tcPr>
            <w:tcW w:w="2749" w:type="dxa"/>
            <w:tcBorders>
              <w:top w:val="nil"/>
              <w:left w:val="nil"/>
              <w:bottom w:val="single" w:sz="4" w:space="0" w:color="auto"/>
              <w:right w:val="nil"/>
            </w:tcBorders>
            <w:shd w:val="clear" w:color="auto" w:fill="auto"/>
            <w:vAlign w:val="center"/>
            <w:hideMark/>
          </w:tcPr>
          <w:p w:rsidR="00675D1A" w:rsidRPr="00D531FD" w:rsidRDefault="00675D1A" w:rsidP="002C791A">
            <w:pPr>
              <w:rPr>
                <w:color w:val="000000"/>
                <w:sz w:val="20"/>
                <w:szCs w:val="20"/>
              </w:rPr>
            </w:pPr>
            <w:r w:rsidRPr="00D531FD">
              <w:rPr>
                <w:color w:val="000000"/>
                <w:sz w:val="20"/>
                <w:szCs w:val="20"/>
              </w:rPr>
              <w:t>Certificaciones de Movimientos Migratorios.</w:t>
            </w:r>
          </w:p>
        </w:tc>
        <w:tc>
          <w:tcPr>
            <w:tcW w:w="1743" w:type="dxa"/>
            <w:tcBorders>
              <w:top w:val="nil"/>
              <w:left w:val="nil"/>
              <w:bottom w:val="single" w:sz="4" w:space="0" w:color="auto"/>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357</w:t>
            </w:r>
          </w:p>
        </w:tc>
        <w:tc>
          <w:tcPr>
            <w:tcW w:w="1403" w:type="dxa"/>
            <w:tcBorders>
              <w:top w:val="nil"/>
              <w:left w:val="nil"/>
              <w:bottom w:val="single" w:sz="4" w:space="0" w:color="auto"/>
              <w:right w:val="nil"/>
            </w:tcBorders>
            <w:shd w:val="clear" w:color="auto" w:fill="auto"/>
            <w:vAlign w:val="center"/>
            <w:hideMark/>
          </w:tcPr>
          <w:p w:rsidR="00675D1A" w:rsidRPr="00D531FD" w:rsidRDefault="00675D1A" w:rsidP="002C791A">
            <w:pPr>
              <w:jc w:val="center"/>
              <w:rPr>
                <w:color w:val="000000"/>
                <w:sz w:val="20"/>
                <w:szCs w:val="20"/>
              </w:rPr>
            </w:pPr>
            <w:r w:rsidRPr="00D531FD">
              <w:rPr>
                <w:color w:val="000000"/>
                <w:sz w:val="20"/>
                <w:szCs w:val="20"/>
              </w:rPr>
              <w:t>329</w:t>
            </w:r>
          </w:p>
        </w:tc>
      </w:tr>
    </w:tbl>
    <w:p w:rsidR="00675D1A" w:rsidRPr="00D531FD" w:rsidRDefault="00675D1A" w:rsidP="00A82E5C">
      <w:pPr>
        <w:pStyle w:val="Sinespaciado"/>
        <w:rPr>
          <w:rFonts w:ascii="Times New Roman" w:hAnsi="Times New Roman"/>
          <w:iCs/>
          <w:color w:val="000000"/>
          <w:sz w:val="16"/>
          <w:szCs w:val="16"/>
        </w:rPr>
      </w:pPr>
      <w:r w:rsidRPr="00D531FD">
        <w:rPr>
          <w:rFonts w:ascii="Times New Roman" w:hAnsi="Times New Roman"/>
          <w:iCs/>
          <w:color w:val="000000"/>
          <w:sz w:val="18"/>
          <w:szCs w:val="20"/>
        </w:rPr>
        <w:t xml:space="preserve">  </w:t>
      </w:r>
      <w:r w:rsidRPr="00D531FD">
        <w:rPr>
          <w:rFonts w:ascii="Times New Roman" w:hAnsi="Times New Roman"/>
          <w:iCs/>
          <w:color w:val="000000"/>
          <w:sz w:val="16"/>
          <w:szCs w:val="16"/>
        </w:rPr>
        <w:t>Fuente: Unidad Administrativa Especial Migración Colombia – UAMC</w:t>
      </w:r>
    </w:p>
    <w:p w:rsidR="00675D1A" w:rsidRPr="00D531FD" w:rsidRDefault="00675D1A" w:rsidP="00675D1A">
      <w:pPr>
        <w:spacing w:line="360" w:lineRule="auto"/>
      </w:pPr>
    </w:p>
    <w:p w:rsidR="00E57E4A" w:rsidRDefault="00E57E4A" w:rsidP="00675D1A">
      <w:pPr>
        <w:pStyle w:val="Sinespaciado"/>
        <w:spacing w:line="360" w:lineRule="auto"/>
        <w:rPr>
          <w:rFonts w:ascii="Times New Roman" w:hAnsi="Times New Roman"/>
          <w:sz w:val="24"/>
          <w:szCs w:val="24"/>
          <w:lang w:val="es-CO"/>
        </w:rPr>
      </w:pPr>
    </w:p>
    <w:p w:rsidR="00675D1A" w:rsidRPr="00D531FD" w:rsidRDefault="00675D1A" w:rsidP="00E57E4A">
      <w:pPr>
        <w:pStyle w:val="Sinespaciado"/>
        <w:spacing w:line="360" w:lineRule="auto"/>
        <w:ind w:firstLine="284"/>
        <w:rPr>
          <w:rFonts w:ascii="Times New Roman" w:hAnsi="Times New Roman"/>
          <w:sz w:val="24"/>
          <w:szCs w:val="24"/>
        </w:rPr>
      </w:pPr>
      <w:r w:rsidRPr="00D531FD">
        <w:rPr>
          <w:rFonts w:ascii="Times New Roman" w:hAnsi="Times New Roman"/>
          <w:sz w:val="24"/>
          <w:szCs w:val="24"/>
        </w:rPr>
        <w:t xml:space="preserve">Entre los años 2012 y 2013 los trámites migratorios presentaron un comportamiento positivo en relación a la expedición de cédulas de extranjería y la generación </w:t>
      </w:r>
      <w:r w:rsidR="0030309F">
        <w:rPr>
          <w:rFonts w:ascii="Times New Roman" w:hAnsi="Times New Roman"/>
          <w:sz w:val="24"/>
          <w:szCs w:val="24"/>
        </w:rPr>
        <w:t>de salvoconductos de permanencia y salida</w:t>
      </w:r>
      <w:r w:rsidRPr="00D531FD">
        <w:rPr>
          <w:rFonts w:ascii="Times New Roman" w:hAnsi="Times New Roman"/>
          <w:sz w:val="24"/>
          <w:szCs w:val="24"/>
        </w:rPr>
        <w:t>, los cuales regis</w:t>
      </w:r>
      <w:r w:rsidR="00BB5202">
        <w:rPr>
          <w:rFonts w:ascii="Times New Roman" w:hAnsi="Times New Roman"/>
          <w:sz w:val="24"/>
          <w:szCs w:val="24"/>
        </w:rPr>
        <w:t xml:space="preserve">traron un crecimiento del 9,8% </w:t>
      </w:r>
      <w:r w:rsidRPr="00D531FD">
        <w:rPr>
          <w:rFonts w:ascii="Times New Roman" w:hAnsi="Times New Roman"/>
          <w:sz w:val="24"/>
          <w:szCs w:val="24"/>
        </w:rPr>
        <w:t>y 7,1%, respectivamente. Por su parte, la expedición de certificaciones de movimientos migratorios presentó un descenso del 7,8% y el registro de visa de extranjeros una disminución del 2,6%.</w:t>
      </w:r>
      <w:r w:rsidR="00846580">
        <w:rPr>
          <w:rFonts w:ascii="Times New Roman" w:hAnsi="Times New Roman"/>
          <w:sz w:val="24"/>
          <w:szCs w:val="24"/>
        </w:rPr>
        <w:t xml:space="preserve"> (UAMC, 2013).</w:t>
      </w:r>
    </w:p>
    <w:p w:rsidR="00675D1A" w:rsidRDefault="00675D1A" w:rsidP="00675D1A">
      <w:pPr>
        <w:pStyle w:val="Sinespaciado"/>
        <w:spacing w:line="360" w:lineRule="auto"/>
        <w:ind w:left="284"/>
        <w:rPr>
          <w:rFonts w:ascii="Times New Roman" w:hAnsi="Times New Roman"/>
          <w:sz w:val="24"/>
          <w:szCs w:val="24"/>
        </w:rPr>
      </w:pPr>
    </w:p>
    <w:p w:rsidR="00324C92" w:rsidRPr="00D531FD" w:rsidRDefault="00324C92" w:rsidP="00675D1A">
      <w:pPr>
        <w:pStyle w:val="Sinespaciado"/>
        <w:spacing w:line="360" w:lineRule="auto"/>
        <w:ind w:left="284"/>
        <w:rPr>
          <w:rFonts w:ascii="Times New Roman" w:hAnsi="Times New Roman"/>
          <w:sz w:val="24"/>
          <w:szCs w:val="24"/>
        </w:rPr>
      </w:pPr>
    </w:p>
    <w:p w:rsidR="00675D1A" w:rsidRPr="00D531FD" w:rsidRDefault="00DA10F5" w:rsidP="00675D1A">
      <w:pPr>
        <w:pStyle w:val="Sinespaciado"/>
        <w:rPr>
          <w:rFonts w:ascii="Times New Roman" w:hAnsi="Times New Roman"/>
          <w:sz w:val="30"/>
          <w:szCs w:val="30"/>
        </w:rPr>
      </w:pPr>
      <w:bookmarkStart w:id="12" w:name="_Toc406754279"/>
      <w:r w:rsidRPr="00DA10F5">
        <w:rPr>
          <w:rStyle w:val="Ttulo2Car"/>
          <w:rFonts w:ascii="Times New Roman" w:hAnsi="Times New Roman" w:cs="Times New Roman"/>
          <w:color w:val="auto"/>
          <w:sz w:val="30"/>
          <w:szCs w:val="30"/>
        </w:rPr>
        <w:t xml:space="preserve">1.4 </w:t>
      </w:r>
      <w:r w:rsidR="00675D1A" w:rsidRPr="00DA10F5">
        <w:rPr>
          <w:rStyle w:val="Ttulo2Car"/>
          <w:rFonts w:ascii="Times New Roman" w:hAnsi="Times New Roman" w:cs="Times New Roman"/>
          <w:color w:val="auto"/>
          <w:sz w:val="30"/>
          <w:szCs w:val="30"/>
        </w:rPr>
        <w:t>Necesidades Básicas Insatisfechas: Pobreza e Indigencia</w:t>
      </w:r>
      <w:bookmarkEnd w:id="12"/>
    </w:p>
    <w:p w:rsidR="00675D1A" w:rsidRPr="00D531FD" w:rsidRDefault="00675D1A" w:rsidP="00675D1A">
      <w:pPr>
        <w:tabs>
          <w:tab w:val="left" w:pos="486"/>
        </w:tabs>
        <w:spacing w:line="360" w:lineRule="auto"/>
        <w:jc w:val="both"/>
      </w:pPr>
    </w:p>
    <w:p w:rsidR="00675D1A" w:rsidRPr="00D531FD" w:rsidRDefault="00675D1A" w:rsidP="00675D1A">
      <w:pPr>
        <w:tabs>
          <w:tab w:val="left" w:pos="486"/>
        </w:tabs>
        <w:spacing w:line="360" w:lineRule="auto"/>
        <w:jc w:val="both"/>
      </w:pPr>
      <w:r w:rsidRPr="00D531FD">
        <w:t xml:space="preserve">     El indicador NBI se utiliza para medir el nivel de necesidades que han</w:t>
      </w:r>
      <w:r w:rsidR="00C36246">
        <w:t xml:space="preserve"> sido definidas como </w:t>
      </w:r>
      <w:r w:rsidRPr="00D531FD">
        <w:t xml:space="preserve">básicas para subsistir y tiene en cuenta variables sobre viviendas inadecuadas, </w:t>
      </w:r>
      <w:r w:rsidR="00A17CBA">
        <w:t xml:space="preserve">servicios públicos inadecuados, hacinamiento </w:t>
      </w:r>
      <w:r w:rsidRPr="00D531FD">
        <w:t>crítico, ausentismo escolar y alta dependencia económica. Al emplear este indicador en el departamento del Quindío se advierte un nivel de necesidades básicas insatisfechas 16,20%,</w:t>
      </w:r>
      <w:r w:rsidRPr="00D531FD">
        <w:rPr>
          <w:color w:val="FF0000"/>
        </w:rPr>
        <w:t xml:space="preserve"> </w:t>
      </w:r>
      <w:r w:rsidRPr="00D531FD">
        <w:t>mientras que a nivel nacional el NBI es del orden del 27.78%,</w:t>
      </w:r>
      <w:r w:rsidRPr="00D531FD">
        <w:rPr>
          <w:color w:val="FF0000"/>
        </w:rPr>
        <w:t xml:space="preserve"> </w:t>
      </w:r>
      <w:r w:rsidRPr="00D531FD">
        <w:t xml:space="preserve">esto demuestra que la pobreza en el departamento del Quindío medida por este indicador resulta </w:t>
      </w:r>
      <w:r w:rsidR="00145573" w:rsidRPr="00145573">
        <w:t>estar</w:t>
      </w:r>
      <w:r w:rsidRPr="00D531FD">
        <w:t xml:space="preserve"> por debajo de los niveles de pobreza </w:t>
      </w:r>
      <w:r w:rsidRPr="00D531FD">
        <w:lastRenderedPageBreak/>
        <w:t>evidenciados</w:t>
      </w:r>
      <w:r w:rsidR="00C36246">
        <w:t xml:space="preserve"> en el país, pues difiere en 11,6 puntos porcentuales</w:t>
      </w:r>
      <w:r w:rsidRPr="00D531FD">
        <w:t>.</w:t>
      </w:r>
      <w:r w:rsidRPr="00D531FD">
        <w:rPr>
          <w:color w:val="FF0000"/>
        </w:rPr>
        <w:t xml:space="preserve"> </w:t>
      </w:r>
      <w:r w:rsidRPr="00D531FD">
        <w:t>Adicional a esto, el NBI para el país en la zona de cabecera es del 19.66% y del resto es del 53.51%, lo que señala una alta concentración de la pobreza por fuera de las áreas urbanas del pa</w:t>
      </w:r>
      <w:r w:rsidR="004253CE">
        <w:t>ís. En</w:t>
      </w:r>
      <w:r w:rsidR="00DE5010">
        <w:t xml:space="preserve"> el caso del</w:t>
      </w:r>
      <w:r w:rsidRPr="00D531FD">
        <w:t xml:space="preserve"> Quindío, la zona rural presenta un indicador del 22,23% mientras que para el área urbana este indicador desciende un 6,95% al ser del orden del 15,28%, comportamiento que es inferior al del agregado nacional.</w:t>
      </w:r>
      <w:r w:rsidR="00AF46E3" w:rsidRPr="00D531FD">
        <w:rPr>
          <w:rStyle w:val="Refdenotaalpie"/>
        </w:rPr>
        <w:footnoteReference w:id="6"/>
      </w:r>
      <w:r w:rsidRPr="00D531FD">
        <w:t xml:space="preserve"> </w:t>
      </w:r>
    </w:p>
    <w:p w:rsidR="00675D1A" w:rsidRPr="00D531FD" w:rsidRDefault="00675D1A" w:rsidP="00675D1A">
      <w:pPr>
        <w:spacing w:line="360" w:lineRule="auto"/>
      </w:pPr>
    </w:p>
    <w:p w:rsidR="00675D1A" w:rsidRPr="00653A6F" w:rsidRDefault="00675D1A" w:rsidP="00803F07">
      <w:pPr>
        <w:tabs>
          <w:tab w:val="left" w:pos="486"/>
        </w:tabs>
      </w:pPr>
      <w:r w:rsidRPr="00653A6F">
        <w:t>Gráfi</w:t>
      </w:r>
      <w:r w:rsidR="00846580" w:rsidRPr="00653A6F">
        <w:t>co 1.6</w:t>
      </w:r>
    </w:p>
    <w:p w:rsidR="00675D1A" w:rsidRPr="00653A6F" w:rsidRDefault="00675D1A" w:rsidP="00803F07">
      <w:pPr>
        <w:tabs>
          <w:tab w:val="left" w:pos="486"/>
        </w:tabs>
      </w:pPr>
      <w:r w:rsidRPr="00653A6F">
        <w:t>Necesidades Básicas Insatisfechas, total nacional y departamentos</w:t>
      </w:r>
    </w:p>
    <w:p w:rsidR="00675D1A" w:rsidRPr="00653A6F" w:rsidRDefault="00675D1A" w:rsidP="00803F07">
      <w:pPr>
        <w:spacing w:line="360" w:lineRule="auto"/>
      </w:pPr>
      <w:r w:rsidRPr="00653A6F">
        <w:t>Censo 2005</w:t>
      </w:r>
    </w:p>
    <w:p w:rsidR="00675D1A" w:rsidRPr="00D531FD" w:rsidRDefault="00675D1A" w:rsidP="00675D1A">
      <w:pPr>
        <w:spacing w:line="360" w:lineRule="auto"/>
        <w:jc w:val="center"/>
      </w:pPr>
      <w:r w:rsidRPr="00D531FD">
        <w:rPr>
          <w:noProof/>
        </w:rPr>
        <w:drawing>
          <wp:inline distT="0" distB="0" distL="0" distR="0" wp14:anchorId="1ECAE794" wp14:editId="6922D754">
            <wp:extent cx="5791200" cy="3153251"/>
            <wp:effectExtent l="0" t="0" r="0" b="9525"/>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cstate="print"/>
                    <a:srcRect/>
                    <a:stretch>
                      <a:fillRect/>
                    </a:stretch>
                  </pic:blipFill>
                  <pic:spPr bwMode="auto">
                    <a:xfrm>
                      <a:off x="0" y="0"/>
                      <a:ext cx="5797341" cy="3156595"/>
                    </a:xfrm>
                    <a:prstGeom prst="rect">
                      <a:avLst/>
                    </a:prstGeom>
                    <a:noFill/>
                    <a:ln w="9525">
                      <a:noFill/>
                      <a:miter lim="800000"/>
                      <a:headEnd/>
                      <a:tailEnd/>
                    </a:ln>
                  </pic:spPr>
                </pic:pic>
              </a:graphicData>
            </a:graphic>
          </wp:inline>
        </w:drawing>
      </w:r>
    </w:p>
    <w:p w:rsidR="00675D1A" w:rsidRPr="00D531FD" w:rsidRDefault="00675D1A" w:rsidP="00675D1A">
      <w:pPr>
        <w:spacing w:line="360" w:lineRule="auto"/>
      </w:pPr>
      <w:r w:rsidRPr="00D531FD">
        <w:t xml:space="preserve">                   </w:t>
      </w:r>
      <w:r w:rsidRPr="00D531FD">
        <w:rPr>
          <w:sz w:val="16"/>
          <w:szCs w:val="16"/>
        </w:rPr>
        <w:t xml:space="preserve">Fuente: </w:t>
      </w:r>
      <w:r w:rsidR="008F5FB2">
        <w:rPr>
          <w:sz w:val="16"/>
          <w:szCs w:val="16"/>
        </w:rPr>
        <w:t>DANE</w:t>
      </w:r>
      <w:r w:rsidRPr="00D531FD">
        <w:rPr>
          <w:sz w:val="16"/>
          <w:szCs w:val="16"/>
        </w:rPr>
        <w:t xml:space="preserve"> y cálculos propios</w:t>
      </w:r>
      <w:r w:rsidR="00A33B86">
        <w:rPr>
          <w:sz w:val="16"/>
          <w:szCs w:val="16"/>
        </w:rPr>
        <w:t xml:space="preserve"> – NBI total nacional y departamentos.</w:t>
      </w:r>
    </w:p>
    <w:p w:rsidR="00EE79CF" w:rsidRDefault="006A4FC1" w:rsidP="00675D1A">
      <w:pPr>
        <w:tabs>
          <w:tab w:val="left" w:pos="486"/>
        </w:tabs>
        <w:spacing w:line="360" w:lineRule="auto"/>
        <w:jc w:val="both"/>
      </w:pPr>
      <w:r w:rsidRPr="00D531FD">
        <w:t xml:space="preserve">     </w:t>
      </w:r>
    </w:p>
    <w:p w:rsidR="00EE79CF" w:rsidRDefault="00EE79CF" w:rsidP="00675D1A">
      <w:pPr>
        <w:tabs>
          <w:tab w:val="left" w:pos="486"/>
        </w:tabs>
        <w:spacing w:line="360" w:lineRule="auto"/>
        <w:jc w:val="both"/>
      </w:pPr>
    </w:p>
    <w:p w:rsidR="00675D1A" w:rsidRPr="00D531FD" w:rsidRDefault="00675D1A" w:rsidP="00675D1A">
      <w:pPr>
        <w:tabs>
          <w:tab w:val="left" w:pos="486"/>
        </w:tabs>
        <w:spacing w:line="360" w:lineRule="auto"/>
        <w:jc w:val="both"/>
        <w:rPr>
          <w:color w:val="FF0000"/>
        </w:rPr>
      </w:pPr>
      <w:r w:rsidRPr="00D531FD">
        <w:t>Respecto a las cifras del periodo censal del 2005</w:t>
      </w:r>
      <w:r w:rsidR="00724A9D">
        <w:t>,</w:t>
      </w:r>
      <w:r w:rsidRPr="00D531FD">
        <w:t xml:space="preserve"> vale la pena mencionar que en la comparación entre departamentos los resultados de necesidades básicas insatisfechas para el Quindío lo ubican en el puesto  número 03 de los 3</w:t>
      </w:r>
      <w:r w:rsidR="00760B1F">
        <w:t>2</w:t>
      </w:r>
      <w:r w:rsidRPr="00D531FD">
        <w:t xml:space="preserve"> departamentos que conforman el territorio nacional donde el Distrito de Bogotá se destaca por ocupar el primer puesto al </w:t>
      </w:r>
      <w:r w:rsidRPr="00D531FD">
        <w:lastRenderedPageBreak/>
        <w:t>presentar el NBI más bajo del país, mientras que departamentos como</w:t>
      </w:r>
      <w:r w:rsidRPr="00D531FD">
        <w:rPr>
          <w:color w:val="FF0000"/>
        </w:rPr>
        <w:t xml:space="preserve"> </w:t>
      </w:r>
      <w:r w:rsidRPr="00D531FD">
        <w:t>Córdoba, Guainía, La Guajira, Vichada y Chocó se destacan por presentar elevadas carencias que son críticas para la subsistencia básica de la población y que a su vez permiten caracterizar el alto grado de pobreza que estos enfrentan al ubicarse de últimos en la tabla de posiciones.</w:t>
      </w:r>
    </w:p>
    <w:p w:rsidR="00675D1A" w:rsidRPr="00D531FD" w:rsidRDefault="00675D1A" w:rsidP="00675D1A">
      <w:pPr>
        <w:tabs>
          <w:tab w:val="left" w:pos="486"/>
        </w:tabs>
        <w:spacing w:line="360" w:lineRule="auto"/>
        <w:jc w:val="both"/>
        <w:rPr>
          <w:color w:val="FF0000"/>
        </w:rPr>
      </w:pPr>
    </w:p>
    <w:p w:rsidR="00675D1A" w:rsidRPr="00D531FD" w:rsidRDefault="00675D1A" w:rsidP="00675D1A">
      <w:pPr>
        <w:tabs>
          <w:tab w:val="left" w:pos="486"/>
        </w:tabs>
        <w:spacing w:line="360" w:lineRule="auto"/>
        <w:jc w:val="both"/>
        <w:rPr>
          <w:color w:val="FF0000"/>
        </w:rPr>
      </w:pPr>
      <w:r w:rsidRPr="00D531FD">
        <w:t xml:space="preserve">     Los resultados también revelan que con relación al anterior periodo censal el país disminuyó en 8.1 puntos porcentuales el nivel de necesidades básicas insatisfechas al pasar de un indicador del 35.8% en 1993 a un indicador del 27.7% en el 2005.</w:t>
      </w:r>
      <w:r w:rsidRPr="00D531FD">
        <w:rPr>
          <w:color w:val="FF0000"/>
        </w:rPr>
        <w:t xml:space="preserve"> </w:t>
      </w:r>
      <w:r w:rsidRPr="00D531FD">
        <w:t>Si se realiza el mismo análisis p</w:t>
      </w:r>
      <w:r w:rsidR="0073700E">
        <w:t>ara el departamento del Quindío, este presentó</w:t>
      </w:r>
      <w:r w:rsidRPr="00D531FD">
        <w:t xml:space="preserve"> igualmente una mejora de 7,79 puntos porcentuales en dicho indicador ya que en el</w:t>
      </w:r>
      <w:r w:rsidRPr="00D531FD">
        <w:rPr>
          <w:color w:val="FF0000"/>
        </w:rPr>
        <w:t xml:space="preserve"> </w:t>
      </w:r>
      <w:r w:rsidRPr="00D531FD">
        <w:t>censo de 1993 el NBI resultante fue del 23,99%</w:t>
      </w:r>
      <w:r w:rsidRPr="00D531FD">
        <w:rPr>
          <w:color w:val="FF0000"/>
        </w:rPr>
        <w:t xml:space="preserve"> </w:t>
      </w:r>
      <w:r w:rsidRPr="00D531FD">
        <w:t>mientras que el del 2005 fue del 16.2%,</w:t>
      </w:r>
      <w:r w:rsidRPr="00D531FD">
        <w:rPr>
          <w:color w:val="FF0000"/>
        </w:rPr>
        <w:t xml:space="preserve"> </w:t>
      </w:r>
      <w:r w:rsidRPr="00D531FD">
        <w:t>de aquí se destacan los tres municipios con el indicador más bajo, los cuales pertenecen</w:t>
      </w:r>
      <w:r w:rsidRPr="00D531FD">
        <w:rPr>
          <w:color w:val="FF0000"/>
        </w:rPr>
        <w:t xml:space="preserve"> </w:t>
      </w:r>
      <w:r w:rsidRPr="00D531FD">
        <w:t>al departamento y en su orden son: Buenavista con un NBI del 10,83%, Armenia con un 13,04% y Calarcá</w:t>
      </w:r>
      <w:r w:rsidRPr="00D531FD">
        <w:rPr>
          <w:color w:val="FF0000"/>
        </w:rPr>
        <w:t xml:space="preserve"> </w:t>
      </w:r>
      <w:r w:rsidRPr="00D531FD">
        <w:t xml:space="preserve">con un indicador </w:t>
      </w:r>
      <w:r w:rsidR="0073700E">
        <w:t>municipal</w:t>
      </w:r>
      <w:r w:rsidRPr="00D531FD">
        <w:t xml:space="preserve"> del</w:t>
      </w:r>
      <w:r w:rsidRPr="00D531FD">
        <w:rPr>
          <w:color w:val="FF0000"/>
        </w:rPr>
        <w:t xml:space="preserve"> </w:t>
      </w:r>
      <w:r w:rsidRPr="00D531FD">
        <w:t>14,02%</w:t>
      </w:r>
      <w:r w:rsidRPr="00D531FD">
        <w:rPr>
          <w:color w:val="FF0000"/>
        </w:rPr>
        <w:t xml:space="preserve">, </w:t>
      </w:r>
      <w:r w:rsidRPr="00D531FD">
        <w:t>estos tres municipios son los que concentran los niveles de pobreza más bajos medidos por el indicador de referencia, mientras que los municipios de La Tebaida y Montenegro que aunque también pertenecen al departamento se alejan hacia condiciones más desfavorables al presentar un NBI del 22,56% y del 22,84%, respectivamente.</w:t>
      </w:r>
    </w:p>
    <w:p w:rsidR="00675D1A" w:rsidRPr="00D531FD" w:rsidRDefault="00675D1A" w:rsidP="00675D1A">
      <w:pPr>
        <w:tabs>
          <w:tab w:val="left" w:pos="486"/>
        </w:tabs>
        <w:spacing w:line="360" w:lineRule="auto"/>
        <w:jc w:val="both"/>
        <w:rPr>
          <w:color w:val="FF0000"/>
        </w:rPr>
      </w:pPr>
    </w:p>
    <w:p w:rsidR="00675D1A" w:rsidRPr="00D531FD" w:rsidRDefault="00675D1A" w:rsidP="00675D1A">
      <w:pPr>
        <w:tabs>
          <w:tab w:val="left" w:pos="486"/>
        </w:tabs>
        <w:spacing w:line="360" w:lineRule="auto"/>
        <w:jc w:val="both"/>
      </w:pPr>
      <w:r w:rsidRPr="00D531FD">
        <w:t xml:space="preserve">     Por otro lado, la comparación de los dos últimos periodos censales </w:t>
      </w:r>
      <w:r w:rsidRPr="003633A2">
        <w:t xml:space="preserve">también </w:t>
      </w:r>
      <w:r w:rsidRPr="00D531FD">
        <w:t>evidencia que los municipios del Quindío lograron avances importantes en la disminución de este indicador. Por su parte, el municipio de La Tebaida reporta un buen comportamiento, ya que logra avanzar de un NBI del 37,41% que cuenta de altas carencias básicas de sus habitantes a un NBI del 22,56% que representa un mayor bienestar de la población del municipio.</w:t>
      </w:r>
    </w:p>
    <w:p w:rsidR="00675D1A" w:rsidRDefault="00675D1A" w:rsidP="00675D1A">
      <w:pPr>
        <w:spacing w:line="360" w:lineRule="auto"/>
      </w:pPr>
    </w:p>
    <w:p w:rsidR="005317C2" w:rsidRDefault="005317C2" w:rsidP="00675D1A">
      <w:pPr>
        <w:spacing w:line="360" w:lineRule="auto"/>
      </w:pPr>
    </w:p>
    <w:p w:rsidR="005317C2" w:rsidRDefault="005317C2" w:rsidP="00675D1A">
      <w:pPr>
        <w:spacing w:line="360" w:lineRule="auto"/>
      </w:pPr>
    </w:p>
    <w:p w:rsidR="00571E8B" w:rsidRDefault="00571E8B" w:rsidP="00675D1A">
      <w:pPr>
        <w:spacing w:line="360" w:lineRule="auto"/>
      </w:pPr>
    </w:p>
    <w:p w:rsidR="00571E8B" w:rsidRDefault="00571E8B" w:rsidP="00675D1A">
      <w:pPr>
        <w:spacing w:line="360" w:lineRule="auto"/>
      </w:pPr>
    </w:p>
    <w:p w:rsidR="00675D1A" w:rsidRPr="006F086B" w:rsidRDefault="005A513D" w:rsidP="00457510">
      <w:pPr>
        <w:tabs>
          <w:tab w:val="left" w:pos="486"/>
          <w:tab w:val="center" w:pos="4419"/>
          <w:tab w:val="left" w:pos="5345"/>
        </w:tabs>
      </w:pPr>
      <w:r>
        <w:lastRenderedPageBreak/>
        <w:t>Tabla</w:t>
      </w:r>
      <w:r w:rsidR="00675D1A" w:rsidRPr="006F086B">
        <w:t xml:space="preserve"> 1.</w:t>
      </w:r>
      <w:r w:rsidR="00145573" w:rsidRPr="006F086B">
        <w:t>7</w:t>
      </w:r>
      <w:r w:rsidR="00675D1A" w:rsidRPr="006F086B">
        <w:tab/>
      </w:r>
    </w:p>
    <w:p w:rsidR="00675D1A" w:rsidRPr="006F086B" w:rsidRDefault="00675D1A" w:rsidP="00457510">
      <w:pPr>
        <w:jc w:val="both"/>
      </w:pPr>
      <w:r w:rsidRPr="006F086B">
        <w:t>NBI según municipio departamento del Quindío</w:t>
      </w:r>
    </w:p>
    <w:p w:rsidR="00675D1A" w:rsidRPr="006F086B" w:rsidRDefault="00675D1A" w:rsidP="00457510">
      <w:pPr>
        <w:jc w:val="both"/>
      </w:pPr>
      <w:r w:rsidRPr="006F086B">
        <w:t>Censo 1993 – 2005</w:t>
      </w:r>
    </w:p>
    <w:p w:rsidR="00675D1A" w:rsidRPr="00D531FD" w:rsidRDefault="00675D1A" w:rsidP="00457510">
      <w:pPr>
        <w:jc w:val="both"/>
        <w:rPr>
          <w:b/>
        </w:rPr>
      </w:pPr>
    </w:p>
    <w:tbl>
      <w:tblPr>
        <w:tblW w:w="6824" w:type="dxa"/>
        <w:tblCellMar>
          <w:left w:w="70" w:type="dxa"/>
          <w:right w:w="70" w:type="dxa"/>
        </w:tblCellMar>
        <w:tblLook w:val="04A0" w:firstRow="1" w:lastRow="0" w:firstColumn="1" w:lastColumn="0" w:noHBand="0" w:noVBand="1"/>
      </w:tblPr>
      <w:tblGrid>
        <w:gridCol w:w="2366"/>
        <w:gridCol w:w="2229"/>
        <w:gridCol w:w="2229"/>
      </w:tblGrid>
      <w:tr w:rsidR="00675D1A" w:rsidRPr="00D531FD" w:rsidTr="00CF0384">
        <w:trPr>
          <w:trHeight w:val="552"/>
        </w:trPr>
        <w:tc>
          <w:tcPr>
            <w:tcW w:w="2366" w:type="dxa"/>
            <w:tcBorders>
              <w:top w:val="single" w:sz="8" w:space="0" w:color="auto"/>
              <w:left w:val="nil"/>
              <w:bottom w:val="single" w:sz="8" w:space="0" w:color="auto"/>
              <w:right w:val="nil"/>
            </w:tcBorders>
            <w:shd w:val="clear" w:color="000000" w:fill="FFFFFF"/>
            <w:noWrap/>
            <w:vAlign w:val="center"/>
            <w:hideMark/>
          </w:tcPr>
          <w:p w:rsidR="00675D1A" w:rsidRPr="00D531FD" w:rsidRDefault="00675D1A" w:rsidP="00457510">
            <w:pPr>
              <w:rPr>
                <w:b/>
                <w:bCs/>
                <w:color w:val="000000"/>
                <w:sz w:val="20"/>
                <w:szCs w:val="20"/>
              </w:rPr>
            </w:pPr>
            <w:r w:rsidRPr="00D531FD">
              <w:rPr>
                <w:b/>
                <w:bCs/>
                <w:color w:val="000000"/>
                <w:sz w:val="20"/>
                <w:szCs w:val="20"/>
              </w:rPr>
              <w:t>MUNICIPIO</w:t>
            </w:r>
          </w:p>
        </w:tc>
        <w:tc>
          <w:tcPr>
            <w:tcW w:w="2229" w:type="dxa"/>
            <w:tcBorders>
              <w:top w:val="single" w:sz="8" w:space="0" w:color="auto"/>
              <w:left w:val="nil"/>
              <w:bottom w:val="single" w:sz="8" w:space="0" w:color="auto"/>
              <w:right w:val="nil"/>
            </w:tcBorders>
            <w:shd w:val="clear" w:color="000000" w:fill="FFFFFF"/>
            <w:noWrap/>
            <w:vAlign w:val="center"/>
            <w:hideMark/>
          </w:tcPr>
          <w:p w:rsidR="00675D1A" w:rsidRPr="00D531FD" w:rsidRDefault="00675D1A" w:rsidP="00457510">
            <w:pPr>
              <w:rPr>
                <w:b/>
                <w:bCs/>
                <w:color w:val="000000"/>
                <w:sz w:val="20"/>
                <w:szCs w:val="20"/>
              </w:rPr>
            </w:pPr>
            <w:r w:rsidRPr="00D531FD">
              <w:rPr>
                <w:b/>
                <w:bCs/>
                <w:color w:val="000000"/>
                <w:sz w:val="20"/>
                <w:szCs w:val="20"/>
              </w:rPr>
              <w:t>2005</w:t>
            </w:r>
          </w:p>
        </w:tc>
        <w:tc>
          <w:tcPr>
            <w:tcW w:w="2229" w:type="dxa"/>
            <w:tcBorders>
              <w:top w:val="single" w:sz="8" w:space="0" w:color="auto"/>
              <w:left w:val="nil"/>
              <w:bottom w:val="single" w:sz="8" w:space="0" w:color="auto"/>
              <w:right w:val="nil"/>
            </w:tcBorders>
            <w:shd w:val="clear" w:color="000000" w:fill="FFFFFF"/>
            <w:noWrap/>
            <w:vAlign w:val="center"/>
            <w:hideMark/>
          </w:tcPr>
          <w:p w:rsidR="00675D1A" w:rsidRPr="00D531FD" w:rsidRDefault="00675D1A" w:rsidP="00457510">
            <w:pPr>
              <w:rPr>
                <w:b/>
                <w:bCs/>
                <w:color w:val="000000"/>
                <w:sz w:val="20"/>
                <w:szCs w:val="20"/>
              </w:rPr>
            </w:pPr>
            <w:r w:rsidRPr="00D531FD">
              <w:rPr>
                <w:b/>
                <w:bCs/>
                <w:color w:val="000000"/>
                <w:sz w:val="20"/>
                <w:szCs w:val="20"/>
              </w:rPr>
              <w:t>1993</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Buenavista</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10,83</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27,39</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Armenia</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13,04</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17,93</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Calarcá</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14,02</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25,08</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Circasia</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16,19</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27,54</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Filandia</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16,94</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29,61</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Salento</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17</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31,34</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Córdoba</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18,01</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30,75</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Pijao</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18,16</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30,23</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Quimbaya</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20,11</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34,45</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Génova</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22,33</w:t>
            </w:r>
          </w:p>
        </w:tc>
        <w:tc>
          <w:tcPr>
            <w:tcW w:w="2229" w:type="dxa"/>
            <w:tcBorders>
              <w:top w:val="nil"/>
              <w:left w:val="nil"/>
              <w:bottom w:val="nil"/>
              <w:right w:val="nil"/>
            </w:tcBorders>
            <w:shd w:val="clear" w:color="auto" w:fill="auto"/>
            <w:noWrap/>
            <w:vAlign w:val="bottom"/>
            <w:hideMark/>
          </w:tcPr>
          <w:p w:rsidR="00675D1A" w:rsidRPr="00D531FD" w:rsidRDefault="00675D1A" w:rsidP="00457510">
            <w:pPr>
              <w:rPr>
                <w:color w:val="000000"/>
                <w:sz w:val="20"/>
                <w:szCs w:val="20"/>
              </w:rPr>
            </w:pPr>
            <w:r w:rsidRPr="00D531FD">
              <w:rPr>
                <w:color w:val="000000"/>
                <w:sz w:val="20"/>
                <w:szCs w:val="20"/>
              </w:rPr>
              <w:t>31,56</w:t>
            </w:r>
          </w:p>
        </w:tc>
      </w:tr>
      <w:tr w:rsidR="00675D1A" w:rsidRPr="00D531FD" w:rsidTr="00CF0384">
        <w:trPr>
          <w:trHeight w:val="284"/>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La Tebaida</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22,56</w:t>
            </w:r>
          </w:p>
        </w:tc>
        <w:tc>
          <w:tcPr>
            <w:tcW w:w="2229" w:type="dxa"/>
            <w:tcBorders>
              <w:top w:val="nil"/>
              <w:left w:val="nil"/>
              <w:bottom w:val="nil"/>
              <w:right w:val="nil"/>
            </w:tcBorders>
            <w:shd w:val="clear" w:color="auto" w:fill="auto"/>
            <w:noWrap/>
            <w:vAlign w:val="bottom"/>
            <w:hideMark/>
          </w:tcPr>
          <w:p w:rsidR="00675D1A" w:rsidRPr="00D531FD" w:rsidRDefault="00675D1A" w:rsidP="00457510">
            <w:pPr>
              <w:rPr>
                <w:color w:val="000000"/>
                <w:sz w:val="20"/>
                <w:szCs w:val="20"/>
              </w:rPr>
            </w:pPr>
            <w:r w:rsidRPr="00D531FD">
              <w:rPr>
                <w:color w:val="000000"/>
                <w:sz w:val="20"/>
                <w:szCs w:val="20"/>
              </w:rPr>
              <w:t>37,41</w:t>
            </w:r>
          </w:p>
        </w:tc>
      </w:tr>
      <w:tr w:rsidR="00675D1A" w:rsidRPr="00D531FD" w:rsidTr="00CF0384">
        <w:trPr>
          <w:trHeight w:val="299"/>
        </w:trPr>
        <w:tc>
          <w:tcPr>
            <w:tcW w:w="2366"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Montenegro</w:t>
            </w:r>
          </w:p>
        </w:tc>
        <w:tc>
          <w:tcPr>
            <w:tcW w:w="2229" w:type="dxa"/>
            <w:tcBorders>
              <w:top w:val="nil"/>
              <w:left w:val="nil"/>
              <w:bottom w:val="nil"/>
              <w:right w:val="nil"/>
            </w:tcBorders>
            <w:shd w:val="clear" w:color="000000" w:fill="FFFFFF"/>
            <w:noWrap/>
            <w:vAlign w:val="bottom"/>
            <w:hideMark/>
          </w:tcPr>
          <w:p w:rsidR="00675D1A" w:rsidRPr="00D531FD" w:rsidRDefault="00675D1A" w:rsidP="00457510">
            <w:pPr>
              <w:rPr>
                <w:color w:val="000000"/>
                <w:sz w:val="20"/>
                <w:szCs w:val="20"/>
              </w:rPr>
            </w:pPr>
            <w:r w:rsidRPr="00D531FD">
              <w:rPr>
                <w:color w:val="000000"/>
                <w:sz w:val="20"/>
                <w:szCs w:val="20"/>
              </w:rPr>
              <w:t>22,84</w:t>
            </w:r>
          </w:p>
        </w:tc>
        <w:tc>
          <w:tcPr>
            <w:tcW w:w="2229" w:type="dxa"/>
            <w:tcBorders>
              <w:top w:val="nil"/>
              <w:left w:val="nil"/>
              <w:bottom w:val="nil"/>
              <w:right w:val="nil"/>
            </w:tcBorders>
            <w:shd w:val="clear" w:color="auto" w:fill="auto"/>
            <w:noWrap/>
            <w:vAlign w:val="bottom"/>
            <w:hideMark/>
          </w:tcPr>
          <w:p w:rsidR="00675D1A" w:rsidRPr="00D531FD" w:rsidRDefault="00675D1A" w:rsidP="00457510">
            <w:pPr>
              <w:rPr>
                <w:color w:val="000000"/>
                <w:sz w:val="20"/>
                <w:szCs w:val="20"/>
              </w:rPr>
            </w:pPr>
            <w:r w:rsidRPr="00D531FD">
              <w:rPr>
                <w:color w:val="000000"/>
                <w:sz w:val="20"/>
                <w:szCs w:val="20"/>
              </w:rPr>
              <w:t>33,66</w:t>
            </w:r>
          </w:p>
        </w:tc>
      </w:tr>
      <w:tr w:rsidR="00675D1A" w:rsidRPr="00D531FD" w:rsidTr="00CF0384">
        <w:trPr>
          <w:trHeight w:val="299"/>
        </w:trPr>
        <w:tc>
          <w:tcPr>
            <w:tcW w:w="2366" w:type="dxa"/>
            <w:tcBorders>
              <w:top w:val="single" w:sz="8" w:space="0" w:color="auto"/>
              <w:left w:val="nil"/>
              <w:bottom w:val="single" w:sz="8" w:space="0" w:color="auto"/>
              <w:right w:val="nil"/>
            </w:tcBorders>
            <w:shd w:val="clear" w:color="000000" w:fill="FFFFFF"/>
            <w:noWrap/>
            <w:vAlign w:val="center"/>
            <w:hideMark/>
          </w:tcPr>
          <w:p w:rsidR="00675D1A" w:rsidRPr="006F086B" w:rsidRDefault="00675D1A" w:rsidP="00457510">
            <w:pPr>
              <w:rPr>
                <w:b/>
                <w:color w:val="000000"/>
                <w:sz w:val="20"/>
                <w:szCs w:val="20"/>
              </w:rPr>
            </w:pPr>
            <w:r w:rsidRPr="006F086B">
              <w:rPr>
                <w:b/>
                <w:color w:val="000000"/>
                <w:sz w:val="20"/>
                <w:szCs w:val="20"/>
              </w:rPr>
              <w:t>Quindío</w:t>
            </w:r>
          </w:p>
        </w:tc>
        <w:tc>
          <w:tcPr>
            <w:tcW w:w="2229" w:type="dxa"/>
            <w:tcBorders>
              <w:top w:val="single" w:sz="8" w:space="0" w:color="auto"/>
              <w:left w:val="nil"/>
              <w:bottom w:val="single" w:sz="8" w:space="0" w:color="auto"/>
              <w:right w:val="nil"/>
            </w:tcBorders>
            <w:shd w:val="clear" w:color="auto" w:fill="auto"/>
            <w:noWrap/>
            <w:vAlign w:val="center"/>
            <w:hideMark/>
          </w:tcPr>
          <w:p w:rsidR="00675D1A" w:rsidRPr="006F086B" w:rsidRDefault="00675D1A" w:rsidP="00457510">
            <w:pPr>
              <w:rPr>
                <w:b/>
                <w:color w:val="000000"/>
                <w:sz w:val="20"/>
                <w:szCs w:val="20"/>
              </w:rPr>
            </w:pPr>
            <w:r w:rsidRPr="006F086B">
              <w:rPr>
                <w:b/>
                <w:color w:val="000000"/>
                <w:sz w:val="20"/>
                <w:szCs w:val="20"/>
              </w:rPr>
              <w:t>16,2</w:t>
            </w:r>
          </w:p>
        </w:tc>
        <w:tc>
          <w:tcPr>
            <w:tcW w:w="2229" w:type="dxa"/>
            <w:tcBorders>
              <w:top w:val="single" w:sz="8" w:space="0" w:color="auto"/>
              <w:left w:val="nil"/>
              <w:bottom w:val="single" w:sz="8" w:space="0" w:color="auto"/>
              <w:right w:val="nil"/>
            </w:tcBorders>
            <w:shd w:val="clear" w:color="auto" w:fill="auto"/>
            <w:noWrap/>
            <w:vAlign w:val="center"/>
            <w:hideMark/>
          </w:tcPr>
          <w:p w:rsidR="00675D1A" w:rsidRPr="006F086B" w:rsidRDefault="00675D1A" w:rsidP="00457510">
            <w:pPr>
              <w:rPr>
                <w:b/>
                <w:color w:val="000000"/>
                <w:sz w:val="20"/>
                <w:szCs w:val="20"/>
              </w:rPr>
            </w:pPr>
            <w:r w:rsidRPr="006F086B">
              <w:rPr>
                <w:b/>
                <w:color w:val="000000"/>
                <w:sz w:val="20"/>
                <w:szCs w:val="20"/>
              </w:rPr>
              <w:t>23,99</w:t>
            </w:r>
          </w:p>
        </w:tc>
      </w:tr>
    </w:tbl>
    <w:p w:rsidR="00675D1A" w:rsidRPr="00D531FD" w:rsidRDefault="00457510" w:rsidP="00457510">
      <w:pPr>
        <w:jc w:val="both"/>
        <w:rPr>
          <w:b/>
        </w:rPr>
      </w:pPr>
      <w:r>
        <w:rPr>
          <w:sz w:val="16"/>
          <w:szCs w:val="16"/>
        </w:rPr>
        <w:t xml:space="preserve"> </w:t>
      </w:r>
      <w:r w:rsidR="00675D1A" w:rsidRPr="00D531FD">
        <w:rPr>
          <w:sz w:val="16"/>
          <w:szCs w:val="16"/>
        </w:rPr>
        <w:t xml:space="preserve"> Fuente:</w:t>
      </w:r>
      <w:r w:rsidR="00675D1A" w:rsidRPr="00D531FD">
        <w:rPr>
          <w:b/>
        </w:rPr>
        <w:t xml:space="preserve"> </w:t>
      </w:r>
      <w:r w:rsidR="008F5FB2">
        <w:rPr>
          <w:sz w:val="16"/>
          <w:szCs w:val="16"/>
        </w:rPr>
        <w:t>DANE</w:t>
      </w:r>
    </w:p>
    <w:p w:rsidR="00675D1A" w:rsidRDefault="00675D1A" w:rsidP="00675D1A">
      <w:pPr>
        <w:spacing w:line="360" w:lineRule="auto"/>
      </w:pPr>
    </w:p>
    <w:p w:rsidR="00675D1A" w:rsidRDefault="00A44B6E" w:rsidP="00A44B6E">
      <w:pPr>
        <w:pStyle w:val="Ttulo2"/>
        <w:rPr>
          <w:rFonts w:ascii="Times New Roman" w:hAnsi="Times New Roman" w:cs="Times New Roman"/>
          <w:color w:val="auto"/>
          <w:sz w:val="30"/>
          <w:szCs w:val="30"/>
        </w:rPr>
      </w:pPr>
      <w:bookmarkStart w:id="13" w:name="_Toc406754280"/>
      <w:r w:rsidRPr="00A44B6E">
        <w:rPr>
          <w:rFonts w:ascii="Times New Roman" w:hAnsi="Times New Roman" w:cs="Times New Roman"/>
          <w:color w:val="auto"/>
          <w:sz w:val="30"/>
          <w:szCs w:val="30"/>
        </w:rPr>
        <w:t xml:space="preserve">1.5 </w:t>
      </w:r>
      <w:r w:rsidR="00675D1A" w:rsidRPr="00A44B6E">
        <w:rPr>
          <w:rFonts w:ascii="Times New Roman" w:hAnsi="Times New Roman" w:cs="Times New Roman"/>
          <w:color w:val="auto"/>
          <w:sz w:val="30"/>
          <w:szCs w:val="30"/>
        </w:rPr>
        <w:t>Pobreza</w:t>
      </w:r>
      <w:bookmarkEnd w:id="13"/>
    </w:p>
    <w:p w:rsidR="00A44B6E" w:rsidRPr="00A44B6E" w:rsidRDefault="00A44B6E" w:rsidP="00A44B6E"/>
    <w:p w:rsidR="003B7371" w:rsidRPr="00D531FD" w:rsidRDefault="000440BE" w:rsidP="00A44B6E">
      <w:pPr>
        <w:spacing w:line="360" w:lineRule="auto"/>
        <w:ind w:firstLine="284"/>
        <w:jc w:val="both"/>
      </w:pPr>
      <w:r>
        <w:t>De acuerdo con el Consejo Latinoamericano de Ciencias Sociales –CLACSO- (2009), e</w:t>
      </w:r>
      <w:r w:rsidR="003B7371" w:rsidRPr="00D531FD">
        <w:t>n materia de pobreza, han sido planteadas diversas definiciones y su comprensión se ha trabajado desde enfoques diferentes. Esta puede ser concebida desde una percepción material al determinar unas necesidades específicas que denotan la carencia de bienes o servicios materiales; por consiguiente, desde esta perspectiva se trata de determinar la pobreza a partir de un conjunto de necesidades básicas. Adicionalmente, la pobreza puede ser vista desde un patrón de privaciones, dado que no toda carencia es sinónimo de pobreza y por tanto</w:t>
      </w:r>
      <w:r w:rsidR="009843D6">
        <w:t>,</w:t>
      </w:r>
      <w:r w:rsidR="003B7371" w:rsidRPr="00D531FD">
        <w:t xml:space="preserve"> deben tenerse en cuenta ciertos elementos para considerar “pobre” a la población que no puede acceder a determinados bienes y servicios; así mismo, una privación debe ser considerada durante un periodo de tiempo que permita evaluar si la duración de las circunstancias de una privación es relevante.</w:t>
      </w:r>
    </w:p>
    <w:p w:rsidR="003B7371" w:rsidRPr="00D531FD" w:rsidRDefault="003B7371" w:rsidP="003B7371">
      <w:pPr>
        <w:spacing w:line="360" w:lineRule="auto"/>
        <w:jc w:val="both"/>
      </w:pPr>
    </w:p>
    <w:p w:rsidR="003B7371" w:rsidRPr="00D531FD" w:rsidRDefault="003B7371" w:rsidP="003B7371">
      <w:pPr>
        <w:spacing w:line="360" w:lineRule="auto"/>
        <w:jc w:val="both"/>
      </w:pPr>
      <w:r w:rsidRPr="00D531FD">
        <w:lastRenderedPageBreak/>
        <w:t xml:space="preserve">     Por otro lado, la pobreza vista desde la limitación de recursos obedece a una concepción en la cual las personas carecen de ingreso, riqueza o recursos para cubrir sus necesidades inmediatas. Por consiguiente, cuando existe una limitación de los recursos o existe un control limitado sobre estos, hay un reducido consumo de bienes y servicios que se traducen en un nivel de bienestar bajo. Estos aspectos indican que cuando se analiza la pobreza desde una falta de recursos, puede ser entendida en términos económicos desde un enfoque de ingresos, donde niveles bajos de estos </w:t>
      </w:r>
      <w:r w:rsidR="007C6E1E">
        <w:t>son un</w:t>
      </w:r>
      <w:r w:rsidRPr="00D531FD">
        <w:t xml:space="preserve"> equivalente a pobreza.</w:t>
      </w:r>
      <w:r w:rsidR="00E97CD4">
        <w:t xml:space="preserve"> (</w:t>
      </w:r>
      <w:proofErr w:type="spellStart"/>
      <w:r w:rsidR="00267120">
        <w:t>Spiker</w:t>
      </w:r>
      <w:proofErr w:type="spellEnd"/>
      <w:r w:rsidR="00E97CD4">
        <w:t>, 2009).</w:t>
      </w:r>
    </w:p>
    <w:p w:rsidR="003B7371" w:rsidRPr="00D531FD" w:rsidRDefault="003B7371" w:rsidP="003B7371">
      <w:pPr>
        <w:spacing w:line="360" w:lineRule="auto"/>
        <w:jc w:val="both"/>
      </w:pPr>
    </w:p>
    <w:p w:rsidR="003B7371" w:rsidRPr="00D531FD" w:rsidRDefault="003B7371" w:rsidP="003B7371">
      <w:pPr>
        <w:spacing w:line="360" w:lineRule="auto"/>
        <w:jc w:val="both"/>
      </w:pPr>
      <w:r w:rsidRPr="00D531FD">
        <w:t xml:space="preserve">     En relación al nivel de vida, </w:t>
      </w:r>
      <w:r w:rsidR="00E36153">
        <w:t>el Consejo Latinoamericano de Ciencias Sociales</w:t>
      </w:r>
      <w:r w:rsidRPr="00D531FD">
        <w:t xml:space="preserve"> considera que</w:t>
      </w:r>
      <w:r w:rsidR="00AD7D6B">
        <w:t>:</w:t>
      </w:r>
      <w:r w:rsidRPr="00D531FD">
        <w:t xml:space="preserve"> “</w:t>
      </w:r>
      <w:r w:rsidR="00AD7D6B">
        <w:t>…</w:t>
      </w:r>
      <w:r w:rsidRPr="00AD7D6B">
        <w:rPr>
          <w:i/>
        </w:rPr>
        <w:t>al nivel más básico, individuos y familias son considerados pobres cuando su nivel de vida, medido en términos de ingreso o consumo, está por debajo de un estándar específico</w:t>
      </w:r>
      <w:r w:rsidR="00AD7D6B">
        <w:t>…</w:t>
      </w:r>
      <w:r w:rsidRPr="00D531FD">
        <w:t>” (</w:t>
      </w:r>
      <w:r w:rsidR="000B66ED">
        <w:t>Speaker, 2009</w:t>
      </w:r>
      <w:r w:rsidRPr="00D531FD">
        <w:t>). Adicionalmente, la pobreza implica un determinado nivel de desigualdad, debido a que se trata de personas que se encuentran en situación de desventaja respecto a otros individuos de la sociedad.</w:t>
      </w:r>
    </w:p>
    <w:p w:rsidR="003B7371" w:rsidRPr="00D531FD" w:rsidRDefault="003B7371" w:rsidP="003B7371">
      <w:pPr>
        <w:spacing w:line="360" w:lineRule="auto"/>
        <w:jc w:val="both"/>
      </w:pPr>
    </w:p>
    <w:p w:rsidR="003B7371" w:rsidRPr="00D531FD" w:rsidRDefault="003B7371" w:rsidP="003B7371">
      <w:pPr>
        <w:spacing w:line="360" w:lineRule="auto"/>
        <w:jc w:val="both"/>
      </w:pPr>
      <w:r w:rsidRPr="00D531FD">
        <w:t xml:space="preserve">     Los Objetivos de Desarrollo del Milenio –ODM- constituye</w:t>
      </w:r>
      <w:r w:rsidR="0025127B">
        <w:t>n</w:t>
      </w:r>
      <w:r w:rsidRPr="00D531FD">
        <w:t xml:space="preserve"> el acuerdo establecido por los líderes del mundo mediante la Declaración del Milenio en pro de una visión para el futuro donde el tema de la pobreza juega un papel importante y de acuerdo con el último informe de las Naciones Unidas se establece que: “</w:t>
      </w:r>
      <w:r w:rsidRPr="00D531FD">
        <w:rPr>
          <w:i/>
        </w:rPr>
        <w:t>Los Objetivos de Desarrollo del Milenio (ODM) fueron la promesa de defender los principios de dignidad humana, igualdad y equidad, y de liberar al mundo de la pobreza extrema. Los ODM, con un total de ocho objetivos y una serie de metas mensurables y con plazos definidos, establecieron las bases para resolver los más grandes desafíos del desarrollo de nuestro tiempo</w:t>
      </w:r>
      <w:r w:rsidRPr="00D531FD">
        <w:t>” (ODM-Informe 2014: 3).</w:t>
      </w:r>
    </w:p>
    <w:p w:rsidR="003B7371" w:rsidRPr="00D531FD" w:rsidRDefault="003B7371" w:rsidP="003B7371">
      <w:pPr>
        <w:spacing w:line="360" w:lineRule="auto"/>
        <w:jc w:val="both"/>
      </w:pPr>
    </w:p>
    <w:p w:rsidR="003B7371" w:rsidRPr="00D531FD" w:rsidRDefault="005E36B6" w:rsidP="009F712E">
      <w:pPr>
        <w:spacing w:line="360" w:lineRule="auto"/>
        <w:ind w:firstLine="284"/>
        <w:jc w:val="both"/>
      </w:pPr>
      <w:r>
        <w:t>En este apartado</w:t>
      </w:r>
      <w:r w:rsidR="003B7371" w:rsidRPr="00D531FD">
        <w:t xml:space="preserve">, se analiza el comportamiento de las variables e indicadores de pobreza calculados a nivel nacional, departamental y para el municipio de Armenia, teniendo en cuenta que las dos mediciones oficiales de pobreza a nivel nacional la constituye: la Pobreza Monetaria y la Pobreza multidimensional; dichas metodologías tienen un mayor </w:t>
      </w:r>
      <w:r w:rsidR="003B7371" w:rsidRPr="00D531FD">
        <w:lastRenderedPageBreak/>
        <w:t>nivel de comparación con el resto de países latinoamericanos; por lo cual se facilita de manera más precisa su análisis dentro del contexto regional. La fuente principal de información para la construcción es la Encuesta de Ingresos y Gastos (EIG) 2006-2007 para la construcción de las líneas de pobreza urbana y rural.</w:t>
      </w:r>
      <w:r w:rsidR="003B7371" w:rsidRPr="00D531FD">
        <w:rPr>
          <w:rStyle w:val="Refdenotaalpie"/>
        </w:rPr>
        <w:footnoteReference w:id="7"/>
      </w:r>
    </w:p>
    <w:p w:rsidR="00675D1A" w:rsidRPr="00D531FD" w:rsidRDefault="00675D1A" w:rsidP="00675D1A">
      <w:pPr>
        <w:spacing w:line="360" w:lineRule="auto"/>
        <w:jc w:val="both"/>
      </w:pPr>
    </w:p>
    <w:p w:rsidR="00675D1A" w:rsidRPr="00D531FD" w:rsidRDefault="00675D1A" w:rsidP="00381FB3">
      <w:pPr>
        <w:spacing w:line="360" w:lineRule="auto"/>
        <w:ind w:firstLine="284"/>
        <w:jc w:val="both"/>
      </w:pPr>
      <w:r w:rsidRPr="00D531FD">
        <w:t xml:space="preserve">De acuerdo con la información estadística de la vigencia 2013 generada por el </w:t>
      </w:r>
      <w:r w:rsidR="008F5FB2">
        <w:t>DANE</w:t>
      </w:r>
      <w:r w:rsidR="001F2497" w:rsidRPr="00D531FD">
        <w:rPr>
          <w:rStyle w:val="Refdenotaalpie"/>
        </w:rPr>
        <w:footnoteReference w:id="8"/>
      </w:r>
      <w:r w:rsidRPr="00D531FD">
        <w:t xml:space="preserve"> en materia de Pobreza Monetaria y Desigualdad,</w:t>
      </w:r>
      <w:r w:rsidR="002C282E" w:rsidRPr="00D531FD">
        <w:rPr>
          <w:rStyle w:val="Refdenotaalpie"/>
        </w:rPr>
        <w:footnoteReference w:id="9"/>
      </w:r>
      <w:r w:rsidRPr="00D531FD">
        <w:t xml:space="preserve"> el porcentaje de personas en pobreza para el departamento del Quindío fue de 35,6%, mientras que en 2012 fue 38,9%, </w:t>
      </w:r>
      <w:r w:rsidR="00506BD9">
        <w:t xml:space="preserve">presentando </w:t>
      </w:r>
      <w:r w:rsidRPr="00D531FD">
        <w:t>una disminución de 3,3 puntos porcentuales. En pobreza extrema para el 2013 fue de 9,2% mientras que en 2012 fue de 12,1%</w:t>
      </w:r>
      <w:r w:rsidR="004652C1">
        <w:t>,</w:t>
      </w:r>
      <w:r w:rsidRPr="00D531FD">
        <w:t xml:space="preserve"> </w:t>
      </w:r>
      <w:r w:rsidR="004652C1">
        <w:t xml:space="preserve">lo cual representó </w:t>
      </w:r>
      <w:r w:rsidRPr="00D531FD">
        <w:t xml:space="preserve">una disminución de 2,9 puntos porcentuales y en términos de desigualdad para el 2013 el </w:t>
      </w:r>
      <w:proofErr w:type="spellStart"/>
      <w:r w:rsidRPr="00D531FD">
        <w:t>Gini</w:t>
      </w:r>
      <w:proofErr w:type="spellEnd"/>
      <w:r w:rsidRPr="00D531FD">
        <w:t xml:space="preserve"> registró un valor de 0,500 mientras que para el 2012 fue de 0,525, es decir, disminuyó en 0,025 puntos. Para el año 2013 en Armenia, la Incidencia de pobreza fue de 28,4 y para el año 2012 fue de 32,1 observando una disminución  3,7; la  pobreza extrema para los años 2013 y 2012 fue de 6,6% y 8,2% donde se redujo en 1,6% y  en cuanto al Coeficiente de </w:t>
      </w:r>
      <w:proofErr w:type="spellStart"/>
      <w:r w:rsidRPr="00D531FD">
        <w:t>Gini</w:t>
      </w:r>
      <w:proofErr w:type="spellEnd"/>
      <w:r w:rsidRPr="00D531FD">
        <w:t xml:space="preserve"> en el año 2013 fue de 0,498 y para el año 2012 fue de 0,523, observando una disminución de 0,025 en su desigualdad.</w:t>
      </w:r>
    </w:p>
    <w:p w:rsidR="005314FF" w:rsidRPr="00D531FD" w:rsidRDefault="005314FF" w:rsidP="00675D1A">
      <w:pPr>
        <w:spacing w:line="360" w:lineRule="auto"/>
        <w:jc w:val="both"/>
      </w:pPr>
    </w:p>
    <w:p w:rsidR="00675D1A" w:rsidRPr="00D531FD" w:rsidRDefault="00675D1A" w:rsidP="00675D1A">
      <w:pPr>
        <w:tabs>
          <w:tab w:val="left" w:pos="486"/>
        </w:tabs>
        <w:spacing w:line="360" w:lineRule="auto"/>
        <w:jc w:val="both"/>
      </w:pPr>
      <w:r w:rsidRPr="00D531FD">
        <w:t xml:space="preserve">     Teniendo en cuenta que los hogares del departamento del Quindío se componen en promedio por 3,3 personas, es decir, 0.2 puntos por </w:t>
      </w:r>
      <w:r w:rsidR="001F343C">
        <w:t>debajo</w:t>
      </w:r>
      <w:r w:rsidRPr="00D531FD">
        <w:t xml:space="preserve"> del promedio nacional (3,5), el tamaño promedio de la unidad de gasto se concentra principalmente en los hogares con tres personas con un 23,7%, seguido por los hogares con unidad de gasto de 4 personas con un 21,1%. Los hogares unipersonales presentan la menor proporción en gasto al registrar un 15,0%. </w:t>
      </w:r>
    </w:p>
    <w:p w:rsidR="00571E8B" w:rsidRDefault="00571E8B" w:rsidP="00675D1A">
      <w:pPr>
        <w:tabs>
          <w:tab w:val="left" w:pos="486"/>
        </w:tabs>
        <w:spacing w:line="360" w:lineRule="auto"/>
        <w:jc w:val="both"/>
      </w:pPr>
    </w:p>
    <w:p w:rsidR="00675D1A" w:rsidRPr="00D531FD" w:rsidRDefault="00675D1A" w:rsidP="00675D1A">
      <w:pPr>
        <w:tabs>
          <w:tab w:val="left" w:pos="486"/>
        </w:tabs>
        <w:spacing w:line="360" w:lineRule="auto"/>
        <w:jc w:val="both"/>
      </w:pPr>
      <w:r w:rsidRPr="00D531FD">
        <w:t xml:space="preserve">     En relación al ingreso per cápita del departamento</w:t>
      </w:r>
      <w:r w:rsidR="004C7C37">
        <w:t>, el cual</w:t>
      </w:r>
      <w:r w:rsidRPr="00D531FD">
        <w:t xml:space="preserve"> determina el ingreso promedio que perciben sus habitantes d</w:t>
      </w:r>
      <w:r w:rsidR="004C7C37">
        <w:t xml:space="preserve">urante la vigencia de análisis, </w:t>
      </w:r>
      <w:r w:rsidRPr="00D531FD">
        <w:t xml:space="preserve">se ubicó en $451.224, </w:t>
      </w:r>
      <w:r w:rsidRPr="00D531FD">
        <w:lastRenderedPageBreak/>
        <w:t xml:space="preserve">por lo tanto, al considerar una familia conformada por 3,3 personas, estaríamos hablando de un ingreso per cápita promedio por hogar de $1.489.039 y de acuerdo con los cálculos del </w:t>
      </w:r>
      <w:r w:rsidR="008F5FB2">
        <w:t>DANE</w:t>
      </w:r>
      <w:r w:rsidRPr="00D531FD">
        <w:t xml:space="preserve"> para un hogar conformado por cuatro personas en promedio, el ingreso per cápita equivale a $1.804.896. En la vigencia 2012 este indicador se ubicó en $437.803, lo que implica que los ingresos en promedio de los hogares en el departamento se incrementaron en un 3,1%.</w:t>
      </w:r>
    </w:p>
    <w:p w:rsidR="00675D1A" w:rsidRPr="00D531FD" w:rsidRDefault="00675D1A" w:rsidP="00675D1A">
      <w:pPr>
        <w:tabs>
          <w:tab w:val="left" w:pos="486"/>
        </w:tabs>
        <w:spacing w:line="360" w:lineRule="auto"/>
        <w:jc w:val="both"/>
      </w:pPr>
    </w:p>
    <w:p w:rsidR="00675D1A" w:rsidRPr="00D531FD" w:rsidRDefault="00675D1A" w:rsidP="008663AA">
      <w:pPr>
        <w:tabs>
          <w:tab w:val="left" w:pos="486"/>
        </w:tabs>
        <w:spacing w:line="360" w:lineRule="auto"/>
        <w:ind w:firstLine="284"/>
        <w:jc w:val="both"/>
      </w:pPr>
      <w:r w:rsidRPr="00D531FD">
        <w:t>Ahora bien, de acuerdo con el Banco Mundial, la pobreza se define como: “</w:t>
      </w:r>
      <w:r w:rsidR="005B4026">
        <w:t>…</w:t>
      </w:r>
      <w:r w:rsidRPr="005B4026">
        <w:rPr>
          <w:i/>
        </w:rPr>
        <w:t>la incapacidad para alcanzar un nivel de vida mínimo</w:t>
      </w:r>
      <w:r w:rsidR="005B4026">
        <w:rPr>
          <w:i/>
        </w:rPr>
        <w:t>…</w:t>
      </w:r>
      <w:r w:rsidRPr="00D531FD">
        <w:t xml:space="preserve">” (Banco Mundial, 1990: </w:t>
      </w:r>
      <w:r w:rsidR="004C7C37">
        <w:t xml:space="preserve">pp. </w:t>
      </w:r>
      <w:r w:rsidRPr="00D531FD">
        <w:t>26-27); por tanto, se entiende la línea de pobreza como el nivel mínimo de ingresos para obtener un nivel de vida aceptable, donde dichos ingresos garantizan una canasta básica de bienes. Para el caso del departamento del Quindío la línea de pobreza de la vigencia 2013 presentó un incremento del 1,5% al ubicarse en $212.527 respecto a la vigencia inmediatamente anterior; por lo tanto, si en promedio el número de personas por hogar en el Quindío es de 3,3, para que no sea considerado pobre de</w:t>
      </w:r>
      <w:r w:rsidR="00E73964" w:rsidRPr="00D531FD">
        <w:t>be</w:t>
      </w:r>
      <w:r w:rsidRPr="00D531FD">
        <w:t xml:space="preserve"> tener un ingreso promedio superior a $701.339 y para el caso de 4 personas el ingreso debe ser superior a $850.108.</w:t>
      </w:r>
    </w:p>
    <w:p w:rsidR="00675D1A" w:rsidRPr="00D531FD" w:rsidRDefault="00675D1A" w:rsidP="00675D1A">
      <w:pPr>
        <w:tabs>
          <w:tab w:val="left" w:pos="486"/>
        </w:tabs>
        <w:spacing w:line="360" w:lineRule="auto"/>
        <w:jc w:val="both"/>
      </w:pPr>
    </w:p>
    <w:p w:rsidR="00675D1A" w:rsidRPr="00D531FD" w:rsidRDefault="00675D1A" w:rsidP="00E57708">
      <w:pPr>
        <w:tabs>
          <w:tab w:val="left" w:pos="486"/>
        </w:tabs>
        <w:spacing w:line="360" w:lineRule="auto"/>
        <w:ind w:firstLine="284"/>
        <w:jc w:val="both"/>
      </w:pPr>
      <w:r w:rsidRPr="00D531FD">
        <w:t>Por otra parte, al considerar la definición de línea de pobreza extrema del Banco Mundial como: “</w:t>
      </w:r>
      <w:r w:rsidR="002F5D16">
        <w:t>…</w:t>
      </w:r>
      <w:r w:rsidRPr="002F5D16">
        <w:rPr>
          <w:i/>
        </w:rPr>
        <w:t>el gasto necesario para acceder a un estándar mínimo de nutrición y otras necesidades muy básicas</w:t>
      </w:r>
      <w:r w:rsidR="002F5D16">
        <w:rPr>
          <w:i/>
        </w:rPr>
        <w:t>…</w:t>
      </w:r>
      <w:r w:rsidRPr="00D531FD">
        <w:t>” (Banco Mundial, 1990: 26); para el Quindío en el 2013 esta se ubicó en $91.266 mientras que en el 2012 fue alrededor de $91.301. Esto implica que un hogar promedio compuesto por 3,3 personas del departamento se encuentra en pobreza extrema si obtiene un ingreso promedio inferior a $301.177 y para el hogar conformado en promedio por 4 personas se considera pobre extremo si obtiene un nivel de ingresos inferior a $365.064.</w:t>
      </w:r>
    </w:p>
    <w:p w:rsidR="00675D1A" w:rsidRDefault="00675D1A" w:rsidP="00675D1A">
      <w:pPr>
        <w:tabs>
          <w:tab w:val="left" w:pos="486"/>
        </w:tabs>
        <w:jc w:val="center"/>
      </w:pPr>
    </w:p>
    <w:p w:rsidR="008663AA" w:rsidRDefault="008663AA" w:rsidP="00675D1A">
      <w:pPr>
        <w:tabs>
          <w:tab w:val="left" w:pos="486"/>
        </w:tabs>
        <w:jc w:val="center"/>
      </w:pPr>
    </w:p>
    <w:p w:rsidR="008663AA" w:rsidRDefault="008663AA" w:rsidP="00675D1A">
      <w:pPr>
        <w:tabs>
          <w:tab w:val="left" w:pos="486"/>
        </w:tabs>
        <w:jc w:val="center"/>
      </w:pPr>
    </w:p>
    <w:p w:rsidR="00571E8B" w:rsidRDefault="00571E8B" w:rsidP="00675D1A">
      <w:pPr>
        <w:tabs>
          <w:tab w:val="left" w:pos="486"/>
        </w:tabs>
        <w:jc w:val="center"/>
      </w:pPr>
    </w:p>
    <w:p w:rsidR="00571E8B" w:rsidRDefault="00571E8B" w:rsidP="00675D1A">
      <w:pPr>
        <w:tabs>
          <w:tab w:val="left" w:pos="486"/>
        </w:tabs>
        <w:jc w:val="center"/>
      </w:pPr>
    </w:p>
    <w:p w:rsidR="00571E8B" w:rsidRDefault="00571E8B" w:rsidP="00675D1A">
      <w:pPr>
        <w:tabs>
          <w:tab w:val="left" w:pos="486"/>
        </w:tabs>
        <w:jc w:val="center"/>
      </w:pPr>
    </w:p>
    <w:p w:rsidR="008663AA" w:rsidRDefault="008663AA" w:rsidP="00675D1A">
      <w:pPr>
        <w:tabs>
          <w:tab w:val="left" w:pos="486"/>
        </w:tabs>
        <w:jc w:val="center"/>
      </w:pPr>
    </w:p>
    <w:p w:rsidR="00675D1A" w:rsidRPr="00FB12EE" w:rsidRDefault="00675D1A" w:rsidP="00FE7D5E">
      <w:pPr>
        <w:tabs>
          <w:tab w:val="left" w:pos="486"/>
        </w:tabs>
      </w:pPr>
      <w:r w:rsidRPr="00FB12EE">
        <w:lastRenderedPageBreak/>
        <w:t>Gráfi</w:t>
      </w:r>
      <w:r w:rsidR="00F142FE">
        <w:t>co No. 1.7</w:t>
      </w:r>
      <w:r w:rsidR="00035572">
        <w:tab/>
      </w:r>
      <w:r w:rsidR="00035572">
        <w:tab/>
      </w:r>
      <w:r w:rsidR="00035572">
        <w:tab/>
      </w:r>
      <w:r w:rsidR="00035572">
        <w:tab/>
      </w:r>
      <w:r w:rsidR="00035572">
        <w:tab/>
      </w:r>
      <w:r w:rsidR="00035572" w:rsidRPr="003D6F30">
        <w:t>Gráfico No.</w:t>
      </w:r>
      <w:r w:rsidR="00035572">
        <w:t xml:space="preserve"> 1.8</w:t>
      </w:r>
    </w:p>
    <w:p w:rsidR="00675D1A" w:rsidRPr="00FB12EE" w:rsidRDefault="00507661" w:rsidP="00FE7D5E">
      <w:pPr>
        <w:tabs>
          <w:tab w:val="left" w:pos="486"/>
        </w:tabs>
      </w:pPr>
      <w:r>
        <w:t>L</w:t>
      </w:r>
      <w:r w:rsidR="00675D1A" w:rsidRPr="00FB12EE">
        <w:t>íneas de Pobreza y Pobreza Extrema</w:t>
      </w:r>
      <w:r w:rsidR="00035572">
        <w:tab/>
      </w:r>
      <w:r w:rsidR="00035572">
        <w:tab/>
      </w:r>
      <w:r w:rsidR="00035572" w:rsidRPr="003D6F30">
        <w:t>Incidencia de la Pobreza</w:t>
      </w:r>
      <w:r w:rsidR="00675D1A" w:rsidRPr="00FB12EE">
        <w:t xml:space="preserve"> </w:t>
      </w:r>
    </w:p>
    <w:p w:rsidR="00675D1A" w:rsidRPr="004523A5" w:rsidRDefault="00675D1A" w:rsidP="00FE7D5E">
      <w:pPr>
        <w:tabs>
          <w:tab w:val="left" w:pos="486"/>
        </w:tabs>
      </w:pPr>
      <w:r w:rsidRPr="00FB12EE">
        <w:t>2012 – 2013</w:t>
      </w:r>
      <w:r w:rsidR="00B40EEF">
        <w:tab/>
      </w:r>
      <w:r w:rsidR="00B40EEF">
        <w:tab/>
      </w:r>
      <w:r w:rsidR="00B40EEF">
        <w:tab/>
      </w:r>
      <w:r w:rsidR="00B40EEF">
        <w:tab/>
      </w:r>
      <w:r w:rsidR="00B40EEF">
        <w:tab/>
      </w:r>
      <w:r w:rsidR="00B40EEF">
        <w:tab/>
      </w:r>
      <w:r w:rsidR="00B40EEF" w:rsidRPr="00FB12EE">
        <w:t>2012 – 2013</w:t>
      </w:r>
    </w:p>
    <w:p w:rsidR="00675D1A" w:rsidRPr="00D531FD" w:rsidRDefault="00026420" w:rsidP="00FE7D5E">
      <w:pPr>
        <w:tabs>
          <w:tab w:val="left" w:pos="486"/>
        </w:tabs>
        <w:rPr>
          <w:b/>
        </w:rPr>
      </w:pPr>
      <w:r w:rsidRPr="00D531FD">
        <w:rPr>
          <w:b/>
          <w:noProof/>
        </w:rPr>
        <w:drawing>
          <wp:anchor distT="0" distB="0" distL="114300" distR="114300" simplePos="0" relativeHeight="251678720" behindDoc="1" locked="0" layoutInCell="1" allowOverlap="1" wp14:anchorId="15EA6D89" wp14:editId="5D78D392">
            <wp:simplePos x="0" y="0"/>
            <wp:positionH relativeFrom="column">
              <wp:posOffset>0</wp:posOffset>
            </wp:positionH>
            <wp:positionV relativeFrom="paragraph">
              <wp:posOffset>175260</wp:posOffset>
            </wp:positionV>
            <wp:extent cx="2921000" cy="2683510"/>
            <wp:effectExtent l="0" t="0" r="12700" b="21590"/>
            <wp:wrapTight wrapText="bothSides">
              <wp:wrapPolygon edited="0">
                <wp:start x="141" y="0"/>
                <wp:lineTo x="0" y="460"/>
                <wp:lineTo x="0" y="21160"/>
                <wp:lineTo x="141" y="21620"/>
                <wp:lineTo x="21412" y="21620"/>
                <wp:lineTo x="21553" y="21314"/>
                <wp:lineTo x="21553" y="307"/>
                <wp:lineTo x="21271" y="0"/>
                <wp:lineTo x="141" y="0"/>
              </wp:wrapPolygon>
            </wp:wrapTight>
            <wp:docPr id="1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351553" w:rsidRPr="00D531FD">
        <w:rPr>
          <w:b/>
          <w:noProof/>
        </w:rPr>
        <w:drawing>
          <wp:anchor distT="0" distB="0" distL="114300" distR="114300" simplePos="0" relativeHeight="251677696" behindDoc="1" locked="0" layoutInCell="1" allowOverlap="1" wp14:anchorId="7F5967B8" wp14:editId="23ECFC53">
            <wp:simplePos x="0" y="0"/>
            <wp:positionH relativeFrom="column">
              <wp:posOffset>3111500</wp:posOffset>
            </wp:positionH>
            <wp:positionV relativeFrom="paragraph">
              <wp:posOffset>175260</wp:posOffset>
            </wp:positionV>
            <wp:extent cx="2992120" cy="2683510"/>
            <wp:effectExtent l="0" t="0" r="17780" b="21590"/>
            <wp:wrapTight wrapText="bothSides">
              <wp:wrapPolygon edited="0">
                <wp:start x="138" y="0"/>
                <wp:lineTo x="0" y="460"/>
                <wp:lineTo x="0" y="21160"/>
                <wp:lineTo x="138" y="21620"/>
                <wp:lineTo x="21453" y="21620"/>
                <wp:lineTo x="21591" y="21314"/>
                <wp:lineTo x="21591" y="307"/>
                <wp:lineTo x="21316" y="0"/>
                <wp:lineTo x="138" y="0"/>
              </wp:wrapPolygon>
            </wp:wrapTight>
            <wp:docPr id="11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675D1A" w:rsidRPr="00D531FD" w:rsidRDefault="00675D1A" w:rsidP="00FE7D5E">
      <w:pPr>
        <w:tabs>
          <w:tab w:val="left" w:pos="486"/>
        </w:tabs>
        <w:spacing w:line="360" w:lineRule="auto"/>
        <w:rPr>
          <w:sz w:val="16"/>
          <w:szCs w:val="16"/>
        </w:rPr>
      </w:pPr>
    </w:p>
    <w:p w:rsidR="00FF19C8" w:rsidRDefault="00FF19C8" w:rsidP="00A03BCD">
      <w:pPr>
        <w:pStyle w:val="Default"/>
        <w:rPr>
          <w:rFonts w:ascii="Times New Roman" w:hAnsi="Times New Roman" w:cs="Times New Roman"/>
        </w:rPr>
      </w:pPr>
    </w:p>
    <w:p w:rsidR="002F3593" w:rsidRDefault="002F3593" w:rsidP="00A03BCD">
      <w:pPr>
        <w:pStyle w:val="Default"/>
        <w:rPr>
          <w:rFonts w:ascii="Times New Roman" w:hAnsi="Times New Roman" w:cs="Times New Roman"/>
        </w:rPr>
      </w:pPr>
    </w:p>
    <w:p w:rsidR="00026420" w:rsidRPr="00026420" w:rsidRDefault="00026420" w:rsidP="00A03BCD">
      <w:pPr>
        <w:pStyle w:val="Default"/>
        <w:rPr>
          <w:rFonts w:ascii="Times New Roman" w:hAnsi="Times New Roman" w:cs="Times New Roman"/>
        </w:rPr>
      </w:pPr>
      <w:r w:rsidRPr="00026420">
        <w:rPr>
          <w:rFonts w:ascii="Times New Roman" w:hAnsi="Times New Roman" w:cs="Times New Roman"/>
        </w:rPr>
        <w:t>Gráfico No. 1.9</w:t>
      </w:r>
      <w:r w:rsidRPr="00026420">
        <w:rPr>
          <w:rFonts w:ascii="Times New Roman" w:hAnsi="Times New Roman" w:cs="Times New Roman"/>
        </w:rPr>
        <w:tab/>
      </w:r>
      <w:r w:rsidRPr="00026420">
        <w:rPr>
          <w:rFonts w:ascii="Times New Roman" w:hAnsi="Times New Roman" w:cs="Times New Roman"/>
        </w:rPr>
        <w:tab/>
      </w:r>
      <w:r w:rsidRPr="00026420">
        <w:rPr>
          <w:rFonts w:ascii="Times New Roman" w:hAnsi="Times New Roman" w:cs="Times New Roman"/>
        </w:rPr>
        <w:tab/>
      </w:r>
      <w:r w:rsidRPr="00026420">
        <w:rPr>
          <w:rFonts w:ascii="Times New Roman" w:hAnsi="Times New Roman" w:cs="Times New Roman"/>
        </w:rPr>
        <w:tab/>
      </w:r>
      <w:r w:rsidRPr="00026420">
        <w:rPr>
          <w:rFonts w:ascii="Times New Roman" w:hAnsi="Times New Roman" w:cs="Times New Roman"/>
        </w:rPr>
        <w:tab/>
        <w:t>Gráfico No. 1.10</w:t>
      </w:r>
    </w:p>
    <w:p w:rsidR="00A03BCD" w:rsidRPr="00820698" w:rsidRDefault="00026420" w:rsidP="00A03BCD">
      <w:pPr>
        <w:pStyle w:val="Default"/>
        <w:rPr>
          <w:rFonts w:ascii="Times New Roman" w:hAnsi="Times New Roman" w:cs="Times New Roman"/>
          <w:color w:val="auto"/>
        </w:rPr>
      </w:pPr>
      <w:r w:rsidRPr="00A03BCD">
        <w:rPr>
          <w:rFonts w:ascii="Times New Roman" w:hAnsi="Times New Roman" w:cs="Times New Roman"/>
        </w:rPr>
        <w:t>Brecha y Severidad de la Pobreza</w:t>
      </w:r>
      <w:r w:rsidR="00A03BCD">
        <w:tab/>
      </w:r>
      <w:r w:rsidR="00A03BCD">
        <w:tab/>
      </w:r>
      <w:r w:rsidR="00A03BCD">
        <w:tab/>
      </w:r>
      <w:r w:rsidR="00A03BCD" w:rsidRPr="00820698">
        <w:rPr>
          <w:rFonts w:ascii="Times New Roman" w:hAnsi="Times New Roman" w:cs="Times New Roman"/>
          <w:color w:val="auto"/>
        </w:rPr>
        <w:t>Incidencia de la Pobreza Extrema</w:t>
      </w:r>
    </w:p>
    <w:p w:rsidR="00026420" w:rsidRPr="00106842" w:rsidRDefault="00026420" w:rsidP="00026420">
      <w:pPr>
        <w:tabs>
          <w:tab w:val="left" w:pos="486"/>
        </w:tabs>
      </w:pPr>
      <w:r w:rsidRPr="00106842">
        <w:t>2012 – 2013</w:t>
      </w:r>
      <w:r w:rsidR="00A120C5">
        <w:tab/>
      </w:r>
      <w:r w:rsidR="00A120C5">
        <w:tab/>
      </w:r>
      <w:r w:rsidR="00A120C5">
        <w:tab/>
      </w:r>
      <w:r w:rsidR="00A120C5">
        <w:tab/>
      </w:r>
      <w:r w:rsidR="00A120C5">
        <w:tab/>
      </w:r>
      <w:r w:rsidR="00A120C5">
        <w:tab/>
      </w:r>
      <w:r w:rsidR="00A120C5" w:rsidRPr="00106842">
        <w:t>2012 – 2013</w:t>
      </w:r>
    </w:p>
    <w:p w:rsidR="00351553" w:rsidRDefault="00E55CF5" w:rsidP="00675D1A">
      <w:pPr>
        <w:tabs>
          <w:tab w:val="left" w:pos="486"/>
        </w:tabs>
        <w:spacing w:line="360" w:lineRule="auto"/>
        <w:jc w:val="both"/>
        <w:rPr>
          <w:sz w:val="16"/>
          <w:szCs w:val="16"/>
        </w:rPr>
      </w:pPr>
      <w:r w:rsidRPr="00D531FD">
        <w:rPr>
          <w:b/>
          <w:noProof/>
        </w:rPr>
        <w:drawing>
          <wp:anchor distT="0" distB="0" distL="114300" distR="114300" simplePos="0" relativeHeight="251680768" behindDoc="1" locked="0" layoutInCell="1" allowOverlap="1" wp14:anchorId="5598C701" wp14:editId="61175CCF">
            <wp:simplePos x="0" y="0"/>
            <wp:positionH relativeFrom="column">
              <wp:posOffset>3111500</wp:posOffset>
            </wp:positionH>
            <wp:positionV relativeFrom="paragraph">
              <wp:posOffset>120015</wp:posOffset>
            </wp:positionV>
            <wp:extent cx="2992120" cy="2185035"/>
            <wp:effectExtent l="0" t="0" r="17780" b="24765"/>
            <wp:wrapTight wrapText="bothSides">
              <wp:wrapPolygon edited="0">
                <wp:start x="138" y="0"/>
                <wp:lineTo x="0" y="565"/>
                <wp:lineTo x="0" y="21092"/>
                <wp:lineTo x="138" y="21656"/>
                <wp:lineTo x="21453" y="21656"/>
                <wp:lineTo x="21591" y="21280"/>
                <wp:lineTo x="21591" y="377"/>
                <wp:lineTo x="21316" y="0"/>
                <wp:lineTo x="138" y="0"/>
              </wp:wrapPolygon>
            </wp:wrapTight>
            <wp:docPr id="11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97AA0" w:rsidRPr="00D531FD">
        <w:rPr>
          <w:b/>
          <w:noProof/>
        </w:rPr>
        <w:drawing>
          <wp:anchor distT="0" distB="0" distL="114300" distR="114300" simplePos="0" relativeHeight="251679744" behindDoc="1" locked="0" layoutInCell="1" allowOverlap="1" wp14:anchorId="58505D2B" wp14:editId="1E133103">
            <wp:simplePos x="0" y="0"/>
            <wp:positionH relativeFrom="column">
              <wp:posOffset>-47625</wp:posOffset>
            </wp:positionH>
            <wp:positionV relativeFrom="paragraph">
              <wp:posOffset>107950</wp:posOffset>
            </wp:positionV>
            <wp:extent cx="2992120" cy="2185035"/>
            <wp:effectExtent l="0" t="0" r="17780" b="24765"/>
            <wp:wrapTight wrapText="bothSides">
              <wp:wrapPolygon edited="0">
                <wp:start x="138" y="0"/>
                <wp:lineTo x="0" y="565"/>
                <wp:lineTo x="0" y="21092"/>
                <wp:lineTo x="138" y="21656"/>
                <wp:lineTo x="21453" y="21656"/>
                <wp:lineTo x="21591" y="21280"/>
                <wp:lineTo x="21591" y="377"/>
                <wp:lineTo x="21316" y="0"/>
                <wp:lineTo x="138" y="0"/>
              </wp:wrapPolygon>
            </wp:wrapTight>
            <wp:docPr id="11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E55CF5" w:rsidRPr="00D531FD" w:rsidRDefault="00E55CF5" w:rsidP="00E55CF5">
      <w:pPr>
        <w:tabs>
          <w:tab w:val="left" w:pos="486"/>
        </w:tabs>
        <w:spacing w:line="360" w:lineRule="auto"/>
        <w:rPr>
          <w:sz w:val="16"/>
          <w:szCs w:val="16"/>
        </w:rPr>
      </w:pPr>
      <w:r>
        <w:t xml:space="preserve"> </w:t>
      </w:r>
      <w:r w:rsidRPr="00D531FD">
        <w:t xml:space="preserve">  </w:t>
      </w:r>
      <w:r w:rsidRPr="00D531FD">
        <w:rPr>
          <w:sz w:val="16"/>
          <w:szCs w:val="16"/>
        </w:rPr>
        <w:t xml:space="preserve">Fuente: </w:t>
      </w:r>
      <w:r w:rsidR="008F5FB2">
        <w:rPr>
          <w:sz w:val="16"/>
          <w:szCs w:val="16"/>
        </w:rPr>
        <w:t>DANE</w:t>
      </w:r>
      <w:r w:rsidRPr="00D531FD">
        <w:rPr>
          <w:sz w:val="16"/>
          <w:szCs w:val="16"/>
        </w:rPr>
        <w:t>, cálculos con base GEIH y cálculos propios.</w:t>
      </w:r>
    </w:p>
    <w:p w:rsidR="00351553" w:rsidRDefault="00351553" w:rsidP="00675D1A">
      <w:pPr>
        <w:tabs>
          <w:tab w:val="left" w:pos="486"/>
        </w:tabs>
        <w:spacing w:line="360" w:lineRule="auto"/>
        <w:jc w:val="both"/>
        <w:rPr>
          <w:sz w:val="16"/>
          <w:szCs w:val="16"/>
        </w:rPr>
      </w:pPr>
    </w:p>
    <w:p w:rsidR="006B1573" w:rsidRDefault="006B1573" w:rsidP="0093528D">
      <w:pPr>
        <w:tabs>
          <w:tab w:val="left" w:pos="486"/>
        </w:tabs>
        <w:spacing w:line="360" w:lineRule="auto"/>
        <w:ind w:firstLine="284"/>
        <w:jc w:val="both"/>
      </w:pPr>
    </w:p>
    <w:p w:rsidR="00675D1A" w:rsidRPr="00D531FD" w:rsidRDefault="00552063" w:rsidP="0093528D">
      <w:pPr>
        <w:tabs>
          <w:tab w:val="left" w:pos="486"/>
        </w:tabs>
        <w:spacing w:line="360" w:lineRule="auto"/>
        <w:ind w:firstLine="284"/>
        <w:jc w:val="both"/>
      </w:pPr>
      <w:r>
        <w:lastRenderedPageBreak/>
        <w:t xml:space="preserve">Indicadores </w:t>
      </w:r>
      <w:r w:rsidR="00675D1A" w:rsidRPr="00D531FD">
        <w:t>como la incidencia de la pobreza</w:t>
      </w:r>
      <w:r w:rsidR="00DC49D2">
        <w:t>,</w:t>
      </w:r>
      <w:r w:rsidR="00DC49D2">
        <w:rPr>
          <w:rStyle w:val="Refdenotaalpie"/>
        </w:rPr>
        <w:footnoteReference w:id="10"/>
      </w:r>
      <w:r w:rsidR="00675D1A" w:rsidRPr="00D531FD">
        <w:t xml:space="preserve"> muestra una disminución de 3,3 puntos porcentuales durante el año 2013 al ubicarse en un 35,6% frente a un 38,9% en 2012; no obstante, este indicador continua ubicándose por encima del promedio nacional el cual registra como pobre al 30,6% de la población total; de este porcentaje el 42.8% se encuentra en la zona urbana. </w:t>
      </w:r>
    </w:p>
    <w:p w:rsidR="00675D1A" w:rsidRPr="00D531FD" w:rsidRDefault="00675D1A" w:rsidP="00675D1A">
      <w:pPr>
        <w:tabs>
          <w:tab w:val="left" w:pos="486"/>
        </w:tabs>
        <w:spacing w:line="360" w:lineRule="auto"/>
        <w:jc w:val="both"/>
      </w:pPr>
    </w:p>
    <w:p w:rsidR="00675D1A" w:rsidRPr="00D531FD" w:rsidRDefault="00675D1A" w:rsidP="009D673A">
      <w:pPr>
        <w:tabs>
          <w:tab w:val="left" w:pos="486"/>
        </w:tabs>
        <w:spacing w:line="360" w:lineRule="auto"/>
        <w:ind w:firstLine="284"/>
        <w:jc w:val="both"/>
        <w:rPr>
          <w:noProof/>
        </w:rPr>
      </w:pPr>
      <w:r w:rsidRPr="00D531FD">
        <w:rPr>
          <w:noProof/>
        </w:rPr>
        <w:t>La brecha de la pobreza para el Quindío en el 2013 tuvo una reducción de 1,1 puntos porcentuales respecto a la vigencia inmediatamente anterior; esto implica que hay mejores probabilidades de que una persona pobre deje de serlo; sin embargo, en comparación con el nivel nacional</w:t>
      </w:r>
      <w:r w:rsidR="00106842">
        <w:rPr>
          <w:noProof/>
        </w:rPr>
        <w:t>,</w:t>
      </w:r>
      <w:r w:rsidRPr="00D531FD">
        <w:rPr>
          <w:noProof/>
        </w:rPr>
        <w:t xml:space="preserve"> el Departamento sigue reflejando una brecha mayor con 1,8 puntos porcentuales por encima del total nac</w:t>
      </w:r>
      <w:r w:rsidR="001F343C">
        <w:rPr>
          <w:noProof/>
        </w:rPr>
        <w:t>ional. En términos de severidad</w:t>
      </w:r>
      <w:r w:rsidRPr="00D531FD">
        <w:rPr>
          <w:noProof/>
        </w:rPr>
        <w:t xml:space="preserve">, el Departamento registró una disminución de 2,2 puntos porcentuales la cual fue mayor a la reducción registrada a nivel nacional, al igual sigue evidenciando que las personas mas pobres dentro del grupo de los pobres se han reducido en menor proporción a nivel departamental ya que este indicador para el Quindío fue del 7,4%, mientras que para el total nacional fue del 6,4%. </w:t>
      </w:r>
    </w:p>
    <w:p w:rsidR="00675D1A" w:rsidRPr="00D531FD" w:rsidRDefault="00675D1A" w:rsidP="00675D1A">
      <w:pPr>
        <w:tabs>
          <w:tab w:val="left" w:pos="486"/>
        </w:tabs>
        <w:spacing w:line="360" w:lineRule="auto"/>
        <w:jc w:val="both"/>
      </w:pPr>
    </w:p>
    <w:p w:rsidR="00675D1A" w:rsidRPr="00D531FD" w:rsidRDefault="00675D1A" w:rsidP="00ED54E9">
      <w:pPr>
        <w:pStyle w:val="Default"/>
        <w:spacing w:line="360" w:lineRule="auto"/>
        <w:ind w:firstLine="284"/>
        <w:jc w:val="both"/>
        <w:rPr>
          <w:rFonts w:ascii="Times New Roman" w:hAnsi="Times New Roman" w:cs="Times New Roman"/>
          <w:i/>
        </w:rPr>
      </w:pPr>
      <w:r w:rsidRPr="00D531FD">
        <w:rPr>
          <w:rFonts w:ascii="Times New Roman" w:hAnsi="Times New Roman" w:cs="Times New Roman"/>
        </w:rPr>
        <w:t>La pobreza extrema</w:t>
      </w:r>
      <w:r w:rsidRPr="00D531FD">
        <w:rPr>
          <w:rFonts w:ascii="Times New Roman" w:hAnsi="Times New Roman" w:cs="Times New Roman"/>
          <w:i/>
          <w:iCs/>
        </w:rPr>
        <w:t xml:space="preserve"> </w:t>
      </w:r>
      <w:r w:rsidRPr="00D531FD">
        <w:rPr>
          <w:rFonts w:ascii="Times New Roman" w:hAnsi="Times New Roman" w:cs="Times New Roman"/>
        </w:rPr>
        <w:t xml:space="preserve">en el Quindío para el 2013, fue </w:t>
      </w:r>
      <w:r w:rsidR="006277FF">
        <w:rPr>
          <w:rFonts w:ascii="Times New Roman" w:hAnsi="Times New Roman" w:cs="Times New Roman"/>
        </w:rPr>
        <w:t xml:space="preserve">del </w:t>
      </w:r>
      <w:r w:rsidRPr="00D531FD">
        <w:rPr>
          <w:rFonts w:ascii="Times New Roman" w:hAnsi="Times New Roman" w:cs="Times New Roman"/>
        </w:rPr>
        <w:t>9,2% y para el año 2012</w:t>
      </w:r>
      <w:r w:rsidR="006277FF">
        <w:rPr>
          <w:rFonts w:ascii="Times New Roman" w:hAnsi="Times New Roman" w:cs="Times New Roman"/>
        </w:rPr>
        <w:t>,</w:t>
      </w:r>
      <w:r w:rsidRPr="00D531FD">
        <w:rPr>
          <w:rFonts w:ascii="Times New Roman" w:hAnsi="Times New Roman" w:cs="Times New Roman"/>
        </w:rPr>
        <w:t xml:space="preserve"> fue de 12,1%, presentando una disminución de 2,9 puntos porcentuales. </w:t>
      </w:r>
      <w:r w:rsidR="00105B7F">
        <w:rPr>
          <w:rFonts w:ascii="Times New Roman" w:hAnsi="Times New Roman" w:cs="Times New Roman"/>
        </w:rPr>
        <w:t>A</w:t>
      </w:r>
      <w:r w:rsidRPr="00D531FD">
        <w:rPr>
          <w:rFonts w:ascii="Times New Roman" w:hAnsi="Times New Roman" w:cs="Times New Roman"/>
        </w:rPr>
        <w:t xml:space="preserve"> nivel nacional, la pobreza extrema para el 2013</w:t>
      </w:r>
      <w:r w:rsidR="006277FF">
        <w:rPr>
          <w:rFonts w:ascii="Times New Roman" w:hAnsi="Times New Roman" w:cs="Times New Roman"/>
        </w:rPr>
        <w:t>,</w:t>
      </w:r>
      <w:r w:rsidRPr="00D531FD">
        <w:rPr>
          <w:rFonts w:ascii="Times New Roman" w:hAnsi="Times New Roman" w:cs="Times New Roman"/>
        </w:rPr>
        <w:t xml:space="preserve"> fue de 9,1% frente al 2012 con un 10,4% presentando así; una disminución de 1,3 puntos porcentuales.</w:t>
      </w:r>
    </w:p>
    <w:p w:rsidR="00675D1A" w:rsidRPr="00D531FD" w:rsidRDefault="00675D1A" w:rsidP="00675D1A">
      <w:pPr>
        <w:pStyle w:val="Default"/>
        <w:spacing w:line="360" w:lineRule="auto"/>
        <w:jc w:val="center"/>
        <w:rPr>
          <w:rFonts w:ascii="Times New Roman" w:hAnsi="Times New Roman" w:cs="Times New Roman"/>
        </w:rPr>
      </w:pPr>
    </w:p>
    <w:p w:rsidR="00675D1A" w:rsidRPr="00D531FD" w:rsidRDefault="00675D1A" w:rsidP="0092121D">
      <w:pPr>
        <w:tabs>
          <w:tab w:val="left" w:pos="486"/>
        </w:tabs>
        <w:spacing w:line="360" w:lineRule="auto"/>
        <w:ind w:firstLine="284"/>
        <w:jc w:val="both"/>
      </w:pPr>
      <w:r w:rsidRPr="00D531FD">
        <w:t xml:space="preserve">La desigualdad en la distribución de los ingresos medida por el índice de </w:t>
      </w:r>
      <w:proofErr w:type="spellStart"/>
      <w:r w:rsidRPr="00D531FD">
        <w:t>Gini</w:t>
      </w:r>
      <w:proofErr w:type="spellEnd"/>
      <w:r w:rsidR="00371EB1">
        <w:rPr>
          <w:rStyle w:val="Refdenotaalpie"/>
        </w:rPr>
        <w:footnoteReference w:id="11"/>
      </w:r>
      <w:r w:rsidRPr="00D531FD">
        <w:t xml:space="preserve">, evidencia que en el departamento del Quindío este se ubicó para el 2013 en 0,500, mientras que el nivel nacional registró un </w:t>
      </w:r>
      <w:proofErr w:type="spellStart"/>
      <w:r w:rsidRPr="00D531FD">
        <w:t>Gini</w:t>
      </w:r>
      <w:proofErr w:type="spellEnd"/>
      <w:r w:rsidRPr="00D531FD">
        <w:t xml:space="preserve"> de 0,539; esto implica que la desigualdad en la distribución de los ingresos es menor en el Departamento que la que se presenta a nivel </w:t>
      </w:r>
      <w:r w:rsidRPr="00D531FD">
        <w:lastRenderedPageBreak/>
        <w:t>nacional, ya que entre el 2012 y 2013, el Quindío presentó una mejora en este indicador de 0,025, mientras que el total nacional se mantuvo constante.</w:t>
      </w:r>
    </w:p>
    <w:p w:rsidR="00FA4112" w:rsidRDefault="00FA4112" w:rsidP="00371EB1">
      <w:pPr>
        <w:pStyle w:val="Default"/>
        <w:ind w:left="1701"/>
        <w:rPr>
          <w:rFonts w:ascii="Times New Roman" w:hAnsi="Times New Roman" w:cs="Times New Roman"/>
        </w:rPr>
      </w:pPr>
    </w:p>
    <w:p w:rsidR="006B1573" w:rsidRDefault="00675D1A" w:rsidP="002476E4">
      <w:pPr>
        <w:spacing w:line="360" w:lineRule="auto"/>
        <w:jc w:val="both"/>
      </w:pPr>
      <w:r w:rsidRPr="00D531FD">
        <w:t xml:space="preserve">    En cuanto a distribución del ingreso, el departamento con menor desigualdad fue Atlántico con un coeficiente de </w:t>
      </w:r>
      <w:proofErr w:type="spellStart"/>
      <w:r w:rsidRPr="00D531FD">
        <w:t>Gini</w:t>
      </w:r>
      <w:proofErr w:type="spellEnd"/>
      <w:r w:rsidRPr="00D531FD">
        <w:t xml:space="preserve"> de 0,453 y el de mayor desigualdad fue Chocó con un coeficiente de </w:t>
      </w:r>
      <w:proofErr w:type="spellStart"/>
      <w:r w:rsidRPr="00D531FD">
        <w:t>Gini</w:t>
      </w:r>
      <w:proofErr w:type="spellEnd"/>
      <w:r w:rsidRPr="00D531FD">
        <w:t xml:space="preserve"> de 0,603.</w:t>
      </w:r>
    </w:p>
    <w:p w:rsidR="002476E4" w:rsidRDefault="00675D1A" w:rsidP="002476E4">
      <w:pPr>
        <w:spacing w:line="360" w:lineRule="auto"/>
        <w:jc w:val="both"/>
      </w:pPr>
      <w:r w:rsidRPr="00D531FD">
        <w:t xml:space="preserve">  </w:t>
      </w:r>
    </w:p>
    <w:p w:rsidR="002476E4" w:rsidRDefault="002476E4" w:rsidP="002476E4">
      <w:pPr>
        <w:spacing w:line="360" w:lineRule="auto"/>
        <w:jc w:val="both"/>
      </w:pPr>
    </w:p>
    <w:p w:rsidR="002476E4" w:rsidRDefault="00D54F80" w:rsidP="002476E4">
      <w:pPr>
        <w:rPr>
          <w:bCs/>
          <w:color w:val="000000"/>
        </w:rPr>
      </w:pPr>
      <w:r w:rsidRPr="00D54F80">
        <w:rPr>
          <w:bCs/>
          <w:color w:val="000000"/>
        </w:rPr>
        <w:t>Gráfico No. 1.1</w:t>
      </w:r>
      <w:r w:rsidR="00713A31">
        <w:rPr>
          <w:bCs/>
          <w:color w:val="000000"/>
        </w:rPr>
        <w:t>1</w:t>
      </w:r>
    </w:p>
    <w:p w:rsidR="00D54F80" w:rsidRPr="00D54F80" w:rsidRDefault="00D54F80" w:rsidP="002476E4">
      <w:pPr>
        <w:rPr>
          <w:bCs/>
          <w:color w:val="000000"/>
        </w:rPr>
      </w:pPr>
      <w:r w:rsidRPr="00D54F80">
        <w:rPr>
          <w:bCs/>
          <w:color w:val="000000"/>
        </w:rPr>
        <w:t xml:space="preserve">Coeficiente </w:t>
      </w:r>
      <w:proofErr w:type="spellStart"/>
      <w:r w:rsidRPr="00D54F80">
        <w:rPr>
          <w:bCs/>
          <w:color w:val="000000"/>
        </w:rPr>
        <w:t>Gini</w:t>
      </w:r>
      <w:proofErr w:type="spellEnd"/>
      <w:r w:rsidRPr="00D54F80">
        <w:rPr>
          <w:bCs/>
          <w:color w:val="000000"/>
        </w:rPr>
        <w:t xml:space="preserve"> de 23 D</w:t>
      </w:r>
      <w:r w:rsidR="00F50CF8">
        <w:rPr>
          <w:bCs/>
          <w:color w:val="000000"/>
        </w:rPr>
        <w:t>epartamentos</w:t>
      </w:r>
      <w:r w:rsidRPr="00D54F80">
        <w:rPr>
          <w:bCs/>
          <w:color w:val="000000"/>
        </w:rPr>
        <w:t xml:space="preserve"> y Bogotá D.C.</w:t>
      </w:r>
    </w:p>
    <w:p w:rsidR="00D54F80" w:rsidRPr="001A4B65" w:rsidRDefault="00D54F80" w:rsidP="002476E4">
      <w:pPr>
        <w:rPr>
          <w:bCs/>
          <w:color w:val="000000"/>
        </w:rPr>
      </w:pPr>
      <w:r w:rsidRPr="00D54F80">
        <w:rPr>
          <w:bCs/>
          <w:color w:val="000000"/>
        </w:rPr>
        <w:t>2012 - 2013</w:t>
      </w:r>
    </w:p>
    <w:p w:rsidR="00D54F80" w:rsidRPr="00B41993" w:rsidRDefault="00D54F80" w:rsidP="00D54F80">
      <w:pPr>
        <w:jc w:val="center"/>
        <w:rPr>
          <w:b/>
          <w:bCs/>
          <w:color w:val="000000"/>
          <w:sz w:val="18"/>
        </w:rPr>
      </w:pPr>
    </w:p>
    <w:p w:rsidR="00675D1A" w:rsidRDefault="00564C69" w:rsidP="00675D1A">
      <w:pPr>
        <w:jc w:val="center"/>
      </w:pPr>
      <w:r w:rsidRPr="00D531FD">
        <w:rPr>
          <w:noProof/>
          <w:color w:val="000000"/>
        </w:rPr>
        <w:drawing>
          <wp:anchor distT="0" distB="0" distL="114300" distR="114300" simplePos="0" relativeHeight="251663360" behindDoc="0" locked="0" layoutInCell="1" allowOverlap="1" wp14:anchorId="6C309D94" wp14:editId="201A2B48">
            <wp:simplePos x="0" y="0"/>
            <wp:positionH relativeFrom="column">
              <wp:posOffset>53340</wp:posOffset>
            </wp:positionH>
            <wp:positionV relativeFrom="paragraph">
              <wp:posOffset>47625</wp:posOffset>
            </wp:positionV>
            <wp:extent cx="5753100" cy="2314575"/>
            <wp:effectExtent l="0" t="0" r="19050" b="9525"/>
            <wp:wrapNone/>
            <wp:docPr id="20"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675D1A">
      <w:pPr>
        <w:jc w:val="center"/>
      </w:pPr>
    </w:p>
    <w:p w:rsidR="00564C69" w:rsidRDefault="00564C69" w:rsidP="00564C69">
      <w:pPr>
        <w:ind w:firstLine="708"/>
      </w:pPr>
      <w:r w:rsidRPr="00D531FD">
        <w:rPr>
          <w:color w:val="000000"/>
          <w:sz w:val="16"/>
          <w:szCs w:val="16"/>
        </w:rPr>
        <w:t xml:space="preserve">Fuente: </w:t>
      </w:r>
      <w:r w:rsidR="008F5FB2">
        <w:rPr>
          <w:color w:val="000000"/>
          <w:sz w:val="16"/>
          <w:szCs w:val="16"/>
        </w:rPr>
        <w:t>DANE</w:t>
      </w:r>
      <w:r w:rsidRPr="00D531FD">
        <w:rPr>
          <w:color w:val="000000"/>
          <w:sz w:val="16"/>
          <w:szCs w:val="16"/>
        </w:rPr>
        <w:t xml:space="preserve"> - Gran Encuesta Integrada de Hogares (GEIH)</w:t>
      </w:r>
    </w:p>
    <w:p w:rsidR="00564C69" w:rsidRPr="00D531FD" w:rsidRDefault="00564C69" w:rsidP="00675D1A">
      <w:pPr>
        <w:jc w:val="center"/>
      </w:pPr>
    </w:p>
    <w:p w:rsidR="00564C69" w:rsidRPr="00B41993" w:rsidRDefault="00564C69" w:rsidP="00675D1A">
      <w:pPr>
        <w:spacing w:line="360" w:lineRule="auto"/>
        <w:jc w:val="both"/>
        <w:rPr>
          <w:sz w:val="20"/>
        </w:rPr>
      </w:pPr>
    </w:p>
    <w:p w:rsidR="00675D1A" w:rsidRDefault="00675D1A" w:rsidP="00393B17">
      <w:pPr>
        <w:spacing w:line="360" w:lineRule="auto"/>
        <w:ind w:firstLine="284"/>
        <w:jc w:val="both"/>
      </w:pPr>
      <w:r w:rsidRPr="00D531FD">
        <w:t xml:space="preserve">Para el año 2013 en Armenia, la Incidencia de pobreza fue de 28,4 y para el año 2012 fue de 32,1 observando una disminución </w:t>
      </w:r>
      <w:r w:rsidR="00995E41">
        <w:t>de</w:t>
      </w:r>
      <w:r w:rsidRPr="00D531FD">
        <w:t xml:space="preserve"> 3,7 puntos; la  pobreza extrema para los años 2013 y 2012 fue de 6,6% y 8,2% donde se redujo en 1,6%  y  en cuanto al Coeficiente de </w:t>
      </w:r>
      <w:proofErr w:type="spellStart"/>
      <w:r w:rsidRPr="00D531FD">
        <w:t>Gini</w:t>
      </w:r>
      <w:proofErr w:type="spellEnd"/>
      <w:r w:rsidRPr="00D531FD">
        <w:t xml:space="preserve"> en el año 2013 fue de 0,498 y para el año 2</w:t>
      </w:r>
      <w:r w:rsidR="00EB76E3">
        <w:t>012 fue de 0,523, observando un</w:t>
      </w:r>
      <w:r w:rsidRPr="00D531FD">
        <w:t xml:space="preserve"> </w:t>
      </w:r>
      <w:r w:rsidR="00EB76E3">
        <w:t>incremento</w:t>
      </w:r>
      <w:r w:rsidRPr="00D531FD">
        <w:t xml:space="preserve"> de 0,025</w:t>
      </w:r>
      <w:r w:rsidR="00EB76E3">
        <w:t xml:space="preserve"> puntos</w:t>
      </w:r>
      <w:r w:rsidRPr="00D531FD">
        <w:t xml:space="preserve"> en su desigualdad.</w:t>
      </w:r>
    </w:p>
    <w:p w:rsidR="006157B8" w:rsidRDefault="006157B8" w:rsidP="00393B17">
      <w:pPr>
        <w:spacing w:line="360" w:lineRule="auto"/>
        <w:ind w:firstLine="284"/>
        <w:jc w:val="both"/>
      </w:pPr>
    </w:p>
    <w:p w:rsidR="006B1573" w:rsidRDefault="006B1573" w:rsidP="00393B17">
      <w:pPr>
        <w:spacing w:line="360" w:lineRule="auto"/>
        <w:ind w:firstLine="284"/>
        <w:jc w:val="both"/>
      </w:pPr>
    </w:p>
    <w:p w:rsidR="002476E4" w:rsidRDefault="002476E4" w:rsidP="00393B17">
      <w:pPr>
        <w:spacing w:line="360" w:lineRule="auto"/>
        <w:ind w:firstLine="284"/>
        <w:jc w:val="both"/>
      </w:pPr>
    </w:p>
    <w:p w:rsidR="006157B8" w:rsidRPr="006157B8" w:rsidRDefault="00713A31" w:rsidP="00163D7F">
      <w:pPr>
        <w:ind w:left="284"/>
        <w:rPr>
          <w:bCs/>
          <w:color w:val="000000"/>
        </w:rPr>
      </w:pPr>
      <w:r>
        <w:rPr>
          <w:bCs/>
          <w:color w:val="000000"/>
        </w:rPr>
        <w:lastRenderedPageBreak/>
        <w:t>Gráfico No. 1.12</w:t>
      </w:r>
    </w:p>
    <w:p w:rsidR="006157B8" w:rsidRPr="006157B8" w:rsidRDefault="006157B8" w:rsidP="00163D7F">
      <w:pPr>
        <w:ind w:left="284"/>
        <w:rPr>
          <w:bCs/>
          <w:color w:val="000000"/>
        </w:rPr>
      </w:pPr>
      <w:r w:rsidRPr="006157B8">
        <w:rPr>
          <w:bCs/>
          <w:color w:val="000000"/>
        </w:rPr>
        <w:t xml:space="preserve">Incidencia de la Pobreza, Pobreza extrema, coeficiente de </w:t>
      </w:r>
      <w:proofErr w:type="spellStart"/>
      <w:r w:rsidRPr="006157B8">
        <w:rPr>
          <w:bCs/>
          <w:color w:val="000000"/>
        </w:rPr>
        <w:t>Gini</w:t>
      </w:r>
      <w:proofErr w:type="spellEnd"/>
      <w:r w:rsidRPr="006157B8">
        <w:rPr>
          <w:bCs/>
          <w:color w:val="000000"/>
        </w:rPr>
        <w:t xml:space="preserve"> - Armenia </w:t>
      </w:r>
    </w:p>
    <w:p w:rsidR="006157B8" w:rsidRDefault="006157B8" w:rsidP="00163D7F">
      <w:pPr>
        <w:ind w:left="284"/>
        <w:rPr>
          <w:bCs/>
          <w:color w:val="000000"/>
        </w:rPr>
      </w:pPr>
      <w:r w:rsidRPr="006157B8">
        <w:rPr>
          <w:bCs/>
          <w:color w:val="000000"/>
        </w:rPr>
        <w:t>2012 – 2013</w:t>
      </w:r>
    </w:p>
    <w:p w:rsidR="009562FB" w:rsidRPr="006C7D3F" w:rsidRDefault="009562FB" w:rsidP="00163D7F">
      <w:pPr>
        <w:ind w:left="284"/>
        <w:rPr>
          <w:bCs/>
          <w:color w:val="000000"/>
          <w:sz w:val="20"/>
        </w:rPr>
      </w:pPr>
    </w:p>
    <w:p w:rsidR="006157B8" w:rsidRDefault="006157B8" w:rsidP="00163D7F">
      <w:pPr>
        <w:spacing w:line="360" w:lineRule="auto"/>
        <w:ind w:firstLine="284"/>
      </w:pPr>
      <w:r w:rsidRPr="00D531FD">
        <w:rPr>
          <w:noProof/>
          <w:color w:val="000000"/>
        </w:rPr>
        <w:drawing>
          <wp:inline distT="0" distB="0" distL="0" distR="0" wp14:anchorId="7B6FC2D6" wp14:editId="09927339">
            <wp:extent cx="4552950" cy="1790700"/>
            <wp:effectExtent l="0" t="0" r="19050" b="19050"/>
            <wp:docPr id="19" name="3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41993" w:rsidRDefault="00B41993" w:rsidP="00163D7F">
      <w:pPr>
        <w:ind w:firstLine="708"/>
        <w:jc w:val="both"/>
      </w:pPr>
      <w:r w:rsidRPr="00D531FD">
        <w:rPr>
          <w:color w:val="000000"/>
          <w:sz w:val="16"/>
          <w:szCs w:val="16"/>
        </w:rPr>
        <w:t xml:space="preserve">Fuente: </w:t>
      </w:r>
      <w:r w:rsidR="008F5FB2">
        <w:rPr>
          <w:color w:val="000000"/>
          <w:sz w:val="16"/>
          <w:szCs w:val="16"/>
        </w:rPr>
        <w:t>DANE</w:t>
      </w:r>
      <w:r w:rsidRPr="00D531FD">
        <w:rPr>
          <w:color w:val="000000"/>
          <w:sz w:val="16"/>
          <w:szCs w:val="16"/>
        </w:rPr>
        <w:t xml:space="preserve"> - Gran Encuesta Integrada de Hogares (GEIH)</w:t>
      </w:r>
    </w:p>
    <w:p w:rsidR="006157B8" w:rsidRDefault="006157B8" w:rsidP="00675D1A">
      <w:pPr>
        <w:tabs>
          <w:tab w:val="left" w:pos="486"/>
        </w:tabs>
        <w:spacing w:line="360" w:lineRule="auto"/>
        <w:jc w:val="both"/>
      </w:pPr>
    </w:p>
    <w:p w:rsidR="00675D1A" w:rsidRPr="005559F7" w:rsidRDefault="005559F7" w:rsidP="005559F7">
      <w:pPr>
        <w:pStyle w:val="Ttulo2"/>
        <w:jc w:val="both"/>
        <w:rPr>
          <w:rFonts w:ascii="Times New Roman" w:hAnsi="Times New Roman" w:cs="Times New Roman"/>
          <w:color w:val="auto"/>
          <w:sz w:val="30"/>
          <w:szCs w:val="30"/>
        </w:rPr>
      </w:pPr>
      <w:bookmarkStart w:id="14" w:name="_Toc406754281"/>
      <w:r w:rsidRPr="005559F7">
        <w:rPr>
          <w:rFonts w:ascii="Times New Roman" w:hAnsi="Times New Roman" w:cs="Times New Roman"/>
          <w:color w:val="auto"/>
          <w:sz w:val="30"/>
          <w:szCs w:val="30"/>
        </w:rPr>
        <w:t xml:space="preserve">1.6 </w:t>
      </w:r>
      <w:r w:rsidR="00675D1A" w:rsidRPr="005559F7">
        <w:rPr>
          <w:rFonts w:ascii="Times New Roman" w:hAnsi="Times New Roman" w:cs="Times New Roman"/>
          <w:color w:val="auto"/>
          <w:sz w:val="30"/>
          <w:szCs w:val="30"/>
        </w:rPr>
        <w:t>Sistema de Identificación de P</w:t>
      </w:r>
      <w:r w:rsidR="00410197">
        <w:rPr>
          <w:rFonts w:ascii="Times New Roman" w:hAnsi="Times New Roman" w:cs="Times New Roman"/>
          <w:color w:val="auto"/>
          <w:sz w:val="30"/>
          <w:szCs w:val="30"/>
        </w:rPr>
        <w:t>otenciales Beneficiarios – SISBÉ</w:t>
      </w:r>
      <w:r w:rsidR="00675D1A" w:rsidRPr="005559F7">
        <w:rPr>
          <w:rFonts w:ascii="Times New Roman" w:hAnsi="Times New Roman" w:cs="Times New Roman"/>
          <w:color w:val="auto"/>
          <w:sz w:val="30"/>
          <w:szCs w:val="30"/>
        </w:rPr>
        <w:t>N - NET III</w:t>
      </w:r>
      <w:bookmarkEnd w:id="14"/>
    </w:p>
    <w:p w:rsidR="00675D1A" w:rsidRPr="00CB1FE9" w:rsidRDefault="00675D1A" w:rsidP="00675D1A">
      <w:pPr>
        <w:pStyle w:val="Sinespaciado"/>
        <w:rPr>
          <w:rFonts w:ascii="Times New Roman" w:hAnsi="Times New Roman"/>
          <w:sz w:val="24"/>
          <w:szCs w:val="32"/>
        </w:rPr>
      </w:pPr>
    </w:p>
    <w:p w:rsidR="009562FB" w:rsidRDefault="00675D1A" w:rsidP="00CB1FE9">
      <w:pPr>
        <w:tabs>
          <w:tab w:val="left" w:pos="3403"/>
        </w:tabs>
        <w:spacing w:line="360" w:lineRule="auto"/>
        <w:ind w:firstLine="284"/>
        <w:jc w:val="both"/>
      </w:pPr>
      <w:r w:rsidRPr="00D531FD">
        <w:t xml:space="preserve">El SISBEN comprende un conjunto de reglas, normas y procedimientos, que permiten obtener información socioeconómica confiable y actualizada de grupos de población específicos en los distritos y municipios </w:t>
      </w:r>
      <w:r w:rsidR="007F7543">
        <w:t>del país. De acuerdo al Conpes S</w:t>
      </w:r>
      <w:r w:rsidRPr="00D531FD">
        <w:t xml:space="preserve">ocial </w:t>
      </w:r>
      <w:r w:rsidR="007F7543">
        <w:t xml:space="preserve">117 </w:t>
      </w:r>
      <w:r w:rsidRPr="00D531FD">
        <w:t xml:space="preserve">el SISBEN </w:t>
      </w:r>
      <w:r w:rsidR="001431C3">
        <w:t>“</w:t>
      </w:r>
      <w:r w:rsidRPr="007F7543">
        <w:rPr>
          <w:i/>
        </w:rPr>
        <w:t>es un instrumento de focalización individual que identifica los hogares, las familias o los individuos más pobres y vulnerables que proporciona rendimientos a escala en cuanto a la ejecución de programas sociales debido a que gracias a esta base de datos no se requiere implementar nuevos procesos de recolección de información de sus beneficiarios potenciales</w:t>
      </w:r>
      <w:r w:rsidR="001431C3">
        <w:t>”</w:t>
      </w:r>
      <w:r w:rsidRPr="00D531FD">
        <w:t>.</w:t>
      </w:r>
      <w:r w:rsidR="007F7543" w:rsidRPr="007F7543">
        <w:t xml:space="preserve"> </w:t>
      </w:r>
      <w:r w:rsidR="007F7543">
        <w:t>(CONPES 117, 2008).</w:t>
      </w:r>
      <w:r w:rsidRPr="00D531FD">
        <w:t xml:space="preserve"> </w:t>
      </w:r>
    </w:p>
    <w:p w:rsidR="009562FB" w:rsidRDefault="009562FB" w:rsidP="00CB1FE9">
      <w:pPr>
        <w:tabs>
          <w:tab w:val="left" w:pos="3403"/>
        </w:tabs>
        <w:spacing w:line="360" w:lineRule="auto"/>
        <w:ind w:firstLine="284"/>
        <w:jc w:val="both"/>
      </w:pPr>
    </w:p>
    <w:p w:rsidR="00675D1A" w:rsidRPr="00D531FD" w:rsidRDefault="00675D1A" w:rsidP="00CB1FE9">
      <w:pPr>
        <w:tabs>
          <w:tab w:val="left" w:pos="3403"/>
        </w:tabs>
        <w:spacing w:line="360" w:lineRule="auto"/>
        <w:ind w:firstLine="284"/>
        <w:jc w:val="both"/>
      </w:pPr>
      <w:r w:rsidRPr="00D531FD">
        <w:t>La constitución contempla dentro de su normativa el mejoramiento de la calidad de vida por medio de la focalización del gasto social la cual “</w:t>
      </w:r>
      <w:r w:rsidR="00B638CB">
        <w:t>…</w:t>
      </w:r>
      <w:r w:rsidRPr="00D531FD">
        <w:rPr>
          <w:i/>
        </w:rPr>
        <w:t>busca dirigir el gasto social hacia los sectores de la población que más lo necesitan con el fin de maximizar su impacto social, (…) es un medio de lucha contra la pobreza y la desigualdad</w:t>
      </w:r>
      <w:r w:rsidR="00B638CB">
        <w:rPr>
          <w:i/>
        </w:rPr>
        <w:t>..</w:t>
      </w:r>
      <w:r w:rsidRPr="00D531FD">
        <w:t>”</w:t>
      </w:r>
      <w:r w:rsidR="00B638CB">
        <w:t xml:space="preserve">; </w:t>
      </w:r>
      <w:r w:rsidR="00082665">
        <w:t xml:space="preserve">por tanto, </w:t>
      </w:r>
      <w:r w:rsidRPr="00D531FD">
        <w:t>los programas sociales que en la actualidad identifican sus potenciales beneficiarios teniendo en cuenta la base del SISBEN, de acuerdo con su reglamento operativo son:</w:t>
      </w:r>
    </w:p>
    <w:p w:rsidR="00675D1A" w:rsidRDefault="00675D1A" w:rsidP="00675D1A">
      <w:pPr>
        <w:tabs>
          <w:tab w:val="left" w:pos="3403"/>
        </w:tabs>
        <w:jc w:val="both"/>
        <w:rPr>
          <w:color w:val="FF0000"/>
        </w:rPr>
      </w:pPr>
    </w:p>
    <w:p w:rsidR="00675D1A" w:rsidRPr="00C150F8" w:rsidRDefault="005A513D" w:rsidP="0069684A">
      <w:pPr>
        <w:tabs>
          <w:tab w:val="left" w:pos="3403"/>
        </w:tabs>
        <w:jc w:val="both"/>
      </w:pPr>
      <w:r>
        <w:lastRenderedPageBreak/>
        <w:t>Tabla</w:t>
      </w:r>
      <w:r w:rsidR="00675D1A" w:rsidRPr="00C150F8">
        <w:rPr>
          <w:color w:val="FF0000"/>
        </w:rPr>
        <w:t xml:space="preserve"> </w:t>
      </w:r>
      <w:r w:rsidR="001431C3" w:rsidRPr="00C150F8">
        <w:t>1.8</w:t>
      </w:r>
    </w:p>
    <w:p w:rsidR="00675D1A" w:rsidRPr="00C150F8" w:rsidRDefault="00675D1A" w:rsidP="0069684A">
      <w:pPr>
        <w:tabs>
          <w:tab w:val="left" w:pos="3403"/>
        </w:tabs>
        <w:jc w:val="both"/>
        <w:rPr>
          <w:bCs/>
          <w:color w:val="000000"/>
        </w:rPr>
      </w:pPr>
      <w:r w:rsidRPr="00C150F8">
        <w:rPr>
          <w:bCs/>
          <w:color w:val="000000"/>
        </w:rPr>
        <w:t>Programas sociales</w:t>
      </w:r>
    </w:p>
    <w:p w:rsidR="00675D1A" w:rsidRPr="00D531FD" w:rsidRDefault="00675D1A" w:rsidP="0069684A">
      <w:pPr>
        <w:tabs>
          <w:tab w:val="left" w:pos="3403"/>
        </w:tabs>
        <w:jc w:val="both"/>
        <w:rPr>
          <w:b/>
          <w:bCs/>
          <w:color w:val="000000"/>
        </w:rPr>
      </w:pPr>
    </w:p>
    <w:tbl>
      <w:tblPr>
        <w:tblW w:w="7802" w:type="dxa"/>
        <w:tblCellMar>
          <w:left w:w="70" w:type="dxa"/>
          <w:right w:w="70" w:type="dxa"/>
        </w:tblCellMar>
        <w:tblLook w:val="04A0" w:firstRow="1" w:lastRow="0" w:firstColumn="1" w:lastColumn="0" w:noHBand="0" w:noVBand="1"/>
      </w:tblPr>
      <w:tblGrid>
        <w:gridCol w:w="4724"/>
        <w:gridCol w:w="3078"/>
      </w:tblGrid>
      <w:tr w:rsidR="00675D1A" w:rsidRPr="002432DC" w:rsidTr="0069684A">
        <w:trPr>
          <w:trHeight w:val="441"/>
        </w:trPr>
        <w:tc>
          <w:tcPr>
            <w:tcW w:w="4724" w:type="dxa"/>
            <w:tcBorders>
              <w:top w:val="single" w:sz="4" w:space="0" w:color="auto"/>
              <w:left w:val="nil"/>
              <w:bottom w:val="double" w:sz="6" w:space="0" w:color="auto"/>
              <w:right w:val="nil"/>
            </w:tcBorders>
            <w:shd w:val="clear" w:color="auto" w:fill="auto"/>
            <w:noWrap/>
            <w:vAlign w:val="center"/>
            <w:hideMark/>
          </w:tcPr>
          <w:p w:rsidR="00675D1A" w:rsidRPr="002432DC" w:rsidRDefault="00675D1A" w:rsidP="0069684A">
            <w:pPr>
              <w:rPr>
                <w:b/>
                <w:bCs/>
                <w:color w:val="000000"/>
                <w:sz w:val="20"/>
                <w:szCs w:val="20"/>
              </w:rPr>
            </w:pPr>
            <w:r w:rsidRPr="002432DC">
              <w:rPr>
                <w:b/>
                <w:bCs/>
                <w:color w:val="000000"/>
                <w:sz w:val="20"/>
                <w:szCs w:val="20"/>
              </w:rPr>
              <w:t>INSTITUCIÓN</w:t>
            </w:r>
          </w:p>
        </w:tc>
        <w:tc>
          <w:tcPr>
            <w:tcW w:w="3078" w:type="dxa"/>
            <w:tcBorders>
              <w:top w:val="single" w:sz="4" w:space="0" w:color="auto"/>
              <w:left w:val="nil"/>
              <w:bottom w:val="double" w:sz="6" w:space="0" w:color="auto"/>
              <w:right w:val="nil"/>
            </w:tcBorders>
            <w:shd w:val="clear" w:color="auto" w:fill="auto"/>
            <w:noWrap/>
            <w:vAlign w:val="center"/>
            <w:hideMark/>
          </w:tcPr>
          <w:p w:rsidR="00675D1A" w:rsidRPr="002432DC" w:rsidRDefault="00675D1A" w:rsidP="0069684A">
            <w:pPr>
              <w:rPr>
                <w:b/>
                <w:bCs/>
                <w:color w:val="000000"/>
                <w:sz w:val="20"/>
                <w:szCs w:val="20"/>
              </w:rPr>
            </w:pPr>
            <w:r w:rsidRPr="002432DC">
              <w:rPr>
                <w:b/>
                <w:bCs/>
                <w:color w:val="000000"/>
                <w:sz w:val="20"/>
                <w:szCs w:val="20"/>
              </w:rPr>
              <w:t>PROGRAMAS</w:t>
            </w:r>
          </w:p>
        </w:tc>
      </w:tr>
      <w:tr w:rsidR="00675D1A" w:rsidRPr="002432DC" w:rsidTr="0069684A">
        <w:trPr>
          <w:trHeight w:val="501"/>
        </w:trPr>
        <w:tc>
          <w:tcPr>
            <w:tcW w:w="4724" w:type="dxa"/>
            <w:tcBorders>
              <w:top w:val="nil"/>
              <w:left w:val="nil"/>
              <w:bottom w:val="nil"/>
              <w:right w:val="nil"/>
            </w:tcBorders>
            <w:shd w:val="clear" w:color="auto" w:fill="auto"/>
            <w:vAlign w:val="center"/>
            <w:hideMark/>
          </w:tcPr>
          <w:p w:rsidR="00675D1A" w:rsidRPr="002432DC" w:rsidRDefault="00675D1A" w:rsidP="0069684A">
            <w:pPr>
              <w:rPr>
                <w:b/>
                <w:bCs/>
                <w:color w:val="000000"/>
                <w:sz w:val="20"/>
                <w:szCs w:val="20"/>
              </w:rPr>
            </w:pPr>
            <w:r w:rsidRPr="002432DC">
              <w:rPr>
                <w:b/>
                <w:bCs/>
                <w:color w:val="000000"/>
                <w:sz w:val="20"/>
                <w:szCs w:val="20"/>
              </w:rPr>
              <w:t>Instituto Colombiano de Bienestar Familiar</w:t>
            </w:r>
          </w:p>
        </w:tc>
        <w:tc>
          <w:tcPr>
            <w:tcW w:w="3078" w:type="dxa"/>
            <w:tcBorders>
              <w:top w:val="nil"/>
              <w:left w:val="nil"/>
              <w:bottom w:val="nil"/>
              <w:right w:val="nil"/>
            </w:tcBorders>
            <w:shd w:val="clear" w:color="auto" w:fill="auto"/>
            <w:vAlign w:val="center"/>
            <w:hideMark/>
          </w:tcPr>
          <w:p w:rsidR="00675D1A" w:rsidRPr="002432DC" w:rsidRDefault="00675D1A" w:rsidP="0069684A">
            <w:pPr>
              <w:rPr>
                <w:color w:val="000000"/>
                <w:sz w:val="20"/>
                <w:szCs w:val="20"/>
              </w:rPr>
            </w:pPr>
            <w:r w:rsidRPr="002432DC">
              <w:rPr>
                <w:color w:val="000000"/>
                <w:sz w:val="20"/>
                <w:szCs w:val="20"/>
              </w:rPr>
              <w:t>Primera Infancia</w:t>
            </w:r>
          </w:p>
        </w:tc>
      </w:tr>
      <w:tr w:rsidR="00675D1A" w:rsidRPr="002432DC" w:rsidTr="0069684A">
        <w:trPr>
          <w:trHeight w:val="257"/>
        </w:trPr>
        <w:tc>
          <w:tcPr>
            <w:tcW w:w="4724" w:type="dxa"/>
            <w:vMerge w:val="restart"/>
            <w:tcBorders>
              <w:top w:val="nil"/>
              <w:left w:val="nil"/>
              <w:bottom w:val="nil"/>
              <w:right w:val="nil"/>
            </w:tcBorders>
            <w:shd w:val="clear" w:color="auto" w:fill="auto"/>
            <w:vAlign w:val="center"/>
            <w:hideMark/>
          </w:tcPr>
          <w:p w:rsidR="00675D1A" w:rsidRPr="002432DC" w:rsidRDefault="00675D1A" w:rsidP="0069684A">
            <w:pPr>
              <w:rPr>
                <w:b/>
                <w:bCs/>
                <w:color w:val="000000"/>
                <w:sz w:val="20"/>
                <w:szCs w:val="20"/>
              </w:rPr>
            </w:pPr>
            <w:r w:rsidRPr="002432DC">
              <w:rPr>
                <w:b/>
                <w:bCs/>
                <w:color w:val="000000"/>
                <w:sz w:val="20"/>
                <w:szCs w:val="20"/>
              </w:rPr>
              <w:t>Min Agricultura</w:t>
            </w:r>
          </w:p>
        </w:tc>
        <w:tc>
          <w:tcPr>
            <w:tcW w:w="3078" w:type="dxa"/>
            <w:tcBorders>
              <w:top w:val="nil"/>
              <w:left w:val="nil"/>
              <w:bottom w:val="nil"/>
              <w:right w:val="nil"/>
            </w:tcBorders>
            <w:shd w:val="clear" w:color="auto" w:fill="auto"/>
            <w:vAlign w:val="center"/>
            <w:hideMark/>
          </w:tcPr>
          <w:p w:rsidR="00675D1A" w:rsidRPr="002432DC" w:rsidRDefault="00675D1A" w:rsidP="0069684A">
            <w:pPr>
              <w:rPr>
                <w:color w:val="000000"/>
                <w:sz w:val="20"/>
                <w:szCs w:val="20"/>
              </w:rPr>
            </w:pPr>
            <w:r w:rsidRPr="002432DC">
              <w:rPr>
                <w:color w:val="000000"/>
                <w:sz w:val="20"/>
                <w:szCs w:val="20"/>
              </w:rPr>
              <w:t>Vivienda Rural</w:t>
            </w:r>
          </w:p>
        </w:tc>
      </w:tr>
      <w:tr w:rsidR="00675D1A" w:rsidRPr="002432DC" w:rsidTr="0069684A">
        <w:trPr>
          <w:trHeight w:val="591"/>
        </w:trPr>
        <w:tc>
          <w:tcPr>
            <w:tcW w:w="4724" w:type="dxa"/>
            <w:vMerge/>
            <w:tcBorders>
              <w:top w:val="nil"/>
              <w:left w:val="nil"/>
              <w:bottom w:val="nil"/>
              <w:right w:val="nil"/>
            </w:tcBorders>
            <w:vAlign w:val="center"/>
            <w:hideMark/>
          </w:tcPr>
          <w:p w:rsidR="00675D1A" w:rsidRPr="002432DC" w:rsidRDefault="00675D1A" w:rsidP="0069684A">
            <w:pPr>
              <w:rPr>
                <w:b/>
                <w:bCs/>
                <w:color w:val="000000"/>
                <w:sz w:val="20"/>
                <w:szCs w:val="20"/>
              </w:rPr>
            </w:pPr>
          </w:p>
        </w:tc>
        <w:tc>
          <w:tcPr>
            <w:tcW w:w="3078" w:type="dxa"/>
            <w:tcBorders>
              <w:top w:val="nil"/>
              <w:left w:val="nil"/>
              <w:bottom w:val="nil"/>
              <w:right w:val="nil"/>
            </w:tcBorders>
            <w:shd w:val="clear" w:color="auto" w:fill="auto"/>
            <w:vAlign w:val="center"/>
            <w:hideMark/>
          </w:tcPr>
          <w:p w:rsidR="00675D1A" w:rsidRPr="002432DC" w:rsidRDefault="00675D1A" w:rsidP="0069684A">
            <w:pPr>
              <w:rPr>
                <w:color w:val="000000"/>
                <w:sz w:val="20"/>
                <w:szCs w:val="20"/>
              </w:rPr>
            </w:pPr>
            <w:r w:rsidRPr="002432DC">
              <w:rPr>
                <w:color w:val="000000"/>
                <w:sz w:val="20"/>
                <w:szCs w:val="20"/>
              </w:rPr>
              <w:t>Subsidio Integral de Tierras y Oportunidades Rurales</w:t>
            </w:r>
          </w:p>
        </w:tc>
      </w:tr>
      <w:tr w:rsidR="00675D1A" w:rsidRPr="002432DC" w:rsidTr="0069684A">
        <w:trPr>
          <w:trHeight w:val="257"/>
        </w:trPr>
        <w:tc>
          <w:tcPr>
            <w:tcW w:w="4724" w:type="dxa"/>
            <w:tcBorders>
              <w:top w:val="nil"/>
              <w:left w:val="nil"/>
              <w:bottom w:val="nil"/>
              <w:right w:val="nil"/>
            </w:tcBorders>
            <w:shd w:val="clear" w:color="auto" w:fill="auto"/>
            <w:vAlign w:val="center"/>
            <w:hideMark/>
          </w:tcPr>
          <w:p w:rsidR="00675D1A" w:rsidRPr="002432DC" w:rsidRDefault="00675D1A" w:rsidP="0069684A">
            <w:pPr>
              <w:rPr>
                <w:b/>
                <w:bCs/>
                <w:color w:val="000000"/>
                <w:sz w:val="20"/>
                <w:szCs w:val="20"/>
              </w:rPr>
            </w:pPr>
            <w:r w:rsidRPr="002432DC">
              <w:rPr>
                <w:b/>
                <w:bCs/>
                <w:color w:val="000000"/>
                <w:sz w:val="20"/>
                <w:szCs w:val="20"/>
              </w:rPr>
              <w:t>SENA</w:t>
            </w:r>
          </w:p>
        </w:tc>
        <w:tc>
          <w:tcPr>
            <w:tcW w:w="3078" w:type="dxa"/>
            <w:tcBorders>
              <w:top w:val="nil"/>
              <w:left w:val="nil"/>
              <w:bottom w:val="nil"/>
              <w:right w:val="nil"/>
            </w:tcBorders>
            <w:shd w:val="clear" w:color="auto" w:fill="auto"/>
            <w:vAlign w:val="center"/>
            <w:hideMark/>
          </w:tcPr>
          <w:p w:rsidR="00675D1A" w:rsidRPr="002432DC" w:rsidRDefault="00675D1A" w:rsidP="0069684A">
            <w:pPr>
              <w:rPr>
                <w:color w:val="000000"/>
                <w:sz w:val="20"/>
                <w:szCs w:val="20"/>
              </w:rPr>
            </w:pPr>
            <w:r w:rsidRPr="002432DC">
              <w:rPr>
                <w:color w:val="000000"/>
                <w:sz w:val="20"/>
                <w:szCs w:val="20"/>
              </w:rPr>
              <w:t>Jóvenes Rurales</w:t>
            </w:r>
          </w:p>
        </w:tc>
      </w:tr>
      <w:tr w:rsidR="00675D1A" w:rsidRPr="002432DC" w:rsidTr="0069684A">
        <w:trPr>
          <w:trHeight w:val="386"/>
        </w:trPr>
        <w:tc>
          <w:tcPr>
            <w:tcW w:w="4724" w:type="dxa"/>
            <w:tcBorders>
              <w:top w:val="nil"/>
              <w:left w:val="nil"/>
              <w:bottom w:val="nil"/>
              <w:right w:val="nil"/>
            </w:tcBorders>
            <w:shd w:val="clear" w:color="auto" w:fill="auto"/>
            <w:vAlign w:val="center"/>
            <w:hideMark/>
          </w:tcPr>
          <w:p w:rsidR="00675D1A" w:rsidRPr="002432DC" w:rsidRDefault="00675D1A" w:rsidP="0069684A">
            <w:pPr>
              <w:rPr>
                <w:b/>
                <w:bCs/>
                <w:color w:val="000000"/>
                <w:sz w:val="20"/>
                <w:szCs w:val="20"/>
              </w:rPr>
            </w:pPr>
            <w:r w:rsidRPr="002432DC">
              <w:rPr>
                <w:b/>
                <w:bCs/>
                <w:color w:val="000000"/>
                <w:sz w:val="20"/>
                <w:szCs w:val="20"/>
              </w:rPr>
              <w:t>Min Salud</w:t>
            </w:r>
          </w:p>
        </w:tc>
        <w:tc>
          <w:tcPr>
            <w:tcW w:w="3078" w:type="dxa"/>
            <w:tcBorders>
              <w:top w:val="nil"/>
              <w:left w:val="nil"/>
              <w:bottom w:val="nil"/>
              <w:right w:val="nil"/>
            </w:tcBorders>
            <w:shd w:val="clear" w:color="auto" w:fill="auto"/>
            <w:vAlign w:val="center"/>
            <w:hideMark/>
          </w:tcPr>
          <w:p w:rsidR="00675D1A" w:rsidRPr="002432DC" w:rsidRDefault="00675D1A" w:rsidP="0069684A">
            <w:pPr>
              <w:rPr>
                <w:color w:val="000000"/>
                <w:sz w:val="20"/>
                <w:szCs w:val="20"/>
              </w:rPr>
            </w:pPr>
            <w:r w:rsidRPr="002432DC">
              <w:rPr>
                <w:color w:val="000000"/>
                <w:sz w:val="20"/>
                <w:szCs w:val="20"/>
              </w:rPr>
              <w:t xml:space="preserve">Régimen Subsidiado </w:t>
            </w:r>
          </w:p>
        </w:tc>
      </w:tr>
      <w:tr w:rsidR="00675D1A" w:rsidRPr="002432DC" w:rsidTr="0069684A">
        <w:trPr>
          <w:trHeight w:val="257"/>
        </w:trPr>
        <w:tc>
          <w:tcPr>
            <w:tcW w:w="4724" w:type="dxa"/>
            <w:tcBorders>
              <w:top w:val="nil"/>
              <w:left w:val="nil"/>
              <w:bottom w:val="nil"/>
              <w:right w:val="nil"/>
            </w:tcBorders>
            <w:shd w:val="clear" w:color="auto" w:fill="auto"/>
            <w:vAlign w:val="center"/>
            <w:hideMark/>
          </w:tcPr>
          <w:p w:rsidR="00675D1A" w:rsidRPr="002432DC" w:rsidRDefault="00675D1A" w:rsidP="0069684A">
            <w:pPr>
              <w:rPr>
                <w:b/>
                <w:bCs/>
                <w:color w:val="000000"/>
                <w:sz w:val="20"/>
                <w:szCs w:val="20"/>
              </w:rPr>
            </w:pPr>
            <w:r w:rsidRPr="002432DC">
              <w:rPr>
                <w:b/>
                <w:bCs/>
                <w:color w:val="000000"/>
                <w:sz w:val="20"/>
                <w:szCs w:val="20"/>
              </w:rPr>
              <w:t>ICETEX</w:t>
            </w:r>
          </w:p>
        </w:tc>
        <w:tc>
          <w:tcPr>
            <w:tcW w:w="3078" w:type="dxa"/>
            <w:tcBorders>
              <w:top w:val="nil"/>
              <w:left w:val="nil"/>
              <w:bottom w:val="nil"/>
              <w:right w:val="nil"/>
            </w:tcBorders>
            <w:shd w:val="clear" w:color="auto" w:fill="auto"/>
            <w:vAlign w:val="center"/>
            <w:hideMark/>
          </w:tcPr>
          <w:p w:rsidR="00675D1A" w:rsidRPr="002432DC" w:rsidRDefault="00675D1A" w:rsidP="0069684A">
            <w:pPr>
              <w:rPr>
                <w:color w:val="000000"/>
                <w:sz w:val="20"/>
                <w:szCs w:val="20"/>
              </w:rPr>
            </w:pPr>
            <w:r w:rsidRPr="002432DC">
              <w:rPr>
                <w:color w:val="000000"/>
                <w:sz w:val="20"/>
                <w:szCs w:val="20"/>
              </w:rPr>
              <w:t>ACCES</w:t>
            </w:r>
          </w:p>
        </w:tc>
      </w:tr>
      <w:tr w:rsidR="00675D1A" w:rsidRPr="002432DC" w:rsidTr="0069684A">
        <w:trPr>
          <w:trHeight w:val="346"/>
        </w:trPr>
        <w:tc>
          <w:tcPr>
            <w:tcW w:w="4724" w:type="dxa"/>
            <w:tcBorders>
              <w:top w:val="nil"/>
              <w:left w:val="nil"/>
              <w:bottom w:val="nil"/>
              <w:right w:val="nil"/>
            </w:tcBorders>
            <w:shd w:val="clear" w:color="auto" w:fill="auto"/>
            <w:vAlign w:val="center"/>
            <w:hideMark/>
          </w:tcPr>
          <w:p w:rsidR="00675D1A" w:rsidRPr="002432DC" w:rsidRDefault="00675D1A" w:rsidP="0069684A">
            <w:pPr>
              <w:rPr>
                <w:b/>
                <w:bCs/>
                <w:color w:val="000000"/>
                <w:sz w:val="20"/>
                <w:szCs w:val="20"/>
              </w:rPr>
            </w:pPr>
            <w:r w:rsidRPr="002432DC">
              <w:rPr>
                <w:b/>
                <w:bCs/>
                <w:color w:val="000000"/>
                <w:sz w:val="20"/>
                <w:szCs w:val="20"/>
              </w:rPr>
              <w:t>DPS</w:t>
            </w:r>
          </w:p>
        </w:tc>
        <w:tc>
          <w:tcPr>
            <w:tcW w:w="3078" w:type="dxa"/>
            <w:tcBorders>
              <w:top w:val="nil"/>
              <w:left w:val="nil"/>
              <w:bottom w:val="nil"/>
              <w:right w:val="nil"/>
            </w:tcBorders>
            <w:shd w:val="clear" w:color="auto" w:fill="auto"/>
            <w:vAlign w:val="center"/>
            <w:hideMark/>
          </w:tcPr>
          <w:p w:rsidR="00675D1A" w:rsidRPr="002432DC" w:rsidRDefault="00675D1A" w:rsidP="0069684A">
            <w:pPr>
              <w:rPr>
                <w:color w:val="000000"/>
                <w:sz w:val="20"/>
                <w:szCs w:val="20"/>
              </w:rPr>
            </w:pPr>
            <w:r w:rsidRPr="002432DC">
              <w:rPr>
                <w:color w:val="000000"/>
                <w:sz w:val="20"/>
                <w:szCs w:val="20"/>
              </w:rPr>
              <w:t>Familias en Acción</w:t>
            </w:r>
          </w:p>
        </w:tc>
      </w:tr>
      <w:tr w:rsidR="00675D1A" w:rsidRPr="002432DC" w:rsidTr="0069684A">
        <w:trPr>
          <w:trHeight w:val="257"/>
        </w:trPr>
        <w:tc>
          <w:tcPr>
            <w:tcW w:w="4724" w:type="dxa"/>
            <w:tcBorders>
              <w:top w:val="nil"/>
              <w:left w:val="nil"/>
              <w:bottom w:val="nil"/>
              <w:right w:val="nil"/>
            </w:tcBorders>
            <w:shd w:val="clear" w:color="auto" w:fill="auto"/>
            <w:noWrap/>
            <w:vAlign w:val="center"/>
            <w:hideMark/>
          </w:tcPr>
          <w:p w:rsidR="00675D1A" w:rsidRPr="002432DC" w:rsidRDefault="00675D1A" w:rsidP="0069684A">
            <w:pPr>
              <w:rPr>
                <w:b/>
                <w:bCs/>
                <w:color w:val="000000"/>
                <w:sz w:val="20"/>
                <w:szCs w:val="20"/>
              </w:rPr>
            </w:pPr>
            <w:proofErr w:type="spellStart"/>
            <w:r w:rsidRPr="002432DC">
              <w:rPr>
                <w:b/>
                <w:bCs/>
                <w:color w:val="000000"/>
                <w:sz w:val="20"/>
                <w:szCs w:val="20"/>
              </w:rPr>
              <w:t>Min</w:t>
            </w:r>
            <w:proofErr w:type="spellEnd"/>
            <w:r w:rsidRPr="002432DC">
              <w:rPr>
                <w:b/>
                <w:bCs/>
                <w:color w:val="000000"/>
                <w:sz w:val="20"/>
                <w:szCs w:val="20"/>
              </w:rPr>
              <w:t xml:space="preserve"> trabajo</w:t>
            </w:r>
          </w:p>
        </w:tc>
        <w:tc>
          <w:tcPr>
            <w:tcW w:w="3078" w:type="dxa"/>
            <w:tcBorders>
              <w:top w:val="nil"/>
              <w:left w:val="nil"/>
              <w:bottom w:val="nil"/>
              <w:right w:val="nil"/>
            </w:tcBorders>
            <w:shd w:val="clear" w:color="auto" w:fill="auto"/>
            <w:vAlign w:val="center"/>
            <w:hideMark/>
          </w:tcPr>
          <w:p w:rsidR="00675D1A" w:rsidRPr="002432DC" w:rsidRDefault="00675D1A" w:rsidP="0069684A">
            <w:pPr>
              <w:rPr>
                <w:color w:val="000000"/>
                <w:sz w:val="20"/>
                <w:szCs w:val="20"/>
              </w:rPr>
            </w:pPr>
            <w:r w:rsidRPr="002432DC">
              <w:rPr>
                <w:color w:val="000000"/>
                <w:sz w:val="20"/>
                <w:szCs w:val="20"/>
              </w:rPr>
              <w:t>PPSAM</w:t>
            </w:r>
          </w:p>
        </w:tc>
      </w:tr>
      <w:tr w:rsidR="00675D1A" w:rsidRPr="002432DC" w:rsidTr="0069684A">
        <w:trPr>
          <w:trHeight w:val="244"/>
        </w:trPr>
        <w:tc>
          <w:tcPr>
            <w:tcW w:w="4724" w:type="dxa"/>
            <w:tcBorders>
              <w:top w:val="nil"/>
              <w:left w:val="nil"/>
              <w:bottom w:val="double" w:sz="6" w:space="0" w:color="auto"/>
              <w:right w:val="nil"/>
            </w:tcBorders>
            <w:shd w:val="clear" w:color="auto" w:fill="auto"/>
            <w:vAlign w:val="center"/>
            <w:hideMark/>
          </w:tcPr>
          <w:p w:rsidR="00675D1A" w:rsidRPr="002432DC" w:rsidRDefault="00675D1A" w:rsidP="0069684A">
            <w:pPr>
              <w:rPr>
                <w:b/>
                <w:bCs/>
                <w:color w:val="000000"/>
                <w:sz w:val="20"/>
                <w:szCs w:val="20"/>
              </w:rPr>
            </w:pPr>
            <w:r w:rsidRPr="002432DC">
              <w:rPr>
                <w:b/>
                <w:bCs/>
                <w:color w:val="000000"/>
                <w:sz w:val="20"/>
                <w:szCs w:val="20"/>
              </w:rPr>
              <w:t>Ejército Nacional</w:t>
            </w:r>
          </w:p>
        </w:tc>
        <w:tc>
          <w:tcPr>
            <w:tcW w:w="3078" w:type="dxa"/>
            <w:tcBorders>
              <w:top w:val="nil"/>
              <w:left w:val="nil"/>
              <w:bottom w:val="double" w:sz="6" w:space="0" w:color="auto"/>
              <w:right w:val="nil"/>
            </w:tcBorders>
            <w:shd w:val="clear" w:color="auto" w:fill="auto"/>
            <w:vAlign w:val="center"/>
            <w:hideMark/>
          </w:tcPr>
          <w:p w:rsidR="00675D1A" w:rsidRPr="002432DC" w:rsidRDefault="00675D1A" w:rsidP="0069684A">
            <w:pPr>
              <w:rPr>
                <w:color w:val="000000"/>
                <w:sz w:val="20"/>
                <w:szCs w:val="20"/>
              </w:rPr>
            </w:pPr>
            <w:r w:rsidRPr="002432DC">
              <w:rPr>
                <w:color w:val="000000"/>
                <w:sz w:val="20"/>
                <w:szCs w:val="20"/>
              </w:rPr>
              <w:t>Exención cuota Libreta Militar</w:t>
            </w:r>
          </w:p>
        </w:tc>
      </w:tr>
    </w:tbl>
    <w:p w:rsidR="0069684A" w:rsidRDefault="0069684A" w:rsidP="0069684A">
      <w:pPr>
        <w:tabs>
          <w:tab w:val="left" w:pos="3403"/>
        </w:tabs>
        <w:rPr>
          <w:bCs/>
          <w:color w:val="000000"/>
          <w:sz w:val="16"/>
        </w:rPr>
      </w:pPr>
    </w:p>
    <w:p w:rsidR="00675D1A" w:rsidRPr="00D531FD" w:rsidRDefault="00675D1A" w:rsidP="0069684A">
      <w:pPr>
        <w:tabs>
          <w:tab w:val="left" w:pos="3403"/>
        </w:tabs>
        <w:rPr>
          <w:bCs/>
          <w:color w:val="000000"/>
          <w:sz w:val="16"/>
        </w:rPr>
      </w:pPr>
      <w:r w:rsidRPr="00D531FD">
        <w:rPr>
          <w:bCs/>
          <w:color w:val="000000"/>
          <w:sz w:val="16"/>
        </w:rPr>
        <w:t>Fuente: Departamento Nacional de Planeación - Sistema de identificación de beneficiarios de Programas Sociales.</w:t>
      </w:r>
    </w:p>
    <w:p w:rsidR="002432DC" w:rsidRDefault="00675D1A" w:rsidP="00675D1A">
      <w:pPr>
        <w:tabs>
          <w:tab w:val="left" w:pos="3403"/>
        </w:tabs>
        <w:spacing w:line="360" w:lineRule="auto"/>
        <w:jc w:val="both"/>
      </w:pPr>
      <w:r w:rsidRPr="00D531FD">
        <w:t xml:space="preserve"> </w:t>
      </w:r>
    </w:p>
    <w:p w:rsidR="00675D1A" w:rsidRPr="00D531FD" w:rsidRDefault="000B26CF" w:rsidP="00675D1A">
      <w:pPr>
        <w:tabs>
          <w:tab w:val="left" w:pos="3403"/>
        </w:tabs>
        <w:spacing w:line="360" w:lineRule="auto"/>
        <w:jc w:val="both"/>
      </w:pPr>
      <w:r>
        <w:t xml:space="preserve">    El nuevo índice S</w:t>
      </w:r>
      <w:r w:rsidR="00AD1A83">
        <w:t>isbé</w:t>
      </w:r>
      <w:r w:rsidR="00AD1A83" w:rsidRPr="00D531FD">
        <w:t>n</w:t>
      </w:r>
      <w:r w:rsidR="00675D1A" w:rsidRPr="00D531FD">
        <w:t xml:space="preserve"> III mejora la clasificación del índice actual en la medida en que diferencia con mayor precisión las condiciones de vida de la zona urbana al incluir una tipología específica para las gr</w:t>
      </w:r>
      <w:r>
        <w:t>andes ciudades.  El índice S</w:t>
      </w:r>
      <w:r w:rsidR="00AD1A83">
        <w:t>isbé</w:t>
      </w:r>
      <w:r w:rsidR="00AD1A83" w:rsidRPr="00D531FD">
        <w:t>n</w:t>
      </w:r>
      <w:r w:rsidR="00675D1A" w:rsidRPr="00D531FD">
        <w:t xml:space="preserve"> III</w:t>
      </w:r>
      <w:r w:rsidR="00F02FD7">
        <w:rPr>
          <w:rStyle w:val="Refdenotaalpie"/>
        </w:rPr>
        <w:footnoteReference w:id="12"/>
      </w:r>
      <w:r w:rsidR="00675D1A" w:rsidRPr="00D531FD">
        <w:t xml:space="preserve"> aprobado por el Conpes mantiene la línea conceptual de la versión anterior al estar enmarcado dentro de un enfoque multidimensional de pobreza, en esta versión se incluyeron las dimensiones de salud, educación y vivienda y se incorporaron variables relacionadas con la vulnerabilidad individual y contextual.</w:t>
      </w:r>
    </w:p>
    <w:p w:rsidR="00675D1A" w:rsidRPr="00D531FD" w:rsidRDefault="00675D1A" w:rsidP="00675D1A">
      <w:pPr>
        <w:tabs>
          <w:tab w:val="left" w:pos="3403"/>
        </w:tabs>
        <w:jc w:val="both"/>
        <w:rPr>
          <w:color w:val="FF0000"/>
        </w:rPr>
      </w:pPr>
    </w:p>
    <w:p w:rsidR="00675D1A" w:rsidRPr="00410197" w:rsidRDefault="00410197" w:rsidP="00410197">
      <w:pPr>
        <w:pStyle w:val="Ttulo2"/>
        <w:rPr>
          <w:rFonts w:ascii="Times New Roman" w:hAnsi="Times New Roman" w:cs="Times New Roman"/>
          <w:color w:val="auto"/>
          <w:sz w:val="30"/>
          <w:szCs w:val="30"/>
        </w:rPr>
      </w:pPr>
      <w:bookmarkStart w:id="15" w:name="_Toc406754282"/>
      <w:r w:rsidRPr="00410197">
        <w:rPr>
          <w:rFonts w:ascii="Times New Roman" w:hAnsi="Times New Roman" w:cs="Times New Roman"/>
          <w:color w:val="auto"/>
          <w:sz w:val="30"/>
          <w:szCs w:val="30"/>
        </w:rPr>
        <w:t xml:space="preserve">1.6.1 </w:t>
      </w:r>
      <w:r>
        <w:rPr>
          <w:rFonts w:ascii="Times New Roman" w:hAnsi="Times New Roman" w:cs="Times New Roman"/>
          <w:color w:val="auto"/>
          <w:sz w:val="30"/>
          <w:szCs w:val="30"/>
        </w:rPr>
        <w:t>El SISBÉ</w:t>
      </w:r>
      <w:r w:rsidR="00675D1A" w:rsidRPr="00410197">
        <w:rPr>
          <w:rFonts w:ascii="Times New Roman" w:hAnsi="Times New Roman" w:cs="Times New Roman"/>
          <w:color w:val="auto"/>
          <w:sz w:val="30"/>
          <w:szCs w:val="30"/>
        </w:rPr>
        <w:t>N en el departamento del Quindío</w:t>
      </w:r>
      <w:bookmarkEnd w:id="15"/>
    </w:p>
    <w:p w:rsidR="00675D1A" w:rsidRDefault="00675D1A" w:rsidP="00675D1A">
      <w:pPr>
        <w:tabs>
          <w:tab w:val="left" w:pos="3403"/>
        </w:tabs>
        <w:jc w:val="both"/>
        <w:rPr>
          <w:color w:val="FF0000"/>
        </w:rPr>
      </w:pPr>
    </w:p>
    <w:p w:rsidR="00977078" w:rsidRPr="002432DC" w:rsidRDefault="00977078" w:rsidP="00675D1A">
      <w:pPr>
        <w:tabs>
          <w:tab w:val="left" w:pos="3403"/>
        </w:tabs>
        <w:jc w:val="both"/>
        <w:rPr>
          <w:color w:val="FF0000"/>
        </w:rPr>
      </w:pPr>
    </w:p>
    <w:p w:rsidR="00675D1A" w:rsidRPr="00D531FD" w:rsidRDefault="00675D1A" w:rsidP="00675D1A">
      <w:pPr>
        <w:tabs>
          <w:tab w:val="left" w:pos="3403"/>
        </w:tabs>
        <w:spacing w:line="360" w:lineRule="auto"/>
        <w:jc w:val="both"/>
        <w:rPr>
          <w:color w:val="FF0000"/>
        </w:rPr>
      </w:pPr>
      <w:r w:rsidRPr="00D531FD">
        <w:t xml:space="preserve">     Al mes de noviembre del 2013, la base</w:t>
      </w:r>
      <w:r w:rsidRPr="00D531FD">
        <w:rPr>
          <w:color w:val="FF0000"/>
        </w:rPr>
        <w:t xml:space="preserve"> </w:t>
      </w:r>
      <w:r w:rsidRPr="00D531FD">
        <w:t>del Sisbén para el departamento del Quindío evidencia que la mayoría de la población registrada se encuentra en el municipio de Armenia con 194.107 personas registradas de una población total de 293.605 personas  las cuales corresponden a 60.077 hogares.</w:t>
      </w:r>
      <w:r w:rsidRPr="00D531FD">
        <w:rPr>
          <w:color w:val="FF0000"/>
        </w:rPr>
        <w:t xml:space="preserve"> </w:t>
      </w:r>
    </w:p>
    <w:p w:rsidR="00675D1A" w:rsidRDefault="00675D1A" w:rsidP="00675D1A">
      <w:pPr>
        <w:tabs>
          <w:tab w:val="left" w:pos="3403"/>
        </w:tabs>
        <w:jc w:val="both"/>
        <w:rPr>
          <w:color w:val="FF0000"/>
        </w:rPr>
      </w:pPr>
    </w:p>
    <w:p w:rsidR="00675D1A" w:rsidRPr="00977078" w:rsidRDefault="00675D1A" w:rsidP="00D86358">
      <w:pPr>
        <w:tabs>
          <w:tab w:val="left" w:pos="3403"/>
        </w:tabs>
        <w:jc w:val="both"/>
      </w:pPr>
      <w:r w:rsidRPr="00977078">
        <w:lastRenderedPageBreak/>
        <w:t xml:space="preserve">Gráfico No. </w:t>
      </w:r>
      <w:r w:rsidR="00713A31">
        <w:t>1.13</w:t>
      </w:r>
    </w:p>
    <w:p w:rsidR="002432DC" w:rsidRPr="00977078" w:rsidRDefault="00675D1A" w:rsidP="00D86358">
      <w:pPr>
        <w:tabs>
          <w:tab w:val="left" w:pos="3403"/>
        </w:tabs>
        <w:jc w:val="both"/>
        <w:rPr>
          <w:bCs/>
        </w:rPr>
      </w:pPr>
      <w:r w:rsidRPr="00977078">
        <w:rPr>
          <w:bCs/>
        </w:rPr>
        <w:t xml:space="preserve">Porcentaje de Población SISBEN zona rural, centro poblado y rural </w:t>
      </w:r>
    </w:p>
    <w:p w:rsidR="00675D1A" w:rsidRDefault="00675D1A" w:rsidP="00D86358">
      <w:pPr>
        <w:tabs>
          <w:tab w:val="left" w:pos="3403"/>
        </w:tabs>
        <w:jc w:val="both"/>
        <w:rPr>
          <w:bCs/>
        </w:rPr>
      </w:pPr>
      <w:r w:rsidRPr="00977078">
        <w:rPr>
          <w:bCs/>
        </w:rPr>
        <w:t>2013</w:t>
      </w:r>
    </w:p>
    <w:p w:rsidR="00F17BDD" w:rsidRPr="00977078" w:rsidRDefault="00F17BDD" w:rsidP="00977078">
      <w:pPr>
        <w:tabs>
          <w:tab w:val="left" w:pos="3403"/>
        </w:tabs>
        <w:ind w:left="708"/>
        <w:jc w:val="both"/>
        <w:rPr>
          <w:bCs/>
        </w:rPr>
      </w:pPr>
    </w:p>
    <w:p w:rsidR="00D86358" w:rsidRDefault="00675D1A" w:rsidP="00D86358">
      <w:pPr>
        <w:tabs>
          <w:tab w:val="left" w:pos="3403"/>
        </w:tabs>
        <w:rPr>
          <w:sz w:val="18"/>
          <w:szCs w:val="22"/>
        </w:rPr>
      </w:pPr>
      <w:r w:rsidRPr="00D531FD">
        <w:rPr>
          <w:b/>
          <w:noProof/>
          <w:sz w:val="22"/>
          <w:szCs w:val="22"/>
        </w:rPr>
        <w:drawing>
          <wp:inline distT="0" distB="0" distL="0" distR="0" wp14:anchorId="548BA847" wp14:editId="0CC38A5B">
            <wp:extent cx="5562600" cy="2457450"/>
            <wp:effectExtent l="0" t="0" r="19050" b="19050"/>
            <wp:docPr id="22"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6358" w:rsidRDefault="00D86358" w:rsidP="00D86358">
      <w:pPr>
        <w:tabs>
          <w:tab w:val="left" w:pos="3403"/>
        </w:tabs>
        <w:rPr>
          <w:sz w:val="18"/>
          <w:szCs w:val="22"/>
        </w:rPr>
      </w:pPr>
    </w:p>
    <w:p w:rsidR="002432DC" w:rsidRPr="00D86358" w:rsidRDefault="002432DC" w:rsidP="00D86358">
      <w:pPr>
        <w:tabs>
          <w:tab w:val="left" w:pos="3403"/>
        </w:tabs>
        <w:rPr>
          <w:color w:val="FF0000"/>
        </w:rPr>
      </w:pPr>
      <w:r w:rsidRPr="00D531FD">
        <w:rPr>
          <w:sz w:val="18"/>
          <w:szCs w:val="22"/>
        </w:rPr>
        <w:t>Fuente: Datos Base consolidada y certificada por el DNP con corte a Noviembre 2013. Cálculos DNP-DR-ESE.</w:t>
      </w:r>
    </w:p>
    <w:p w:rsidR="002432DC" w:rsidRDefault="002432DC" w:rsidP="00675D1A">
      <w:pPr>
        <w:tabs>
          <w:tab w:val="left" w:pos="486"/>
        </w:tabs>
        <w:jc w:val="center"/>
      </w:pPr>
    </w:p>
    <w:p w:rsidR="00F17BDD" w:rsidRDefault="00F17BDD" w:rsidP="00F17BDD">
      <w:pPr>
        <w:tabs>
          <w:tab w:val="left" w:pos="486"/>
        </w:tabs>
        <w:jc w:val="center"/>
      </w:pPr>
    </w:p>
    <w:p w:rsidR="00501327" w:rsidRDefault="00501327" w:rsidP="00F17BDD">
      <w:pPr>
        <w:tabs>
          <w:tab w:val="left" w:pos="486"/>
        </w:tabs>
        <w:jc w:val="center"/>
      </w:pPr>
    </w:p>
    <w:p w:rsidR="00F17BDD" w:rsidRPr="00F17BDD" w:rsidRDefault="005A513D" w:rsidP="00E13E4A">
      <w:pPr>
        <w:tabs>
          <w:tab w:val="left" w:pos="486"/>
        </w:tabs>
        <w:rPr>
          <w:color w:val="FF0000"/>
        </w:rPr>
      </w:pPr>
      <w:r>
        <w:t>Tabla</w:t>
      </w:r>
      <w:r w:rsidR="00F17BDD" w:rsidRPr="00F17BDD">
        <w:rPr>
          <w:color w:val="FF0000"/>
        </w:rPr>
        <w:t xml:space="preserve"> </w:t>
      </w:r>
      <w:r w:rsidR="00F17BDD" w:rsidRPr="00F17BDD">
        <w:t>1.9</w:t>
      </w:r>
    </w:p>
    <w:p w:rsidR="00977078" w:rsidRPr="00F17BDD" w:rsidRDefault="00F17BDD" w:rsidP="00E13E4A">
      <w:pPr>
        <w:tabs>
          <w:tab w:val="left" w:pos="486"/>
        </w:tabs>
      </w:pPr>
      <w:r w:rsidRPr="00F17BDD">
        <w:rPr>
          <w:bCs/>
        </w:rPr>
        <w:t>Porcentaje de Población SISBEN zona rural, centro poblado y rural</w:t>
      </w:r>
    </w:p>
    <w:p w:rsidR="00F17BDD" w:rsidRPr="000D6327" w:rsidRDefault="00F17BDD" w:rsidP="00E13E4A">
      <w:pPr>
        <w:rPr>
          <w:bCs/>
        </w:rPr>
      </w:pPr>
      <w:r w:rsidRPr="00F17BDD">
        <w:rPr>
          <w:bCs/>
        </w:rPr>
        <w:t>2013</w:t>
      </w:r>
    </w:p>
    <w:p w:rsidR="00977078" w:rsidRPr="005034D3" w:rsidRDefault="00977078" w:rsidP="005034D3">
      <w:pPr>
        <w:tabs>
          <w:tab w:val="left" w:pos="486"/>
        </w:tabs>
        <w:jc w:val="both"/>
      </w:pPr>
    </w:p>
    <w:tbl>
      <w:tblPr>
        <w:tblW w:w="8195" w:type="dxa"/>
        <w:tblCellMar>
          <w:left w:w="70" w:type="dxa"/>
          <w:right w:w="70" w:type="dxa"/>
        </w:tblCellMar>
        <w:tblLook w:val="04A0" w:firstRow="1" w:lastRow="0" w:firstColumn="1" w:lastColumn="0" w:noHBand="0" w:noVBand="1"/>
      </w:tblPr>
      <w:tblGrid>
        <w:gridCol w:w="1790"/>
        <w:gridCol w:w="1241"/>
        <w:gridCol w:w="1263"/>
        <w:gridCol w:w="1318"/>
        <w:gridCol w:w="1263"/>
        <w:gridCol w:w="1320"/>
      </w:tblGrid>
      <w:tr w:rsidR="00675D1A" w:rsidRPr="00D531FD" w:rsidTr="00E13E4A">
        <w:trPr>
          <w:trHeight w:val="603"/>
          <w:tblHeader/>
        </w:trPr>
        <w:tc>
          <w:tcPr>
            <w:tcW w:w="1790" w:type="dxa"/>
            <w:vMerge w:val="restart"/>
            <w:tcBorders>
              <w:top w:val="single" w:sz="4" w:space="0" w:color="auto"/>
              <w:left w:val="nil"/>
              <w:bottom w:val="single" w:sz="4" w:space="0" w:color="000000"/>
              <w:right w:val="nil"/>
            </w:tcBorders>
            <w:shd w:val="clear" w:color="000000" w:fill="FFFFFF"/>
            <w:noWrap/>
            <w:vAlign w:val="center"/>
            <w:hideMark/>
          </w:tcPr>
          <w:p w:rsidR="00675D1A" w:rsidRPr="00D531FD" w:rsidRDefault="00675D1A" w:rsidP="002C791A">
            <w:pPr>
              <w:jc w:val="center"/>
              <w:rPr>
                <w:b/>
                <w:bCs/>
                <w:sz w:val="20"/>
                <w:szCs w:val="20"/>
              </w:rPr>
            </w:pPr>
            <w:r w:rsidRPr="00D531FD">
              <w:rPr>
                <w:b/>
                <w:bCs/>
                <w:sz w:val="20"/>
                <w:szCs w:val="20"/>
                <w:lang w:val="es-AR" w:eastAsia="es-AR"/>
              </w:rPr>
              <w:t>Municipio</w:t>
            </w:r>
          </w:p>
        </w:tc>
        <w:tc>
          <w:tcPr>
            <w:tcW w:w="1241" w:type="dxa"/>
            <w:vMerge w:val="restart"/>
            <w:tcBorders>
              <w:top w:val="single" w:sz="4" w:space="0" w:color="auto"/>
              <w:left w:val="nil"/>
              <w:bottom w:val="single" w:sz="4" w:space="0" w:color="000000"/>
              <w:right w:val="nil"/>
            </w:tcBorders>
            <w:shd w:val="clear" w:color="000000" w:fill="FFFFFF"/>
            <w:vAlign w:val="center"/>
            <w:hideMark/>
          </w:tcPr>
          <w:p w:rsidR="00675D1A" w:rsidRPr="00D531FD" w:rsidRDefault="00675D1A" w:rsidP="002C791A">
            <w:pPr>
              <w:jc w:val="center"/>
              <w:rPr>
                <w:b/>
                <w:bCs/>
                <w:sz w:val="20"/>
                <w:szCs w:val="20"/>
              </w:rPr>
            </w:pPr>
            <w:r w:rsidRPr="00D531FD">
              <w:rPr>
                <w:b/>
                <w:bCs/>
                <w:sz w:val="20"/>
                <w:szCs w:val="20"/>
                <w:lang w:val="es-AR" w:eastAsia="es-AR"/>
              </w:rPr>
              <w:t>*Población Total 2013</w:t>
            </w:r>
          </w:p>
        </w:tc>
        <w:tc>
          <w:tcPr>
            <w:tcW w:w="1263" w:type="dxa"/>
            <w:vMerge w:val="restart"/>
            <w:tcBorders>
              <w:top w:val="single" w:sz="4" w:space="0" w:color="auto"/>
              <w:left w:val="nil"/>
              <w:bottom w:val="single" w:sz="4" w:space="0" w:color="000000"/>
              <w:right w:val="nil"/>
            </w:tcBorders>
            <w:shd w:val="clear" w:color="000000" w:fill="FFFFFF"/>
            <w:vAlign w:val="center"/>
            <w:hideMark/>
          </w:tcPr>
          <w:p w:rsidR="00675D1A" w:rsidRPr="00D531FD" w:rsidRDefault="00675D1A" w:rsidP="002C791A">
            <w:pPr>
              <w:jc w:val="center"/>
              <w:rPr>
                <w:b/>
                <w:bCs/>
                <w:sz w:val="20"/>
                <w:szCs w:val="20"/>
              </w:rPr>
            </w:pPr>
            <w:r w:rsidRPr="00D531FD">
              <w:rPr>
                <w:b/>
                <w:bCs/>
                <w:sz w:val="20"/>
                <w:szCs w:val="20"/>
                <w:lang w:val="es-AR" w:eastAsia="es-AR"/>
              </w:rPr>
              <w:t>Población Registrada en el SISBEN</w:t>
            </w:r>
          </w:p>
        </w:tc>
        <w:tc>
          <w:tcPr>
            <w:tcW w:w="1318" w:type="dxa"/>
            <w:vMerge w:val="restart"/>
            <w:tcBorders>
              <w:top w:val="single" w:sz="4" w:space="0" w:color="auto"/>
              <w:left w:val="nil"/>
              <w:bottom w:val="single" w:sz="4" w:space="0" w:color="000000"/>
              <w:right w:val="nil"/>
            </w:tcBorders>
            <w:shd w:val="clear" w:color="000000" w:fill="FFFFFF"/>
            <w:vAlign w:val="center"/>
            <w:hideMark/>
          </w:tcPr>
          <w:p w:rsidR="00675D1A" w:rsidRPr="00D531FD" w:rsidRDefault="00675D1A" w:rsidP="002C791A">
            <w:pPr>
              <w:jc w:val="center"/>
              <w:rPr>
                <w:b/>
                <w:bCs/>
                <w:sz w:val="20"/>
                <w:szCs w:val="20"/>
              </w:rPr>
            </w:pPr>
            <w:r w:rsidRPr="00D531FD">
              <w:rPr>
                <w:b/>
                <w:bCs/>
                <w:sz w:val="20"/>
                <w:szCs w:val="20"/>
                <w:lang w:val="es-AR" w:eastAsia="es-AR"/>
              </w:rPr>
              <w:t>Hogares Registrados en el SISBEN</w:t>
            </w:r>
          </w:p>
        </w:tc>
        <w:tc>
          <w:tcPr>
            <w:tcW w:w="1263" w:type="dxa"/>
            <w:vMerge w:val="restart"/>
            <w:tcBorders>
              <w:top w:val="single" w:sz="4" w:space="0" w:color="auto"/>
              <w:left w:val="nil"/>
              <w:bottom w:val="single" w:sz="4" w:space="0" w:color="000000"/>
              <w:right w:val="nil"/>
            </w:tcBorders>
            <w:shd w:val="clear" w:color="000000" w:fill="FFFFFF"/>
            <w:vAlign w:val="center"/>
            <w:hideMark/>
          </w:tcPr>
          <w:p w:rsidR="00675D1A" w:rsidRPr="00D531FD" w:rsidRDefault="00675D1A" w:rsidP="002C791A">
            <w:pPr>
              <w:jc w:val="center"/>
              <w:rPr>
                <w:b/>
                <w:bCs/>
                <w:sz w:val="20"/>
                <w:szCs w:val="20"/>
              </w:rPr>
            </w:pPr>
            <w:r w:rsidRPr="00D531FD">
              <w:rPr>
                <w:b/>
                <w:bCs/>
                <w:sz w:val="20"/>
                <w:szCs w:val="20"/>
                <w:lang w:val="es-AR" w:eastAsia="es-AR"/>
              </w:rPr>
              <w:t>% Población Registrada</w:t>
            </w:r>
          </w:p>
        </w:tc>
        <w:tc>
          <w:tcPr>
            <w:tcW w:w="1320" w:type="dxa"/>
            <w:vMerge w:val="restart"/>
            <w:tcBorders>
              <w:top w:val="single" w:sz="4" w:space="0" w:color="auto"/>
              <w:left w:val="nil"/>
              <w:bottom w:val="single" w:sz="4" w:space="0" w:color="000000"/>
              <w:right w:val="nil"/>
            </w:tcBorders>
            <w:shd w:val="clear" w:color="000000" w:fill="FFFFFF"/>
            <w:vAlign w:val="center"/>
            <w:hideMark/>
          </w:tcPr>
          <w:p w:rsidR="00675D1A" w:rsidRPr="00D531FD" w:rsidRDefault="00675D1A" w:rsidP="002C791A">
            <w:pPr>
              <w:jc w:val="center"/>
              <w:rPr>
                <w:b/>
                <w:bCs/>
                <w:sz w:val="20"/>
                <w:szCs w:val="20"/>
              </w:rPr>
            </w:pPr>
            <w:r w:rsidRPr="00D531FD">
              <w:rPr>
                <w:b/>
                <w:bCs/>
                <w:sz w:val="20"/>
                <w:szCs w:val="20"/>
                <w:lang w:val="es-AR" w:eastAsia="es-AR"/>
              </w:rPr>
              <w:t>% Hogares Registrados</w:t>
            </w:r>
          </w:p>
        </w:tc>
      </w:tr>
      <w:tr w:rsidR="00675D1A" w:rsidRPr="00D531FD" w:rsidTr="00E13E4A">
        <w:trPr>
          <w:cantSplit/>
          <w:trHeight w:val="403"/>
          <w:tblHeader/>
        </w:trPr>
        <w:tc>
          <w:tcPr>
            <w:tcW w:w="1790" w:type="dxa"/>
            <w:vMerge/>
            <w:tcBorders>
              <w:top w:val="single" w:sz="4" w:space="0" w:color="auto"/>
              <w:left w:val="nil"/>
              <w:bottom w:val="single" w:sz="4" w:space="0" w:color="000000"/>
              <w:right w:val="nil"/>
            </w:tcBorders>
            <w:vAlign w:val="center"/>
            <w:hideMark/>
          </w:tcPr>
          <w:p w:rsidR="00675D1A" w:rsidRPr="00D531FD" w:rsidRDefault="00675D1A" w:rsidP="002C791A">
            <w:pPr>
              <w:rPr>
                <w:b/>
                <w:bCs/>
                <w:sz w:val="20"/>
                <w:szCs w:val="20"/>
              </w:rPr>
            </w:pPr>
          </w:p>
        </w:tc>
        <w:tc>
          <w:tcPr>
            <w:tcW w:w="1241" w:type="dxa"/>
            <w:vMerge/>
            <w:tcBorders>
              <w:top w:val="single" w:sz="4" w:space="0" w:color="auto"/>
              <w:left w:val="nil"/>
              <w:bottom w:val="single" w:sz="4" w:space="0" w:color="000000"/>
              <w:right w:val="nil"/>
            </w:tcBorders>
            <w:vAlign w:val="center"/>
            <w:hideMark/>
          </w:tcPr>
          <w:p w:rsidR="00675D1A" w:rsidRPr="00D531FD" w:rsidRDefault="00675D1A" w:rsidP="002C791A">
            <w:pPr>
              <w:jc w:val="center"/>
              <w:rPr>
                <w:b/>
                <w:bCs/>
                <w:sz w:val="20"/>
                <w:szCs w:val="20"/>
              </w:rPr>
            </w:pPr>
          </w:p>
        </w:tc>
        <w:tc>
          <w:tcPr>
            <w:tcW w:w="1263" w:type="dxa"/>
            <w:vMerge/>
            <w:tcBorders>
              <w:top w:val="single" w:sz="4" w:space="0" w:color="auto"/>
              <w:left w:val="nil"/>
              <w:bottom w:val="single" w:sz="4" w:space="0" w:color="000000"/>
              <w:right w:val="nil"/>
            </w:tcBorders>
            <w:vAlign w:val="center"/>
            <w:hideMark/>
          </w:tcPr>
          <w:p w:rsidR="00675D1A" w:rsidRPr="00D531FD" w:rsidRDefault="00675D1A" w:rsidP="002C791A">
            <w:pPr>
              <w:jc w:val="center"/>
              <w:rPr>
                <w:b/>
                <w:bCs/>
                <w:sz w:val="20"/>
                <w:szCs w:val="20"/>
              </w:rPr>
            </w:pPr>
          </w:p>
        </w:tc>
        <w:tc>
          <w:tcPr>
            <w:tcW w:w="1318" w:type="dxa"/>
            <w:vMerge/>
            <w:tcBorders>
              <w:top w:val="single" w:sz="4" w:space="0" w:color="auto"/>
              <w:left w:val="nil"/>
              <w:bottom w:val="single" w:sz="4" w:space="0" w:color="000000"/>
              <w:right w:val="nil"/>
            </w:tcBorders>
            <w:vAlign w:val="center"/>
            <w:hideMark/>
          </w:tcPr>
          <w:p w:rsidR="00675D1A" w:rsidRPr="00D531FD" w:rsidRDefault="00675D1A" w:rsidP="002C791A">
            <w:pPr>
              <w:jc w:val="center"/>
              <w:rPr>
                <w:b/>
                <w:bCs/>
                <w:sz w:val="20"/>
                <w:szCs w:val="20"/>
              </w:rPr>
            </w:pPr>
          </w:p>
        </w:tc>
        <w:tc>
          <w:tcPr>
            <w:tcW w:w="1263" w:type="dxa"/>
            <w:vMerge/>
            <w:tcBorders>
              <w:top w:val="single" w:sz="4" w:space="0" w:color="auto"/>
              <w:left w:val="nil"/>
              <w:bottom w:val="single" w:sz="4" w:space="0" w:color="000000"/>
              <w:right w:val="nil"/>
            </w:tcBorders>
            <w:vAlign w:val="center"/>
            <w:hideMark/>
          </w:tcPr>
          <w:p w:rsidR="00675D1A" w:rsidRPr="00D531FD" w:rsidRDefault="00675D1A" w:rsidP="002C791A">
            <w:pPr>
              <w:jc w:val="center"/>
              <w:rPr>
                <w:b/>
                <w:bCs/>
                <w:sz w:val="20"/>
                <w:szCs w:val="20"/>
              </w:rPr>
            </w:pPr>
          </w:p>
        </w:tc>
        <w:tc>
          <w:tcPr>
            <w:tcW w:w="1320" w:type="dxa"/>
            <w:vMerge/>
            <w:tcBorders>
              <w:top w:val="single" w:sz="4" w:space="0" w:color="auto"/>
              <w:left w:val="nil"/>
              <w:bottom w:val="single" w:sz="4" w:space="0" w:color="000000"/>
              <w:right w:val="nil"/>
            </w:tcBorders>
            <w:vAlign w:val="center"/>
            <w:hideMark/>
          </w:tcPr>
          <w:p w:rsidR="00675D1A" w:rsidRPr="00D531FD" w:rsidRDefault="00675D1A" w:rsidP="002C791A">
            <w:pPr>
              <w:jc w:val="center"/>
              <w:rPr>
                <w:b/>
                <w:bCs/>
                <w:sz w:val="20"/>
                <w:szCs w:val="20"/>
              </w:rPr>
            </w:pPr>
          </w:p>
        </w:tc>
      </w:tr>
      <w:tr w:rsidR="00675D1A" w:rsidRPr="00D531FD" w:rsidTr="00E13E4A">
        <w:trPr>
          <w:cantSplit/>
          <w:trHeight w:val="227"/>
          <w:tblHeader/>
        </w:trPr>
        <w:tc>
          <w:tcPr>
            <w:tcW w:w="1790" w:type="dxa"/>
            <w:tcBorders>
              <w:top w:val="nil"/>
              <w:left w:val="nil"/>
              <w:bottom w:val="nil"/>
              <w:right w:val="nil"/>
            </w:tcBorders>
            <w:shd w:val="clear" w:color="auto" w:fill="auto"/>
            <w:noWrap/>
            <w:vAlign w:val="bottom"/>
            <w:hideMark/>
          </w:tcPr>
          <w:p w:rsidR="00675D1A" w:rsidRPr="00D531FD" w:rsidRDefault="00675D1A" w:rsidP="002C791A">
            <w:pPr>
              <w:rPr>
                <w:color w:val="000000"/>
                <w:sz w:val="20"/>
                <w:szCs w:val="20"/>
              </w:rPr>
            </w:pPr>
            <w:r w:rsidRPr="00D531FD">
              <w:rPr>
                <w:color w:val="000000"/>
                <w:sz w:val="20"/>
                <w:szCs w:val="20"/>
              </w:rPr>
              <w:t>Armenia</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293.605</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194</w:t>
            </w:r>
            <w:r w:rsidR="00EF58B7">
              <w:rPr>
                <w:color w:val="000000"/>
                <w:sz w:val="20"/>
                <w:szCs w:val="20"/>
              </w:rPr>
              <w:t>.</w:t>
            </w:r>
            <w:r w:rsidRPr="00D531FD">
              <w:rPr>
                <w:color w:val="000000"/>
                <w:sz w:val="20"/>
                <w:szCs w:val="20"/>
              </w:rPr>
              <w:t>107</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60</w:t>
            </w:r>
            <w:r w:rsidR="005034D3">
              <w:rPr>
                <w:color w:val="000000"/>
                <w:sz w:val="20"/>
                <w:szCs w:val="20"/>
              </w:rPr>
              <w:t>.</w:t>
            </w:r>
            <w:r w:rsidRPr="00D531FD">
              <w:rPr>
                <w:color w:val="000000"/>
                <w:sz w:val="20"/>
                <w:szCs w:val="20"/>
              </w:rPr>
              <w:t>077</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66,11%</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20,46%</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color w:val="000000"/>
                <w:sz w:val="20"/>
                <w:szCs w:val="20"/>
              </w:rPr>
              <w:t>Buenavista</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2.886</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2</w:t>
            </w:r>
            <w:r w:rsidR="005034D3">
              <w:rPr>
                <w:color w:val="000000"/>
                <w:sz w:val="20"/>
                <w:szCs w:val="20"/>
              </w:rPr>
              <w:t>.</w:t>
            </w:r>
            <w:r w:rsidRPr="00D531FD">
              <w:rPr>
                <w:color w:val="000000"/>
                <w:sz w:val="20"/>
                <w:szCs w:val="20"/>
              </w:rPr>
              <w:t>589</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955</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89,71%</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33,09%</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EF58B7" w:rsidP="002C791A">
            <w:pPr>
              <w:rPr>
                <w:color w:val="000000"/>
                <w:sz w:val="20"/>
                <w:szCs w:val="20"/>
              </w:rPr>
            </w:pPr>
            <w:r w:rsidRPr="00D531FD">
              <w:rPr>
                <w:color w:val="000000"/>
                <w:sz w:val="20"/>
                <w:szCs w:val="20"/>
              </w:rPr>
              <w:t>Calarcá</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76.819</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55</w:t>
            </w:r>
            <w:r w:rsidR="005034D3">
              <w:rPr>
                <w:color w:val="000000"/>
                <w:sz w:val="20"/>
                <w:szCs w:val="20"/>
              </w:rPr>
              <w:t>.</w:t>
            </w:r>
            <w:r w:rsidRPr="00D531FD">
              <w:rPr>
                <w:color w:val="000000"/>
                <w:sz w:val="20"/>
                <w:szCs w:val="20"/>
              </w:rPr>
              <w:t>411</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17</w:t>
            </w:r>
            <w:r w:rsidR="005034D3">
              <w:rPr>
                <w:color w:val="000000"/>
                <w:sz w:val="20"/>
                <w:szCs w:val="20"/>
              </w:rPr>
              <w:t>.</w:t>
            </w:r>
            <w:r w:rsidRPr="00D531FD">
              <w:rPr>
                <w:color w:val="000000"/>
                <w:sz w:val="20"/>
                <w:szCs w:val="20"/>
              </w:rPr>
              <w:t>264</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72,13%</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22,47%</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color w:val="000000"/>
                <w:sz w:val="20"/>
                <w:szCs w:val="20"/>
              </w:rPr>
              <w:t>Circasia</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29.393</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22</w:t>
            </w:r>
            <w:r w:rsidR="005034D3">
              <w:rPr>
                <w:color w:val="000000"/>
                <w:sz w:val="20"/>
                <w:szCs w:val="20"/>
              </w:rPr>
              <w:t>.</w:t>
            </w:r>
            <w:r w:rsidRPr="00D531FD">
              <w:rPr>
                <w:color w:val="000000"/>
                <w:sz w:val="20"/>
                <w:szCs w:val="20"/>
              </w:rPr>
              <w:t>214</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7</w:t>
            </w:r>
            <w:r w:rsidR="005034D3">
              <w:rPr>
                <w:color w:val="000000"/>
                <w:sz w:val="20"/>
                <w:szCs w:val="20"/>
              </w:rPr>
              <w:t>.</w:t>
            </w:r>
            <w:r w:rsidRPr="00D531FD">
              <w:rPr>
                <w:color w:val="000000"/>
                <w:sz w:val="20"/>
                <w:szCs w:val="20"/>
              </w:rPr>
              <w:t>483</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75,58%</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25,46%</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EF58B7" w:rsidP="002C791A">
            <w:pPr>
              <w:rPr>
                <w:color w:val="000000"/>
                <w:sz w:val="20"/>
                <w:szCs w:val="20"/>
              </w:rPr>
            </w:pPr>
            <w:r w:rsidRPr="00D531FD">
              <w:rPr>
                <w:color w:val="000000"/>
                <w:sz w:val="20"/>
                <w:szCs w:val="20"/>
              </w:rPr>
              <w:t>Córdoba</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5.325</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5</w:t>
            </w:r>
            <w:r w:rsidR="005034D3">
              <w:rPr>
                <w:color w:val="000000"/>
                <w:sz w:val="20"/>
                <w:szCs w:val="20"/>
              </w:rPr>
              <w:t>.</w:t>
            </w:r>
            <w:r w:rsidRPr="00D531FD">
              <w:rPr>
                <w:color w:val="000000"/>
                <w:sz w:val="20"/>
                <w:szCs w:val="20"/>
              </w:rPr>
              <w:t>041</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1</w:t>
            </w:r>
            <w:r w:rsidR="005034D3">
              <w:rPr>
                <w:color w:val="000000"/>
                <w:sz w:val="20"/>
                <w:szCs w:val="20"/>
              </w:rPr>
              <w:t>.</w:t>
            </w:r>
            <w:r w:rsidRPr="00D531FD">
              <w:rPr>
                <w:color w:val="000000"/>
                <w:sz w:val="20"/>
                <w:szCs w:val="20"/>
              </w:rPr>
              <w:t>602</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94,67%</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30,08%</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color w:val="000000"/>
                <w:sz w:val="20"/>
                <w:szCs w:val="20"/>
              </w:rPr>
              <w:t>Filandia</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13.310</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10</w:t>
            </w:r>
            <w:r w:rsidR="005034D3">
              <w:rPr>
                <w:color w:val="000000"/>
                <w:sz w:val="20"/>
                <w:szCs w:val="20"/>
              </w:rPr>
              <w:t>.</w:t>
            </w:r>
            <w:r w:rsidRPr="00D531FD">
              <w:rPr>
                <w:color w:val="000000"/>
                <w:sz w:val="20"/>
                <w:szCs w:val="20"/>
              </w:rPr>
              <w:t>131</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3</w:t>
            </w:r>
            <w:r w:rsidR="005034D3">
              <w:rPr>
                <w:color w:val="000000"/>
                <w:sz w:val="20"/>
                <w:szCs w:val="20"/>
              </w:rPr>
              <w:t>.</w:t>
            </w:r>
            <w:r w:rsidRPr="00D531FD">
              <w:rPr>
                <w:color w:val="000000"/>
                <w:sz w:val="20"/>
                <w:szCs w:val="20"/>
              </w:rPr>
              <w:t>321</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76,12%</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24,95%</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EF58B7" w:rsidP="002C791A">
            <w:pPr>
              <w:rPr>
                <w:color w:val="000000"/>
                <w:sz w:val="20"/>
                <w:szCs w:val="20"/>
              </w:rPr>
            </w:pPr>
            <w:r w:rsidRPr="00D531FD">
              <w:rPr>
                <w:color w:val="000000"/>
                <w:sz w:val="20"/>
                <w:szCs w:val="20"/>
              </w:rPr>
              <w:t>Génova</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8.225</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7</w:t>
            </w:r>
            <w:r w:rsidR="005034D3">
              <w:rPr>
                <w:color w:val="000000"/>
                <w:sz w:val="20"/>
                <w:szCs w:val="20"/>
              </w:rPr>
              <w:t>.</w:t>
            </w:r>
            <w:r w:rsidRPr="00D531FD">
              <w:rPr>
                <w:color w:val="000000"/>
                <w:sz w:val="20"/>
                <w:szCs w:val="20"/>
              </w:rPr>
              <w:t>141</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2</w:t>
            </w:r>
            <w:r w:rsidR="005034D3">
              <w:rPr>
                <w:color w:val="000000"/>
                <w:sz w:val="20"/>
                <w:szCs w:val="20"/>
              </w:rPr>
              <w:t>.</w:t>
            </w:r>
            <w:r w:rsidRPr="00D531FD">
              <w:rPr>
                <w:color w:val="000000"/>
                <w:sz w:val="20"/>
                <w:szCs w:val="20"/>
              </w:rPr>
              <w:t>482</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86,82%</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30,18%</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color w:val="000000"/>
                <w:sz w:val="20"/>
                <w:szCs w:val="20"/>
              </w:rPr>
              <w:t>La Tebaida</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40.247</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33</w:t>
            </w:r>
            <w:r w:rsidR="005034D3">
              <w:rPr>
                <w:color w:val="000000"/>
                <w:sz w:val="20"/>
                <w:szCs w:val="20"/>
              </w:rPr>
              <w:t>.</w:t>
            </w:r>
            <w:r w:rsidRPr="00D531FD">
              <w:rPr>
                <w:color w:val="000000"/>
                <w:sz w:val="20"/>
                <w:szCs w:val="20"/>
              </w:rPr>
              <w:t>785</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10</w:t>
            </w:r>
            <w:r w:rsidR="005034D3">
              <w:rPr>
                <w:color w:val="000000"/>
                <w:sz w:val="20"/>
                <w:szCs w:val="20"/>
              </w:rPr>
              <w:t>.</w:t>
            </w:r>
            <w:r w:rsidRPr="00D531FD">
              <w:rPr>
                <w:color w:val="000000"/>
                <w:sz w:val="20"/>
                <w:szCs w:val="20"/>
              </w:rPr>
              <w:t>968</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83,94%</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27,25%</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color w:val="000000"/>
                <w:sz w:val="20"/>
                <w:szCs w:val="20"/>
              </w:rPr>
              <w:t>Montenegro</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41.010</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36</w:t>
            </w:r>
            <w:r w:rsidR="005034D3">
              <w:rPr>
                <w:color w:val="000000"/>
                <w:sz w:val="20"/>
                <w:szCs w:val="20"/>
              </w:rPr>
              <w:t>.</w:t>
            </w:r>
            <w:r w:rsidRPr="00D531FD">
              <w:rPr>
                <w:color w:val="000000"/>
                <w:sz w:val="20"/>
                <w:szCs w:val="20"/>
              </w:rPr>
              <w:t>831</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12</w:t>
            </w:r>
            <w:r w:rsidR="005034D3">
              <w:rPr>
                <w:color w:val="000000"/>
                <w:sz w:val="20"/>
                <w:szCs w:val="20"/>
              </w:rPr>
              <w:t>.</w:t>
            </w:r>
            <w:r w:rsidRPr="00D531FD">
              <w:rPr>
                <w:color w:val="000000"/>
                <w:sz w:val="20"/>
                <w:szCs w:val="20"/>
              </w:rPr>
              <w:t>536</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89,81%</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30,57%</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color w:val="000000"/>
                <w:sz w:val="20"/>
                <w:szCs w:val="20"/>
              </w:rPr>
              <w:t>Pijao</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6.243</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5</w:t>
            </w:r>
            <w:r w:rsidR="005034D3">
              <w:rPr>
                <w:color w:val="000000"/>
                <w:sz w:val="20"/>
                <w:szCs w:val="20"/>
              </w:rPr>
              <w:t>.</w:t>
            </w:r>
            <w:r w:rsidRPr="00D531FD">
              <w:rPr>
                <w:color w:val="000000"/>
                <w:sz w:val="20"/>
                <w:szCs w:val="20"/>
              </w:rPr>
              <w:t>990</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1</w:t>
            </w:r>
            <w:r w:rsidR="005034D3">
              <w:rPr>
                <w:color w:val="000000"/>
                <w:sz w:val="20"/>
                <w:szCs w:val="20"/>
              </w:rPr>
              <w:t>.</w:t>
            </w:r>
            <w:r w:rsidRPr="00D531FD">
              <w:rPr>
                <w:color w:val="000000"/>
                <w:sz w:val="20"/>
                <w:szCs w:val="20"/>
              </w:rPr>
              <w:t>987</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95,95%</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31,83%</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color w:val="000000"/>
                <w:sz w:val="20"/>
                <w:szCs w:val="20"/>
              </w:rPr>
              <w:t>Quimbaya</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34.777</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30</w:t>
            </w:r>
            <w:r w:rsidR="005034D3">
              <w:rPr>
                <w:color w:val="000000"/>
                <w:sz w:val="20"/>
                <w:szCs w:val="20"/>
              </w:rPr>
              <w:t>.</w:t>
            </w:r>
            <w:r w:rsidRPr="00D531FD">
              <w:rPr>
                <w:color w:val="000000"/>
                <w:sz w:val="20"/>
                <w:szCs w:val="20"/>
              </w:rPr>
              <w:t>887</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10</w:t>
            </w:r>
            <w:r w:rsidR="005034D3">
              <w:rPr>
                <w:color w:val="000000"/>
                <w:sz w:val="20"/>
                <w:szCs w:val="20"/>
              </w:rPr>
              <w:t>.</w:t>
            </w:r>
            <w:r w:rsidRPr="00D531FD">
              <w:rPr>
                <w:color w:val="000000"/>
                <w:sz w:val="20"/>
                <w:szCs w:val="20"/>
              </w:rPr>
              <w:t>114</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88,81%</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29,08%</w:t>
            </w:r>
          </w:p>
        </w:tc>
      </w:tr>
      <w:tr w:rsidR="00675D1A" w:rsidRPr="00D531FD" w:rsidTr="00E13E4A">
        <w:trPr>
          <w:cantSplit/>
          <w:trHeight w:val="227"/>
          <w:tblHeader/>
        </w:trPr>
        <w:tc>
          <w:tcPr>
            <w:tcW w:w="1790" w:type="dxa"/>
            <w:tcBorders>
              <w:top w:val="nil"/>
              <w:left w:val="nil"/>
              <w:bottom w:val="nil"/>
              <w:right w:val="nil"/>
            </w:tcBorders>
            <w:shd w:val="clear" w:color="auto" w:fill="auto"/>
            <w:vAlign w:val="bottom"/>
            <w:hideMark/>
          </w:tcPr>
          <w:p w:rsidR="00675D1A" w:rsidRPr="00D531FD" w:rsidRDefault="00675D1A" w:rsidP="002C791A">
            <w:pPr>
              <w:rPr>
                <w:color w:val="000000"/>
                <w:sz w:val="20"/>
                <w:szCs w:val="20"/>
              </w:rPr>
            </w:pPr>
            <w:r w:rsidRPr="00D531FD">
              <w:rPr>
                <w:color w:val="000000"/>
                <w:sz w:val="20"/>
                <w:szCs w:val="20"/>
              </w:rPr>
              <w:t>Salento</w:t>
            </w:r>
          </w:p>
        </w:tc>
        <w:tc>
          <w:tcPr>
            <w:tcW w:w="1241" w:type="dxa"/>
            <w:tcBorders>
              <w:top w:val="nil"/>
              <w:left w:val="nil"/>
              <w:bottom w:val="nil"/>
              <w:right w:val="nil"/>
            </w:tcBorders>
            <w:shd w:val="clear" w:color="auto" w:fill="auto"/>
            <w:vAlign w:val="bottom"/>
            <w:hideMark/>
          </w:tcPr>
          <w:p w:rsidR="00675D1A" w:rsidRPr="00D531FD" w:rsidRDefault="00675D1A" w:rsidP="002C791A">
            <w:pPr>
              <w:jc w:val="center"/>
              <w:rPr>
                <w:color w:val="000000"/>
                <w:sz w:val="20"/>
                <w:szCs w:val="20"/>
              </w:rPr>
            </w:pPr>
            <w:r w:rsidRPr="00D531FD">
              <w:rPr>
                <w:color w:val="000000"/>
                <w:sz w:val="20"/>
                <w:szCs w:val="20"/>
              </w:rPr>
              <w:t>7.129</w:t>
            </w:r>
          </w:p>
        </w:tc>
        <w:tc>
          <w:tcPr>
            <w:tcW w:w="1263"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5</w:t>
            </w:r>
            <w:r w:rsidR="005034D3">
              <w:rPr>
                <w:color w:val="000000"/>
                <w:sz w:val="20"/>
                <w:szCs w:val="20"/>
              </w:rPr>
              <w:t>.</w:t>
            </w:r>
            <w:r w:rsidRPr="00D531FD">
              <w:rPr>
                <w:color w:val="000000"/>
                <w:sz w:val="20"/>
                <w:szCs w:val="20"/>
              </w:rPr>
              <w:t>455</w:t>
            </w:r>
          </w:p>
        </w:tc>
        <w:tc>
          <w:tcPr>
            <w:tcW w:w="1318" w:type="dxa"/>
            <w:tcBorders>
              <w:top w:val="nil"/>
              <w:left w:val="nil"/>
              <w:bottom w:val="nil"/>
              <w:right w:val="nil"/>
            </w:tcBorders>
            <w:shd w:val="clear" w:color="auto" w:fill="auto"/>
            <w:noWrap/>
            <w:vAlign w:val="bottom"/>
            <w:hideMark/>
          </w:tcPr>
          <w:p w:rsidR="00675D1A" w:rsidRPr="00D531FD" w:rsidRDefault="00675D1A" w:rsidP="002C791A">
            <w:pPr>
              <w:jc w:val="center"/>
              <w:rPr>
                <w:color w:val="000000"/>
                <w:sz w:val="20"/>
                <w:szCs w:val="20"/>
              </w:rPr>
            </w:pPr>
            <w:r w:rsidRPr="00D531FD">
              <w:rPr>
                <w:color w:val="000000"/>
                <w:sz w:val="20"/>
                <w:szCs w:val="20"/>
              </w:rPr>
              <w:t>1</w:t>
            </w:r>
            <w:r w:rsidR="005034D3">
              <w:rPr>
                <w:color w:val="000000"/>
                <w:sz w:val="20"/>
                <w:szCs w:val="20"/>
              </w:rPr>
              <w:t>.</w:t>
            </w:r>
            <w:r w:rsidRPr="00D531FD">
              <w:rPr>
                <w:color w:val="000000"/>
                <w:sz w:val="20"/>
                <w:szCs w:val="20"/>
              </w:rPr>
              <w:t>907</w:t>
            </w:r>
          </w:p>
        </w:tc>
        <w:tc>
          <w:tcPr>
            <w:tcW w:w="1263"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76,52%</w:t>
            </w:r>
          </w:p>
        </w:tc>
        <w:tc>
          <w:tcPr>
            <w:tcW w:w="1320" w:type="dxa"/>
            <w:tcBorders>
              <w:top w:val="nil"/>
              <w:left w:val="nil"/>
              <w:bottom w:val="nil"/>
              <w:right w:val="nil"/>
            </w:tcBorders>
            <w:shd w:val="clear" w:color="000000" w:fill="FFFFFF"/>
            <w:noWrap/>
            <w:vAlign w:val="bottom"/>
            <w:hideMark/>
          </w:tcPr>
          <w:p w:rsidR="00675D1A" w:rsidRPr="00D531FD" w:rsidRDefault="00675D1A" w:rsidP="002C791A">
            <w:pPr>
              <w:jc w:val="center"/>
              <w:rPr>
                <w:sz w:val="20"/>
                <w:szCs w:val="20"/>
              </w:rPr>
            </w:pPr>
            <w:r w:rsidRPr="00D531FD">
              <w:rPr>
                <w:sz w:val="20"/>
                <w:szCs w:val="20"/>
              </w:rPr>
              <w:t>26,75%</w:t>
            </w:r>
          </w:p>
        </w:tc>
      </w:tr>
      <w:tr w:rsidR="00675D1A" w:rsidRPr="00D531FD" w:rsidTr="00E13E4A">
        <w:trPr>
          <w:cantSplit/>
          <w:trHeight w:val="463"/>
          <w:tblHeader/>
        </w:trPr>
        <w:tc>
          <w:tcPr>
            <w:tcW w:w="1790" w:type="dxa"/>
            <w:tcBorders>
              <w:top w:val="single" w:sz="4" w:space="0" w:color="auto"/>
              <w:left w:val="nil"/>
              <w:bottom w:val="single" w:sz="4" w:space="0" w:color="auto"/>
              <w:right w:val="nil"/>
            </w:tcBorders>
            <w:shd w:val="clear" w:color="auto" w:fill="auto"/>
            <w:noWrap/>
            <w:vAlign w:val="center"/>
            <w:hideMark/>
          </w:tcPr>
          <w:p w:rsidR="00675D1A" w:rsidRPr="00D531FD" w:rsidRDefault="00675D1A" w:rsidP="00501327">
            <w:pPr>
              <w:rPr>
                <w:b/>
                <w:bCs/>
                <w:color w:val="000000"/>
                <w:sz w:val="20"/>
                <w:szCs w:val="20"/>
              </w:rPr>
            </w:pPr>
            <w:r w:rsidRPr="00D531FD">
              <w:rPr>
                <w:b/>
                <w:bCs/>
                <w:color w:val="000000"/>
                <w:sz w:val="20"/>
                <w:szCs w:val="20"/>
              </w:rPr>
              <w:t>TOTALES</w:t>
            </w:r>
          </w:p>
        </w:tc>
        <w:tc>
          <w:tcPr>
            <w:tcW w:w="1241" w:type="dxa"/>
            <w:tcBorders>
              <w:top w:val="single" w:sz="4" w:space="0" w:color="auto"/>
              <w:left w:val="nil"/>
              <w:bottom w:val="single" w:sz="4" w:space="0" w:color="auto"/>
              <w:right w:val="nil"/>
            </w:tcBorders>
            <w:shd w:val="clear" w:color="auto" w:fill="auto"/>
            <w:vAlign w:val="center"/>
            <w:hideMark/>
          </w:tcPr>
          <w:p w:rsidR="00675D1A" w:rsidRPr="00D531FD" w:rsidRDefault="00675D1A" w:rsidP="00501327">
            <w:pPr>
              <w:jc w:val="center"/>
              <w:rPr>
                <w:b/>
                <w:bCs/>
                <w:color w:val="000000"/>
                <w:sz w:val="20"/>
                <w:szCs w:val="20"/>
              </w:rPr>
            </w:pPr>
            <w:r w:rsidRPr="00D531FD">
              <w:rPr>
                <w:b/>
                <w:bCs/>
                <w:color w:val="000000"/>
                <w:sz w:val="20"/>
                <w:szCs w:val="20"/>
              </w:rPr>
              <w:t>558.969</w:t>
            </w:r>
          </w:p>
        </w:tc>
        <w:tc>
          <w:tcPr>
            <w:tcW w:w="1263" w:type="dxa"/>
            <w:tcBorders>
              <w:top w:val="single" w:sz="4" w:space="0" w:color="auto"/>
              <w:left w:val="nil"/>
              <w:bottom w:val="single" w:sz="4" w:space="0" w:color="auto"/>
              <w:right w:val="nil"/>
            </w:tcBorders>
            <w:shd w:val="clear" w:color="auto" w:fill="auto"/>
            <w:noWrap/>
            <w:vAlign w:val="center"/>
            <w:hideMark/>
          </w:tcPr>
          <w:p w:rsidR="00675D1A" w:rsidRPr="00D531FD" w:rsidRDefault="00675D1A" w:rsidP="00501327">
            <w:pPr>
              <w:jc w:val="center"/>
              <w:rPr>
                <w:b/>
                <w:bCs/>
                <w:color w:val="000000"/>
                <w:sz w:val="20"/>
                <w:szCs w:val="20"/>
              </w:rPr>
            </w:pPr>
            <w:r w:rsidRPr="00D531FD">
              <w:rPr>
                <w:b/>
                <w:bCs/>
                <w:color w:val="000000"/>
                <w:sz w:val="20"/>
                <w:szCs w:val="20"/>
              </w:rPr>
              <w:t>409.582</w:t>
            </w:r>
          </w:p>
        </w:tc>
        <w:tc>
          <w:tcPr>
            <w:tcW w:w="1318" w:type="dxa"/>
            <w:tcBorders>
              <w:top w:val="single" w:sz="4" w:space="0" w:color="auto"/>
              <w:left w:val="nil"/>
              <w:bottom w:val="single" w:sz="4" w:space="0" w:color="auto"/>
              <w:right w:val="nil"/>
            </w:tcBorders>
            <w:shd w:val="clear" w:color="auto" w:fill="auto"/>
            <w:noWrap/>
            <w:vAlign w:val="center"/>
            <w:hideMark/>
          </w:tcPr>
          <w:p w:rsidR="00675D1A" w:rsidRPr="00D531FD" w:rsidRDefault="00675D1A" w:rsidP="00501327">
            <w:pPr>
              <w:jc w:val="center"/>
              <w:rPr>
                <w:b/>
                <w:bCs/>
                <w:color w:val="000000"/>
                <w:sz w:val="20"/>
                <w:szCs w:val="20"/>
              </w:rPr>
            </w:pPr>
            <w:r w:rsidRPr="00D531FD">
              <w:rPr>
                <w:b/>
                <w:bCs/>
                <w:color w:val="000000"/>
                <w:sz w:val="20"/>
                <w:szCs w:val="20"/>
              </w:rPr>
              <w:t>130.696</w:t>
            </w:r>
          </w:p>
        </w:tc>
        <w:tc>
          <w:tcPr>
            <w:tcW w:w="1263" w:type="dxa"/>
            <w:tcBorders>
              <w:top w:val="single" w:sz="4" w:space="0" w:color="auto"/>
              <w:left w:val="nil"/>
              <w:bottom w:val="single" w:sz="4" w:space="0" w:color="auto"/>
              <w:right w:val="nil"/>
            </w:tcBorders>
            <w:shd w:val="clear" w:color="000000" w:fill="FFFFFF"/>
            <w:noWrap/>
            <w:vAlign w:val="center"/>
            <w:hideMark/>
          </w:tcPr>
          <w:p w:rsidR="00675D1A" w:rsidRPr="005034D3" w:rsidRDefault="00675D1A" w:rsidP="00501327">
            <w:pPr>
              <w:jc w:val="center"/>
              <w:rPr>
                <w:b/>
                <w:sz w:val="20"/>
                <w:szCs w:val="20"/>
              </w:rPr>
            </w:pPr>
            <w:r w:rsidRPr="005034D3">
              <w:rPr>
                <w:b/>
                <w:sz w:val="20"/>
                <w:szCs w:val="20"/>
              </w:rPr>
              <w:t>73,27%</w:t>
            </w:r>
          </w:p>
        </w:tc>
        <w:tc>
          <w:tcPr>
            <w:tcW w:w="1320" w:type="dxa"/>
            <w:tcBorders>
              <w:top w:val="single" w:sz="4" w:space="0" w:color="auto"/>
              <w:left w:val="nil"/>
              <w:bottom w:val="single" w:sz="4" w:space="0" w:color="auto"/>
              <w:right w:val="nil"/>
            </w:tcBorders>
            <w:shd w:val="clear" w:color="000000" w:fill="FFFFFF"/>
            <w:noWrap/>
            <w:vAlign w:val="center"/>
            <w:hideMark/>
          </w:tcPr>
          <w:p w:rsidR="00675D1A" w:rsidRPr="005034D3" w:rsidRDefault="00675D1A" w:rsidP="00501327">
            <w:pPr>
              <w:jc w:val="center"/>
              <w:rPr>
                <w:b/>
                <w:sz w:val="20"/>
                <w:szCs w:val="20"/>
              </w:rPr>
            </w:pPr>
            <w:r w:rsidRPr="005034D3">
              <w:rPr>
                <w:b/>
                <w:sz w:val="20"/>
                <w:szCs w:val="20"/>
              </w:rPr>
              <w:t>23,38%</w:t>
            </w:r>
          </w:p>
        </w:tc>
      </w:tr>
    </w:tbl>
    <w:p w:rsidR="00675D1A" w:rsidRDefault="008453BC" w:rsidP="00675D1A">
      <w:pPr>
        <w:tabs>
          <w:tab w:val="left" w:pos="3403"/>
        </w:tabs>
        <w:jc w:val="both"/>
      </w:pPr>
      <w:r>
        <w:rPr>
          <w:sz w:val="18"/>
          <w:szCs w:val="22"/>
        </w:rPr>
        <w:t xml:space="preserve"> </w:t>
      </w:r>
      <w:r w:rsidR="00F17BDD" w:rsidRPr="00D531FD">
        <w:rPr>
          <w:sz w:val="18"/>
          <w:szCs w:val="22"/>
        </w:rPr>
        <w:t>Fuente: Datos Base consolidada y certificada por el DNP con corte a Noviembre 2013. Cálculos DNP-DR-ESE</w:t>
      </w:r>
    </w:p>
    <w:p w:rsidR="00F17BDD" w:rsidRDefault="00F17BDD" w:rsidP="00675D1A">
      <w:pPr>
        <w:tabs>
          <w:tab w:val="left" w:pos="3403"/>
        </w:tabs>
        <w:jc w:val="both"/>
      </w:pPr>
    </w:p>
    <w:p w:rsidR="00675D1A" w:rsidRPr="00D531FD" w:rsidRDefault="00675D1A" w:rsidP="00C37566">
      <w:pPr>
        <w:tabs>
          <w:tab w:val="left" w:pos="3403"/>
        </w:tabs>
        <w:spacing w:line="360" w:lineRule="auto"/>
        <w:ind w:firstLine="284"/>
        <w:jc w:val="both"/>
      </w:pPr>
      <w:r w:rsidRPr="00D531FD">
        <w:lastRenderedPageBreak/>
        <w:t>El departamento del Quindío registra en el año 2013 un total de 409.582 personas vinculadas al Sisbén, mientras en el año 2012 un total de 400.208 apreciándose una tasa de crecimiento del 2%, es decir, 9.374 personas adicionales.</w:t>
      </w:r>
    </w:p>
    <w:p w:rsidR="00675D1A" w:rsidRDefault="00675D1A" w:rsidP="00675D1A">
      <w:pPr>
        <w:tabs>
          <w:tab w:val="left" w:pos="486"/>
        </w:tabs>
        <w:jc w:val="center"/>
        <w:rPr>
          <w:i/>
        </w:rPr>
      </w:pPr>
    </w:p>
    <w:p w:rsidR="00A97B5A" w:rsidRPr="00BE4402" w:rsidRDefault="00A97B5A" w:rsidP="00675D1A">
      <w:pPr>
        <w:tabs>
          <w:tab w:val="left" w:pos="486"/>
        </w:tabs>
        <w:jc w:val="center"/>
        <w:rPr>
          <w:sz w:val="10"/>
        </w:rPr>
      </w:pPr>
    </w:p>
    <w:p w:rsidR="00675D1A" w:rsidRPr="00A97B5A" w:rsidRDefault="005A513D" w:rsidP="00C37566">
      <w:pPr>
        <w:tabs>
          <w:tab w:val="left" w:pos="486"/>
        </w:tabs>
        <w:rPr>
          <w:color w:val="FF0000"/>
        </w:rPr>
      </w:pPr>
      <w:r>
        <w:t>Tabla</w:t>
      </w:r>
      <w:r w:rsidR="00675D1A" w:rsidRPr="00A97B5A">
        <w:t xml:space="preserve"> </w:t>
      </w:r>
      <w:r w:rsidR="00333D61">
        <w:t>1.10</w:t>
      </w:r>
    </w:p>
    <w:p w:rsidR="00675D1A" w:rsidRPr="00A97B5A" w:rsidRDefault="00675D1A" w:rsidP="00C37566">
      <w:pPr>
        <w:tabs>
          <w:tab w:val="left" w:pos="486"/>
        </w:tabs>
        <w:rPr>
          <w:bCs/>
        </w:rPr>
      </w:pPr>
      <w:r w:rsidRPr="00A97B5A">
        <w:rPr>
          <w:bCs/>
        </w:rPr>
        <w:t>Población Sisbén  zona rural, centro poblado y rural – Quindío</w:t>
      </w:r>
    </w:p>
    <w:p w:rsidR="00675D1A" w:rsidRPr="00A97B5A" w:rsidRDefault="00675D1A" w:rsidP="00C37566">
      <w:pPr>
        <w:pStyle w:val="Sinespaciado"/>
        <w:jc w:val="left"/>
        <w:rPr>
          <w:rFonts w:ascii="Times New Roman" w:hAnsi="Times New Roman"/>
          <w:sz w:val="24"/>
          <w:szCs w:val="24"/>
        </w:rPr>
      </w:pPr>
      <w:r w:rsidRPr="00A97B5A">
        <w:rPr>
          <w:rFonts w:ascii="Times New Roman" w:hAnsi="Times New Roman"/>
          <w:sz w:val="24"/>
          <w:szCs w:val="24"/>
        </w:rPr>
        <w:t>2013</w:t>
      </w:r>
    </w:p>
    <w:p w:rsidR="003A57A6" w:rsidRPr="00D531FD" w:rsidRDefault="003A57A6" w:rsidP="00675D1A">
      <w:pPr>
        <w:pStyle w:val="Sinespaciado"/>
        <w:jc w:val="center"/>
        <w:rPr>
          <w:rFonts w:ascii="Times New Roman" w:hAnsi="Times New Roman"/>
          <w:sz w:val="24"/>
          <w:szCs w:val="24"/>
        </w:rPr>
      </w:pPr>
    </w:p>
    <w:tbl>
      <w:tblPr>
        <w:tblW w:w="6694" w:type="dxa"/>
        <w:tblCellMar>
          <w:left w:w="70" w:type="dxa"/>
          <w:right w:w="70" w:type="dxa"/>
        </w:tblCellMar>
        <w:tblLook w:val="04A0" w:firstRow="1" w:lastRow="0" w:firstColumn="1" w:lastColumn="0" w:noHBand="0" w:noVBand="1"/>
      </w:tblPr>
      <w:tblGrid>
        <w:gridCol w:w="1922"/>
        <w:gridCol w:w="1352"/>
        <w:gridCol w:w="1526"/>
        <w:gridCol w:w="1129"/>
        <w:gridCol w:w="1081"/>
      </w:tblGrid>
      <w:tr w:rsidR="00675D1A" w:rsidRPr="00AB446C" w:rsidTr="00C37566">
        <w:trPr>
          <w:trHeight w:val="631"/>
        </w:trPr>
        <w:tc>
          <w:tcPr>
            <w:tcW w:w="1922" w:type="dxa"/>
            <w:tcBorders>
              <w:top w:val="single" w:sz="4" w:space="0" w:color="auto"/>
              <w:left w:val="nil"/>
              <w:bottom w:val="single" w:sz="4" w:space="0" w:color="auto"/>
              <w:right w:val="nil"/>
            </w:tcBorders>
            <w:shd w:val="clear" w:color="auto" w:fill="auto"/>
            <w:noWrap/>
            <w:vAlign w:val="center"/>
            <w:hideMark/>
          </w:tcPr>
          <w:p w:rsidR="00675D1A" w:rsidRPr="00AB446C" w:rsidRDefault="00AB446C" w:rsidP="002C791A">
            <w:pPr>
              <w:jc w:val="center"/>
              <w:rPr>
                <w:b/>
                <w:bCs/>
                <w:color w:val="000000"/>
                <w:sz w:val="20"/>
                <w:szCs w:val="20"/>
              </w:rPr>
            </w:pPr>
            <w:r w:rsidRPr="00AB446C">
              <w:rPr>
                <w:b/>
                <w:bCs/>
                <w:color w:val="000000"/>
                <w:sz w:val="20"/>
                <w:szCs w:val="20"/>
              </w:rPr>
              <w:t>MUNICIPIO</w:t>
            </w:r>
          </w:p>
        </w:tc>
        <w:tc>
          <w:tcPr>
            <w:tcW w:w="1135" w:type="dxa"/>
            <w:tcBorders>
              <w:top w:val="single" w:sz="4" w:space="0" w:color="auto"/>
              <w:left w:val="nil"/>
              <w:bottom w:val="single" w:sz="4" w:space="0" w:color="auto"/>
              <w:right w:val="nil"/>
            </w:tcBorders>
            <w:shd w:val="clear" w:color="auto" w:fill="auto"/>
            <w:noWrap/>
            <w:vAlign w:val="center"/>
            <w:hideMark/>
          </w:tcPr>
          <w:p w:rsidR="00675D1A" w:rsidRPr="00AB446C" w:rsidRDefault="00AB446C" w:rsidP="002C791A">
            <w:pPr>
              <w:jc w:val="center"/>
              <w:rPr>
                <w:b/>
                <w:bCs/>
                <w:color w:val="000000"/>
                <w:sz w:val="20"/>
                <w:szCs w:val="20"/>
              </w:rPr>
            </w:pPr>
            <w:r w:rsidRPr="00AB446C">
              <w:rPr>
                <w:b/>
                <w:bCs/>
                <w:color w:val="000000"/>
                <w:sz w:val="20"/>
                <w:szCs w:val="20"/>
              </w:rPr>
              <w:t>POBLACIÓN</w:t>
            </w:r>
          </w:p>
        </w:tc>
        <w:tc>
          <w:tcPr>
            <w:tcW w:w="1526" w:type="dxa"/>
            <w:tcBorders>
              <w:top w:val="single" w:sz="4" w:space="0" w:color="auto"/>
              <w:left w:val="nil"/>
              <w:bottom w:val="single" w:sz="4" w:space="0" w:color="auto"/>
              <w:right w:val="nil"/>
            </w:tcBorders>
            <w:shd w:val="clear" w:color="auto" w:fill="auto"/>
            <w:vAlign w:val="center"/>
            <w:hideMark/>
          </w:tcPr>
          <w:p w:rsidR="00675D1A" w:rsidRPr="00AB446C" w:rsidRDefault="00AB446C" w:rsidP="002C791A">
            <w:pPr>
              <w:jc w:val="center"/>
              <w:rPr>
                <w:b/>
                <w:bCs/>
                <w:color w:val="000000"/>
                <w:sz w:val="20"/>
                <w:szCs w:val="20"/>
              </w:rPr>
            </w:pPr>
            <w:r w:rsidRPr="00AB446C">
              <w:rPr>
                <w:b/>
                <w:bCs/>
                <w:color w:val="000000"/>
                <w:sz w:val="20"/>
                <w:szCs w:val="20"/>
              </w:rPr>
              <w:t>CABECERA</w:t>
            </w:r>
          </w:p>
        </w:tc>
        <w:tc>
          <w:tcPr>
            <w:tcW w:w="1030" w:type="dxa"/>
            <w:tcBorders>
              <w:top w:val="single" w:sz="4" w:space="0" w:color="auto"/>
              <w:left w:val="nil"/>
              <w:bottom w:val="single" w:sz="4" w:space="0" w:color="auto"/>
              <w:right w:val="nil"/>
            </w:tcBorders>
            <w:shd w:val="clear" w:color="auto" w:fill="auto"/>
            <w:vAlign w:val="center"/>
            <w:hideMark/>
          </w:tcPr>
          <w:p w:rsidR="00675D1A" w:rsidRPr="00AB446C" w:rsidRDefault="00AB446C" w:rsidP="002C791A">
            <w:pPr>
              <w:jc w:val="center"/>
              <w:rPr>
                <w:b/>
                <w:bCs/>
                <w:color w:val="000000"/>
                <w:sz w:val="20"/>
                <w:szCs w:val="20"/>
              </w:rPr>
            </w:pPr>
            <w:r w:rsidRPr="00AB446C">
              <w:rPr>
                <w:b/>
                <w:bCs/>
                <w:color w:val="000000"/>
                <w:sz w:val="20"/>
                <w:szCs w:val="20"/>
              </w:rPr>
              <w:t>CENTRO POBLADO</w:t>
            </w:r>
          </w:p>
        </w:tc>
        <w:tc>
          <w:tcPr>
            <w:tcW w:w="1081" w:type="dxa"/>
            <w:tcBorders>
              <w:top w:val="single" w:sz="4" w:space="0" w:color="auto"/>
              <w:left w:val="nil"/>
              <w:bottom w:val="single" w:sz="4" w:space="0" w:color="auto"/>
              <w:right w:val="nil"/>
            </w:tcBorders>
            <w:shd w:val="clear" w:color="auto" w:fill="auto"/>
            <w:vAlign w:val="center"/>
            <w:hideMark/>
          </w:tcPr>
          <w:p w:rsidR="00675D1A" w:rsidRPr="00AB446C" w:rsidRDefault="00AB446C" w:rsidP="002C791A">
            <w:pPr>
              <w:jc w:val="center"/>
              <w:rPr>
                <w:b/>
                <w:bCs/>
                <w:color w:val="000000"/>
                <w:sz w:val="20"/>
                <w:szCs w:val="20"/>
              </w:rPr>
            </w:pPr>
            <w:r w:rsidRPr="00AB446C">
              <w:rPr>
                <w:b/>
                <w:bCs/>
                <w:color w:val="000000"/>
                <w:sz w:val="20"/>
                <w:szCs w:val="20"/>
              </w:rPr>
              <w:t>RURAL</w:t>
            </w:r>
          </w:p>
        </w:tc>
      </w:tr>
      <w:tr w:rsidR="00675D1A" w:rsidRPr="00AB446C" w:rsidTr="00C37566">
        <w:trPr>
          <w:trHeight w:val="245"/>
        </w:trPr>
        <w:tc>
          <w:tcPr>
            <w:tcW w:w="1922" w:type="dxa"/>
            <w:tcBorders>
              <w:top w:val="nil"/>
              <w:left w:val="nil"/>
              <w:bottom w:val="nil"/>
              <w:right w:val="nil"/>
            </w:tcBorders>
            <w:shd w:val="clear" w:color="auto" w:fill="auto"/>
            <w:noWrap/>
            <w:vAlign w:val="bottom"/>
            <w:hideMark/>
          </w:tcPr>
          <w:p w:rsidR="00675D1A" w:rsidRPr="00AB446C" w:rsidRDefault="00675D1A" w:rsidP="002C791A">
            <w:pPr>
              <w:rPr>
                <w:color w:val="000000"/>
                <w:sz w:val="20"/>
                <w:szCs w:val="20"/>
              </w:rPr>
            </w:pPr>
            <w:r w:rsidRPr="00AB446C">
              <w:rPr>
                <w:color w:val="000000"/>
                <w:sz w:val="20"/>
                <w:szCs w:val="20"/>
              </w:rPr>
              <w:t>Armenia</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194.107</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191.149</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684</w:t>
            </w: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2.274</w:t>
            </w:r>
          </w:p>
        </w:tc>
      </w:tr>
      <w:tr w:rsidR="00675D1A" w:rsidRPr="00AB446C" w:rsidTr="00C37566">
        <w:trPr>
          <w:trHeight w:val="245"/>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Buenavista</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2.589</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1.218</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104</w:t>
            </w: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1.267</w:t>
            </w:r>
          </w:p>
        </w:tc>
      </w:tr>
      <w:tr w:rsidR="00675D1A" w:rsidRPr="00AB446C" w:rsidTr="00C37566">
        <w:trPr>
          <w:trHeight w:val="245"/>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Calarcá</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55.411</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49.216</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532</w:t>
            </w: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5.663</w:t>
            </w:r>
          </w:p>
        </w:tc>
      </w:tr>
      <w:tr w:rsidR="00675D1A" w:rsidRPr="00AB446C" w:rsidTr="00C37566">
        <w:trPr>
          <w:trHeight w:val="245"/>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Circasia</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22.214</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17.760</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167</w:t>
            </w: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4.287</w:t>
            </w:r>
          </w:p>
        </w:tc>
      </w:tr>
      <w:tr w:rsidR="00675D1A" w:rsidRPr="00AB446C" w:rsidTr="00C37566">
        <w:trPr>
          <w:trHeight w:val="245"/>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Córdoba</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5.041</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3.213</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1.828</w:t>
            </w:r>
          </w:p>
        </w:tc>
      </w:tr>
      <w:tr w:rsidR="00675D1A" w:rsidRPr="00AB446C" w:rsidTr="00C37566">
        <w:trPr>
          <w:trHeight w:val="245"/>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Filandia</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10.131</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5.961</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327</w:t>
            </w: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3.843</w:t>
            </w:r>
          </w:p>
        </w:tc>
      </w:tr>
      <w:tr w:rsidR="00675D1A" w:rsidRPr="00AB446C" w:rsidTr="00C37566">
        <w:trPr>
          <w:trHeight w:val="245"/>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Génova</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7.141</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4.279</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2.862</w:t>
            </w:r>
          </w:p>
        </w:tc>
      </w:tr>
      <w:tr w:rsidR="00675D1A" w:rsidRPr="00AB446C" w:rsidTr="00C37566">
        <w:trPr>
          <w:trHeight w:val="245"/>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La tebaida</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33.785</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31.134</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435</w:t>
            </w: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2.216</w:t>
            </w:r>
          </w:p>
        </w:tc>
      </w:tr>
      <w:tr w:rsidR="00675D1A" w:rsidRPr="00AB446C" w:rsidTr="00C37566">
        <w:trPr>
          <w:trHeight w:val="245"/>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Montenegro</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36.831</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32.047</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1.195</w:t>
            </w: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3.589</w:t>
            </w:r>
          </w:p>
        </w:tc>
      </w:tr>
      <w:tr w:rsidR="00675D1A" w:rsidRPr="00AB446C" w:rsidTr="00C37566">
        <w:trPr>
          <w:trHeight w:val="245"/>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Pijao</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5.990</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3.707</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2.283</w:t>
            </w:r>
          </w:p>
        </w:tc>
      </w:tr>
      <w:tr w:rsidR="00675D1A" w:rsidRPr="00AB446C" w:rsidTr="00C37566">
        <w:trPr>
          <w:trHeight w:val="245"/>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Quimbaya</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30.887</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25.674</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990</w:t>
            </w: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4.223</w:t>
            </w:r>
          </w:p>
        </w:tc>
      </w:tr>
      <w:tr w:rsidR="00675D1A" w:rsidRPr="00AB446C" w:rsidTr="00C37566">
        <w:trPr>
          <w:trHeight w:val="257"/>
        </w:trPr>
        <w:tc>
          <w:tcPr>
            <w:tcW w:w="1922" w:type="dxa"/>
            <w:tcBorders>
              <w:top w:val="nil"/>
              <w:left w:val="nil"/>
              <w:bottom w:val="nil"/>
              <w:right w:val="nil"/>
            </w:tcBorders>
            <w:shd w:val="clear" w:color="auto" w:fill="auto"/>
            <w:vAlign w:val="bottom"/>
            <w:hideMark/>
          </w:tcPr>
          <w:p w:rsidR="00675D1A" w:rsidRPr="00AB446C" w:rsidRDefault="00675D1A" w:rsidP="002C791A">
            <w:pPr>
              <w:rPr>
                <w:color w:val="000000"/>
                <w:sz w:val="20"/>
                <w:szCs w:val="20"/>
              </w:rPr>
            </w:pPr>
            <w:r w:rsidRPr="00AB446C">
              <w:rPr>
                <w:color w:val="000000"/>
                <w:sz w:val="20"/>
                <w:szCs w:val="20"/>
              </w:rPr>
              <w:t>Salento</w:t>
            </w:r>
          </w:p>
        </w:tc>
        <w:tc>
          <w:tcPr>
            <w:tcW w:w="1135"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5.455</w:t>
            </w:r>
          </w:p>
        </w:tc>
        <w:tc>
          <w:tcPr>
            <w:tcW w:w="1526"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3.511</w:t>
            </w:r>
          </w:p>
        </w:tc>
        <w:tc>
          <w:tcPr>
            <w:tcW w:w="1030"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418</w:t>
            </w:r>
          </w:p>
        </w:tc>
        <w:tc>
          <w:tcPr>
            <w:tcW w:w="1081" w:type="dxa"/>
            <w:tcBorders>
              <w:top w:val="nil"/>
              <w:left w:val="nil"/>
              <w:bottom w:val="nil"/>
              <w:right w:val="nil"/>
            </w:tcBorders>
            <w:shd w:val="clear" w:color="auto" w:fill="auto"/>
            <w:noWrap/>
            <w:vAlign w:val="bottom"/>
            <w:hideMark/>
          </w:tcPr>
          <w:p w:rsidR="00675D1A" w:rsidRPr="00AB446C" w:rsidRDefault="00675D1A" w:rsidP="002C791A">
            <w:pPr>
              <w:jc w:val="center"/>
              <w:rPr>
                <w:color w:val="000000"/>
                <w:sz w:val="20"/>
                <w:szCs w:val="20"/>
              </w:rPr>
            </w:pPr>
            <w:r w:rsidRPr="00AB446C">
              <w:rPr>
                <w:color w:val="000000"/>
                <w:sz w:val="20"/>
                <w:szCs w:val="20"/>
              </w:rPr>
              <w:t>1.526</w:t>
            </w:r>
          </w:p>
        </w:tc>
      </w:tr>
      <w:tr w:rsidR="00675D1A" w:rsidRPr="00AB446C" w:rsidTr="00C37566">
        <w:trPr>
          <w:trHeight w:val="312"/>
        </w:trPr>
        <w:tc>
          <w:tcPr>
            <w:tcW w:w="1922" w:type="dxa"/>
            <w:tcBorders>
              <w:top w:val="single" w:sz="4" w:space="0" w:color="auto"/>
              <w:left w:val="nil"/>
              <w:bottom w:val="single" w:sz="4" w:space="0" w:color="auto"/>
              <w:right w:val="nil"/>
            </w:tcBorders>
            <w:shd w:val="clear" w:color="auto" w:fill="auto"/>
            <w:noWrap/>
            <w:vAlign w:val="center"/>
            <w:hideMark/>
          </w:tcPr>
          <w:p w:rsidR="00675D1A" w:rsidRPr="00AB446C" w:rsidRDefault="00675D1A" w:rsidP="002C791A">
            <w:pPr>
              <w:rPr>
                <w:b/>
                <w:bCs/>
                <w:sz w:val="20"/>
                <w:szCs w:val="20"/>
              </w:rPr>
            </w:pPr>
            <w:r w:rsidRPr="00AB446C">
              <w:rPr>
                <w:b/>
                <w:bCs/>
                <w:sz w:val="20"/>
                <w:szCs w:val="20"/>
              </w:rPr>
              <w:t>Totales</w:t>
            </w:r>
          </w:p>
        </w:tc>
        <w:tc>
          <w:tcPr>
            <w:tcW w:w="1135" w:type="dxa"/>
            <w:tcBorders>
              <w:top w:val="single" w:sz="4" w:space="0" w:color="auto"/>
              <w:left w:val="nil"/>
              <w:bottom w:val="single" w:sz="4" w:space="0" w:color="auto"/>
              <w:right w:val="nil"/>
            </w:tcBorders>
            <w:shd w:val="clear" w:color="auto" w:fill="auto"/>
            <w:noWrap/>
            <w:vAlign w:val="center"/>
            <w:hideMark/>
          </w:tcPr>
          <w:p w:rsidR="00675D1A" w:rsidRPr="00AB446C" w:rsidRDefault="00675D1A" w:rsidP="002C791A">
            <w:pPr>
              <w:jc w:val="center"/>
              <w:rPr>
                <w:b/>
                <w:bCs/>
                <w:color w:val="000000"/>
                <w:sz w:val="20"/>
                <w:szCs w:val="20"/>
              </w:rPr>
            </w:pPr>
            <w:r w:rsidRPr="00AB446C">
              <w:rPr>
                <w:b/>
                <w:bCs/>
                <w:color w:val="000000"/>
                <w:sz w:val="20"/>
                <w:szCs w:val="20"/>
              </w:rPr>
              <w:t>409.582</w:t>
            </w:r>
          </w:p>
        </w:tc>
        <w:tc>
          <w:tcPr>
            <w:tcW w:w="1526" w:type="dxa"/>
            <w:tcBorders>
              <w:top w:val="single" w:sz="4" w:space="0" w:color="auto"/>
              <w:left w:val="nil"/>
              <w:bottom w:val="single" w:sz="4" w:space="0" w:color="auto"/>
              <w:right w:val="nil"/>
            </w:tcBorders>
            <w:shd w:val="clear" w:color="auto" w:fill="auto"/>
            <w:noWrap/>
            <w:vAlign w:val="center"/>
            <w:hideMark/>
          </w:tcPr>
          <w:p w:rsidR="00675D1A" w:rsidRPr="00AB446C" w:rsidRDefault="00675D1A" w:rsidP="002C791A">
            <w:pPr>
              <w:jc w:val="center"/>
              <w:rPr>
                <w:b/>
                <w:bCs/>
                <w:color w:val="000000"/>
                <w:sz w:val="20"/>
                <w:szCs w:val="20"/>
              </w:rPr>
            </w:pPr>
            <w:r w:rsidRPr="00AB446C">
              <w:rPr>
                <w:b/>
                <w:bCs/>
                <w:color w:val="000000"/>
                <w:sz w:val="20"/>
                <w:szCs w:val="20"/>
              </w:rPr>
              <w:t>368.869</w:t>
            </w:r>
          </w:p>
        </w:tc>
        <w:tc>
          <w:tcPr>
            <w:tcW w:w="1030" w:type="dxa"/>
            <w:tcBorders>
              <w:top w:val="single" w:sz="4" w:space="0" w:color="auto"/>
              <w:left w:val="nil"/>
              <w:bottom w:val="single" w:sz="4" w:space="0" w:color="auto"/>
              <w:right w:val="nil"/>
            </w:tcBorders>
            <w:shd w:val="clear" w:color="auto" w:fill="auto"/>
            <w:noWrap/>
            <w:vAlign w:val="center"/>
            <w:hideMark/>
          </w:tcPr>
          <w:p w:rsidR="00675D1A" w:rsidRPr="00AB446C" w:rsidRDefault="00675D1A" w:rsidP="002C791A">
            <w:pPr>
              <w:jc w:val="center"/>
              <w:rPr>
                <w:b/>
                <w:bCs/>
                <w:color w:val="000000"/>
                <w:sz w:val="20"/>
                <w:szCs w:val="20"/>
              </w:rPr>
            </w:pPr>
            <w:r w:rsidRPr="00AB446C">
              <w:rPr>
                <w:b/>
                <w:bCs/>
                <w:color w:val="000000"/>
                <w:sz w:val="20"/>
                <w:szCs w:val="20"/>
              </w:rPr>
              <w:t>4.852</w:t>
            </w:r>
          </w:p>
        </w:tc>
        <w:tc>
          <w:tcPr>
            <w:tcW w:w="1081" w:type="dxa"/>
            <w:tcBorders>
              <w:top w:val="single" w:sz="4" w:space="0" w:color="auto"/>
              <w:left w:val="nil"/>
              <w:bottom w:val="single" w:sz="4" w:space="0" w:color="auto"/>
              <w:right w:val="nil"/>
            </w:tcBorders>
            <w:shd w:val="clear" w:color="auto" w:fill="auto"/>
            <w:noWrap/>
            <w:vAlign w:val="center"/>
            <w:hideMark/>
          </w:tcPr>
          <w:p w:rsidR="00675D1A" w:rsidRPr="00AB446C" w:rsidRDefault="00675D1A" w:rsidP="002C791A">
            <w:pPr>
              <w:jc w:val="center"/>
              <w:rPr>
                <w:b/>
                <w:bCs/>
                <w:color w:val="000000"/>
                <w:sz w:val="20"/>
                <w:szCs w:val="20"/>
              </w:rPr>
            </w:pPr>
            <w:r w:rsidRPr="00AB446C">
              <w:rPr>
                <w:b/>
                <w:bCs/>
                <w:color w:val="000000"/>
                <w:sz w:val="20"/>
                <w:szCs w:val="20"/>
              </w:rPr>
              <w:t>35.861</w:t>
            </w:r>
          </w:p>
        </w:tc>
      </w:tr>
    </w:tbl>
    <w:p w:rsidR="00675D1A" w:rsidRPr="00D531FD" w:rsidRDefault="00675D1A" w:rsidP="00C37566">
      <w:pPr>
        <w:tabs>
          <w:tab w:val="left" w:pos="486"/>
        </w:tabs>
        <w:rPr>
          <w:i/>
          <w:color w:val="FF0000"/>
          <w:sz w:val="16"/>
          <w:szCs w:val="16"/>
        </w:rPr>
      </w:pPr>
      <w:r w:rsidRPr="00D531FD">
        <w:rPr>
          <w:sz w:val="16"/>
          <w:szCs w:val="16"/>
        </w:rPr>
        <w:t>Fuente: Datos Base consolidada y certificada por el DNP con corte a Noviembre 2013. Cálculos DNP-DR-ESE</w:t>
      </w:r>
    </w:p>
    <w:p w:rsidR="00EF58B7" w:rsidRDefault="00EF58B7" w:rsidP="002A409F">
      <w:pPr>
        <w:tabs>
          <w:tab w:val="left" w:pos="3403"/>
        </w:tabs>
        <w:spacing w:line="360" w:lineRule="auto"/>
        <w:ind w:left="284"/>
        <w:jc w:val="both"/>
      </w:pPr>
    </w:p>
    <w:p w:rsidR="00675D1A" w:rsidRDefault="00675D1A" w:rsidP="00BC2360">
      <w:pPr>
        <w:tabs>
          <w:tab w:val="left" w:pos="486"/>
        </w:tabs>
        <w:spacing w:line="276" w:lineRule="auto"/>
        <w:jc w:val="center"/>
      </w:pPr>
    </w:p>
    <w:p w:rsidR="00675D1A" w:rsidRPr="00AB446C" w:rsidRDefault="005A513D" w:rsidP="008064C8">
      <w:pPr>
        <w:tabs>
          <w:tab w:val="left" w:pos="486"/>
        </w:tabs>
        <w:spacing w:line="276" w:lineRule="auto"/>
      </w:pPr>
      <w:r>
        <w:t>Tabla</w:t>
      </w:r>
      <w:r w:rsidR="00675D1A" w:rsidRPr="00AB446C">
        <w:rPr>
          <w:color w:val="FF0000"/>
        </w:rPr>
        <w:t xml:space="preserve"> </w:t>
      </w:r>
      <w:r w:rsidR="00675D1A" w:rsidRPr="00AB446C">
        <w:t>1.1</w:t>
      </w:r>
      <w:r w:rsidR="00333D61">
        <w:t>1</w:t>
      </w:r>
    </w:p>
    <w:p w:rsidR="00675D1A" w:rsidRPr="00AB446C" w:rsidRDefault="00675D1A" w:rsidP="008064C8">
      <w:pPr>
        <w:tabs>
          <w:tab w:val="left" w:pos="486"/>
        </w:tabs>
      </w:pPr>
      <w:r w:rsidRPr="00AB446C">
        <w:t>Discapacidad (cualquier tipo)</w:t>
      </w:r>
      <w:r w:rsidR="00EC650B">
        <w:t>. 2013</w:t>
      </w:r>
    </w:p>
    <w:p w:rsidR="00392A38" w:rsidRPr="00392A38" w:rsidRDefault="00392A38" w:rsidP="00392A38">
      <w:pPr>
        <w:tabs>
          <w:tab w:val="left" w:pos="486"/>
        </w:tabs>
        <w:jc w:val="center"/>
        <w:rPr>
          <w:b/>
        </w:rPr>
      </w:pPr>
    </w:p>
    <w:tbl>
      <w:tblPr>
        <w:tblW w:w="7217" w:type="dxa"/>
        <w:tblCellMar>
          <w:left w:w="70" w:type="dxa"/>
          <w:right w:w="70" w:type="dxa"/>
        </w:tblCellMar>
        <w:tblLook w:val="04A0" w:firstRow="1" w:lastRow="0" w:firstColumn="1" w:lastColumn="0" w:noHBand="0" w:noVBand="1"/>
      </w:tblPr>
      <w:tblGrid>
        <w:gridCol w:w="1668"/>
        <w:gridCol w:w="1589"/>
        <w:gridCol w:w="1477"/>
        <w:gridCol w:w="1534"/>
        <w:gridCol w:w="949"/>
      </w:tblGrid>
      <w:tr w:rsidR="00675D1A" w:rsidRPr="00BE4402" w:rsidTr="000C3D1E">
        <w:trPr>
          <w:trHeight w:val="337"/>
          <w:tblHeader/>
        </w:trPr>
        <w:tc>
          <w:tcPr>
            <w:tcW w:w="1668" w:type="dxa"/>
            <w:tcBorders>
              <w:top w:val="single" w:sz="4" w:space="0" w:color="auto"/>
              <w:left w:val="nil"/>
              <w:bottom w:val="double" w:sz="4" w:space="0" w:color="auto"/>
              <w:right w:val="nil"/>
            </w:tcBorders>
            <w:shd w:val="clear" w:color="auto" w:fill="auto"/>
            <w:noWrap/>
            <w:vAlign w:val="center"/>
            <w:hideMark/>
          </w:tcPr>
          <w:p w:rsidR="00675D1A" w:rsidRPr="00BE4402" w:rsidRDefault="00675D1A" w:rsidP="00392A38">
            <w:pPr>
              <w:jc w:val="center"/>
              <w:rPr>
                <w:b/>
                <w:bCs/>
                <w:color w:val="000000"/>
                <w:sz w:val="20"/>
                <w:szCs w:val="20"/>
              </w:rPr>
            </w:pPr>
            <w:r w:rsidRPr="00BE4402">
              <w:rPr>
                <w:b/>
                <w:bCs/>
                <w:color w:val="000000"/>
                <w:sz w:val="20"/>
                <w:szCs w:val="20"/>
              </w:rPr>
              <w:t>MUNICIPIOS</w:t>
            </w:r>
          </w:p>
        </w:tc>
        <w:tc>
          <w:tcPr>
            <w:tcW w:w="1589" w:type="dxa"/>
            <w:tcBorders>
              <w:top w:val="single" w:sz="4" w:space="0" w:color="auto"/>
              <w:left w:val="nil"/>
              <w:bottom w:val="double" w:sz="4" w:space="0" w:color="auto"/>
              <w:right w:val="nil"/>
            </w:tcBorders>
            <w:shd w:val="clear" w:color="auto" w:fill="auto"/>
            <w:noWrap/>
            <w:vAlign w:val="center"/>
            <w:hideMark/>
          </w:tcPr>
          <w:p w:rsidR="00675D1A" w:rsidRPr="00BE4402" w:rsidRDefault="00675D1A" w:rsidP="00392A38">
            <w:pPr>
              <w:jc w:val="center"/>
              <w:rPr>
                <w:b/>
                <w:bCs/>
                <w:color w:val="000000"/>
                <w:sz w:val="20"/>
                <w:szCs w:val="20"/>
              </w:rPr>
            </w:pPr>
            <w:r w:rsidRPr="00BE4402">
              <w:rPr>
                <w:b/>
                <w:bCs/>
                <w:color w:val="000000"/>
                <w:sz w:val="20"/>
                <w:szCs w:val="20"/>
              </w:rPr>
              <w:t>POBLAC</w:t>
            </w:r>
            <w:r w:rsidR="00AB446C" w:rsidRPr="00BE4402">
              <w:rPr>
                <w:b/>
                <w:bCs/>
                <w:color w:val="000000"/>
                <w:sz w:val="20"/>
                <w:szCs w:val="20"/>
              </w:rPr>
              <w:t>IÓ</w:t>
            </w:r>
            <w:r w:rsidRPr="00BE4402">
              <w:rPr>
                <w:b/>
                <w:bCs/>
                <w:color w:val="000000"/>
                <w:sz w:val="20"/>
                <w:szCs w:val="20"/>
              </w:rPr>
              <w:t>N</w:t>
            </w:r>
          </w:p>
        </w:tc>
        <w:tc>
          <w:tcPr>
            <w:tcW w:w="1477" w:type="dxa"/>
            <w:tcBorders>
              <w:top w:val="single" w:sz="4" w:space="0" w:color="auto"/>
              <w:left w:val="nil"/>
              <w:bottom w:val="double" w:sz="4" w:space="0" w:color="auto"/>
              <w:right w:val="nil"/>
            </w:tcBorders>
            <w:shd w:val="clear" w:color="auto" w:fill="auto"/>
            <w:noWrap/>
            <w:vAlign w:val="center"/>
            <w:hideMark/>
          </w:tcPr>
          <w:p w:rsidR="00675D1A" w:rsidRPr="00BE4402" w:rsidRDefault="00675D1A" w:rsidP="00392A38">
            <w:pPr>
              <w:jc w:val="center"/>
              <w:rPr>
                <w:b/>
                <w:bCs/>
                <w:color w:val="000000"/>
                <w:sz w:val="20"/>
                <w:szCs w:val="20"/>
              </w:rPr>
            </w:pPr>
            <w:r w:rsidRPr="00BE4402">
              <w:rPr>
                <w:b/>
                <w:bCs/>
                <w:color w:val="000000"/>
                <w:sz w:val="20"/>
                <w:szCs w:val="20"/>
              </w:rPr>
              <w:t>CABECERA</w:t>
            </w:r>
          </w:p>
        </w:tc>
        <w:tc>
          <w:tcPr>
            <w:tcW w:w="1534" w:type="dxa"/>
            <w:tcBorders>
              <w:top w:val="single" w:sz="4" w:space="0" w:color="auto"/>
              <w:left w:val="nil"/>
              <w:bottom w:val="double" w:sz="4" w:space="0" w:color="auto"/>
              <w:right w:val="nil"/>
            </w:tcBorders>
            <w:shd w:val="clear" w:color="auto" w:fill="auto"/>
            <w:vAlign w:val="center"/>
            <w:hideMark/>
          </w:tcPr>
          <w:p w:rsidR="00675D1A" w:rsidRPr="00BE4402" w:rsidRDefault="00675D1A" w:rsidP="00392A38">
            <w:pPr>
              <w:jc w:val="center"/>
              <w:rPr>
                <w:b/>
                <w:bCs/>
                <w:color w:val="000000"/>
                <w:sz w:val="20"/>
                <w:szCs w:val="20"/>
              </w:rPr>
            </w:pPr>
            <w:r w:rsidRPr="00BE4402">
              <w:rPr>
                <w:b/>
                <w:bCs/>
                <w:color w:val="000000"/>
                <w:sz w:val="20"/>
                <w:szCs w:val="20"/>
              </w:rPr>
              <w:t>CENTRO POB</w:t>
            </w:r>
          </w:p>
        </w:tc>
        <w:tc>
          <w:tcPr>
            <w:tcW w:w="949" w:type="dxa"/>
            <w:tcBorders>
              <w:top w:val="single" w:sz="4" w:space="0" w:color="auto"/>
              <w:left w:val="nil"/>
              <w:bottom w:val="double" w:sz="4" w:space="0" w:color="auto"/>
              <w:right w:val="nil"/>
            </w:tcBorders>
            <w:shd w:val="clear" w:color="auto" w:fill="auto"/>
            <w:noWrap/>
            <w:vAlign w:val="center"/>
            <w:hideMark/>
          </w:tcPr>
          <w:p w:rsidR="00675D1A" w:rsidRPr="00BE4402" w:rsidRDefault="00675D1A" w:rsidP="00392A38">
            <w:pPr>
              <w:jc w:val="center"/>
              <w:rPr>
                <w:b/>
                <w:bCs/>
                <w:color w:val="000000"/>
                <w:sz w:val="20"/>
                <w:szCs w:val="20"/>
              </w:rPr>
            </w:pPr>
            <w:r w:rsidRPr="00BE4402">
              <w:rPr>
                <w:b/>
                <w:bCs/>
                <w:color w:val="000000"/>
                <w:sz w:val="20"/>
                <w:szCs w:val="20"/>
              </w:rPr>
              <w:t>RURAL</w:t>
            </w:r>
          </w:p>
        </w:tc>
      </w:tr>
      <w:tr w:rsidR="00675D1A" w:rsidRPr="00BE4402" w:rsidTr="000C3D1E">
        <w:trPr>
          <w:trHeight w:val="220"/>
        </w:trPr>
        <w:tc>
          <w:tcPr>
            <w:tcW w:w="1668" w:type="dxa"/>
            <w:tcBorders>
              <w:top w:val="double" w:sz="4" w:space="0" w:color="auto"/>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Armenia</w:t>
            </w:r>
          </w:p>
        </w:tc>
        <w:tc>
          <w:tcPr>
            <w:tcW w:w="1589" w:type="dxa"/>
            <w:tcBorders>
              <w:top w:val="double" w:sz="4" w:space="0" w:color="auto"/>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5.794</w:t>
            </w:r>
          </w:p>
        </w:tc>
        <w:tc>
          <w:tcPr>
            <w:tcW w:w="1477" w:type="dxa"/>
            <w:tcBorders>
              <w:top w:val="double" w:sz="4" w:space="0" w:color="auto"/>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5.679</w:t>
            </w:r>
          </w:p>
        </w:tc>
        <w:tc>
          <w:tcPr>
            <w:tcW w:w="1534" w:type="dxa"/>
            <w:tcBorders>
              <w:top w:val="double" w:sz="4" w:space="0" w:color="auto"/>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46</w:t>
            </w:r>
          </w:p>
        </w:tc>
        <w:tc>
          <w:tcPr>
            <w:tcW w:w="949" w:type="dxa"/>
            <w:tcBorders>
              <w:top w:val="double" w:sz="4" w:space="0" w:color="auto"/>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69</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Buenavista</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74</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45</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3</w:t>
            </w: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26</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Calarcá</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1.560</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1.394</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14</w:t>
            </w: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152</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Circasia</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874</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730</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3</w:t>
            </w: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141</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Córdoba</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270</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170</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100</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Filandia</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320</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210</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14</w:t>
            </w: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96</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Génova</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227</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154</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73</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La Tebaida</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977</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912</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19</w:t>
            </w: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46</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Montenegro</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1.462</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1.292</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42</w:t>
            </w: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128</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Pijao</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235</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179</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56</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Quimbaya</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969</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835</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25</w:t>
            </w: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109</w:t>
            </w:r>
          </w:p>
        </w:tc>
      </w:tr>
      <w:tr w:rsidR="00675D1A" w:rsidRPr="00BE4402" w:rsidTr="000C3D1E">
        <w:trPr>
          <w:trHeight w:val="220"/>
        </w:trPr>
        <w:tc>
          <w:tcPr>
            <w:tcW w:w="1668" w:type="dxa"/>
            <w:tcBorders>
              <w:top w:val="nil"/>
              <w:left w:val="nil"/>
              <w:bottom w:val="nil"/>
              <w:right w:val="nil"/>
            </w:tcBorders>
            <w:shd w:val="clear" w:color="auto" w:fill="auto"/>
            <w:noWrap/>
            <w:vAlign w:val="bottom"/>
            <w:hideMark/>
          </w:tcPr>
          <w:p w:rsidR="00675D1A" w:rsidRPr="00BE4402" w:rsidRDefault="00675D1A" w:rsidP="00392A38">
            <w:pPr>
              <w:rPr>
                <w:color w:val="000000"/>
                <w:sz w:val="20"/>
                <w:szCs w:val="20"/>
              </w:rPr>
            </w:pPr>
            <w:r w:rsidRPr="00BE4402">
              <w:rPr>
                <w:color w:val="000000"/>
                <w:sz w:val="20"/>
                <w:szCs w:val="20"/>
              </w:rPr>
              <w:t>Salento</w:t>
            </w:r>
          </w:p>
        </w:tc>
        <w:tc>
          <w:tcPr>
            <w:tcW w:w="158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191</w:t>
            </w:r>
          </w:p>
        </w:tc>
        <w:tc>
          <w:tcPr>
            <w:tcW w:w="1477"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124</w:t>
            </w:r>
          </w:p>
        </w:tc>
        <w:tc>
          <w:tcPr>
            <w:tcW w:w="1534"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18</w:t>
            </w:r>
          </w:p>
        </w:tc>
        <w:tc>
          <w:tcPr>
            <w:tcW w:w="949" w:type="dxa"/>
            <w:tcBorders>
              <w:top w:val="nil"/>
              <w:left w:val="nil"/>
              <w:bottom w:val="nil"/>
              <w:right w:val="nil"/>
            </w:tcBorders>
            <w:shd w:val="clear" w:color="auto" w:fill="auto"/>
            <w:noWrap/>
            <w:vAlign w:val="bottom"/>
            <w:hideMark/>
          </w:tcPr>
          <w:p w:rsidR="00675D1A" w:rsidRPr="00BE4402" w:rsidRDefault="00675D1A" w:rsidP="00392A38">
            <w:pPr>
              <w:jc w:val="center"/>
              <w:rPr>
                <w:color w:val="000000"/>
                <w:sz w:val="20"/>
                <w:szCs w:val="20"/>
              </w:rPr>
            </w:pPr>
            <w:r w:rsidRPr="00BE4402">
              <w:rPr>
                <w:color w:val="000000"/>
                <w:sz w:val="20"/>
                <w:szCs w:val="20"/>
              </w:rPr>
              <w:t>49</w:t>
            </w:r>
          </w:p>
        </w:tc>
      </w:tr>
      <w:tr w:rsidR="00675D1A" w:rsidRPr="00BE4402" w:rsidTr="000C3D1E">
        <w:trPr>
          <w:trHeight w:val="220"/>
        </w:trPr>
        <w:tc>
          <w:tcPr>
            <w:tcW w:w="1668" w:type="dxa"/>
            <w:tcBorders>
              <w:top w:val="single" w:sz="4" w:space="0" w:color="auto"/>
              <w:left w:val="nil"/>
              <w:bottom w:val="single" w:sz="4" w:space="0" w:color="auto"/>
              <w:right w:val="nil"/>
            </w:tcBorders>
            <w:shd w:val="clear" w:color="auto" w:fill="auto"/>
            <w:noWrap/>
            <w:vAlign w:val="bottom"/>
            <w:hideMark/>
          </w:tcPr>
          <w:p w:rsidR="00675D1A" w:rsidRPr="00BE4402" w:rsidRDefault="00675D1A" w:rsidP="00392A38">
            <w:pPr>
              <w:rPr>
                <w:b/>
                <w:bCs/>
                <w:color w:val="000000"/>
                <w:sz w:val="20"/>
                <w:szCs w:val="20"/>
              </w:rPr>
            </w:pPr>
            <w:r w:rsidRPr="00BE4402">
              <w:rPr>
                <w:b/>
                <w:bCs/>
                <w:color w:val="000000"/>
                <w:sz w:val="20"/>
                <w:szCs w:val="20"/>
              </w:rPr>
              <w:t>TOTALES</w:t>
            </w:r>
          </w:p>
        </w:tc>
        <w:tc>
          <w:tcPr>
            <w:tcW w:w="1589" w:type="dxa"/>
            <w:tcBorders>
              <w:top w:val="single" w:sz="4" w:space="0" w:color="auto"/>
              <w:left w:val="nil"/>
              <w:bottom w:val="single" w:sz="4" w:space="0" w:color="auto"/>
              <w:right w:val="nil"/>
            </w:tcBorders>
            <w:shd w:val="clear" w:color="auto" w:fill="auto"/>
            <w:noWrap/>
            <w:vAlign w:val="bottom"/>
            <w:hideMark/>
          </w:tcPr>
          <w:p w:rsidR="00675D1A" w:rsidRPr="00BE4402" w:rsidRDefault="00675D1A" w:rsidP="00392A38">
            <w:pPr>
              <w:jc w:val="center"/>
              <w:rPr>
                <w:b/>
                <w:bCs/>
                <w:color w:val="000000"/>
                <w:sz w:val="20"/>
                <w:szCs w:val="20"/>
              </w:rPr>
            </w:pPr>
            <w:r w:rsidRPr="00BE4402">
              <w:rPr>
                <w:b/>
                <w:bCs/>
                <w:color w:val="000000"/>
                <w:sz w:val="20"/>
                <w:szCs w:val="20"/>
              </w:rPr>
              <w:t>12.953</w:t>
            </w:r>
          </w:p>
        </w:tc>
        <w:tc>
          <w:tcPr>
            <w:tcW w:w="1477" w:type="dxa"/>
            <w:tcBorders>
              <w:top w:val="single" w:sz="4" w:space="0" w:color="auto"/>
              <w:left w:val="nil"/>
              <w:bottom w:val="single" w:sz="4" w:space="0" w:color="auto"/>
              <w:right w:val="nil"/>
            </w:tcBorders>
            <w:shd w:val="clear" w:color="auto" w:fill="auto"/>
            <w:noWrap/>
            <w:vAlign w:val="bottom"/>
            <w:hideMark/>
          </w:tcPr>
          <w:p w:rsidR="00675D1A" w:rsidRPr="00BE4402" w:rsidRDefault="00675D1A" w:rsidP="00392A38">
            <w:pPr>
              <w:jc w:val="center"/>
              <w:rPr>
                <w:b/>
                <w:bCs/>
                <w:color w:val="000000"/>
                <w:sz w:val="20"/>
                <w:szCs w:val="20"/>
              </w:rPr>
            </w:pPr>
            <w:r w:rsidRPr="00BE4402">
              <w:rPr>
                <w:b/>
                <w:bCs/>
                <w:color w:val="000000"/>
                <w:sz w:val="20"/>
                <w:szCs w:val="20"/>
              </w:rPr>
              <w:t>11.724</w:t>
            </w:r>
          </w:p>
        </w:tc>
        <w:tc>
          <w:tcPr>
            <w:tcW w:w="1534" w:type="dxa"/>
            <w:tcBorders>
              <w:top w:val="single" w:sz="4" w:space="0" w:color="auto"/>
              <w:left w:val="nil"/>
              <w:bottom w:val="single" w:sz="4" w:space="0" w:color="auto"/>
              <w:right w:val="nil"/>
            </w:tcBorders>
            <w:shd w:val="clear" w:color="auto" w:fill="auto"/>
            <w:noWrap/>
            <w:vAlign w:val="bottom"/>
            <w:hideMark/>
          </w:tcPr>
          <w:p w:rsidR="00675D1A" w:rsidRPr="00BE4402" w:rsidRDefault="00675D1A" w:rsidP="00392A38">
            <w:pPr>
              <w:jc w:val="center"/>
              <w:rPr>
                <w:b/>
                <w:bCs/>
                <w:color w:val="000000"/>
                <w:sz w:val="20"/>
                <w:szCs w:val="20"/>
              </w:rPr>
            </w:pPr>
            <w:r w:rsidRPr="00BE4402">
              <w:rPr>
                <w:b/>
                <w:bCs/>
                <w:color w:val="000000"/>
                <w:sz w:val="20"/>
                <w:szCs w:val="20"/>
              </w:rPr>
              <w:t>184</w:t>
            </w:r>
          </w:p>
        </w:tc>
        <w:tc>
          <w:tcPr>
            <w:tcW w:w="949" w:type="dxa"/>
            <w:tcBorders>
              <w:top w:val="single" w:sz="4" w:space="0" w:color="auto"/>
              <w:left w:val="nil"/>
              <w:bottom w:val="single" w:sz="4" w:space="0" w:color="auto"/>
              <w:right w:val="nil"/>
            </w:tcBorders>
            <w:shd w:val="clear" w:color="auto" w:fill="auto"/>
            <w:noWrap/>
            <w:vAlign w:val="bottom"/>
            <w:hideMark/>
          </w:tcPr>
          <w:p w:rsidR="00675D1A" w:rsidRPr="00BE4402" w:rsidRDefault="00675D1A" w:rsidP="00392A38">
            <w:pPr>
              <w:jc w:val="center"/>
              <w:rPr>
                <w:b/>
                <w:bCs/>
                <w:color w:val="000000"/>
                <w:sz w:val="20"/>
                <w:szCs w:val="20"/>
              </w:rPr>
            </w:pPr>
            <w:r w:rsidRPr="00BE4402">
              <w:rPr>
                <w:b/>
                <w:bCs/>
                <w:color w:val="000000"/>
                <w:sz w:val="20"/>
                <w:szCs w:val="20"/>
              </w:rPr>
              <w:t>1.045</w:t>
            </w:r>
          </w:p>
        </w:tc>
      </w:tr>
    </w:tbl>
    <w:p w:rsidR="00675D1A" w:rsidRPr="00D531FD" w:rsidRDefault="00675D1A" w:rsidP="00BE4402">
      <w:pPr>
        <w:tabs>
          <w:tab w:val="left" w:pos="3403"/>
        </w:tabs>
        <w:rPr>
          <w:sz w:val="16"/>
          <w:szCs w:val="16"/>
        </w:rPr>
      </w:pPr>
      <w:r w:rsidRPr="00D531FD">
        <w:rPr>
          <w:sz w:val="16"/>
          <w:szCs w:val="16"/>
        </w:rPr>
        <w:t>Fuente: Datos Base consolidada y certificada por el DNP con corte a Noviembre 2013. Cálculos DNP-DR-ESE.</w:t>
      </w:r>
    </w:p>
    <w:p w:rsidR="00392A38" w:rsidRPr="00392A38" w:rsidRDefault="00392A38" w:rsidP="00392A38">
      <w:pPr>
        <w:pStyle w:val="Sinespaciado"/>
        <w:jc w:val="center"/>
        <w:rPr>
          <w:rFonts w:ascii="Times New Roman" w:hAnsi="Times New Roman"/>
          <w:sz w:val="24"/>
          <w:szCs w:val="24"/>
        </w:rPr>
      </w:pPr>
    </w:p>
    <w:p w:rsidR="00675D1A" w:rsidRPr="00D531FD" w:rsidRDefault="00675D1A" w:rsidP="006A3883">
      <w:pPr>
        <w:pStyle w:val="Sinespaciado"/>
        <w:spacing w:line="360" w:lineRule="auto"/>
        <w:rPr>
          <w:rFonts w:ascii="Times New Roman" w:hAnsi="Times New Roman"/>
          <w:sz w:val="24"/>
          <w:szCs w:val="24"/>
        </w:rPr>
      </w:pPr>
      <w:r w:rsidRPr="00392A38">
        <w:rPr>
          <w:rFonts w:ascii="Times New Roman" w:hAnsi="Times New Roman"/>
          <w:sz w:val="24"/>
          <w:szCs w:val="24"/>
        </w:rPr>
        <w:lastRenderedPageBreak/>
        <w:t xml:space="preserve">     El número de personas beneficiadas en </w:t>
      </w:r>
      <w:r w:rsidRPr="00D531FD">
        <w:rPr>
          <w:rFonts w:ascii="Times New Roman" w:hAnsi="Times New Roman"/>
          <w:sz w:val="24"/>
          <w:szCs w:val="24"/>
        </w:rPr>
        <w:t xml:space="preserve">población vulnerable en el </w:t>
      </w:r>
      <w:r w:rsidR="00D31B7E" w:rsidRPr="00D531FD">
        <w:rPr>
          <w:rFonts w:ascii="Times New Roman" w:hAnsi="Times New Roman"/>
          <w:sz w:val="24"/>
          <w:szCs w:val="24"/>
        </w:rPr>
        <w:t>Sisbén</w:t>
      </w:r>
      <w:r w:rsidRPr="00D531FD">
        <w:rPr>
          <w:rFonts w:ascii="Times New Roman" w:hAnsi="Times New Roman"/>
          <w:sz w:val="24"/>
          <w:szCs w:val="24"/>
        </w:rPr>
        <w:t xml:space="preserve"> al 30 de noviembre del 2013</w:t>
      </w:r>
      <w:r w:rsidR="003E0BFC">
        <w:rPr>
          <w:rFonts w:ascii="Times New Roman" w:hAnsi="Times New Roman"/>
          <w:sz w:val="24"/>
          <w:szCs w:val="24"/>
        </w:rPr>
        <w:t>,</w:t>
      </w:r>
      <w:r w:rsidRPr="00D531FD">
        <w:rPr>
          <w:rFonts w:ascii="Times New Roman" w:hAnsi="Times New Roman"/>
          <w:sz w:val="24"/>
          <w:szCs w:val="24"/>
        </w:rPr>
        <w:t xml:space="preserve"> fue de </w:t>
      </w:r>
      <w:r w:rsidR="00966C30">
        <w:rPr>
          <w:rFonts w:ascii="Times New Roman" w:hAnsi="Times New Roman"/>
          <w:sz w:val="24"/>
          <w:szCs w:val="24"/>
        </w:rPr>
        <w:t>12.953</w:t>
      </w:r>
      <w:r w:rsidR="003E0BFC">
        <w:rPr>
          <w:rFonts w:ascii="Times New Roman" w:hAnsi="Times New Roman"/>
          <w:sz w:val="24"/>
          <w:szCs w:val="24"/>
        </w:rPr>
        <w:t>,</w:t>
      </w:r>
      <w:r w:rsidRPr="00D531FD">
        <w:rPr>
          <w:rFonts w:ascii="Times New Roman" w:hAnsi="Times New Roman"/>
          <w:sz w:val="24"/>
          <w:szCs w:val="24"/>
        </w:rPr>
        <w:t xml:space="preserve"> de un total de 409.582 personas </w:t>
      </w:r>
      <w:proofErr w:type="spellStart"/>
      <w:r w:rsidRPr="00D531FD">
        <w:rPr>
          <w:rFonts w:ascii="Times New Roman" w:hAnsi="Times New Roman"/>
          <w:sz w:val="24"/>
          <w:szCs w:val="24"/>
        </w:rPr>
        <w:t>sisbenizadas</w:t>
      </w:r>
      <w:proofErr w:type="spellEnd"/>
      <w:r w:rsidR="00B23A7B">
        <w:rPr>
          <w:rFonts w:ascii="Times New Roman" w:hAnsi="Times New Roman"/>
          <w:sz w:val="24"/>
          <w:szCs w:val="24"/>
        </w:rPr>
        <w:t>, lo que representa el 3,1% del total; lo cuales se concentran en el área urbana del Departamento</w:t>
      </w:r>
      <w:r w:rsidRPr="00D531FD">
        <w:rPr>
          <w:rFonts w:ascii="Times New Roman" w:hAnsi="Times New Roman"/>
          <w:sz w:val="24"/>
          <w:szCs w:val="24"/>
        </w:rPr>
        <w:t>.</w:t>
      </w:r>
    </w:p>
    <w:p w:rsidR="00675D1A" w:rsidRPr="00D531FD" w:rsidRDefault="00675D1A" w:rsidP="00675D1A">
      <w:pPr>
        <w:pStyle w:val="Sinespaciado"/>
        <w:spacing w:line="360" w:lineRule="auto"/>
        <w:rPr>
          <w:rFonts w:ascii="Times New Roman" w:hAnsi="Times New Roman"/>
          <w:sz w:val="24"/>
          <w:szCs w:val="24"/>
        </w:rPr>
      </w:pPr>
    </w:p>
    <w:p w:rsidR="00675D1A" w:rsidRPr="00D31B7E" w:rsidRDefault="005A513D" w:rsidP="00FF19C8">
      <w:pPr>
        <w:pStyle w:val="Sinespaciado"/>
        <w:jc w:val="left"/>
        <w:rPr>
          <w:rFonts w:ascii="Times New Roman" w:hAnsi="Times New Roman"/>
          <w:sz w:val="24"/>
          <w:szCs w:val="24"/>
        </w:rPr>
      </w:pPr>
      <w:r>
        <w:rPr>
          <w:rFonts w:ascii="Times New Roman" w:hAnsi="Times New Roman"/>
          <w:sz w:val="24"/>
          <w:szCs w:val="24"/>
        </w:rPr>
        <w:t>Tabla</w:t>
      </w:r>
      <w:r w:rsidR="00675D1A" w:rsidRPr="00D31B7E">
        <w:rPr>
          <w:rFonts w:ascii="Times New Roman" w:hAnsi="Times New Roman"/>
          <w:sz w:val="24"/>
          <w:szCs w:val="24"/>
        </w:rPr>
        <w:t>. 1.1</w:t>
      </w:r>
      <w:r w:rsidR="00333D61">
        <w:rPr>
          <w:rFonts w:ascii="Times New Roman" w:hAnsi="Times New Roman"/>
          <w:sz w:val="24"/>
          <w:szCs w:val="24"/>
        </w:rPr>
        <w:t>2</w:t>
      </w:r>
    </w:p>
    <w:p w:rsidR="00392A38" w:rsidRPr="00D31B7E" w:rsidRDefault="00675D1A" w:rsidP="00FF19C8">
      <w:pPr>
        <w:pStyle w:val="Sinespaciado"/>
        <w:jc w:val="left"/>
        <w:rPr>
          <w:rFonts w:ascii="Times New Roman" w:hAnsi="Times New Roman"/>
          <w:bCs/>
          <w:color w:val="000000"/>
          <w:sz w:val="24"/>
          <w:szCs w:val="24"/>
        </w:rPr>
      </w:pPr>
      <w:r w:rsidRPr="00D31B7E">
        <w:rPr>
          <w:rFonts w:ascii="Times New Roman" w:hAnsi="Times New Roman"/>
          <w:bCs/>
          <w:color w:val="000000"/>
          <w:sz w:val="24"/>
          <w:szCs w:val="24"/>
        </w:rPr>
        <w:t>No. de familias beneficiadas en población vulnerable Sisbén</w:t>
      </w:r>
    </w:p>
    <w:p w:rsidR="00392A38" w:rsidRPr="00D531FD" w:rsidRDefault="00392A38" w:rsidP="00392A38">
      <w:pPr>
        <w:pStyle w:val="Sinespaciado"/>
        <w:jc w:val="center"/>
        <w:rPr>
          <w:rFonts w:ascii="Times New Roman" w:hAnsi="Times New Roman"/>
          <w:b/>
          <w:bCs/>
          <w:color w:val="000000"/>
          <w:sz w:val="24"/>
          <w:szCs w:val="24"/>
        </w:rPr>
      </w:pPr>
    </w:p>
    <w:tbl>
      <w:tblPr>
        <w:tblW w:w="6074" w:type="dxa"/>
        <w:tblCellMar>
          <w:left w:w="70" w:type="dxa"/>
          <w:right w:w="70" w:type="dxa"/>
        </w:tblCellMar>
        <w:tblLook w:val="04A0" w:firstRow="1" w:lastRow="0" w:firstColumn="1" w:lastColumn="0" w:noHBand="0" w:noVBand="1"/>
      </w:tblPr>
      <w:tblGrid>
        <w:gridCol w:w="1274"/>
        <w:gridCol w:w="1200"/>
        <w:gridCol w:w="1200"/>
        <w:gridCol w:w="1200"/>
        <w:gridCol w:w="1200"/>
      </w:tblGrid>
      <w:tr w:rsidR="00675D1A" w:rsidRPr="00AB446C" w:rsidTr="00FF19C8">
        <w:trPr>
          <w:trHeight w:val="847"/>
          <w:tblHeader/>
        </w:trPr>
        <w:tc>
          <w:tcPr>
            <w:tcW w:w="1274" w:type="dxa"/>
            <w:tcBorders>
              <w:top w:val="single" w:sz="4" w:space="0" w:color="auto"/>
              <w:left w:val="nil"/>
              <w:bottom w:val="double" w:sz="6" w:space="0" w:color="auto"/>
              <w:right w:val="nil"/>
            </w:tcBorders>
            <w:shd w:val="clear" w:color="auto" w:fill="auto"/>
            <w:vAlign w:val="center"/>
            <w:hideMark/>
          </w:tcPr>
          <w:p w:rsidR="00675D1A" w:rsidRPr="00AB446C" w:rsidRDefault="00675D1A" w:rsidP="00392A38">
            <w:pPr>
              <w:jc w:val="center"/>
              <w:rPr>
                <w:b/>
                <w:bCs/>
                <w:color w:val="000000"/>
                <w:sz w:val="20"/>
                <w:szCs w:val="20"/>
              </w:rPr>
            </w:pPr>
            <w:r w:rsidRPr="00AB446C">
              <w:rPr>
                <w:b/>
                <w:bCs/>
                <w:color w:val="000000"/>
                <w:sz w:val="20"/>
                <w:szCs w:val="20"/>
              </w:rPr>
              <w:t>MUNICIPIO</w:t>
            </w:r>
          </w:p>
        </w:tc>
        <w:tc>
          <w:tcPr>
            <w:tcW w:w="1200" w:type="dxa"/>
            <w:tcBorders>
              <w:top w:val="single" w:sz="4" w:space="0" w:color="auto"/>
              <w:left w:val="nil"/>
              <w:bottom w:val="double" w:sz="6" w:space="0" w:color="auto"/>
              <w:right w:val="nil"/>
            </w:tcBorders>
            <w:shd w:val="clear" w:color="auto" w:fill="auto"/>
            <w:vAlign w:val="center"/>
            <w:hideMark/>
          </w:tcPr>
          <w:p w:rsidR="00675D1A" w:rsidRPr="00AB446C" w:rsidRDefault="00675D1A" w:rsidP="00392A38">
            <w:pPr>
              <w:jc w:val="center"/>
              <w:rPr>
                <w:b/>
                <w:bCs/>
                <w:color w:val="000000"/>
                <w:sz w:val="20"/>
                <w:szCs w:val="20"/>
              </w:rPr>
            </w:pPr>
            <w:r w:rsidRPr="00AB446C">
              <w:rPr>
                <w:b/>
                <w:bCs/>
                <w:color w:val="000000"/>
                <w:sz w:val="20"/>
                <w:szCs w:val="20"/>
              </w:rPr>
              <w:t>Enero a Diciembre del 2011</w:t>
            </w:r>
          </w:p>
        </w:tc>
        <w:tc>
          <w:tcPr>
            <w:tcW w:w="1200" w:type="dxa"/>
            <w:tcBorders>
              <w:top w:val="single" w:sz="4" w:space="0" w:color="auto"/>
              <w:left w:val="nil"/>
              <w:bottom w:val="double" w:sz="6" w:space="0" w:color="auto"/>
              <w:right w:val="nil"/>
            </w:tcBorders>
            <w:shd w:val="clear" w:color="auto" w:fill="auto"/>
            <w:vAlign w:val="center"/>
            <w:hideMark/>
          </w:tcPr>
          <w:p w:rsidR="00675D1A" w:rsidRPr="00AB446C" w:rsidRDefault="00675D1A" w:rsidP="00392A38">
            <w:pPr>
              <w:jc w:val="center"/>
              <w:rPr>
                <w:b/>
                <w:bCs/>
                <w:color w:val="000000"/>
                <w:sz w:val="20"/>
                <w:szCs w:val="20"/>
              </w:rPr>
            </w:pPr>
            <w:r w:rsidRPr="00AB446C">
              <w:rPr>
                <w:b/>
                <w:bCs/>
                <w:color w:val="000000"/>
                <w:sz w:val="20"/>
                <w:szCs w:val="20"/>
              </w:rPr>
              <w:t>Enero a Diciembre del 2012</w:t>
            </w:r>
          </w:p>
        </w:tc>
        <w:tc>
          <w:tcPr>
            <w:tcW w:w="1200" w:type="dxa"/>
            <w:tcBorders>
              <w:top w:val="single" w:sz="4" w:space="0" w:color="auto"/>
              <w:left w:val="nil"/>
              <w:bottom w:val="double" w:sz="6" w:space="0" w:color="auto"/>
              <w:right w:val="nil"/>
            </w:tcBorders>
            <w:shd w:val="clear" w:color="auto" w:fill="auto"/>
            <w:vAlign w:val="center"/>
            <w:hideMark/>
          </w:tcPr>
          <w:p w:rsidR="00675D1A" w:rsidRPr="00AB446C" w:rsidRDefault="00675D1A" w:rsidP="00392A38">
            <w:pPr>
              <w:jc w:val="center"/>
              <w:rPr>
                <w:b/>
                <w:bCs/>
                <w:color w:val="000000"/>
                <w:sz w:val="20"/>
                <w:szCs w:val="20"/>
              </w:rPr>
            </w:pPr>
            <w:r w:rsidRPr="00AB446C">
              <w:rPr>
                <w:b/>
                <w:bCs/>
                <w:color w:val="000000"/>
                <w:sz w:val="20"/>
                <w:szCs w:val="20"/>
              </w:rPr>
              <w:t>Enero a Diciembre del 2013</w:t>
            </w:r>
          </w:p>
        </w:tc>
        <w:tc>
          <w:tcPr>
            <w:tcW w:w="1200" w:type="dxa"/>
            <w:tcBorders>
              <w:top w:val="single" w:sz="4" w:space="0" w:color="auto"/>
              <w:left w:val="nil"/>
              <w:bottom w:val="double" w:sz="6" w:space="0" w:color="auto"/>
              <w:right w:val="nil"/>
            </w:tcBorders>
            <w:shd w:val="clear" w:color="auto" w:fill="auto"/>
            <w:noWrap/>
            <w:vAlign w:val="center"/>
            <w:hideMark/>
          </w:tcPr>
          <w:p w:rsidR="00675D1A" w:rsidRPr="00AB446C" w:rsidRDefault="00675D1A" w:rsidP="00392A38">
            <w:pPr>
              <w:jc w:val="center"/>
              <w:rPr>
                <w:b/>
                <w:bCs/>
                <w:color w:val="000000"/>
                <w:sz w:val="20"/>
                <w:szCs w:val="20"/>
              </w:rPr>
            </w:pPr>
            <w:r w:rsidRPr="00AB446C">
              <w:rPr>
                <w:b/>
                <w:bCs/>
                <w:color w:val="000000"/>
                <w:sz w:val="20"/>
                <w:szCs w:val="20"/>
              </w:rPr>
              <w:t>Total Gral.</w:t>
            </w:r>
          </w:p>
        </w:tc>
      </w:tr>
      <w:tr w:rsidR="00675D1A" w:rsidRPr="00AB446C" w:rsidTr="00FF19C8">
        <w:trPr>
          <w:trHeight w:val="315"/>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Armenia</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8.928</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7.618</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3.537</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20.083</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Buenavista</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152</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132</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76</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360</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Calarcá</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2.124</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1.781</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1.386</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5.291</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Circasia</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1.166</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1.004</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572</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2.742</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Córdoba</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491</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414</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254</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1.159</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Filandia</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488</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435</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285</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1.208</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Génova</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519</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428</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372</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1.319</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La Tebaida</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2.174</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1.904</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1.348</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5.426</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Montenegro</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2.755</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2.346</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1.181</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6.282</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Pijao</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501</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447</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313</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1.261</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Quimbaya</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1.635</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1.437</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1.172</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4.244</w:t>
            </w:r>
          </w:p>
        </w:tc>
      </w:tr>
      <w:tr w:rsidR="00675D1A" w:rsidRPr="00AB446C" w:rsidTr="00FF19C8">
        <w:trPr>
          <w:trHeight w:val="300"/>
        </w:trPr>
        <w:tc>
          <w:tcPr>
            <w:tcW w:w="1274" w:type="dxa"/>
            <w:tcBorders>
              <w:top w:val="nil"/>
              <w:left w:val="nil"/>
              <w:bottom w:val="nil"/>
              <w:right w:val="nil"/>
            </w:tcBorders>
            <w:shd w:val="clear" w:color="auto" w:fill="auto"/>
            <w:noWrap/>
            <w:vAlign w:val="bottom"/>
            <w:hideMark/>
          </w:tcPr>
          <w:p w:rsidR="00675D1A" w:rsidRPr="00AB446C" w:rsidRDefault="00675D1A" w:rsidP="00392A38">
            <w:pPr>
              <w:rPr>
                <w:color w:val="000000"/>
                <w:sz w:val="20"/>
                <w:szCs w:val="20"/>
              </w:rPr>
            </w:pPr>
            <w:r w:rsidRPr="00AB446C">
              <w:rPr>
                <w:color w:val="000000"/>
                <w:sz w:val="20"/>
                <w:szCs w:val="20"/>
              </w:rPr>
              <w:t>Salento</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305</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278</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197</w:t>
            </w:r>
          </w:p>
        </w:tc>
        <w:tc>
          <w:tcPr>
            <w:tcW w:w="1200" w:type="dxa"/>
            <w:tcBorders>
              <w:top w:val="nil"/>
              <w:left w:val="nil"/>
              <w:bottom w:val="nil"/>
              <w:right w:val="nil"/>
            </w:tcBorders>
            <w:shd w:val="clear" w:color="auto" w:fill="auto"/>
            <w:noWrap/>
            <w:vAlign w:val="bottom"/>
            <w:hideMark/>
          </w:tcPr>
          <w:p w:rsidR="00675D1A" w:rsidRPr="00AB446C" w:rsidRDefault="00675D1A" w:rsidP="00392A38">
            <w:pPr>
              <w:jc w:val="center"/>
              <w:rPr>
                <w:color w:val="000000"/>
                <w:sz w:val="20"/>
                <w:szCs w:val="20"/>
              </w:rPr>
            </w:pPr>
            <w:r w:rsidRPr="00AB446C">
              <w:rPr>
                <w:color w:val="000000"/>
                <w:sz w:val="20"/>
                <w:szCs w:val="20"/>
              </w:rPr>
              <w:t>780</w:t>
            </w:r>
          </w:p>
        </w:tc>
      </w:tr>
      <w:tr w:rsidR="00675D1A" w:rsidRPr="00AB446C" w:rsidTr="00FF19C8">
        <w:trPr>
          <w:trHeight w:val="315"/>
        </w:trPr>
        <w:tc>
          <w:tcPr>
            <w:tcW w:w="1274" w:type="dxa"/>
            <w:tcBorders>
              <w:top w:val="single" w:sz="4" w:space="0" w:color="auto"/>
              <w:left w:val="nil"/>
              <w:bottom w:val="double" w:sz="6" w:space="0" w:color="auto"/>
              <w:right w:val="nil"/>
            </w:tcBorders>
            <w:shd w:val="clear" w:color="auto" w:fill="auto"/>
            <w:noWrap/>
            <w:vAlign w:val="center"/>
            <w:hideMark/>
          </w:tcPr>
          <w:p w:rsidR="00675D1A" w:rsidRPr="00AB446C" w:rsidRDefault="00675D1A" w:rsidP="00D31B7E">
            <w:pPr>
              <w:rPr>
                <w:b/>
                <w:bCs/>
                <w:color w:val="000000"/>
                <w:sz w:val="20"/>
                <w:szCs w:val="20"/>
              </w:rPr>
            </w:pPr>
            <w:r w:rsidRPr="00AB446C">
              <w:rPr>
                <w:b/>
                <w:bCs/>
                <w:color w:val="000000"/>
                <w:sz w:val="20"/>
                <w:szCs w:val="20"/>
              </w:rPr>
              <w:t>TOTAL</w:t>
            </w:r>
          </w:p>
        </w:tc>
        <w:tc>
          <w:tcPr>
            <w:tcW w:w="1200" w:type="dxa"/>
            <w:tcBorders>
              <w:top w:val="single" w:sz="4" w:space="0" w:color="auto"/>
              <w:left w:val="nil"/>
              <w:bottom w:val="double" w:sz="6" w:space="0" w:color="auto"/>
              <w:right w:val="nil"/>
            </w:tcBorders>
            <w:shd w:val="clear" w:color="auto" w:fill="auto"/>
            <w:noWrap/>
            <w:vAlign w:val="center"/>
            <w:hideMark/>
          </w:tcPr>
          <w:p w:rsidR="00675D1A" w:rsidRPr="00AB446C" w:rsidRDefault="00675D1A" w:rsidP="00D31B7E">
            <w:pPr>
              <w:jc w:val="center"/>
              <w:rPr>
                <w:b/>
                <w:bCs/>
                <w:color w:val="000000"/>
                <w:sz w:val="20"/>
                <w:szCs w:val="20"/>
              </w:rPr>
            </w:pPr>
            <w:r w:rsidRPr="00AB446C">
              <w:rPr>
                <w:b/>
                <w:bCs/>
                <w:color w:val="000000"/>
                <w:sz w:val="20"/>
                <w:szCs w:val="20"/>
              </w:rPr>
              <w:t>21.238</w:t>
            </w:r>
          </w:p>
        </w:tc>
        <w:tc>
          <w:tcPr>
            <w:tcW w:w="1200" w:type="dxa"/>
            <w:tcBorders>
              <w:top w:val="single" w:sz="4" w:space="0" w:color="auto"/>
              <w:left w:val="nil"/>
              <w:bottom w:val="double" w:sz="6" w:space="0" w:color="auto"/>
              <w:right w:val="nil"/>
            </w:tcBorders>
            <w:shd w:val="clear" w:color="auto" w:fill="auto"/>
            <w:noWrap/>
            <w:vAlign w:val="center"/>
            <w:hideMark/>
          </w:tcPr>
          <w:p w:rsidR="00675D1A" w:rsidRPr="00AB446C" w:rsidRDefault="00675D1A" w:rsidP="00D31B7E">
            <w:pPr>
              <w:jc w:val="center"/>
              <w:rPr>
                <w:b/>
                <w:bCs/>
                <w:color w:val="000000"/>
                <w:sz w:val="20"/>
                <w:szCs w:val="20"/>
              </w:rPr>
            </w:pPr>
            <w:r w:rsidRPr="00AB446C">
              <w:rPr>
                <w:b/>
                <w:bCs/>
                <w:color w:val="000000"/>
                <w:sz w:val="20"/>
                <w:szCs w:val="20"/>
              </w:rPr>
              <w:t>18.224</w:t>
            </w:r>
          </w:p>
        </w:tc>
        <w:tc>
          <w:tcPr>
            <w:tcW w:w="1200" w:type="dxa"/>
            <w:tcBorders>
              <w:top w:val="single" w:sz="4" w:space="0" w:color="auto"/>
              <w:left w:val="nil"/>
              <w:bottom w:val="double" w:sz="6" w:space="0" w:color="auto"/>
              <w:right w:val="nil"/>
            </w:tcBorders>
            <w:shd w:val="clear" w:color="auto" w:fill="auto"/>
            <w:noWrap/>
            <w:vAlign w:val="center"/>
            <w:hideMark/>
          </w:tcPr>
          <w:p w:rsidR="00675D1A" w:rsidRPr="00AB446C" w:rsidRDefault="00675D1A" w:rsidP="00D31B7E">
            <w:pPr>
              <w:jc w:val="center"/>
              <w:rPr>
                <w:b/>
                <w:bCs/>
                <w:color w:val="000000"/>
                <w:sz w:val="20"/>
                <w:szCs w:val="20"/>
              </w:rPr>
            </w:pPr>
            <w:r w:rsidRPr="00AB446C">
              <w:rPr>
                <w:b/>
                <w:bCs/>
                <w:color w:val="000000"/>
                <w:sz w:val="20"/>
                <w:szCs w:val="20"/>
              </w:rPr>
              <w:t>10.693</w:t>
            </w:r>
          </w:p>
        </w:tc>
        <w:tc>
          <w:tcPr>
            <w:tcW w:w="1200" w:type="dxa"/>
            <w:tcBorders>
              <w:top w:val="single" w:sz="4" w:space="0" w:color="auto"/>
              <w:left w:val="nil"/>
              <w:bottom w:val="double" w:sz="6" w:space="0" w:color="auto"/>
              <w:right w:val="nil"/>
            </w:tcBorders>
            <w:shd w:val="clear" w:color="auto" w:fill="auto"/>
            <w:noWrap/>
            <w:vAlign w:val="center"/>
            <w:hideMark/>
          </w:tcPr>
          <w:p w:rsidR="00675D1A" w:rsidRPr="00AB446C" w:rsidRDefault="00675D1A" w:rsidP="00D31B7E">
            <w:pPr>
              <w:jc w:val="center"/>
              <w:rPr>
                <w:b/>
                <w:bCs/>
                <w:color w:val="000000"/>
                <w:sz w:val="20"/>
                <w:szCs w:val="20"/>
              </w:rPr>
            </w:pPr>
            <w:r w:rsidRPr="00AB446C">
              <w:rPr>
                <w:b/>
                <w:bCs/>
                <w:color w:val="000000"/>
                <w:sz w:val="20"/>
                <w:szCs w:val="20"/>
              </w:rPr>
              <w:t>50.155</w:t>
            </w:r>
          </w:p>
        </w:tc>
      </w:tr>
      <w:tr w:rsidR="00675D1A" w:rsidRPr="00AB446C" w:rsidTr="00FF19C8">
        <w:trPr>
          <w:trHeight w:val="315"/>
        </w:trPr>
        <w:tc>
          <w:tcPr>
            <w:tcW w:w="6074" w:type="dxa"/>
            <w:gridSpan w:val="5"/>
            <w:tcBorders>
              <w:top w:val="nil"/>
              <w:left w:val="nil"/>
              <w:bottom w:val="nil"/>
              <w:right w:val="nil"/>
            </w:tcBorders>
            <w:shd w:val="clear" w:color="auto" w:fill="auto"/>
            <w:hideMark/>
          </w:tcPr>
          <w:p w:rsidR="00675D1A" w:rsidRPr="00AB446C" w:rsidRDefault="00675D1A" w:rsidP="00392A38">
            <w:pPr>
              <w:rPr>
                <w:color w:val="000000"/>
                <w:sz w:val="20"/>
                <w:szCs w:val="20"/>
              </w:rPr>
            </w:pPr>
            <w:r w:rsidRPr="00AB446C">
              <w:rPr>
                <w:iCs/>
                <w:color w:val="000000"/>
                <w:sz w:val="20"/>
                <w:szCs w:val="20"/>
              </w:rPr>
              <w:t>Fuente: Departamento para la Prosperidad Social  al 31 de diciembre de 2013</w:t>
            </w:r>
          </w:p>
        </w:tc>
      </w:tr>
    </w:tbl>
    <w:p w:rsidR="00675D1A" w:rsidRDefault="00675D1A" w:rsidP="00675D1A">
      <w:pPr>
        <w:pStyle w:val="Sinespaciado"/>
        <w:jc w:val="center"/>
        <w:rPr>
          <w:rFonts w:ascii="Times New Roman" w:hAnsi="Times New Roman"/>
          <w:sz w:val="24"/>
          <w:szCs w:val="24"/>
        </w:rPr>
      </w:pPr>
    </w:p>
    <w:p w:rsidR="00B25FD1" w:rsidRPr="00D531FD" w:rsidRDefault="00B25FD1" w:rsidP="00675D1A">
      <w:pPr>
        <w:pStyle w:val="Sinespaciado"/>
        <w:jc w:val="center"/>
        <w:rPr>
          <w:rFonts w:ascii="Times New Roman" w:hAnsi="Times New Roman"/>
          <w:sz w:val="24"/>
          <w:szCs w:val="24"/>
        </w:rPr>
      </w:pPr>
    </w:p>
    <w:p w:rsidR="00675D1A" w:rsidRPr="00A9787F" w:rsidRDefault="00A9787F" w:rsidP="00A9787F">
      <w:pPr>
        <w:pStyle w:val="Ttulo2"/>
        <w:rPr>
          <w:rFonts w:ascii="Times New Roman" w:hAnsi="Times New Roman" w:cs="Times New Roman"/>
          <w:color w:val="auto"/>
          <w:sz w:val="30"/>
          <w:szCs w:val="30"/>
        </w:rPr>
      </w:pPr>
      <w:bookmarkStart w:id="16" w:name="_Toc406754283"/>
      <w:r w:rsidRPr="00A9787F">
        <w:rPr>
          <w:rFonts w:ascii="Times New Roman" w:hAnsi="Times New Roman" w:cs="Times New Roman"/>
          <w:color w:val="auto"/>
          <w:sz w:val="30"/>
          <w:szCs w:val="30"/>
        </w:rPr>
        <w:t xml:space="preserve">1.7 </w:t>
      </w:r>
      <w:r w:rsidR="00B25FD1" w:rsidRPr="00A9787F">
        <w:rPr>
          <w:rFonts w:ascii="Times New Roman" w:hAnsi="Times New Roman" w:cs="Times New Roman"/>
          <w:color w:val="auto"/>
          <w:sz w:val="30"/>
          <w:szCs w:val="30"/>
        </w:rPr>
        <w:t>Estratificación Socioeconómic</w:t>
      </w:r>
      <w:r w:rsidR="00103CC5" w:rsidRPr="00A9787F">
        <w:rPr>
          <w:rFonts w:ascii="Times New Roman" w:hAnsi="Times New Roman" w:cs="Times New Roman"/>
          <w:color w:val="auto"/>
          <w:sz w:val="30"/>
          <w:szCs w:val="30"/>
        </w:rPr>
        <w:t>a</w:t>
      </w:r>
      <w:bookmarkEnd w:id="16"/>
    </w:p>
    <w:p w:rsidR="00675D1A" w:rsidRPr="00D531FD" w:rsidRDefault="00675D1A" w:rsidP="00675D1A">
      <w:pPr>
        <w:pStyle w:val="Sinespaciado"/>
        <w:spacing w:line="360" w:lineRule="auto"/>
        <w:rPr>
          <w:rFonts w:ascii="Times New Roman" w:eastAsia="Times New Roman" w:hAnsi="Times New Roman"/>
          <w:sz w:val="24"/>
          <w:szCs w:val="24"/>
        </w:rPr>
      </w:pPr>
      <w:r w:rsidRPr="00D531FD">
        <w:rPr>
          <w:rFonts w:ascii="Times New Roman" w:eastAsia="Times New Roman" w:hAnsi="Times New Roman"/>
          <w:sz w:val="24"/>
          <w:szCs w:val="24"/>
        </w:rPr>
        <w:t xml:space="preserve">    </w:t>
      </w:r>
    </w:p>
    <w:p w:rsidR="008E54D3" w:rsidRPr="00D531FD" w:rsidRDefault="00E951E2" w:rsidP="008E54D3">
      <w:pPr>
        <w:pStyle w:val="Sinespaciado"/>
        <w:spacing w:line="360" w:lineRule="auto"/>
        <w:ind w:firstLine="284"/>
        <w:rPr>
          <w:rFonts w:ascii="Times New Roman" w:eastAsia="Times New Roman" w:hAnsi="Times New Roman"/>
          <w:sz w:val="24"/>
          <w:szCs w:val="24"/>
        </w:rPr>
      </w:pPr>
      <w:r>
        <w:rPr>
          <w:rFonts w:ascii="Times New Roman" w:eastAsia="Times New Roman" w:hAnsi="Times New Roman"/>
          <w:sz w:val="24"/>
          <w:szCs w:val="24"/>
        </w:rPr>
        <w:t xml:space="preserve">De acuerdo con el Departamento Nacional de Planeación –DNP-, la estratificación socioeconómica </w:t>
      </w:r>
      <w:r w:rsidR="0014092B">
        <w:rPr>
          <w:rFonts w:ascii="Times New Roman" w:eastAsia="Times New Roman" w:hAnsi="Times New Roman"/>
          <w:sz w:val="24"/>
          <w:szCs w:val="24"/>
        </w:rPr>
        <w:t>“</w:t>
      </w:r>
      <w:r w:rsidR="0014092B" w:rsidRPr="0014092B">
        <w:rPr>
          <w:rFonts w:ascii="Times New Roman" w:eastAsia="Times New Roman" w:hAnsi="Times New Roman"/>
          <w:i/>
          <w:sz w:val="24"/>
          <w:szCs w:val="24"/>
        </w:rPr>
        <w:t>E</w:t>
      </w:r>
      <w:r w:rsidR="00675D1A" w:rsidRPr="0014092B">
        <w:rPr>
          <w:rFonts w:ascii="Times New Roman" w:eastAsia="Times New Roman" w:hAnsi="Times New Roman"/>
          <w:i/>
          <w:sz w:val="24"/>
          <w:szCs w:val="24"/>
        </w:rPr>
        <w:t>s un estudio técnico que permite clasificar la población de una localidad, a través de sus viviendas, en distintos estratos o grupos de personas con características sociales y económicas similares</w:t>
      </w:r>
      <w:r w:rsidR="0014092B">
        <w:rPr>
          <w:rFonts w:ascii="Times New Roman" w:eastAsia="Times New Roman" w:hAnsi="Times New Roman"/>
          <w:sz w:val="24"/>
          <w:szCs w:val="24"/>
        </w:rPr>
        <w:t>”</w:t>
      </w:r>
      <w:r w:rsidR="00675D1A" w:rsidRPr="0040570C">
        <w:rPr>
          <w:rFonts w:ascii="Times New Roman" w:eastAsia="Times New Roman" w:hAnsi="Times New Roman"/>
          <w:sz w:val="24"/>
          <w:szCs w:val="24"/>
        </w:rPr>
        <w:t>.</w:t>
      </w:r>
      <w:r w:rsidR="0014092B">
        <w:rPr>
          <w:rFonts w:ascii="Times New Roman" w:eastAsia="Times New Roman" w:hAnsi="Times New Roman"/>
          <w:sz w:val="24"/>
          <w:szCs w:val="24"/>
        </w:rPr>
        <w:t xml:space="preserve"> (DNP, 2004</w:t>
      </w:r>
      <w:r w:rsidR="0014403C">
        <w:rPr>
          <w:rFonts w:ascii="Times New Roman" w:eastAsia="Times New Roman" w:hAnsi="Times New Roman"/>
          <w:sz w:val="24"/>
          <w:szCs w:val="24"/>
        </w:rPr>
        <w:t>. P.6</w:t>
      </w:r>
      <w:r w:rsidR="0014092B">
        <w:rPr>
          <w:rFonts w:ascii="Times New Roman" w:eastAsia="Times New Roman" w:hAnsi="Times New Roman"/>
          <w:sz w:val="24"/>
          <w:szCs w:val="24"/>
        </w:rPr>
        <w:t>).</w:t>
      </w:r>
      <w:r>
        <w:rPr>
          <w:rFonts w:ascii="Times New Roman" w:eastAsia="Times New Roman" w:hAnsi="Times New Roman"/>
          <w:sz w:val="24"/>
          <w:szCs w:val="24"/>
        </w:rPr>
        <w:t xml:space="preserve"> </w:t>
      </w:r>
      <w:r w:rsidR="008E54D3" w:rsidRPr="00D531FD">
        <w:rPr>
          <w:rFonts w:ascii="Times New Roman" w:eastAsia="Times New Roman" w:hAnsi="Times New Roman"/>
          <w:sz w:val="24"/>
          <w:szCs w:val="24"/>
        </w:rPr>
        <w:t>Para lograr ésta clasificación, en las ciudades se observan las características físicas de las viviendas y el entorno urbanístico.  En las zonas rurales, se observan las características de  las viviendas y la capacidad productiva de los terrenos en donde se encuentran.</w:t>
      </w:r>
    </w:p>
    <w:p w:rsidR="00675D1A" w:rsidRPr="00F36F12" w:rsidRDefault="00675D1A" w:rsidP="00F36F12">
      <w:pPr>
        <w:pStyle w:val="Sinespaciado"/>
        <w:spacing w:line="360" w:lineRule="auto"/>
        <w:ind w:firstLine="284"/>
        <w:rPr>
          <w:rFonts w:ascii="Times New Roman" w:hAnsi="Times New Roman"/>
          <w:sz w:val="24"/>
        </w:rPr>
      </w:pPr>
      <w:r w:rsidRPr="00D531FD">
        <w:rPr>
          <w:rFonts w:ascii="Times New Roman" w:eastAsia="Times New Roman" w:hAnsi="Times New Roman"/>
          <w:sz w:val="24"/>
          <w:szCs w:val="24"/>
        </w:rPr>
        <w:lastRenderedPageBreak/>
        <w:t xml:space="preserve">Está demostrado que en ambos casos las características </w:t>
      </w:r>
      <w:r w:rsidR="006E0BB7">
        <w:rPr>
          <w:rFonts w:ascii="Times New Roman" w:eastAsia="Times New Roman" w:hAnsi="Times New Roman"/>
          <w:sz w:val="24"/>
          <w:szCs w:val="24"/>
        </w:rPr>
        <w:t>de las viviendas y la capacidad productiva de los terrenos don</w:t>
      </w:r>
      <w:r w:rsidR="006A45FE">
        <w:rPr>
          <w:rFonts w:ascii="Times New Roman" w:eastAsia="Times New Roman" w:hAnsi="Times New Roman"/>
          <w:sz w:val="24"/>
          <w:szCs w:val="24"/>
        </w:rPr>
        <w:t>d</w:t>
      </w:r>
      <w:r w:rsidR="006E0BB7">
        <w:rPr>
          <w:rFonts w:ascii="Times New Roman" w:eastAsia="Times New Roman" w:hAnsi="Times New Roman"/>
          <w:sz w:val="24"/>
          <w:szCs w:val="24"/>
        </w:rPr>
        <w:t>e estas se ubican</w:t>
      </w:r>
      <w:r w:rsidRPr="00D531FD">
        <w:rPr>
          <w:rFonts w:ascii="Times New Roman" w:eastAsia="Times New Roman" w:hAnsi="Times New Roman"/>
          <w:sz w:val="24"/>
          <w:szCs w:val="24"/>
        </w:rPr>
        <w:t xml:space="preserve"> son una buena aproximación a situaciones de salud, laborales, educativas y a la capacidad económica </w:t>
      </w:r>
      <w:r w:rsidR="006A45FE">
        <w:rPr>
          <w:rFonts w:ascii="Times New Roman" w:eastAsia="Times New Roman" w:hAnsi="Times New Roman"/>
          <w:sz w:val="24"/>
          <w:szCs w:val="24"/>
        </w:rPr>
        <w:t>de sus habitantes. A nivel nacional, la estratificación s</w:t>
      </w:r>
      <w:r w:rsidRPr="00D531FD">
        <w:rPr>
          <w:rFonts w:ascii="Times New Roman" w:eastAsia="Times New Roman" w:hAnsi="Times New Roman"/>
          <w:sz w:val="24"/>
          <w:szCs w:val="24"/>
        </w:rPr>
        <w:t>ocioeconómica fue ordenada por la Ley 142 de 1994, Régimen de Servicios Públicos Domiciliarios, como un indicador válido para regir la política tarifaria. (DNP – FINDETER).</w:t>
      </w:r>
      <w:r w:rsidRPr="00F36F12">
        <w:rPr>
          <w:rFonts w:ascii="Times New Roman" w:hAnsi="Times New Roman"/>
          <w:sz w:val="24"/>
        </w:rPr>
        <w:t>La nueva Metodología de Revisión General de la Estratificación Socioeconómica Urbana (</w:t>
      </w:r>
      <w:r w:rsidR="008F5FB2">
        <w:rPr>
          <w:rFonts w:ascii="Times New Roman" w:hAnsi="Times New Roman"/>
          <w:sz w:val="24"/>
        </w:rPr>
        <w:t>DANE</w:t>
      </w:r>
      <w:r w:rsidRPr="00F36F12">
        <w:rPr>
          <w:rFonts w:ascii="Times New Roman" w:hAnsi="Times New Roman"/>
          <w:sz w:val="24"/>
        </w:rPr>
        <w:t>). Constituye una guía para realizar una nueva zonificación o delimitación del contexto urbano como paso previo para realizar una revisión general de la estratificación socioeconómica urbana.</w:t>
      </w:r>
    </w:p>
    <w:p w:rsidR="00746F2D" w:rsidRDefault="00746F2D" w:rsidP="00746F2D">
      <w:pPr>
        <w:pStyle w:val="Sinespaciado"/>
        <w:spacing w:line="360" w:lineRule="auto"/>
        <w:rPr>
          <w:rFonts w:ascii="Times New Roman" w:eastAsia="Times New Roman" w:hAnsi="Times New Roman"/>
          <w:sz w:val="24"/>
          <w:szCs w:val="24"/>
          <w:lang w:eastAsia="es-CO"/>
        </w:rPr>
      </w:pPr>
    </w:p>
    <w:p w:rsidR="00675D1A" w:rsidRPr="00D531FD" w:rsidRDefault="00675D1A" w:rsidP="00360FDD">
      <w:pPr>
        <w:pStyle w:val="Sinespaciado"/>
        <w:spacing w:line="360" w:lineRule="auto"/>
        <w:ind w:firstLine="284"/>
        <w:rPr>
          <w:rFonts w:ascii="Times New Roman" w:eastAsia="Times New Roman" w:hAnsi="Times New Roman"/>
          <w:sz w:val="24"/>
          <w:szCs w:val="24"/>
        </w:rPr>
      </w:pPr>
      <w:r w:rsidRPr="00D531FD">
        <w:rPr>
          <w:rFonts w:ascii="Times New Roman" w:eastAsia="Times New Roman" w:hAnsi="Times New Roman"/>
          <w:sz w:val="24"/>
          <w:szCs w:val="24"/>
        </w:rPr>
        <w:t>Sin importar la metodología de estratificación urbana inicialmente utilizada</w:t>
      </w:r>
      <w:r w:rsidRPr="00D531FD">
        <w:rPr>
          <w:rStyle w:val="Refdenotaalpie"/>
          <w:rFonts w:ascii="Times New Roman" w:eastAsia="Times New Roman" w:hAnsi="Times New Roman"/>
          <w:sz w:val="24"/>
          <w:szCs w:val="24"/>
        </w:rPr>
        <w:footnoteReference w:id="13"/>
      </w:r>
      <w:r w:rsidRPr="00D531FD">
        <w:rPr>
          <w:rFonts w:ascii="Times New Roman" w:eastAsia="Times New Roman" w:hAnsi="Times New Roman"/>
          <w:sz w:val="24"/>
          <w:szCs w:val="24"/>
        </w:rPr>
        <w:t>, cuando en un municipio o distrito que cuenta con formación predial catastral urbana actualizada</w:t>
      </w:r>
      <w:r w:rsidRPr="00D531FD">
        <w:rPr>
          <w:rStyle w:val="Refdenotaalpie"/>
          <w:rFonts w:ascii="Times New Roman" w:eastAsia="Times New Roman" w:hAnsi="Times New Roman"/>
          <w:sz w:val="24"/>
          <w:szCs w:val="24"/>
        </w:rPr>
        <w:footnoteReference w:id="14"/>
      </w:r>
      <w:r w:rsidRPr="00D531FD">
        <w:rPr>
          <w:rFonts w:ascii="Times New Roman" w:eastAsia="Times New Roman" w:hAnsi="Times New Roman"/>
          <w:sz w:val="24"/>
          <w:szCs w:val="24"/>
        </w:rPr>
        <w:t>, se determina que existe mérito para volver a realizar, adoptar y aplicar la estratificación urbana, y en cumplimiento de la normatividad vigente</w:t>
      </w:r>
      <w:r w:rsidRPr="00D531FD">
        <w:rPr>
          <w:rStyle w:val="Refdenotaalpie"/>
          <w:rFonts w:ascii="Times New Roman" w:eastAsia="Times New Roman" w:hAnsi="Times New Roman"/>
          <w:sz w:val="24"/>
          <w:szCs w:val="24"/>
        </w:rPr>
        <w:footnoteReference w:id="15"/>
      </w:r>
      <w:r w:rsidRPr="00D531FD">
        <w:rPr>
          <w:rFonts w:ascii="Times New Roman" w:eastAsia="Times New Roman" w:hAnsi="Times New Roman"/>
          <w:sz w:val="24"/>
          <w:szCs w:val="24"/>
        </w:rPr>
        <w:t>, se ordena su revisión general el Departamento Administrativo Nacional de Estadística (</w:t>
      </w:r>
      <w:r w:rsidR="008F5FB2">
        <w:rPr>
          <w:rFonts w:ascii="Times New Roman" w:eastAsia="Times New Roman" w:hAnsi="Times New Roman"/>
          <w:sz w:val="24"/>
          <w:szCs w:val="24"/>
        </w:rPr>
        <w:t>DANE</w:t>
      </w:r>
      <w:r w:rsidRPr="00D531FD">
        <w:rPr>
          <w:rFonts w:ascii="Times New Roman" w:eastAsia="Times New Roman" w:hAnsi="Times New Roman"/>
          <w:sz w:val="24"/>
          <w:szCs w:val="24"/>
        </w:rPr>
        <w:t xml:space="preserve">) realiza un estrecho acompañamiento durante las etapas de realización de la zonificación y cálculos de los resultados preliminares, para lo cual hace entrega a la Alcaldía del presente documento.     El procedimiento de zonificación descrito, debe ser utilizado por aquellos municipios o distritos en  proceso de revisión general de su estratificación urbana. </w:t>
      </w:r>
    </w:p>
    <w:p w:rsidR="00675D1A" w:rsidRDefault="00675D1A" w:rsidP="00675D1A">
      <w:pPr>
        <w:pStyle w:val="Default"/>
        <w:spacing w:line="360" w:lineRule="auto"/>
        <w:jc w:val="both"/>
        <w:rPr>
          <w:rFonts w:ascii="Times New Roman" w:hAnsi="Times New Roman" w:cs="Times New Roman"/>
          <w:b/>
          <w:bCs/>
          <w:color w:val="auto"/>
        </w:rPr>
      </w:pPr>
    </w:p>
    <w:p w:rsidR="00675D1A" w:rsidRPr="004E4591" w:rsidRDefault="004E4591" w:rsidP="004E4591">
      <w:pPr>
        <w:pStyle w:val="Ttulo2"/>
        <w:jc w:val="both"/>
        <w:rPr>
          <w:rFonts w:ascii="Times New Roman" w:hAnsi="Times New Roman" w:cs="Times New Roman"/>
          <w:color w:val="auto"/>
          <w:sz w:val="30"/>
          <w:szCs w:val="30"/>
        </w:rPr>
      </w:pPr>
      <w:bookmarkStart w:id="17" w:name="_Toc406754284"/>
      <w:r w:rsidRPr="004E4591">
        <w:rPr>
          <w:rFonts w:ascii="Times New Roman" w:hAnsi="Times New Roman" w:cs="Times New Roman"/>
          <w:color w:val="auto"/>
          <w:sz w:val="30"/>
          <w:szCs w:val="30"/>
        </w:rPr>
        <w:t xml:space="preserve">1.8 </w:t>
      </w:r>
      <w:r w:rsidR="00675D1A" w:rsidRPr="004E4591">
        <w:rPr>
          <w:rFonts w:ascii="Times New Roman" w:hAnsi="Times New Roman" w:cs="Times New Roman"/>
          <w:color w:val="auto"/>
          <w:sz w:val="30"/>
          <w:szCs w:val="30"/>
        </w:rPr>
        <w:t>Metodología de  Estratificación Socioeconómica Urbana del Quindío.</w:t>
      </w:r>
      <w:bookmarkEnd w:id="17"/>
    </w:p>
    <w:p w:rsidR="00675D1A" w:rsidRPr="00D531FD" w:rsidRDefault="00675D1A" w:rsidP="00675D1A">
      <w:pPr>
        <w:pStyle w:val="Default"/>
        <w:spacing w:line="360" w:lineRule="auto"/>
        <w:jc w:val="both"/>
        <w:rPr>
          <w:rFonts w:ascii="Times New Roman" w:hAnsi="Times New Roman" w:cs="Times New Roman"/>
          <w:b/>
          <w:bCs/>
          <w:color w:val="auto"/>
        </w:rPr>
      </w:pPr>
    </w:p>
    <w:p w:rsidR="00675D1A" w:rsidRPr="00D531FD" w:rsidRDefault="00675D1A" w:rsidP="001918B3">
      <w:pPr>
        <w:pStyle w:val="Default"/>
        <w:spacing w:line="360" w:lineRule="auto"/>
        <w:ind w:firstLine="284"/>
        <w:jc w:val="both"/>
        <w:rPr>
          <w:rFonts w:ascii="Times New Roman" w:hAnsi="Times New Roman" w:cs="Times New Roman"/>
        </w:rPr>
      </w:pPr>
      <w:r w:rsidRPr="00D531FD">
        <w:rPr>
          <w:rFonts w:ascii="Times New Roman" w:hAnsi="Times New Roman" w:cs="Times New Roman"/>
        </w:rPr>
        <w:t xml:space="preserve">Las administraciones municipales del Quindío, iniciaron durante el año 2013, la implementación de la </w:t>
      </w:r>
      <w:r w:rsidRPr="00D531FD">
        <w:rPr>
          <w:rFonts w:ascii="Times New Roman" w:hAnsi="Times New Roman" w:cs="Times New Roman"/>
          <w:bCs/>
          <w:color w:val="auto"/>
        </w:rPr>
        <w:t xml:space="preserve">metodología de revisión general de la estratificación socioeconómica </w:t>
      </w:r>
      <w:r w:rsidRPr="00D531FD">
        <w:rPr>
          <w:rFonts w:ascii="Times New Roman" w:hAnsi="Times New Roman" w:cs="Times New Roman"/>
          <w:bCs/>
          <w:color w:val="auto"/>
        </w:rPr>
        <w:lastRenderedPageBreak/>
        <w:t xml:space="preserve">urbana, la cual cuenta </w:t>
      </w:r>
      <w:r w:rsidRPr="00D531FD">
        <w:rPr>
          <w:rFonts w:ascii="Times New Roman" w:hAnsi="Times New Roman" w:cs="Times New Roman"/>
        </w:rPr>
        <w:t>con la participación direct</w:t>
      </w:r>
      <w:r w:rsidR="00AE5450">
        <w:rPr>
          <w:rFonts w:ascii="Times New Roman" w:hAnsi="Times New Roman" w:cs="Times New Roman"/>
        </w:rPr>
        <w:t xml:space="preserve">a de los Comités Permanentes de </w:t>
      </w:r>
      <w:r w:rsidRPr="00D531FD">
        <w:rPr>
          <w:rFonts w:ascii="Times New Roman" w:hAnsi="Times New Roman" w:cs="Times New Roman"/>
        </w:rPr>
        <w:t>Estratificación Municipales y bajo las orientaciones metodológicas del Departamento Administ</w:t>
      </w:r>
      <w:r w:rsidR="00C9704A">
        <w:rPr>
          <w:rFonts w:ascii="Times New Roman" w:hAnsi="Times New Roman" w:cs="Times New Roman"/>
        </w:rPr>
        <w:t xml:space="preserve">rativo Nacional de Estadísticas </w:t>
      </w:r>
      <w:r w:rsidR="00207B84">
        <w:rPr>
          <w:rFonts w:ascii="Times New Roman" w:hAnsi="Times New Roman" w:cs="Times New Roman"/>
        </w:rPr>
        <w:t>–</w:t>
      </w:r>
      <w:r w:rsidR="008F5FB2">
        <w:rPr>
          <w:rFonts w:ascii="Times New Roman" w:hAnsi="Times New Roman" w:cs="Times New Roman"/>
        </w:rPr>
        <w:t>DANE</w:t>
      </w:r>
      <w:r w:rsidR="00207B84">
        <w:rPr>
          <w:rFonts w:ascii="Times New Roman" w:hAnsi="Times New Roman" w:cs="Times New Roman"/>
        </w:rPr>
        <w:t>-</w:t>
      </w:r>
      <w:r w:rsidRPr="00D531FD">
        <w:rPr>
          <w:rFonts w:ascii="Times New Roman" w:hAnsi="Times New Roman" w:cs="Times New Roman"/>
        </w:rPr>
        <w:t>, apoyados técnicamente por el área de Desarr</w:t>
      </w:r>
      <w:r w:rsidR="00A7424A">
        <w:rPr>
          <w:rFonts w:ascii="Times New Roman" w:hAnsi="Times New Roman" w:cs="Times New Roman"/>
        </w:rPr>
        <w:t>ollo Territorial de la Secretarí</w:t>
      </w:r>
      <w:r w:rsidRPr="00D531FD">
        <w:rPr>
          <w:rFonts w:ascii="Times New Roman" w:hAnsi="Times New Roman" w:cs="Times New Roman"/>
        </w:rPr>
        <w:t>a de Planeación de la Gobernación del Quindío.</w:t>
      </w:r>
    </w:p>
    <w:p w:rsidR="001918B3" w:rsidRDefault="001918B3" w:rsidP="001918B3">
      <w:pPr>
        <w:pStyle w:val="Default"/>
        <w:spacing w:line="360" w:lineRule="auto"/>
        <w:ind w:firstLine="284"/>
        <w:jc w:val="both"/>
        <w:rPr>
          <w:rFonts w:ascii="Times New Roman" w:hAnsi="Times New Roman" w:cs="Times New Roman"/>
          <w:color w:val="auto"/>
        </w:rPr>
      </w:pPr>
    </w:p>
    <w:p w:rsidR="00675D1A" w:rsidRPr="00D531FD" w:rsidRDefault="00675D1A" w:rsidP="001918B3">
      <w:pPr>
        <w:pStyle w:val="Default"/>
        <w:spacing w:line="360" w:lineRule="auto"/>
        <w:ind w:firstLine="284"/>
        <w:jc w:val="both"/>
        <w:rPr>
          <w:rFonts w:ascii="Times New Roman" w:hAnsi="Times New Roman" w:cs="Times New Roman"/>
        </w:rPr>
      </w:pPr>
      <w:r w:rsidRPr="00D531FD">
        <w:rPr>
          <w:rFonts w:ascii="Times New Roman" w:hAnsi="Times New Roman" w:cs="Times New Roman"/>
          <w:color w:val="auto"/>
        </w:rPr>
        <w:t>El modelo de estratificación vigente presenta dos procedimientos de zonifi</w:t>
      </w:r>
      <w:r w:rsidRPr="00D531FD">
        <w:rPr>
          <w:rFonts w:ascii="Times New Roman" w:hAnsi="Times New Roman" w:cs="Times New Roman"/>
          <w:color w:val="auto"/>
        </w:rPr>
        <w:softHyphen/>
        <w:t>cación: la caracterización por criterios de hábitat y el agrupami</w:t>
      </w:r>
      <w:r w:rsidRPr="00D531FD">
        <w:rPr>
          <w:rFonts w:ascii="Times New Roman" w:hAnsi="Times New Roman" w:cs="Times New Roman"/>
          <w:color w:val="auto"/>
        </w:rPr>
        <w:softHyphen/>
        <w:t xml:space="preserve">ento de las zonas homogéneas geoeconómicas catastrales; consecuentes con la anterior afirmación, </w:t>
      </w:r>
      <w:r w:rsidRPr="00D531FD">
        <w:rPr>
          <w:rFonts w:ascii="Times New Roman" w:hAnsi="Times New Roman" w:cs="Times New Roman"/>
        </w:rPr>
        <w:t>el procedimiento para adelantar la revisión general de la estratificación urbana, se realiza a partir de las zonas homogéneas catastrales para concluir definiendo su jerarquización y agru</w:t>
      </w:r>
      <w:r w:rsidRPr="00D531FD">
        <w:rPr>
          <w:rFonts w:ascii="Times New Roman" w:hAnsi="Times New Roman" w:cs="Times New Roman"/>
        </w:rPr>
        <w:softHyphen/>
        <w:t>pamiento en un trabajo conjunto entre la Alcaldía y el Comité Permanente de Estratificación, aprovechando su conocimiento de la realidad socioeconómica local y como responsables de la correcta aplicación de la estratificación en el municipio, independientemente de su dominio de las técnicas estadís</w:t>
      </w:r>
      <w:r w:rsidRPr="00D531FD">
        <w:rPr>
          <w:rFonts w:ascii="Times New Roman" w:hAnsi="Times New Roman" w:cs="Times New Roman"/>
        </w:rPr>
        <w:softHyphen/>
        <w:t>ticas.</w:t>
      </w:r>
    </w:p>
    <w:p w:rsidR="00675D1A" w:rsidRPr="00D531FD" w:rsidRDefault="00675D1A" w:rsidP="00675D1A">
      <w:pPr>
        <w:autoSpaceDE w:val="0"/>
        <w:autoSpaceDN w:val="0"/>
        <w:adjustRightInd w:val="0"/>
        <w:spacing w:line="360" w:lineRule="auto"/>
      </w:pPr>
    </w:p>
    <w:p w:rsidR="00F81834" w:rsidRDefault="00675D1A" w:rsidP="00675D1A">
      <w:pPr>
        <w:spacing w:line="360" w:lineRule="auto"/>
        <w:jc w:val="both"/>
      </w:pPr>
      <w:r w:rsidRPr="00D531FD">
        <w:t xml:space="preserve">     El proceso de implementación en el Quindío, es realizado mediante recorridos, donde se visitan los diferentes sectores comerciales y barrios de cada uno de los Municipios del Quindío con el fin de observar las reales condiciones de infraestructura física de las viviendas y contextos urbanísticos del municipio. Estos elementos son fundamentales para la implementación de la nueva metodología de la Estratificación Urbana, en la cual se tienen en cuenta las características físicas internas y externas de cada vivienda y después de realizados varios análisis a las diferentes variables contenidas en las zonas físicas homogéneas y zonas geoeconómicas homogéneas, se obtienen los nuevos estratos socioeconómicos para aplicarlos durante la implementación de la estratificación urbana al cobro de los Servicios Públicos Domiciliarios, entre otras aplicaciones.</w:t>
      </w:r>
    </w:p>
    <w:p w:rsidR="00F81834" w:rsidRDefault="00F81834" w:rsidP="00675D1A">
      <w:pPr>
        <w:spacing w:line="360" w:lineRule="auto"/>
        <w:jc w:val="both"/>
      </w:pPr>
    </w:p>
    <w:p w:rsidR="00F81834" w:rsidRDefault="00F81834" w:rsidP="00675D1A">
      <w:pPr>
        <w:spacing w:line="360" w:lineRule="auto"/>
        <w:jc w:val="both"/>
      </w:pPr>
    </w:p>
    <w:p w:rsidR="00675D1A" w:rsidRPr="00D531FD" w:rsidRDefault="00675D1A" w:rsidP="00675D1A">
      <w:pPr>
        <w:spacing w:line="360" w:lineRule="auto"/>
        <w:jc w:val="both"/>
      </w:pPr>
      <w:r w:rsidRPr="00D531FD">
        <w:t xml:space="preserve"> Igualmente, el </w:t>
      </w:r>
      <w:r w:rsidR="008F5FB2">
        <w:t>DANE</w:t>
      </w:r>
      <w:r w:rsidRPr="00D531FD">
        <w:t xml:space="preserve">, brinda permanentemente la orientación mediante jornadas técnicas de capacitación con base en la metodología para la estratificación urbana a todos los integrantes de los Comités Permanentes de Estratificación, integrados por los </w:t>
      </w:r>
      <w:r w:rsidRPr="00D531FD">
        <w:lastRenderedPageBreak/>
        <w:t>representantes de la comunidad en número igual a las empresas prestadoras de los servicios públicos domiciliarios en cada municipio: Energía, Gas, Acueducto, Alcantarillado y Aseo, igualmente a funcionarios de las Alcaldías Municipales; del Instituto Geográfico Agustín Codazzi y del Área de Desarr</w:t>
      </w:r>
      <w:r w:rsidR="00D3690B">
        <w:t>ollo Territorial de la Secretarí</w:t>
      </w:r>
      <w:r w:rsidRPr="00D531FD">
        <w:t>a de Planeación Departamental.</w:t>
      </w:r>
    </w:p>
    <w:p w:rsidR="00675D1A" w:rsidRDefault="00675D1A" w:rsidP="00675D1A">
      <w:pPr>
        <w:spacing w:line="360" w:lineRule="auto"/>
        <w:jc w:val="both"/>
      </w:pPr>
    </w:p>
    <w:p w:rsidR="00675D1A" w:rsidRPr="008A6870" w:rsidRDefault="005A513D" w:rsidP="008A6870">
      <w:r>
        <w:t>Tabla</w:t>
      </w:r>
      <w:r w:rsidR="00675D1A" w:rsidRPr="008A6870">
        <w:t xml:space="preserve"> No. </w:t>
      </w:r>
      <w:r w:rsidR="00333D61">
        <w:t>1.13</w:t>
      </w:r>
    </w:p>
    <w:p w:rsidR="00675D1A" w:rsidRPr="008A6870" w:rsidRDefault="00675D1A" w:rsidP="008A6870">
      <w:r w:rsidRPr="008A6870">
        <w:t>No. de Viviendas Urbanas, según Estrato Socioeconómico de los Municipios del Departamento del Quindío</w:t>
      </w:r>
    </w:p>
    <w:p w:rsidR="00B36393" w:rsidRPr="00AE5450" w:rsidRDefault="00B36393" w:rsidP="00675D1A">
      <w:pPr>
        <w:jc w:val="center"/>
        <w:rPr>
          <w:b/>
          <w:sz w:val="20"/>
          <w:szCs w:val="20"/>
        </w:rPr>
      </w:pPr>
    </w:p>
    <w:tbl>
      <w:tblPr>
        <w:tblW w:w="5081" w:type="pct"/>
        <w:tblLayout w:type="fixed"/>
        <w:tblCellMar>
          <w:left w:w="70" w:type="dxa"/>
          <w:right w:w="70" w:type="dxa"/>
        </w:tblCellMar>
        <w:tblLook w:val="04A0" w:firstRow="1" w:lastRow="0" w:firstColumn="1" w:lastColumn="0" w:noHBand="0" w:noVBand="1"/>
      </w:tblPr>
      <w:tblGrid>
        <w:gridCol w:w="1639"/>
        <w:gridCol w:w="1086"/>
        <w:gridCol w:w="1164"/>
        <w:gridCol w:w="976"/>
        <w:gridCol w:w="732"/>
        <w:gridCol w:w="845"/>
        <w:gridCol w:w="991"/>
        <w:gridCol w:w="1692"/>
      </w:tblGrid>
      <w:tr w:rsidR="00C15F90" w:rsidRPr="00AE5450" w:rsidTr="00C15F90">
        <w:trPr>
          <w:trHeight w:val="424"/>
        </w:trPr>
        <w:tc>
          <w:tcPr>
            <w:tcW w:w="898" w:type="pct"/>
            <w:vMerge w:val="restart"/>
            <w:tcBorders>
              <w:top w:val="single" w:sz="4" w:space="0" w:color="auto"/>
            </w:tcBorders>
            <w:shd w:val="clear" w:color="auto" w:fill="auto"/>
            <w:vAlign w:val="center"/>
            <w:hideMark/>
          </w:tcPr>
          <w:p w:rsidR="00675D1A" w:rsidRPr="00AE5450" w:rsidRDefault="00675D1A" w:rsidP="00B36393">
            <w:pPr>
              <w:jc w:val="center"/>
              <w:rPr>
                <w:b/>
                <w:bCs/>
                <w:color w:val="000000"/>
                <w:sz w:val="20"/>
                <w:szCs w:val="20"/>
              </w:rPr>
            </w:pPr>
            <w:r w:rsidRPr="00AE5450">
              <w:rPr>
                <w:b/>
                <w:bCs/>
                <w:color w:val="000000"/>
                <w:sz w:val="20"/>
                <w:szCs w:val="20"/>
              </w:rPr>
              <w:t>AÑO 2013</w:t>
            </w:r>
          </w:p>
        </w:tc>
        <w:tc>
          <w:tcPr>
            <w:tcW w:w="3175" w:type="pct"/>
            <w:gridSpan w:val="6"/>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No. de Viviendas urbanas según estrato Socioeconómico</w:t>
            </w:r>
          </w:p>
        </w:tc>
        <w:tc>
          <w:tcPr>
            <w:tcW w:w="927" w:type="pct"/>
            <w:vMerge w:val="restart"/>
            <w:tcBorders>
              <w:top w:val="single" w:sz="4" w:space="0" w:color="auto"/>
              <w:bottom w:val="single" w:sz="4" w:space="0" w:color="auto"/>
            </w:tcBorders>
            <w:shd w:val="clear" w:color="auto" w:fill="auto"/>
            <w:vAlign w:val="center"/>
            <w:hideMark/>
          </w:tcPr>
          <w:p w:rsidR="00675D1A" w:rsidRPr="00AE5450" w:rsidRDefault="00675D1A" w:rsidP="00B36393">
            <w:pPr>
              <w:jc w:val="center"/>
              <w:rPr>
                <w:b/>
                <w:bCs/>
                <w:color w:val="000000"/>
                <w:sz w:val="20"/>
                <w:szCs w:val="20"/>
              </w:rPr>
            </w:pPr>
            <w:r w:rsidRPr="00AE5450">
              <w:rPr>
                <w:b/>
                <w:bCs/>
                <w:color w:val="000000"/>
                <w:sz w:val="20"/>
                <w:szCs w:val="20"/>
              </w:rPr>
              <w:t>Total No. de viviendas según estrato</w:t>
            </w:r>
          </w:p>
        </w:tc>
      </w:tr>
      <w:tr w:rsidR="00C15F90" w:rsidRPr="00AE5450" w:rsidTr="00C15F90">
        <w:trPr>
          <w:trHeight w:val="325"/>
        </w:trPr>
        <w:tc>
          <w:tcPr>
            <w:tcW w:w="898" w:type="pct"/>
            <w:vMerge/>
            <w:tcBorders>
              <w:bottom w:val="single" w:sz="4" w:space="0" w:color="auto"/>
            </w:tcBorders>
            <w:shd w:val="clear" w:color="auto" w:fill="auto"/>
            <w:vAlign w:val="center"/>
            <w:hideMark/>
          </w:tcPr>
          <w:p w:rsidR="00675D1A" w:rsidRPr="00AE5450" w:rsidRDefault="00675D1A" w:rsidP="00B36393">
            <w:pPr>
              <w:jc w:val="center"/>
              <w:rPr>
                <w:b/>
                <w:bCs/>
                <w:color w:val="000000"/>
                <w:sz w:val="20"/>
                <w:szCs w:val="20"/>
              </w:rPr>
            </w:pPr>
          </w:p>
        </w:tc>
        <w:tc>
          <w:tcPr>
            <w:tcW w:w="595"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1</w:t>
            </w:r>
          </w:p>
        </w:tc>
        <w:tc>
          <w:tcPr>
            <w:tcW w:w="638"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2</w:t>
            </w:r>
          </w:p>
        </w:tc>
        <w:tc>
          <w:tcPr>
            <w:tcW w:w="535"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3</w:t>
            </w:r>
          </w:p>
        </w:tc>
        <w:tc>
          <w:tcPr>
            <w:tcW w:w="401"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4</w:t>
            </w:r>
          </w:p>
        </w:tc>
        <w:tc>
          <w:tcPr>
            <w:tcW w:w="463"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5</w:t>
            </w:r>
          </w:p>
        </w:tc>
        <w:tc>
          <w:tcPr>
            <w:tcW w:w="542"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6</w:t>
            </w:r>
          </w:p>
        </w:tc>
        <w:tc>
          <w:tcPr>
            <w:tcW w:w="927" w:type="pct"/>
            <w:vMerge/>
            <w:tcBorders>
              <w:bottom w:val="single" w:sz="4" w:space="0" w:color="auto"/>
            </w:tcBorders>
            <w:shd w:val="clear" w:color="auto" w:fill="auto"/>
            <w:vAlign w:val="center"/>
            <w:hideMark/>
          </w:tcPr>
          <w:p w:rsidR="00675D1A" w:rsidRPr="00AE5450" w:rsidRDefault="00675D1A" w:rsidP="00B36393">
            <w:pPr>
              <w:jc w:val="center"/>
              <w:rPr>
                <w:b/>
                <w:bCs/>
                <w:color w:val="000000"/>
                <w:sz w:val="20"/>
                <w:szCs w:val="20"/>
              </w:rPr>
            </w:pPr>
          </w:p>
        </w:tc>
      </w:tr>
      <w:tr w:rsidR="00C15F90" w:rsidRPr="00AE5450" w:rsidTr="00C15F90">
        <w:trPr>
          <w:trHeight w:val="286"/>
        </w:trPr>
        <w:tc>
          <w:tcPr>
            <w:tcW w:w="898" w:type="pct"/>
            <w:tcBorders>
              <w:top w:val="single" w:sz="4" w:space="0" w:color="auto"/>
            </w:tcBorders>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Armenia</w:t>
            </w:r>
          </w:p>
        </w:tc>
        <w:tc>
          <w:tcPr>
            <w:tcW w:w="595" w:type="pct"/>
            <w:tcBorders>
              <w:top w:val="single" w:sz="4" w:space="0" w:color="auto"/>
            </w:tcBorders>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18.700</w:t>
            </w:r>
          </w:p>
        </w:tc>
        <w:tc>
          <w:tcPr>
            <w:tcW w:w="638" w:type="pct"/>
            <w:tcBorders>
              <w:top w:val="single" w:sz="4" w:space="0" w:color="auto"/>
            </w:tcBorders>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18.830</w:t>
            </w:r>
          </w:p>
        </w:tc>
        <w:tc>
          <w:tcPr>
            <w:tcW w:w="535" w:type="pct"/>
            <w:tcBorders>
              <w:top w:val="single" w:sz="4" w:space="0" w:color="auto"/>
            </w:tcBorders>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23.349</w:t>
            </w:r>
          </w:p>
        </w:tc>
        <w:tc>
          <w:tcPr>
            <w:tcW w:w="401" w:type="pct"/>
            <w:tcBorders>
              <w:top w:val="single" w:sz="4" w:space="0" w:color="auto"/>
            </w:tcBorders>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7.395</w:t>
            </w:r>
          </w:p>
        </w:tc>
        <w:tc>
          <w:tcPr>
            <w:tcW w:w="463" w:type="pct"/>
            <w:tcBorders>
              <w:top w:val="single" w:sz="4" w:space="0" w:color="auto"/>
            </w:tcBorders>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8.586</w:t>
            </w:r>
          </w:p>
        </w:tc>
        <w:tc>
          <w:tcPr>
            <w:tcW w:w="542" w:type="pct"/>
            <w:tcBorders>
              <w:top w:val="single" w:sz="4" w:space="0" w:color="auto"/>
            </w:tcBorders>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1.054</w:t>
            </w:r>
          </w:p>
        </w:tc>
        <w:tc>
          <w:tcPr>
            <w:tcW w:w="927" w:type="pct"/>
            <w:tcBorders>
              <w:top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77.914</w:t>
            </w:r>
          </w:p>
        </w:tc>
      </w:tr>
      <w:tr w:rsidR="00C15F90" w:rsidRPr="00AE5450" w:rsidTr="00C15F90">
        <w:trPr>
          <w:trHeight w:val="286"/>
        </w:trPr>
        <w:tc>
          <w:tcPr>
            <w:tcW w:w="898" w:type="pct"/>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Buenavista</w:t>
            </w:r>
          </w:p>
        </w:tc>
        <w:tc>
          <w:tcPr>
            <w:tcW w:w="59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22</w:t>
            </w:r>
          </w:p>
        </w:tc>
        <w:tc>
          <w:tcPr>
            <w:tcW w:w="638"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246</w:t>
            </w:r>
          </w:p>
        </w:tc>
        <w:tc>
          <w:tcPr>
            <w:tcW w:w="53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54</w:t>
            </w:r>
          </w:p>
        </w:tc>
        <w:tc>
          <w:tcPr>
            <w:tcW w:w="401"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463"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542"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927" w:type="pct"/>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322</w:t>
            </w:r>
          </w:p>
        </w:tc>
      </w:tr>
      <w:tr w:rsidR="00C15F90" w:rsidRPr="00AE5450" w:rsidTr="00C15F90">
        <w:trPr>
          <w:trHeight w:val="286"/>
        </w:trPr>
        <w:tc>
          <w:tcPr>
            <w:tcW w:w="898" w:type="pct"/>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Calarcá</w:t>
            </w:r>
          </w:p>
        </w:tc>
        <w:tc>
          <w:tcPr>
            <w:tcW w:w="59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1.480</w:t>
            </w:r>
          </w:p>
        </w:tc>
        <w:tc>
          <w:tcPr>
            <w:tcW w:w="638"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9.776</w:t>
            </w:r>
          </w:p>
        </w:tc>
        <w:tc>
          <w:tcPr>
            <w:tcW w:w="53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4.239</w:t>
            </w:r>
          </w:p>
        </w:tc>
        <w:tc>
          <w:tcPr>
            <w:tcW w:w="401"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1.316</w:t>
            </w:r>
          </w:p>
        </w:tc>
        <w:tc>
          <w:tcPr>
            <w:tcW w:w="463"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78</w:t>
            </w:r>
          </w:p>
        </w:tc>
        <w:tc>
          <w:tcPr>
            <w:tcW w:w="542"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89</w:t>
            </w:r>
          </w:p>
        </w:tc>
        <w:tc>
          <w:tcPr>
            <w:tcW w:w="927" w:type="pct"/>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16.978</w:t>
            </w:r>
          </w:p>
        </w:tc>
      </w:tr>
      <w:tr w:rsidR="00C15F90" w:rsidRPr="00AE5450" w:rsidTr="00C15F90">
        <w:trPr>
          <w:trHeight w:val="286"/>
        </w:trPr>
        <w:tc>
          <w:tcPr>
            <w:tcW w:w="898" w:type="pct"/>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Circasia</w:t>
            </w:r>
          </w:p>
        </w:tc>
        <w:tc>
          <w:tcPr>
            <w:tcW w:w="59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1.099</w:t>
            </w:r>
          </w:p>
        </w:tc>
        <w:tc>
          <w:tcPr>
            <w:tcW w:w="638"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2945</w:t>
            </w:r>
          </w:p>
        </w:tc>
        <w:tc>
          <w:tcPr>
            <w:tcW w:w="53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996</w:t>
            </w:r>
          </w:p>
        </w:tc>
        <w:tc>
          <w:tcPr>
            <w:tcW w:w="401"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38</w:t>
            </w:r>
          </w:p>
        </w:tc>
        <w:tc>
          <w:tcPr>
            <w:tcW w:w="463"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16</w:t>
            </w:r>
          </w:p>
        </w:tc>
        <w:tc>
          <w:tcPr>
            <w:tcW w:w="542"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3</w:t>
            </w:r>
          </w:p>
        </w:tc>
        <w:tc>
          <w:tcPr>
            <w:tcW w:w="927" w:type="pct"/>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5.097</w:t>
            </w:r>
          </w:p>
        </w:tc>
      </w:tr>
      <w:tr w:rsidR="00C15F90" w:rsidRPr="00AE5450" w:rsidTr="00C15F90">
        <w:trPr>
          <w:trHeight w:val="286"/>
        </w:trPr>
        <w:tc>
          <w:tcPr>
            <w:tcW w:w="898" w:type="pct"/>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Córdoba</w:t>
            </w:r>
          </w:p>
        </w:tc>
        <w:tc>
          <w:tcPr>
            <w:tcW w:w="59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571</w:t>
            </w:r>
          </w:p>
        </w:tc>
        <w:tc>
          <w:tcPr>
            <w:tcW w:w="638"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230</w:t>
            </w:r>
          </w:p>
        </w:tc>
        <w:tc>
          <w:tcPr>
            <w:tcW w:w="53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49</w:t>
            </w:r>
          </w:p>
        </w:tc>
        <w:tc>
          <w:tcPr>
            <w:tcW w:w="401"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463"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542"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927" w:type="pct"/>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850</w:t>
            </w:r>
          </w:p>
        </w:tc>
      </w:tr>
      <w:tr w:rsidR="00C15F90" w:rsidRPr="00AE5450" w:rsidTr="00C15F90">
        <w:trPr>
          <w:trHeight w:val="286"/>
        </w:trPr>
        <w:tc>
          <w:tcPr>
            <w:tcW w:w="898" w:type="pct"/>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Filandia</w:t>
            </w:r>
          </w:p>
        </w:tc>
        <w:tc>
          <w:tcPr>
            <w:tcW w:w="595"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227</w:t>
            </w:r>
          </w:p>
        </w:tc>
        <w:tc>
          <w:tcPr>
            <w:tcW w:w="638"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1.444</w:t>
            </w:r>
          </w:p>
        </w:tc>
        <w:tc>
          <w:tcPr>
            <w:tcW w:w="535"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541</w:t>
            </w:r>
          </w:p>
        </w:tc>
        <w:tc>
          <w:tcPr>
            <w:tcW w:w="401"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463"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542"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927" w:type="pct"/>
            <w:shd w:val="clear" w:color="auto" w:fill="auto"/>
            <w:vAlign w:val="center"/>
            <w:hideMark/>
          </w:tcPr>
          <w:p w:rsidR="00675D1A" w:rsidRPr="00AE5450" w:rsidRDefault="00675D1A" w:rsidP="00B36393">
            <w:pPr>
              <w:jc w:val="center"/>
              <w:rPr>
                <w:b/>
                <w:bCs/>
                <w:color w:val="000000"/>
                <w:sz w:val="20"/>
                <w:szCs w:val="20"/>
              </w:rPr>
            </w:pPr>
            <w:r w:rsidRPr="00AE5450">
              <w:rPr>
                <w:b/>
                <w:bCs/>
                <w:color w:val="000000"/>
                <w:sz w:val="20"/>
                <w:szCs w:val="20"/>
              </w:rPr>
              <w:t>2.212</w:t>
            </w:r>
          </w:p>
        </w:tc>
      </w:tr>
      <w:tr w:rsidR="00C15F90" w:rsidRPr="00AE5450" w:rsidTr="00C15F90">
        <w:trPr>
          <w:trHeight w:val="286"/>
        </w:trPr>
        <w:tc>
          <w:tcPr>
            <w:tcW w:w="898" w:type="pct"/>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Génova</w:t>
            </w:r>
          </w:p>
        </w:tc>
        <w:tc>
          <w:tcPr>
            <w:tcW w:w="59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309</w:t>
            </w:r>
          </w:p>
        </w:tc>
        <w:tc>
          <w:tcPr>
            <w:tcW w:w="638"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736</w:t>
            </w:r>
          </w:p>
        </w:tc>
        <w:tc>
          <w:tcPr>
            <w:tcW w:w="53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267</w:t>
            </w:r>
          </w:p>
        </w:tc>
        <w:tc>
          <w:tcPr>
            <w:tcW w:w="401"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463"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542"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927" w:type="pct"/>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1.312</w:t>
            </w:r>
          </w:p>
        </w:tc>
      </w:tr>
      <w:tr w:rsidR="00C15F90" w:rsidRPr="00AE5450" w:rsidTr="00C15F90">
        <w:trPr>
          <w:trHeight w:val="286"/>
        </w:trPr>
        <w:tc>
          <w:tcPr>
            <w:tcW w:w="898" w:type="pct"/>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La Tebaida</w:t>
            </w:r>
          </w:p>
        </w:tc>
        <w:tc>
          <w:tcPr>
            <w:tcW w:w="59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338</w:t>
            </w:r>
          </w:p>
        </w:tc>
        <w:tc>
          <w:tcPr>
            <w:tcW w:w="638"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6.352</w:t>
            </w:r>
          </w:p>
        </w:tc>
        <w:tc>
          <w:tcPr>
            <w:tcW w:w="53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270</w:t>
            </w:r>
          </w:p>
        </w:tc>
        <w:tc>
          <w:tcPr>
            <w:tcW w:w="401"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10</w:t>
            </w:r>
          </w:p>
        </w:tc>
        <w:tc>
          <w:tcPr>
            <w:tcW w:w="463"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37</w:t>
            </w:r>
          </w:p>
        </w:tc>
        <w:tc>
          <w:tcPr>
            <w:tcW w:w="542"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30</w:t>
            </w:r>
          </w:p>
        </w:tc>
        <w:tc>
          <w:tcPr>
            <w:tcW w:w="927" w:type="pct"/>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7.037</w:t>
            </w:r>
          </w:p>
        </w:tc>
      </w:tr>
      <w:tr w:rsidR="00C15F90" w:rsidRPr="00AE5450" w:rsidTr="00C15F90">
        <w:trPr>
          <w:trHeight w:val="286"/>
        </w:trPr>
        <w:tc>
          <w:tcPr>
            <w:tcW w:w="898" w:type="pct"/>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Montenegro</w:t>
            </w:r>
          </w:p>
        </w:tc>
        <w:tc>
          <w:tcPr>
            <w:tcW w:w="59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2.422</w:t>
            </w:r>
          </w:p>
        </w:tc>
        <w:tc>
          <w:tcPr>
            <w:tcW w:w="638"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3.839</w:t>
            </w:r>
          </w:p>
        </w:tc>
        <w:tc>
          <w:tcPr>
            <w:tcW w:w="535"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806</w:t>
            </w:r>
          </w:p>
        </w:tc>
        <w:tc>
          <w:tcPr>
            <w:tcW w:w="401"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1</w:t>
            </w:r>
          </w:p>
        </w:tc>
        <w:tc>
          <w:tcPr>
            <w:tcW w:w="463"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542" w:type="pct"/>
            <w:shd w:val="clear" w:color="auto" w:fill="auto"/>
            <w:noWrap/>
            <w:vAlign w:val="center"/>
            <w:hideMark/>
          </w:tcPr>
          <w:p w:rsidR="00675D1A" w:rsidRPr="00AE5450" w:rsidRDefault="00675D1A" w:rsidP="00B36393">
            <w:pPr>
              <w:jc w:val="center"/>
              <w:rPr>
                <w:color w:val="000000"/>
                <w:sz w:val="20"/>
                <w:szCs w:val="20"/>
              </w:rPr>
            </w:pPr>
            <w:r w:rsidRPr="00AE5450">
              <w:rPr>
                <w:color w:val="000000"/>
                <w:sz w:val="20"/>
                <w:szCs w:val="20"/>
              </w:rPr>
              <w:t>2</w:t>
            </w:r>
          </w:p>
        </w:tc>
        <w:tc>
          <w:tcPr>
            <w:tcW w:w="927" w:type="pct"/>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7.070</w:t>
            </w:r>
          </w:p>
        </w:tc>
      </w:tr>
      <w:tr w:rsidR="00C15F90" w:rsidRPr="00AE5450" w:rsidTr="00C15F90">
        <w:trPr>
          <w:trHeight w:val="286"/>
        </w:trPr>
        <w:tc>
          <w:tcPr>
            <w:tcW w:w="898" w:type="pct"/>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Pijao</w:t>
            </w:r>
          </w:p>
        </w:tc>
        <w:tc>
          <w:tcPr>
            <w:tcW w:w="595"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1.064</w:t>
            </w:r>
          </w:p>
        </w:tc>
        <w:tc>
          <w:tcPr>
            <w:tcW w:w="638"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22</w:t>
            </w:r>
          </w:p>
        </w:tc>
        <w:tc>
          <w:tcPr>
            <w:tcW w:w="535"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23</w:t>
            </w:r>
          </w:p>
        </w:tc>
        <w:tc>
          <w:tcPr>
            <w:tcW w:w="401"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463"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542"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927" w:type="pct"/>
            <w:shd w:val="clear" w:color="auto" w:fill="auto"/>
            <w:vAlign w:val="center"/>
            <w:hideMark/>
          </w:tcPr>
          <w:p w:rsidR="00675D1A" w:rsidRPr="00AE5450" w:rsidRDefault="00675D1A" w:rsidP="00B36393">
            <w:pPr>
              <w:jc w:val="center"/>
              <w:rPr>
                <w:b/>
                <w:bCs/>
                <w:color w:val="000000"/>
                <w:sz w:val="20"/>
                <w:szCs w:val="20"/>
              </w:rPr>
            </w:pPr>
            <w:r w:rsidRPr="00AE5450">
              <w:rPr>
                <w:b/>
                <w:bCs/>
                <w:color w:val="000000"/>
                <w:sz w:val="20"/>
                <w:szCs w:val="20"/>
              </w:rPr>
              <w:t>1.109</w:t>
            </w:r>
          </w:p>
        </w:tc>
      </w:tr>
      <w:tr w:rsidR="00C15F90" w:rsidRPr="00AE5450" w:rsidTr="00C15F90">
        <w:trPr>
          <w:trHeight w:val="286"/>
        </w:trPr>
        <w:tc>
          <w:tcPr>
            <w:tcW w:w="898" w:type="pct"/>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Quimbaya</w:t>
            </w:r>
          </w:p>
        </w:tc>
        <w:tc>
          <w:tcPr>
            <w:tcW w:w="595"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863</w:t>
            </w:r>
          </w:p>
        </w:tc>
        <w:tc>
          <w:tcPr>
            <w:tcW w:w="638"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4.688</w:t>
            </w:r>
          </w:p>
        </w:tc>
        <w:tc>
          <w:tcPr>
            <w:tcW w:w="535"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1.204</w:t>
            </w:r>
          </w:p>
        </w:tc>
        <w:tc>
          <w:tcPr>
            <w:tcW w:w="401"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1</w:t>
            </w:r>
          </w:p>
        </w:tc>
        <w:tc>
          <w:tcPr>
            <w:tcW w:w="463"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542" w:type="pct"/>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0</w:t>
            </w:r>
          </w:p>
        </w:tc>
        <w:tc>
          <w:tcPr>
            <w:tcW w:w="927" w:type="pct"/>
            <w:shd w:val="clear" w:color="auto" w:fill="auto"/>
            <w:vAlign w:val="center"/>
            <w:hideMark/>
          </w:tcPr>
          <w:p w:rsidR="00675D1A" w:rsidRPr="00AE5450" w:rsidRDefault="00675D1A" w:rsidP="00B36393">
            <w:pPr>
              <w:jc w:val="center"/>
              <w:rPr>
                <w:b/>
                <w:bCs/>
                <w:color w:val="000000"/>
                <w:sz w:val="20"/>
                <w:szCs w:val="20"/>
              </w:rPr>
            </w:pPr>
            <w:r w:rsidRPr="00AE5450">
              <w:rPr>
                <w:b/>
                <w:bCs/>
                <w:color w:val="000000"/>
                <w:sz w:val="20"/>
                <w:szCs w:val="20"/>
              </w:rPr>
              <w:t>6.756</w:t>
            </w:r>
          </w:p>
        </w:tc>
      </w:tr>
      <w:tr w:rsidR="00C15F90" w:rsidRPr="00AE5450" w:rsidTr="00B80648">
        <w:trPr>
          <w:trHeight w:val="286"/>
        </w:trPr>
        <w:tc>
          <w:tcPr>
            <w:tcW w:w="898" w:type="pct"/>
            <w:tcBorders>
              <w:bottom w:val="single" w:sz="4" w:space="0" w:color="auto"/>
            </w:tcBorders>
            <w:shd w:val="clear" w:color="auto" w:fill="auto"/>
            <w:vAlign w:val="center"/>
            <w:hideMark/>
          </w:tcPr>
          <w:p w:rsidR="00675D1A" w:rsidRPr="00AE5450" w:rsidRDefault="00675D1A" w:rsidP="007052FB">
            <w:pPr>
              <w:rPr>
                <w:color w:val="000000"/>
                <w:sz w:val="20"/>
                <w:szCs w:val="20"/>
              </w:rPr>
            </w:pPr>
            <w:r w:rsidRPr="00AE5450">
              <w:rPr>
                <w:color w:val="000000"/>
                <w:sz w:val="20"/>
                <w:szCs w:val="20"/>
              </w:rPr>
              <w:t>Salento</w:t>
            </w:r>
          </w:p>
        </w:tc>
        <w:tc>
          <w:tcPr>
            <w:tcW w:w="595" w:type="pct"/>
            <w:tcBorders>
              <w:bottom w:val="single" w:sz="4" w:space="0" w:color="auto"/>
            </w:tcBorders>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114</w:t>
            </w:r>
          </w:p>
        </w:tc>
        <w:tc>
          <w:tcPr>
            <w:tcW w:w="638" w:type="pct"/>
            <w:tcBorders>
              <w:bottom w:val="single" w:sz="4" w:space="0" w:color="auto"/>
            </w:tcBorders>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757</w:t>
            </w:r>
          </w:p>
        </w:tc>
        <w:tc>
          <w:tcPr>
            <w:tcW w:w="535" w:type="pct"/>
            <w:tcBorders>
              <w:bottom w:val="single" w:sz="4" w:space="0" w:color="auto"/>
            </w:tcBorders>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153</w:t>
            </w:r>
          </w:p>
        </w:tc>
        <w:tc>
          <w:tcPr>
            <w:tcW w:w="401" w:type="pct"/>
            <w:tcBorders>
              <w:bottom w:val="single" w:sz="4" w:space="0" w:color="auto"/>
            </w:tcBorders>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7</w:t>
            </w:r>
          </w:p>
        </w:tc>
        <w:tc>
          <w:tcPr>
            <w:tcW w:w="463" w:type="pct"/>
            <w:tcBorders>
              <w:bottom w:val="single" w:sz="4" w:space="0" w:color="auto"/>
            </w:tcBorders>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2</w:t>
            </w:r>
          </w:p>
        </w:tc>
        <w:tc>
          <w:tcPr>
            <w:tcW w:w="542" w:type="pct"/>
            <w:tcBorders>
              <w:bottom w:val="single" w:sz="4" w:space="0" w:color="auto"/>
            </w:tcBorders>
            <w:shd w:val="clear" w:color="auto" w:fill="auto"/>
            <w:vAlign w:val="center"/>
            <w:hideMark/>
          </w:tcPr>
          <w:p w:rsidR="00675D1A" w:rsidRPr="00AE5450" w:rsidRDefault="00675D1A" w:rsidP="00B36393">
            <w:pPr>
              <w:jc w:val="center"/>
              <w:rPr>
                <w:color w:val="000000"/>
                <w:sz w:val="20"/>
                <w:szCs w:val="20"/>
              </w:rPr>
            </w:pPr>
            <w:r w:rsidRPr="00AE5450">
              <w:rPr>
                <w:color w:val="000000"/>
                <w:sz w:val="20"/>
                <w:szCs w:val="20"/>
              </w:rPr>
              <w:t>1</w:t>
            </w:r>
          </w:p>
        </w:tc>
        <w:tc>
          <w:tcPr>
            <w:tcW w:w="927" w:type="pct"/>
            <w:tcBorders>
              <w:bottom w:val="single" w:sz="4" w:space="0" w:color="auto"/>
            </w:tcBorders>
            <w:shd w:val="clear" w:color="auto" w:fill="auto"/>
            <w:vAlign w:val="center"/>
            <w:hideMark/>
          </w:tcPr>
          <w:p w:rsidR="00675D1A" w:rsidRPr="00AE5450" w:rsidRDefault="00D3690B" w:rsidP="00B36393">
            <w:pPr>
              <w:jc w:val="center"/>
              <w:rPr>
                <w:b/>
                <w:bCs/>
                <w:color w:val="000000"/>
                <w:sz w:val="20"/>
                <w:szCs w:val="20"/>
              </w:rPr>
            </w:pPr>
            <w:r>
              <w:rPr>
                <w:b/>
                <w:bCs/>
                <w:color w:val="000000"/>
                <w:sz w:val="20"/>
                <w:szCs w:val="20"/>
              </w:rPr>
              <w:t>1.034</w:t>
            </w:r>
          </w:p>
        </w:tc>
      </w:tr>
      <w:tr w:rsidR="00C15F90" w:rsidRPr="00AE5450" w:rsidTr="00B80648">
        <w:trPr>
          <w:trHeight w:val="549"/>
        </w:trPr>
        <w:tc>
          <w:tcPr>
            <w:tcW w:w="898" w:type="pct"/>
            <w:tcBorders>
              <w:top w:val="single" w:sz="4" w:space="0" w:color="auto"/>
              <w:bottom w:val="single" w:sz="4" w:space="0" w:color="auto"/>
            </w:tcBorders>
            <w:shd w:val="clear" w:color="auto" w:fill="auto"/>
            <w:vAlign w:val="center"/>
            <w:hideMark/>
          </w:tcPr>
          <w:p w:rsidR="00675D1A" w:rsidRPr="00AE5450" w:rsidRDefault="00675D1A" w:rsidP="00B36393">
            <w:pPr>
              <w:jc w:val="center"/>
              <w:rPr>
                <w:b/>
                <w:bCs/>
                <w:color w:val="000000"/>
                <w:sz w:val="20"/>
                <w:szCs w:val="20"/>
              </w:rPr>
            </w:pPr>
            <w:r w:rsidRPr="00AE5450">
              <w:rPr>
                <w:b/>
                <w:bCs/>
                <w:color w:val="000000"/>
                <w:sz w:val="20"/>
                <w:szCs w:val="20"/>
              </w:rPr>
              <w:t>Total Viviendas Municipios</w:t>
            </w:r>
          </w:p>
        </w:tc>
        <w:tc>
          <w:tcPr>
            <w:tcW w:w="595"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27.209</w:t>
            </w:r>
          </w:p>
        </w:tc>
        <w:tc>
          <w:tcPr>
            <w:tcW w:w="638"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49.865</w:t>
            </w:r>
          </w:p>
        </w:tc>
        <w:tc>
          <w:tcPr>
            <w:tcW w:w="535"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31.951</w:t>
            </w:r>
          </w:p>
        </w:tc>
        <w:tc>
          <w:tcPr>
            <w:tcW w:w="401"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8.768</w:t>
            </w:r>
          </w:p>
        </w:tc>
        <w:tc>
          <w:tcPr>
            <w:tcW w:w="463"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8.719</w:t>
            </w:r>
          </w:p>
        </w:tc>
        <w:tc>
          <w:tcPr>
            <w:tcW w:w="542" w:type="pct"/>
            <w:tcBorders>
              <w:top w:val="single" w:sz="4" w:space="0" w:color="auto"/>
              <w:bottom w:val="single" w:sz="4" w:space="0" w:color="auto"/>
            </w:tcBorders>
            <w:shd w:val="clear" w:color="auto" w:fill="auto"/>
            <w:noWrap/>
            <w:vAlign w:val="center"/>
            <w:hideMark/>
          </w:tcPr>
          <w:p w:rsidR="00675D1A" w:rsidRPr="00AE5450" w:rsidRDefault="00675D1A" w:rsidP="00B36393">
            <w:pPr>
              <w:jc w:val="center"/>
              <w:rPr>
                <w:b/>
                <w:bCs/>
                <w:color w:val="000000"/>
                <w:sz w:val="20"/>
                <w:szCs w:val="20"/>
              </w:rPr>
            </w:pPr>
            <w:r w:rsidRPr="00AE5450">
              <w:rPr>
                <w:b/>
                <w:bCs/>
                <w:color w:val="000000"/>
                <w:sz w:val="20"/>
                <w:szCs w:val="20"/>
              </w:rPr>
              <w:t>1.179</w:t>
            </w:r>
          </w:p>
        </w:tc>
        <w:tc>
          <w:tcPr>
            <w:tcW w:w="927" w:type="pct"/>
            <w:tcBorders>
              <w:top w:val="single" w:sz="4" w:space="0" w:color="auto"/>
              <w:bottom w:val="single" w:sz="4" w:space="0" w:color="auto"/>
            </w:tcBorders>
            <w:shd w:val="clear" w:color="auto" w:fill="auto"/>
            <w:noWrap/>
            <w:vAlign w:val="center"/>
            <w:hideMark/>
          </w:tcPr>
          <w:p w:rsidR="00675D1A" w:rsidRPr="00AE5450" w:rsidRDefault="00D3690B" w:rsidP="00B36393">
            <w:pPr>
              <w:jc w:val="center"/>
              <w:rPr>
                <w:b/>
                <w:bCs/>
                <w:color w:val="000000"/>
                <w:sz w:val="20"/>
                <w:szCs w:val="20"/>
              </w:rPr>
            </w:pPr>
            <w:r>
              <w:rPr>
                <w:b/>
                <w:bCs/>
                <w:color w:val="000000"/>
                <w:sz w:val="20"/>
                <w:szCs w:val="20"/>
              </w:rPr>
              <w:t>126.657</w:t>
            </w:r>
          </w:p>
        </w:tc>
      </w:tr>
    </w:tbl>
    <w:p w:rsidR="00675D1A" w:rsidRPr="00D531FD" w:rsidRDefault="00C15F90" w:rsidP="00C15F90">
      <w:pPr>
        <w:rPr>
          <w:b/>
        </w:rPr>
      </w:pPr>
      <w:r w:rsidRPr="00AE5450">
        <w:rPr>
          <w:color w:val="000000"/>
          <w:sz w:val="20"/>
          <w:szCs w:val="20"/>
        </w:rPr>
        <w:t>Fuente: Secretarias de Planeación municipales, EDEQ, SUI, IGAC.</w:t>
      </w:r>
    </w:p>
    <w:p w:rsidR="00675D1A" w:rsidRPr="00D531FD" w:rsidRDefault="00675D1A" w:rsidP="00675D1A">
      <w:pPr>
        <w:jc w:val="center"/>
        <w:rPr>
          <w:b/>
        </w:rPr>
      </w:pPr>
    </w:p>
    <w:p w:rsidR="007A19D1" w:rsidRDefault="007A19D1" w:rsidP="00BD772F">
      <w:pPr>
        <w:spacing w:line="360" w:lineRule="auto"/>
        <w:ind w:firstLine="284"/>
        <w:jc w:val="both"/>
      </w:pPr>
    </w:p>
    <w:p w:rsidR="000C3D1E" w:rsidRPr="00D531FD" w:rsidRDefault="00BD772F" w:rsidP="000C3D1E">
      <w:pPr>
        <w:spacing w:line="360" w:lineRule="auto"/>
        <w:ind w:firstLine="284"/>
        <w:jc w:val="both"/>
      </w:pPr>
      <w:r>
        <w:t xml:space="preserve">Revisando los datos de </w:t>
      </w:r>
      <w:r w:rsidR="00675D1A" w:rsidRPr="00D531FD">
        <w:t>estr</w:t>
      </w:r>
      <w:r>
        <w:t>atificación socioeconómica por n</w:t>
      </w:r>
      <w:r w:rsidR="00B36393">
        <w:t>úmero</w:t>
      </w:r>
      <w:r w:rsidR="00675D1A" w:rsidRPr="00D531FD">
        <w:t xml:space="preserve"> de viviendas</w:t>
      </w:r>
      <w:r>
        <w:t xml:space="preserve"> en el Departamento</w:t>
      </w:r>
      <w:r w:rsidR="00675D1A" w:rsidRPr="00D531FD">
        <w:t xml:space="preserve">, de los estratos del 1 al 6, se evidencia que los municipios donde se encuentran la mayoría de viviendas </w:t>
      </w:r>
      <w:r>
        <w:t>en estrato 1</w:t>
      </w:r>
      <w:r w:rsidR="00675D1A" w:rsidRPr="00D531FD">
        <w:t xml:space="preserve"> son: Pijao y Montenegro.</w:t>
      </w:r>
      <w:r w:rsidR="000C3D1E">
        <w:t xml:space="preserve"> </w:t>
      </w:r>
      <w:r w:rsidR="000C3D1E" w:rsidRPr="00D531FD">
        <w:t>Igualmente</w:t>
      </w:r>
      <w:r w:rsidR="000C3D1E">
        <w:t>,</w:t>
      </w:r>
      <w:r w:rsidR="000C3D1E" w:rsidRPr="00D531FD">
        <w:t xml:space="preserve"> al realizar el análisis del número de viviendas rurales según estrato socioeconómico se presenta una mayor representación del estrato 1 en los municipios de: Pijao y Córdoba, siendo así la población más vulnerable del departamento.</w:t>
      </w:r>
    </w:p>
    <w:p w:rsidR="00AD480B" w:rsidRDefault="00AD480B" w:rsidP="00675D1A">
      <w:pPr>
        <w:jc w:val="center"/>
      </w:pPr>
    </w:p>
    <w:p w:rsidR="00AD480B" w:rsidRDefault="00AD480B" w:rsidP="00675D1A">
      <w:pPr>
        <w:jc w:val="center"/>
      </w:pPr>
    </w:p>
    <w:p w:rsidR="00AD480B" w:rsidRDefault="00AD480B" w:rsidP="00675D1A">
      <w:pPr>
        <w:jc w:val="center"/>
      </w:pPr>
    </w:p>
    <w:p w:rsidR="00AD480B" w:rsidRDefault="00AD480B" w:rsidP="00675D1A">
      <w:pPr>
        <w:jc w:val="center"/>
      </w:pPr>
    </w:p>
    <w:p w:rsidR="00AD480B" w:rsidRDefault="00AD480B" w:rsidP="00675D1A">
      <w:pPr>
        <w:jc w:val="center"/>
      </w:pPr>
    </w:p>
    <w:p w:rsidR="00675D1A" w:rsidRPr="00333D61" w:rsidRDefault="00675D1A" w:rsidP="00F81834">
      <w:pPr>
        <w:jc w:val="both"/>
      </w:pPr>
      <w:r w:rsidRPr="00333D61">
        <w:t>Gráfico No. 1.1</w:t>
      </w:r>
      <w:r w:rsidR="00713A31">
        <w:t>4</w:t>
      </w:r>
    </w:p>
    <w:p w:rsidR="00675D1A" w:rsidRDefault="00675D1A" w:rsidP="00F81834">
      <w:pPr>
        <w:jc w:val="both"/>
        <w:rPr>
          <w:bCs/>
        </w:rPr>
      </w:pPr>
      <w:r w:rsidRPr="00333D61">
        <w:rPr>
          <w:bCs/>
        </w:rPr>
        <w:t>Número de Viviendas Urbanas según Estrato Socioeconómico</w:t>
      </w:r>
    </w:p>
    <w:p w:rsidR="007A19D1" w:rsidRPr="00333D61" w:rsidRDefault="007A19D1" w:rsidP="00F81834">
      <w:pPr>
        <w:jc w:val="both"/>
        <w:rPr>
          <w:bCs/>
        </w:rPr>
      </w:pPr>
    </w:p>
    <w:p w:rsidR="00114854" w:rsidRPr="007F3A30" w:rsidRDefault="0045398B" w:rsidP="00675D1A">
      <w:pPr>
        <w:jc w:val="center"/>
        <w:rPr>
          <w:sz w:val="12"/>
        </w:rPr>
      </w:pPr>
      <w:r>
        <w:rPr>
          <w:noProof/>
        </w:rPr>
        <w:drawing>
          <wp:inline distT="0" distB="0" distL="0" distR="0" wp14:anchorId="7DAD7234" wp14:editId="020326C9">
            <wp:extent cx="5472752" cy="3057098"/>
            <wp:effectExtent l="0" t="0" r="13970" b="1016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5D1A" w:rsidRPr="007F3A30" w:rsidRDefault="00675D1A" w:rsidP="00675D1A">
      <w:pPr>
        <w:jc w:val="center"/>
        <w:rPr>
          <w:sz w:val="2"/>
        </w:rPr>
      </w:pPr>
    </w:p>
    <w:p w:rsidR="00675D1A" w:rsidRPr="00D531FD" w:rsidRDefault="007A19D1" w:rsidP="0045398B">
      <w:pPr>
        <w:ind w:firstLine="708"/>
        <w:rPr>
          <w:sz w:val="16"/>
          <w:szCs w:val="16"/>
        </w:rPr>
      </w:pPr>
      <w:r w:rsidRPr="00D531FD">
        <w:rPr>
          <w:color w:val="000000"/>
          <w:sz w:val="16"/>
          <w:szCs w:val="16"/>
        </w:rPr>
        <w:t>Fuente: Secretarias de Planeación municipales, EDEQ, SUI, IGAC.</w:t>
      </w:r>
    </w:p>
    <w:p w:rsidR="007A19D1" w:rsidRDefault="007A19D1" w:rsidP="000F3436">
      <w:pPr>
        <w:jc w:val="both"/>
      </w:pPr>
    </w:p>
    <w:p w:rsidR="007A19D1" w:rsidRPr="00F81834" w:rsidRDefault="007A19D1" w:rsidP="000F3436">
      <w:pPr>
        <w:jc w:val="both"/>
        <w:rPr>
          <w:sz w:val="6"/>
        </w:rPr>
      </w:pPr>
    </w:p>
    <w:p w:rsidR="007A19D1" w:rsidRPr="009B5016" w:rsidRDefault="007A19D1" w:rsidP="000F3436">
      <w:pPr>
        <w:jc w:val="both"/>
        <w:rPr>
          <w:sz w:val="6"/>
        </w:rPr>
      </w:pPr>
    </w:p>
    <w:p w:rsidR="00675D1A" w:rsidRPr="000F3436" w:rsidRDefault="005A513D" w:rsidP="000F3436">
      <w:pPr>
        <w:jc w:val="both"/>
      </w:pPr>
      <w:r>
        <w:t>Tabla</w:t>
      </w:r>
      <w:r w:rsidR="00675D1A" w:rsidRPr="000F3436">
        <w:t xml:space="preserve"> No. 1.1</w:t>
      </w:r>
      <w:r w:rsidR="00713A31">
        <w:t>4</w:t>
      </w:r>
    </w:p>
    <w:p w:rsidR="00675D1A" w:rsidRDefault="00675D1A" w:rsidP="000F3436">
      <w:pPr>
        <w:jc w:val="both"/>
      </w:pPr>
      <w:r w:rsidRPr="000F3436">
        <w:t>No. de Viviendas Rurales, según Estrato Socioeconómico de los Municipios del Departamento del Quindío</w:t>
      </w:r>
    </w:p>
    <w:p w:rsidR="00EC4321" w:rsidRPr="009B5016" w:rsidRDefault="00EC4321" w:rsidP="000F3436">
      <w:pPr>
        <w:jc w:val="both"/>
        <w:rPr>
          <w:sz w:val="16"/>
        </w:rPr>
      </w:pPr>
    </w:p>
    <w:tbl>
      <w:tblPr>
        <w:tblW w:w="5362" w:type="pct"/>
        <w:tblCellMar>
          <w:left w:w="70" w:type="dxa"/>
          <w:right w:w="70" w:type="dxa"/>
        </w:tblCellMar>
        <w:tblLook w:val="04A0" w:firstRow="1" w:lastRow="0" w:firstColumn="1" w:lastColumn="0" w:noHBand="0" w:noVBand="1"/>
      </w:tblPr>
      <w:tblGrid>
        <w:gridCol w:w="1630"/>
        <w:gridCol w:w="1083"/>
        <w:gridCol w:w="1083"/>
        <w:gridCol w:w="1082"/>
        <w:gridCol w:w="928"/>
        <w:gridCol w:w="928"/>
        <w:gridCol w:w="1263"/>
        <w:gridCol w:w="1633"/>
      </w:tblGrid>
      <w:tr w:rsidR="00675D1A" w:rsidRPr="00D531FD" w:rsidTr="007F3A30">
        <w:trPr>
          <w:trHeight w:val="255"/>
        </w:trPr>
        <w:tc>
          <w:tcPr>
            <w:tcW w:w="846" w:type="pct"/>
            <w:vMerge w:val="restart"/>
            <w:tcBorders>
              <w:top w:val="single" w:sz="4" w:space="0" w:color="auto"/>
              <w:bottom w:val="single" w:sz="4" w:space="0" w:color="auto"/>
            </w:tcBorders>
            <w:shd w:val="clear" w:color="auto" w:fill="auto"/>
            <w:vAlign w:val="center"/>
            <w:hideMark/>
          </w:tcPr>
          <w:p w:rsidR="00675D1A" w:rsidRPr="00D531FD" w:rsidRDefault="00675D1A" w:rsidP="00D700C2">
            <w:pPr>
              <w:jc w:val="center"/>
              <w:rPr>
                <w:b/>
                <w:bCs/>
                <w:color w:val="000000"/>
                <w:sz w:val="20"/>
                <w:szCs w:val="20"/>
              </w:rPr>
            </w:pPr>
            <w:r w:rsidRPr="00D531FD">
              <w:rPr>
                <w:b/>
                <w:bCs/>
                <w:color w:val="000000"/>
                <w:sz w:val="20"/>
                <w:szCs w:val="20"/>
              </w:rPr>
              <w:t>AÑO 2013</w:t>
            </w:r>
          </w:p>
        </w:tc>
        <w:tc>
          <w:tcPr>
            <w:tcW w:w="3305" w:type="pct"/>
            <w:gridSpan w:val="6"/>
            <w:tcBorders>
              <w:top w:val="single" w:sz="4" w:space="0" w:color="auto"/>
              <w:bottom w:val="single" w:sz="4" w:space="0" w:color="auto"/>
            </w:tcBorders>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No. de Viviendas rurales según estrato Socioeconómico</w:t>
            </w:r>
          </w:p>
        </w:tc>
        <w:tc>
          <w:tcPr>
            <w:tcW w:w="848" w:type="pct"/>
            <w:vMerge w:val="restart"/>
            <w:tcBorders>
              <w:top w:val="single" w:sz="4" w:space="0" w:color="auto"/>
              <w:bottom w:val="single" w:sz="4" w:space="0" w:color="auto"/>
            </w:tcBorders>
            <w:shd w:val="clear" w:color="auto" w:fill="auto"/>
            <w:vAlign w:val="center"/>
            <w:hideMark/>
          </w:tcPr>
          <w:p w:rsidR="00675D1A" w:rsidRPr="00D531FD" w:rsidRDefault="00675D1A" w:rsidP="00D700C2">
            <w:pPr>
              <w:jc w:val="center"/>
              <w:rPr>
                <w:b/>
                <w:bCs/>
                <w:color w:val="000000"/>
                <w:sz w:val="20"/>
                <w:szCs w:val="20"/>
              </w:rPr>
            </w:pPr>
            <w:r w:rsidRPr="00D531FD">
              <w:rPr>
                <w:b/>
                <w:bCs/>
                <w:color w:val="000000"/>
                <w:sz w:val="20"/>
                <w:szCs w:val="20"/>
              </w:rPr>
              <w:t>Total No. de viviendas según estrato</w:t>
            </w:r>
          </w:p>
        </w:tc>
      </w:tr>
      <w:tr w:rsidR="00675D1A" w:rsidRPr="00D531FD" w:rsidTr="0045398B">
        <w:trPr>
          <w:trHeight w:val="198"/>
        </w:trPr>
        <w:tc>
          <w:tcPr>
            <w:tcW w:w="846" w:type="pct"/>
            <w:vMerge/>
            <w:tcBorders>
              <w:top w:val="single" w:sz="4" w:space="0" w:color="auto"/>
              <w:bottom w:val="single" w:sz="4" w:space="0" w:color="auto"/>
            </w:tcBorders>
            <w:shd w:val="clear" w:color="auto" w:fill="auto"/>
            <w:vAlign w:val="center"/>
            <w:hideMark/>
          </w:tcPr>
          <w:p w:rsidR="00675D1A" w:rsidRPr="00D531FD" w:rsidRDefault="00675D1A" w:rsidP="00D700C2">
            <w:pPr>
              <w:jc w:val="center"/>
              <w:rPr>
                <w:b/>
                <w:bCs/>
                <w:color w:val="000000"/>
                <w:sz w:val="20"/>
                <w:szCs w:val="20"/>
              </w:rPr>
            </w:pPr>
          </w:p>
        </w:tc>
        <w:tc>
          <w:tcPr>
            <w:tcW w:w="562" w:type="pct"/>
            <w:tcBorders>
              <w:top w:val="single" w:sz="4" w:space="0" w:color="auto"/>
              <w:bottom w:val="single" w:sz="4" w:space="0" w:color="auto"/>
            </w:tcBorders>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1</w:t>
            </w:r>
          </w:p>
        </w:tc>
        <w:tc>
          <w:tcPr>
            <w:tcW w:w="562" w:type="pct"/>
            <w:tcBorders>
              <w:top w:val="single" w:sz="4" w:space="0" w:color="auto"/>
              <w:bottom w:val="single" w:sz="4" w:space="0" w:color="auto"/>
            </w:tcBorders>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2</w:t>
            </w:r>
          </w:p>
        </w:tc>
        <w:tc>
          <w:tcPr>
            <w:tcW w:w="562" w:type="pct"/>
            <w:tcBorders>
              <w:top w:val="single" w:sz="4" w:space="0" w:color="auto"/>
              <w:bottom w:val="single" w:sz="4" w:space="0" w:color="auto"/>
            </w:tcBorders>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3</w:t>
            </w:r>
          </w:p>
        </w:tc>
        <w:tc>
          <w:tcPr>
            <w:tcW w:w="482" w:type="pct"/>
            <w:tcBorders>
              <w:top w:val="single" w:sz="4" w:space="0" w:color="auto"/>
              <w:bottom w:val="single" w:sz="4" w:space="0" w:color="auto"/>
            </w:tcBorders>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4</w:t>
            </w:r>
          </w:p>
        </w:tc>
        <w:tc>
          <w:tcPr>
            <w:tcW w:w="482" w:type="pct"/>
            <w:tcBorders>
              <w:top w:val="single" w:sz="4" w:space="0" w:color="auto"/>
              <w:bottom w:val="single" w:sz="4" w:space="0" w:color="auto"/>
            </w:tcBorders>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5</w:t>
            </w:r>
          </w:p>
        </w:tc>
        <w:tc>
          <w:tcPr>
            <w:tcW w:w="656" w:type="pct"/>
            <w:tcBorders>
              <w:top w:val="single" w:sz="4" w:space="0" w:color="auto"/>
              <w:bottom w:val="single" w:sz="4" w:space="0" w:color="auto"/>
            </w:tcBorders>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6</w:t>
            </w:r>
          </w:p>
        </w:tc>
        <w:tc>
          <w:tcPr>
            <w:tcW w:w="848" w:type="pct"/>
            <w:vMerge/>
            <w:tcBorders>
              <w:top w:val="single" w:sz="4" w:space="0" w:color="auto"/>
              <w:bottom w:val="single" w:sz="4" w:space="0" w:color="auto"/>
            </w:tcBorders>
            <w:shd w:val="clear" w:color="auto" w:fill="auto"/>
            <w:vAlign w:val="center"/>
            <w:hideMark/>
          </w:tcPr>
          <w:p w:rsidR="00675D1A" w:rsidRPr="00D531FD" w:rsidRDefault="00675D1A" w:rsidP="00D700C2">
            <w:pPr>
              <w:jc w:val="center"/>
              <w:rPr>
                <w:b/>
                <w:bCs/>
                <w:color w:val="000000"/>
                <w:sz w:val="20"/>
                <w:szCs w:val="20"/>
              </w:rPr>
            </w:pPr>
          </w:p>
        </w:tc>
      </w:tr>
      <w:tr w:rsidR="00675D1A" w:rsidRPr="00D531FD" w:rsidTr="0045398B">
        <w:trPr>
          <w:trHeight w:val="255"/>
        </w:trPr>
        <w:tc>
          <w:tcPr>
            <w:tcW w:w="846" w:type="pct"/>
            <w:tcBorders>
              <w:top w:val="single" w:sz="4" w:space="0" w:color="auto"/>
            </w:tcBorders>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Armenia</w:t>
            </w:r>
          </w:p>
        </w:tc>
        <w:tc>
          <w:tcPr>
            <w:tcW w:w="562" w:type="pct"/>
            <w:tcBorders>
              <w:top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492</w:t>
            </w:r>
          </w:p>
        </w:tc>
        <w:tc>
          <w:tcPr>
            <w:tcW w:w="562" w:type="pct"/>
            <w:tcBorders>
              <w:top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182</w:t>
            </w:r>
          </w:p>
        </w:tc>
        <w:tc>
          <w:tcPr>
            <w:tcW w:w="562" w:type="pct"/>
            <w:tcBorders>
              <w:top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410</w:t>
            </w:r>
          </w:p>
        </w:tc>
        <w:tc>
          <w:tcPr>
            <w:tcW w:w="482" w:type="pct"/>
            <w:tcBorders>
              <w:top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172</w:t>
            </w:r>
          </w:p>
        </w:tc>
        <w:tc>
          <w:tcPr>
            <w:tcW w:w="482" w:type="pct"/>
            <w:tcBorders>
              <w:top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89</w:t>
            </w:r>
          </w:p>
        </w:tc>
        <w:tc>
          <w:tcPr>
            <w:tcW w:w="656" w:type="pct"/>
            <w:tcBorders>
              <w:top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14</w:t>
            </w:r>
          </w:p>
        </w:tc>
        <w:tc>
          <w:tcPr>
            <w:tcW w:w="848" w:type="pct"/>
            <w:tcBorders>
              <w:top w:val="single" w:sz="4" w:space="0" w:color="auto"/>
            </w:tcBorders>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1.359</w:t>
            </w:r>
          </w:p>
        </w:tc>
      </w:tr>
      <w:tr w:rsidR="00675D1A" w:rsidRPr="00D531FD" w:rsidTr="0045398B">
        <w:trPr>
          <w:trHeight w:val="255"/>
        </w:trPr>
        <w:tc>
          <w:tcPr>
            <w:tcW w:w="846" w:type="pct"/>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Buenavista</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66</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76</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53</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32</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26</w:t>
            </w:r>
          </w:p>
        </w:tc>
        <w:tc>
          <w:tcPr>
            <w:tcW w:w="656"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38</w:t>
            </w:r>
          </w:p>
        </w:tc>
        <w:tc>
          <w:tcPr>
            <w:tcW w:w="848" w:type="pct"/>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291</w:t>
            </w:r>
          </w:p>
        </w:tc>
      </w:tr>
      <w:tr w:rsidR="00675D1A" w:rsidRPr="00D531FD" w:rsidTr="0045398B">
        <w:trPr>
          <w:trHeight w:val="255"/>
        </w:trPr>
        <w:tc>
          <w:tcPr>
            <w:tcW w:w="846" w:type="pct"/>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Calarcá</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763</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450</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460</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123</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47</w:t>
            </w:r>
          </w:p>
        </w:tc>
        <w:tc>
          <w:tcPr>
            <w:tcW w:w="656"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6</w:t>
            </w:r>
          </w:p>
        </w:tc>
        <w:tc>
          <w:tcPr>
            <w:tcW w:w="848" w:type="pct"/>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1.849</w:t>
            </w:r>
          </w:p>
        </w:tc>
      </w:tr>
      <w:tr w:rsidR="00675D1A" w:rsidRPr="00D531FD" w:rsidTr="0045398B">
        <w:trPr>
          <w:trHeight w:val="255"/>
        </w:trPr>
        <w:tc>
          <w:tcPr>
            <w:tcW w:w="846" w:type="pct"/>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Circasia</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727</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585</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320</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154</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26</w:t>
            </w:r>
          </w:p>
        </w:tc>
        <w:tc>
          <w:tcPr>
            <w:tcW w:w="656"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4</w:t>
            </w:r>
          </w:p>
        </w:tc>
        <w:tc>
          <w:tcPr>
            <w:tcW w:w="848" w:type="pct"/>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1.816</w:t>
            </w:r>
          </w:p>
        </w:tc>
      </w:tr>
      <w:tr w:rsidR="00675D1A" w:rsidRPr="00D531FD" w:rsidTr="0045398B">
        <w:trPr>
          <w:trHeight w:val="255"/>
        </w:trPr>
        <w:tc>
          <w:tcPr>
            <w:tcW w:w="846" w:type="pct"/>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Córdoba</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176</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184</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67</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14</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6</w:t>
            </w:r>
          </w:p>
        </w:tc>
        <w:tc>
          <w:tcPr>
            <w:tcW w:w="656"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w:t>
            </w:r>
          </w:p>
        </w:tc>
        <w:tc>
          <w:tcPr>
            <w:tcW w:w="848" w:type="pct"/>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448</w:t>
            </w:r>
          </w:p>
        </w:tc>
      </w:tr>
      <w:tr w:rsidR="00675D1A" w:rsidRPr="00D531FD" w:rsidTr="0045398B">
        <w:trPr>
          <w:trHeight w:val="255"/>
        </w:trPr>
        <w:tc>
          <w:tcPr>
            <w:tcW w:w="846" w:type="pct"/>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Filandia</w:t>
            </w:r>
          </w:p>
        </w:tc>
        <w:tc>
          <w:tcPr>
            <w:tcW w:w="56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636</w:t>
            </w:r>
          </w:p>
        </w:tc>
        <w:tc>
          <w:tcPr>
            <w:tcW w:w="56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603</w:t>
            </w:r>
          </w:p>
        </w:tc>
        <w:tc>
          <w:tcPr>
            <w:tcW w:w="56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374</w:t>
            </w:r>
          </w:p>
        </w:tc>
        <w:tc>
          <w:tcPr>
            <w:tcW w:w="48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53</w:t>
            </w:r>
          </w:p>
        </w:tc>
        <w:tc>
          <w:tcPr>
            <w:tcW w:w="48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11</w:t>
            </w:r>
          </w:p>
        </w:tc>
        <w:tc>
          <w:tcPr>
            <w:tcW w:w="656"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6</w:t>
            </w:r>
          </w:p>
        </w:tc>
        <w:tc>
          <w:tcPr>
            <w:tcW w:w="848" w:type="pct"/>
            <w:shd w:val="clear" w:color="auto" w:fill="auto"/>
            <w:vAlign w:val="center"/>
            <w:hideMark/>
          </w:tcPr>
          <w:p w:rsidR="00675D1A" w:rsidRPr="00D531FD" w:rsidRDefault="00675D1A" w:rsidP="00D700C2">
            <w:pPr>
              <w:jc w:val="center"/>
              <w:rPr>
                <w:b/>
                <w:bCs/>
                <w:color w:val="000000"/>
                <w:sz w:val="20"/>
                <w:szCs w:val="20"/>
              </w:rPr>
            </w:pPr>
            <w:r w:rsidRPr="00D531FD">
              <w:rPr>
                <w:b/>
                <w:bCs/>
                <w:color w:val="000000"/>
                <w:sz w:val="20"/>
                <w:szCs w:val="20"/>
              </w:rPr>
              <w:t>1.683</w:t>
            </w:r>
          </w:p>
        </w:tc>
      </w:tr>
      <w:tr w:rsidR="00675D1A" w:rsidRPr="00D531FD" w:rsidTr="0045398B">
        <w:trPr>
          <w:trHeight w:val="255"/>
        </w:trPr>
        <w:tc>
          <w:tcPr>
            <w:tcW w:w="846" w:type="pct"/>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Génova</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177</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868</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125</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20</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7</w:t>
            </w:r>
          </w:p>
        </w:tc>
        <w:tc>
          <w:tcPr>
            <w:tcW w:w="656"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11</w:t>
            </w:r>
          </w:p>
        </w:tc>
        <w:tc>
          <w:tcPr>
            <w:tcW w:w="848" w:type="pct"/>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1.208</w:t>
            </w:r>
          </w:p>
        </w:tc>
      </w:tr>
      <w:tr w:rsidR="00675D1A" w:rsidRPr="00D531FD" w:rsidTr="0045398B">
        <w:trPr>
          <w:trHeight w:val="255"/>
        </w:trPr>
        <w:tc>
          <w:tcPr>
            <w:tcW w:w="846" w:type="pct"/>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La Tebaida</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106</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74</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142</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93</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89</w:t>
            </w:r>
          </w:p>
        </w:tc>
        <w:tc>
          <w:tcPr>
            <w:tcW w:w="656"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20</w:t>
            </w:r>
          </w:p>
        </w:tc>
        <w:tc>
          <w:tcPr>
            <w:tcW w:w="848" w:type="pct"/>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524</w:t>
            </w:r>
          </w:p>
        </w:tc>
      </w:tr>
      <w:tr w:rsidR="00675D1A" w:rsidRPr="00D531FD" w:rsidTr="0045398B">
        <w:trPr>
          <w:trHeight w:val="255"/>
        </w:trPr>
        <w:tc>
          <w:tcPr>
            <w:tcW w:w="846" w:type="pct"/>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Montenegro</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331</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874</w:t>
            </w:r>
          </w:p>
        </w:tc>
        <w:tc>
          <w:tcPr>
            <w:tcW w:w="56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668</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153</w:t>
            </w:r>
          </w:p>
        </w:tc>
        <w:tc>
          <w:tcPr>
            <w:tcW w:w="482"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219</w:t>
            </w:r>
          </w:p>
        </w:tc>
        <w:tc>
          <w:tcPr>
            <w:tcW w:w="656" w:type="pct"/>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9</w:t>
            </w:r>
          </w:p>
        </w:tc>
        <w:tc>
          <w:tcPr>
            <w:tcW w:w="848" w:type="pct"/>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2.254</w:t>
            </w:r>
          </w:p>
        </w:tc>
      </w:tr>
      <w:tr w:rsidR="00675D1A" w:rsidRPr="00D531FD" w:rsidTr="0045398B">
        <w:trPr>
          <w:trHeight w:val="255"/>
        </w:trPr>
        <w:tc>
          <w:tcPr>
            <w:tcW w:w="846" w:type="pct"/>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Pijao</w:t>
            </w:r>
          </w:p>
        </w:tc>
        <w:tc>
          <w:tcPr>
            <w:tcW w:w="56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218</w:t>
            </w:r>
          </w:p>
        </w:tc>
        <w:tc>
          <w:tcPr>
            <w:tcW w:w="56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165</w:t>
            </w:r>
          </w:p>
        </w:tc>
        <w:tc>
          <w:tcPr>
            <w:tcW w:w="56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120</w:t>
            </w:r>
          </w:p>
        </w:tc>
        <w:tc>
          <w:tcPr>
            <w:tcW w:w="48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43</w:t>
            </w:r>
          </w:p>
        </w:tc>
        <w:tc>
          <w:tcPr>
            <w:tcW w:w="48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8</w:t>
            </w:r>
          </w:p>
        </w:tc>
        <w:tc>
          <w:tcPr>
            <w:tcW w:w="656"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2</w:t>
            </w:r>
          </w:p>
        </w:tc>
        <w:tc>
          <w:tcPr>
            <w:tcW w:w="848" w:type="pct"/>
            <w:shd w:val="clear" w:color="auto" w:fill="auto"/>
            <w:vAlign w:val="center"/>
            <w:hideMark/>
          </w:tcPr>
          <w:p w:rsidR="00675D1A" w:rsidRPr="00D531FD" w:rsidRDefault="00675D1A" w:rsidP="00D700C2">
            <w:pPr>
              <w:jc w:val="center"/>
              <w:rPr>
                <w:b/>
                <w:bCs/>
                <w:color w:val="000000"/>
                <w:sz w:val="20"/>
                <w:szCs w:val="20"/>
              </w:rPr>
            </w:pPr>
            <w:r w:rsidRPr="00D531FD">
              <w:rPr>
                <w:b/>
                <w:bCs/>
                <w:color w:val="000000"/>
                <w:sz w:val="20"/>
                <w:szCs w:val="20"/>
              </w:rPr>
              <w:t>556</w:t>
            </w:r>
          </w:p>
        </w:tc>
      </w:tr>
      <w:tr w:rsidR="00675D1A" w:rsidRPr="00D531FD" w:rsidTr="0045398B">
        <w:trPr>
          <w:trHeight w:val="255"/>
        </w:trPr>
        <w:tc>
          <w:tcPr>
            <w:tcW w:w="846" w:type="pct"/>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Quimbaya</w:t>
            </w:r>
          </w:p>
        </w:tc>
        <w:tc>
          <w:tcPr>
            <w:tcW w:w="56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637</w:t>
            </w:r>
          </w:p>
        </w:tc>
        <w:tc>
          <w:tcPr>
            <w:tcW w:w="56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566</w:t>
            </w:r>
          </w:p>
        </w:tc>
        <w:tc>
          <w:tcPr>
            <w:tcW w:w="56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289</w:t>
            </w:r>
          </w:p>
        </w:tc>
        <w:tc>
          <w:tcPr>
            <w:tcW w:w="48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38</w:t>
            </w:r>
          </w:p>
        </w:tc>
        <w:tc>
          <w:tcPr>
            <w:tcW w:w="482"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4</w:t>
            </w:r>
          </w:p>
        </w:tc>
        <w:tc>
          <w:tcPr>
            <w:tcW w:w="656" w:type="pct"/>
            <w:shd w:val="clear" w:color="auto" w:fill="auto"/>
            <w:vAlign w:val="center"/>
            <w:hideMark/>
          </w:tcPr>
          <w:p w:rsidR="00675D1A" w:rsidRPr="00D531FD" w:rsidRDefault="00675D1A" w:rsidP="00D700C2">
            <w:pPr>
              <w:jc w:val="center"/>
              <w:rPr>
                <w:color w:val="000000"/>
                <w:sz w:val="20"/>
                <w:szCs w:val="20"/>
              </w:rPr>
            </w:pPr>
            <w:r w:rsidRPr="00D531FD">
              <w:rPr>
                <w:color w:val="000000"/>
                <w:sz w:val="20"/>
                <w:szCs w:val="20"/>
              </w:rPr>
              <w:t>0</w:t>
            </w:r>
          </w:p>
        </w:tc>
        <w:tc>
          <w:tcPr>
            <w:tcW w:w="848" w:type="pct"/>
            <w:shd w:val="clear" w:color="auto" w:fill="auto"/>
            <w:vAlign w:val="center"/>
            <w:hideMark/>
          </w:tcPr>
          <w:p w:rsidR="00675D1A" w:rsidRPr="00D531FD" w:rsidRDefault="00675D1A" w:rsidP="00D700C2">
            <w:pPr>
              <w:jc w:val="center"/>
              <w:rPr>
                <w:b/>
                <w:bCs/>
                <w:color w:val="000000"/>
                <w:sz w:val="20"/>
                <w:szCs w:val="20"/>
              </w:rPr>
            </w:pPr>
            <w:r w:rsidRPr="00D531FD">
              <w:rPr>
                <w:b/>
                <w:bCs/>
                <w:color w:val="000000"/>
                <w:sz w:val="20"/>
                <w:szCs w:val="20"/>
              </w:rPr>
              <w:t>1.534</w:t>
            </w:r>
          </w:p>
        </w:tc>
      </w:tr>
      <w:tr w:rsidR="00675D1A" w:rsidRPr="00D531FD" w:rsidTr="0045398B">
        <w:trPr>
          <w:trHeight w:val="255"/>
        </w:trPr>
        <w:tc>
          <w:tcPr>
            <w:tcW w:w="846" w:type="pct"/>
            <w:tcBorders>
              <w:bottom w:val="single" w:sz="4" w:space="0" w:color="auto"/>
            </w:tcBorders>
            <w:shd w:val="clear" w:color="auto" w:fill="auto"/>
            <w:vAlign w:val="center"/>
            <w:hideMark/>
          </w:tcPr>
          <w:p w:rsidR="00675D1A" w:rsidRPr="00D531FD" w:rsidRDefault="00675D1A" w:rsidP="00D700C2">
            <w:pPr>
              <w:jc w:val="both"/>
              <w:rPr>
                <w:color w:val="000000"/>
                <w:sz w:val="20"/>
                <w:szCs w:val="20"/>
              </w:rPr>
            </w:pPr>
            <w:r w:rsidRPr="00D531FD">
              <w:rPr>
                <w:color w:val="000000"/>
                <w:sz w:val="20"/>
                <w:szCs w:val="20"/>
              </w:rPr>
              <w:t>Salento</w:t>
            </w:r>
          </w:p>
        </w:tc>
        <w:tc>
          <w:tcPr>
            <w:tcW w:w="562" w:type="pct"/>
            <w:tcBorders>
              <w:bottom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0</w:t>
            </w:r>
          </w:p>
        </w:tc>
        <w:tc>
          <w:tcPr>
            <w:tcW w:w="562" w:type="pct"/>
            <w:tcBorders>
              <w:bottom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0</w:t>
            </w:r>
          </w:p>
        </w:tc>
        <w:tc>
          <w:tcPr>
            <w:tcW w:w="562" w:type="pct"/>
            <w:tcBorders>
              <w:bottom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0</w:t>
            </w:r>
          </w:p>
        </w:tc>
        <w:tc>
          <w:tcPr>
            <w:tcW w:w="482" w:type="pct"/>
            <w:tcBorders>
              <w:bottom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0</w:t>
            </w:r>
          </w:p>
        </w:tc>
        <w:tc>
          <w:tcPr>
            <w:tcW w:w="482" w:type="pct"/>
            <w:tcBorders>
              <w:bottom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0</w:t>
            </w:r>
          </w:p>
        </w:tc>
        <w:tc>
          <w:tcPr>
            <w:tcW w:w="656" w:type="pct"/>
            <w:tcBorders>
              <w:bottom w:val="single" w:sz="4" w:space="0" w:color="auto"/>
            </w:tcBorders>
            <w:shd w:val="clear" w:color="auto" w:fill="auto"/>
            <w:noWrap/>
            <w:vAlign w:val="center"/>
            <w:hideMark/>
          </w:tcPr>
          <w:p w:rsidR="00675D1A" w:rsidRPr="00D531FD" w:rsidRDefault="00675D1A" w:rsidP="00D700C2">
            <w:pPr>
              <w:jc w:val="center"/>
              <w:rPr>
                <w:color w:val="000000"/>
                <w:sz w:val="20"/>
                <w:szCs w:val="20"/>
              </w:rPr>
            </w:pPr>
            <w:r w:rsidRPr="00D531FD">
              <w:rPr>
                <w:color w:val="000000"/>
                <w:sz w:val="20"/>
                <w:szCs w:val="20"/>
              </w:rPr>
              <w:t>0</w:t>
            </w:r>
          </w:p>
        </w:tc>
        <w:tc>
          <w:tcPr>
            <w:tcW w:w="848" w:type="pct"/>
            <w:tcBorders>
              <w:bottom w:val="single" w:sz="4" w:space="0" w:color="auto"/>
            </w:tcBorders>
            <w:shd w:val="clear" w:color="auto" w:fill="auto"/>
            <w:noWrap/>
            <w:vAlign w:val="center"/>
            <w:hideMark/>
          </w:tcPr>
          <w:p w:rsidR="00675D1A" w:rsidRPr="00D531FD" w:rsidRDefault="00675D1A" w:rsidP="00D700C2">
            <w:pPr>
              <w:jc w:val="center"/>
              <w:rPr>
                <w:b/>
                <w:bCs/>
                <w:color w:val="000000"/>
                <w:sz w:val="20"/>
                <w:szCs w:val="20"/>
              </w:rPr>
            </w:pPr>
            <w:r w:rsidRPr="00D531FD">
              <w:rPr>
                <w:b/>
                <w:bCs/>
                <w:color w:val="000000"/>
                <w:sz w:val="20"/>
                <w:szCs w:val="20"/>
              </w:rPr>
              <w:t>0</w:t>
            </w:r>
          </w:p>
        </w:tc>
      </w:tr>
      <w:tr w:rsidR="00675D1A" w:rsidRPr="00D531FD" w:rsidTr="0045398B">
        <w:trPr>
          <w:trHeight w:val="233"/>
        </w:trPr>
        <w:tc>
          <w:tcPr>
            <w:tcW w:w="846" w:type="pct"/>
            <w:tcBorders>
              <w:top w:val="single" w:sz="4" w:space="0" w:color="auto"/>
              <w:bottom w:val="single" w:sz="4" w:space="0" w:color="auto"/>
            </w:tcBorders>
            <w:shd w:val="clear" w:color="auto" w:fill="auto"/>
            <w:vAlign w:val="center"/>
            <w:hideMark/>
          </w:tcPr>
          <w:p w:rsidR="00675D1A" w:rsidRPr="00D531FD" w:rsidRDefault="00675D1A" w:rsidP="007F3A30">
            <w:pPr>
              <w:jc w:val="center"/>
              <w:rPr>
                <w:b/>
                <w:bCs/>
                <w:color w:val="000000"/>
                <w:sz w:val="20"/>
                <w:szCs w:val="20"/>
              </w:rPr>
            </w:pPr>
            <w:r w:rsidRPr="00D531FD">
              <w:rPr>
                <w:b/>
                <w:bCs/>
                <w:color w:val="000000"/>
                <w:sz w:val="20"/>
                <w:szCs w:val="20"/>
              </w:rPr>
              <w:t>Total V</w:t>
            </w:r>
            <w:r w:rsidR="007F3A30">
              <w:rPr>
                <w:b/>
                <w:bCs/>
                <w:color w:val="000000"/>
                <w:sz w:val="20"/>
                <w:szCs w:val="20"/>
              </w:rPr>
              <w:t>iviendas</w:t>
            </w:r>
          </w:p>
        </w:tc>
        <w:tc>
          <w:tcPr>
            <w:tcW w:w="562" w:type="pct"/>
            <w:tcBorders>
              <w:top w:val="single" w:sz="4" w:space="0" w:color="auto"/>
              <w:bottom w:val="single" w:sz="4" w:space="0" w:color="auto"/>
            </w:tcBorders>
            <w:shd w:val="clear" w:color="auto" w:fill="auto"/>
            <w:noWrap/>
            <w:vAlign w:val="center"/>
            <w:hideMark/>
          </w:tcPr>
          <w:p w:rsidR="00675D1A" w:rsidRPr="00D531FD" w:rsidRDefault="00675D1A" w:rsidP="007F3A30">
            <w:pPr>
              <w:jc w:val="center"/>
              <w:rPr>
                <w:b/>
                <w:bCs/>
                <w:color w:val="000000"/>
                <w:sz w:val="20"/>
                <w:szCs w:val="20"/>
              </w:rPr>
            </w:pPr>
            <w:r w:rsidRPr="00D531FD">
              <w:rPr>
                <w:b/>
                <w:bCs/>
                <w:color w:val="000000"/>
                <w:sz w:val="20"/>
                <w:szCs w:val="20"/>
              </w:rPr>
              <w:t>4.329</w:t>
            </w:r>
          </w:p>
        </w:tc>
        <w:tc>
          <w:tcPr>
            <w:tcW w:w="562" w:type="pct"/>
            <w:tcBorders>
              <w:top w:val="single" w:sz="4" w:space="0" w:color="auto"/>
              <w:bottom w:val="single" w:sz="4" w:space="0" w:color="auto"/>
            </w:tcBorders>
            <w:shd w:val="clear" w:color="auto" w:fill="auto"/>
            <w:noWrap/>
            <w:vAlign w:val="center"/>
            <w:hideMark/>
          </w:tcPr>
          <w:p w:rsidR="00675D1A" w:rsidRPr="00D531FD" w:rsidRDefault="00675D1A" w:rsidP="007F3A30">
            <w:pPr>
              <w:jc w:val="center"/>
              <w:rPr>
                <w:b/>
                <w:bCs/>
                <w:color w:val="000000"/>
                <w:sz w:val="20"/>
                <w:szCs w:val="20"/>
              </w:rPr>
            </w:pPr>
            <w:r w:rsidRPr="00D531FD">
              <w:rPr>
                <w:b/>
                <w:bCs/>
                <w:color w:val="000000"/>
                <w:sz w:val="20"/>
                <w:szCs w:val="20"/>
              </w:rPr>
              <w:t>4.627</w:t>
            </w:r>
          </w:p>
        </w:tc>
        <w:tc>
          <w:tcPr>
            <w:tcW w:w="562" w:type="pct"/>
            <w:tcBorders>
              <w:top w:val="single" w:sz="4" w:space="0" w:color="auto"/>
              <w:bottom w:val="single" w:sz="4" w:space="0" w:color="auto"/>
            </w:tcBorders>
            <w:shd w:val="clear" w:color="auto" w:fill="auto"/>
            <w:noWrap/>
            <w:vAlign w:val="center"/>
            <w:hideMark/>
          </w:tcPr>
          <w:p w:rsidR="00675D1A" w:rsidRPr="00D531FD" w:rsidRDefault="00675D1A" w:rsidP="007F3A30">
            <w:pPr>
              <w:jc w:val="center"/>
              <w:rPr>
                <w:b/>
                <w:bCs/>
                <w:color w:val="000000"/>
                <w:sz w:val="20"/>
                <w:szCs w:val="20"/>
              </w:rPr>
            </w:pPr>
            <w:r w:rsidRPr="00D531FD">
              <w:rPr>
                <w:b/>
                <w:bCs/>
                <w:color w:val="000000"/>
                <w:sz w:val="20"/>
                <w:szCs w:val="20"/>
              </w:rPr>
              <w:t>3.028</w:t>
            </w:r>
          </w:p>
        </w:tc>
        <w:tc>
          <w:tcPr>
            <w:tcW w:w="482" w:type="pct"/>
            <w:tcBorders>
              <w:top w:val="single" w:sz="4" w:space="0" w:color="auto"/>
              <w:bottom w:val="single" w:sz="4" w:space="0" w:color="auto"/>
            </w:tcBorders>
            <w:shd w:val="clear" w:color="auto" w:fill="auto"/>
            <w:noWrap/>
            <w:vAlign w:val="center"/>
            <w:hideMark/>
          </w:tcPr>
          <w:p w:rsidR="00675D1A" w:rsidRPr="00D531FD" w:rsidRDefault="00675D1A" w:rsidP="007F3A30">
            <w:pPr>
              <w:jc w:val="center"/>
              <w:rPr>
                <w:b/>
                <w:bCs/>
                <w:color w:val="000000"/>
                <w:sz w:val="20"/>
                <w:szCs w:val="20"/>
              </w:rPr>
            </w:pPr>
            <w:r w:rsidRPr="00D531FD">
              <w:rPr>
                <w:b/>
                <w:bCs/>
                <w:color w:val="000000"/>
                <w:sz w:val="20"/>
                <w:szCs w:val="20"/>
              </w:rPr>
              <w:t>895</w:t>
            </w:r>
          </w:p>
        </w:tc>
        <w:tc>
          <w:tcPr>
            <w:tcW w:w="482" w:type="pct"/>
            <w:tcBorders>
              <w:top w:val="single" w:sz="4" w:space="0" w:color="auto"/>
              <w:bottom w:val="single" w:sz="4" w:space="0" w:color="auto"/>
            </w:tcBorders>
            <w:shd w:val="clear" w:color="auto" w:fill="auto"/>
            <w:noWrap/>
            <w:vAlign w:val="center"/>
            <w:hideMark/>
          </w:tcPr>
          <w:p w:rsidR="00675D1A" w:rsidRPr="00D531FD" w:rsidRDefault="00675D1A" w:rsidP="007F3A30">
            <w:pPr>
              <w:jc w:val="center"/>
              <w:rPr>
                <w:b/>
                <w:bCs/>
                <w:color w:val="000000"/>
                <w:sz w:val="20"/>
                <w:szCs w:val="20"/>
              </w:rPr>
            </w:pPr>
            <w:r w:rsidRPr="00D531FD">
              <w:rPr>
                <w:b/>
                <w:bCs/>
                <w:color w:val="000000"/>
                <w:sz w:val="20"/>
                <w:szCs w:val="20"/>
              </w:rPr>
              <w:t>532</w:t>
            </w:r>
          </w:p>
        </w:tc>
        <w:tc>
          <w:tcPr>
            <w:tcW w:w="656" w:type="pct"/>
            <w:tcBorders>
              <w:top w:val="single" w:sz="4" w:space="0" w:color="auto"/>
              <w:bottom w:val="single" w:sz="4" w:space="0" w:color="auto"/>
            </w:tcBorders>
            <w:shd w:val="clear" w:color="auto" w:fill="auto"/>
            <w:noWrap/>
            <w:vAlign w:val="center"/>
            <w:hideMark/>
          </w:tcPr>
          <w:p w:rsidR="00675D1A" w:rsidRPr="00D531FD" w:rsidRDefault="00675D1A" w:rsidP="007F3A30">
            <w:pPr>
              <w:jc w:val="center"/>
              <w:rPr>
                <w:b/>
                <w:bCs/>
                <w:color w:val="000000"/>
                <w:sz w:val="20"/>
                <w:szCs w:val="20"/>
              </w:rPr>
            </w:pPr>
            <w:r w:rsidRPr="00D531FD">
              <w:rPr>
                <w:b/>
                <w:bCs/>
                <w:color w:val="000000"/>
                <w:sz w:val="20"/>
                <w:szCs w:val="20"/>
              </w:rPr>
              <w:t>111</w:t>
            </w:r>
          </w:p>
        </w:tc>
        <w:tc>
          <w:tcPr>
            <w:tcW w:w="848" w:type="pct"/>
            <w:tcBorders>
              <w:top w:val="single" w:sz="4" w:space="0" w:color="auto"/>
              <w:bottom w:val="single" w:sz="4" w:space="0" w:color="auto"/>
            </w:tcBorders>
            <w:shd w:val="clear" w:color="auto" w:fill="auto"/>
            <w:noWrap/>
            <w:vAlign w:val="center"/>
            <w:hideMark/>
          </w:tcPr>
          <w:p w:rsidR="00675D1A" w:rsidRPr="00D531FD" w:rsidRDefault="00675D1A" w:rsidP="007F3A30">
            <w:pPr>
              <w:jc w:val="center"/>
              <w:rPr>
                <w:b/>
                <w:bCs/>
                <w:color w:val="000000"/>
                <w:sz w:val="20"/>
                <w:szCs w:val="20"/>
              </w:rPr>
            </w:pPr>
            <w:r w:rsidRPr="00D531FD">
              <w:rPr>
                <w:b/>
                <w:bCs/>
                <w:color w:val="000000"/>
                <w:sz w:val="20"/>
                <w:szCs w:val="20"/>
              </w:rPr>
              <w:t>13.522</w:t>
            </w:r>
          </w:p>
        </w:tc>
      </w:tr>
      <w:tr w:rsidR="00675D1A" w:rsidRPr="00D531FD" w:rsidTr="009D5F3D">
        <w:trPr>
          <w:trHeight w:val="96"/>
        </w:trPr>
        <w:tc>
          <w:tcPr>
            <w:tcW w:w="2532" w:type="pct"/>
            <w:gridSpan w:val="4"/>
            <w:tcBorders>
              <w:top w:val="single" w:sz="4" w:space="0" w:color="auto"/>
            </w:tcBorders>
            <w:shd w:val="clear" w:color="auto" w:fill="auto"/>
            <w:noWrap/>
            <w:vAlign w:val="center"/>
            <w:hideMark/>
          </w:tcPr>
          <w:p w:rsidR="00675D1A" w:rsidRPr="00D531FD" w:rsidRDefault="00675D1A" w:rsidP="009D5F3D">
            <w:pPr>
              <w:jc w:val="both"/>
              <w:rPr>
                <w:color w:val="000000"/>
                <w:sz w:val="16"/>
                <w:szCs w:val="16"/>
              </w:rPr>
            </w:pPr>
            <w:r w:rsidRPr="00D531FD">
              <w:rPr>
                <w:color w:val="000000"/>
                <w:sz w:val="16"/>
                <w:szCs w:val="16"/>
              </w:rPr>
              <w:t>Fuentes: Secretarias de Planeación municipales, EDEQ, SUI, IGAC.</w:t>
            </w:r>
          </w:p>
        </w:tc>
        <w:tc>
          <w:tcPr>
            <w:tcW w:w="482" w:type="pct"/>
            <w:tcBorders>
              <w:top w:val="single" w:sz="4" w:space="0" w:color="auto"/>
            </w:tcBorders>
            <w:shd w:val="clear" w:color="auto" w:fill="auto"/>
            <w:noWrap/>
            <w:vAlign w:val="center"/>
            <w:hideMark/>
          </w:tcPr>
          <w:p w:rsidR="00675D1A" w:rsidRPr="00D531FD" w:rsidRDefault="00675D1A" w:rsidP="009D5F3D">
            <w:pPr>
              <w:jc w:val="both"/>
              <w:rPr>
                <w:color w:val="000000"/>
                <w:sz w:val="20"/>
                <w:szCs w:val="20"/>
              </w:rPr>
            </w:pPr>
          </w:p>
        </w:tc>
        <w:tc>
          <w:tcPr>
            <w:tcW w:w="482" w:type="pct"/>
            <w:tcBorders>
              <w:top w:val="single" w:sz="4" w:space="0" w:color="auto"/>
            </w:tcBorders>
            <w:shd w:val="clear" w:color="auto" w:fill="auto"/>
            <w:noWrap/>
            <w:vAlign w:val="center"/>
            <w:hideMark/>
          </w:tcPr>
          <w:p w:rsidR="00675D1A" w:rsidRPr="00D531FD" w:rsidRDefault="00675D1A" w:rsidP="009D5F3D">
            <w:pPr>
              <w:jc w:val="both"/>
              <w:rPr>
                <w:color w:val="000000"/>
                <w:sz w:val="20"/>
                <w:szCs w:val="20"/>
              </w:rPr>
            </w:pPr>
          </w:p>
        </w:tc>
        <w:tc>
          <w:tcPr>
            <w:tcW w:w="656" w:type="pct"/>
            <w:tcBorders>
              <w:top w:val="single" w:sz="4" w:space="0" w:color="auto"/>
            </w:tcBorders>
            <w:shd w:val="clear" w:color="auto" w:fill="auto"/>
            <w:noWrap/>
            <w:vAlign w:val="center"/>
            <w:hideMark/>
          </w:tcPr>
          <w:p w:rsidR="00675D1A" w:rsidRPr="00D531FD" w:rsidRDefault="00675D1A" w:rsidP="009D5F3D">
            <w:pPr>
              <w:jc w:val="both"/>
              <w:rPr>
                <w:color w:val="000000"/>
                <w:sz w:val="20"/>
                <w:szCs w:val="20"/>
              </w:rPr>
            </w:pPr>
          </w:p>
        </w:tc>
        <w:tc>
          <w:tcPr>
            <w:tcW w:w="848" w:type="pct"/>
            <w:tcBorders>
              <w:top w:val="single" w:sz="4" w:space="0" w:color="auto"/>
            </w:tcBorders>
            <w:shd w:val="clear" w:color="auto" w:fill="auto"/>
            <w:noWrap/>
            <w:vAlign w:val="center"/>
            <w:hideMark/>
          </w:tcPr>
          <w:p w:rsidR="00675D1A" w:rsidRPr="00D531FD" w:rsidRDefault="00675D1A" w:rsidP="009D5F3D">
            <w:pPr>
              <w:jc w:val="both"/>
              <w:rPr>
                <w:color w:val="000000"/>
                <w:sz w:val="20"/>
                <w:szCs w:val="20"/>
              </w:rPr>
            </w:pPr>
          </w:p>
        </w:tc>
      </w:tr>
    </w:tbl>
    <w:p w:rsidR="00675D1A" w:rsidRPr="00D531FD" w:rsidRDefault="00675D1A" w:rsidP="009D5F3D">
      <w:pPr>
        <w:jc w:val="both"/>
        <w:rPr>
          <w:sz w:val="16"/>
          <w:szCs w:val="16"/>
        </w:rPr>
      </w:pPr>
      <w:r w:rsidRPr="00D531FD">
        <w:t>*</w:t>
      </w:r>
      <w:r w:rsidRPr="00D531FD">
        <w:rPr>
          <w:sz w:val="16"/>
          <w:szCs w:val="16"/>
        </w:rPr>
        <w:t xml:space="preserve">Con respecto a la información de estratificación rural a corte 31 de diciembre de 2013, el Municipio de Salento no ha </w:t>
      </w:r>
      <w:r w:rsidR="00333D61" w:rsidRPr="00D531FD">
        <w:rPr>
          <w:sz w:val="16"/>
          <w:szCs w:val="16"/>
        </w:rPr>
        <w:t>adelantado</w:t>
      </w:r>
      <w:r w:rsidRPr="00D531FD">
        <w:rPr>
          <w:sz w:val="16"/>
          <w:szCs w:val="16"/>
        </w:rPr>
        <w:t xml:space="preserve"> el estudio e estratificación por tanto no se relacionan datos. </w:t>
      </w:r>
    </w:p>
    <w:p w:rsidR="004D61F4" w:rsidRDefault="00C657C5" w:rsidP="00F81834">
      <w:pPr>
        <w:jc w:val="both"/>
      </w:pPr>
      <w:r>
        <w:rPr>
          <w:noProof/>
        </w:rPr>
        <w:lastRenderedPageBreak/>
        <w:drawing>
          <wp:anchor distT="0" distB="0" distL="114300" distR="114300" simplePos="0" relativeHeight="251698176" behindDoc="0" locked="0" layoutInCell="1" allowOverlap="1" wp14:anchorId="01AAC2CB" wp14:editId="0EFFA13E">
            <wp:simplePos x="0" y="0"/>
            <wp:positionH relativeFrom="column">
              <wp:posOffset>-1074420</wp:posOffset>
            </wp:positionH>
            <wp:positionV relativeFrom="paragraph">
              <wp:posOffset>-1080135</wp:posOffset>
            </wp:positionV>
            <wp:extent cx="7772400" cy="10065385"/>
            <wp:effectExtent l="0" t="0" r="0" b="0"/>
            <wp:wrapNone/>
            <wp:docPr id="32" name="Imagen 32" descr="C:\Users\AUXPLANEACION08\Desktop\INFORME FINAL\DISEÑO\2. Edu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UXPLANEACION08\Desktop\INFORME FINAL\DISEÑO\2. Educació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72400" cy="1006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EA5" w:rsidRDefault="00861EA5" w:rsidP="00153984">
      <w:pPr>
        <w:jc w:val="both"/>
      </w:pPr>
    </w:p>
    <w:p w:rsidR="000C3D1E" w:rsidRDefault="000C3D1E" w:rsidP="00153984">
      <w:pPr>
        <w:jc w:val="both"/>
      </w:pPr>
    </w:p>
    <w:p w:rsidR="000C3D1E" w:rsidRDefault="000C3D1E" w:rsidP="00153984">
      <w:pPr>
        <w:jc w:val="both"/>
      </w:pPr>
    </w:p>
    <w:p w:rsidR="000C3D1E" w:rsidRDefault="000C3D1E" w:rsidP="00153984">
      <w:pPr>
        <w:jc w:val="both"/>
      </w:pPr>
    </w:p>
    <w:p w:rsidR="000C3D1E" w:rsidRDefault="000C3D1E" w:rsidP="00153984">
      <w:pPr>
        <w:jc w:val="both"/>
      </w:pPr>
    </w:p>
    <w:p w:rsidR="000C3D1E" w:rsidRDefault="000C3D1E" w:rsidP="00153984">
      <w:pPr>
        <w:jc w:val="both"/>
      </w:pPr>
    </w:p>
    <w:p w:rsidR="000C3D1E" w:rsidRDefault="000C3D1E" w:rsidP="00153984">
      <w:pPr>
        <w:jc w:val="both"/>
      </w:pPr>
    </w:p>
    <w:p w:rsidR="000C3D1E" w:rsidRDefault="000C3D1E" w:rsidP="00153984">
      <w:pPr>
        <w:jc w:val="both"/>
      </w:pPr>
    </w:p>
    <w:p w:rsidR="000C3D1E" w:rsidRDefault="000C3D1E" w:rsidP="00153984">
      <w:pPr>
        <w:jc w:val="both"/>
      </w:pPr>
    </w:p>
    <w:p w:rsidR="000C3D1E" w:rsidRDefault="000C3D1E" w:rsidP="00153984">
      <w:pPr>
        <w:jc w:val="both"/>
      </w:pPr>
    </w:p>
    <w:p w:rsidR="000C3D1E" w:rsidRDefault="000C3D1E" w:rsidP="00153984">
      <w:pPr>
        <w:jc w:val="both"/>
      </w:pPr>
    </w:p>
    <w:p w:rsidR="001E7204" w:rsidRDefault="001E7204" w:rsidP="00153984">
      <w:pPr>
        <w:jc w:val="both"/>
      </w:pPr>
    </w:p>
    <w:p w:rsidR="001E7204" w:rsidRDefault="001E7204" w:rsidP="00153984">
      <w:pPr>
        <w:jc w:val="both"/>
      </w:pPr>
    </w:p>
    <w:p w:rsidR="001E7204" w:rsidRDefault="001E7204" w:rsidP="00153984">
      <w:pPr>
        <w:jc w:val="both"/>
      </w:pPr>
    </w:p>
    <w:p w:rsidR="001E7204" w:rsidRDefault="001E7204" w:rsidP="00153984">
      <w:pPr>
        <w:jc w:val="both"/>
      </w:pPr>
    </w:p>
    <w:p w:rsidR="00861EA5" w:rsidRDefault="00861EA5" w:rsidP="00153984">
      <w:pPr>
        <w:jc w:val="both"/>
      </w:pPr>
    </w:p>
    <w:p w:rsidR="00861EA5" w:rsidRDefault="00861EA5" w:rsidP="00153984">
      <w:pPr>
        <w:jc w:val="both"/>
      </w:pPr>
    </w:p>
    <w:p w:rsidR="00861EA5" w:rsidRDefault="00861EA5" w:rsidP="00153984">
      <w:pPr>
        <w:jc w:val="both"/>
      </w:pPr>
    </w:p>
    <w:p w:rsidR="001B72E3" w:rsidRDefault="00861EA5" w:rsidP="001E7204">
      <w:pPr>
        <w:pStyle w:val="Ttulo1"/>
        <w:ind w:left="2124"/>
        <w:rPr>
          <w:rFonts w:ascii="Times New Roman" w:hAnsi="Times New Roman"/>
        </w:rPr>
      </w:pPr>
      <w:bookmarkStart w:id="18" w:name="_Toc406754285"/>
      <w:r w:rsidRPr="00861EA5">
        <w:rPr>
          <w:rFonts w:ascii="Times New Roman" w:hAnsi="Times New Roman"/>
        </w:rPr>
        <w:t xml:space="preserve">2. </w:t>
      </w:r>
      <w:r w:rsidR="001E7204">
        <w:rPr>
          <w:rFonts w:ascii="Times New Roman" w:hAnsi="Times New Roman"/>
        </w:rPr>
        <w:t xml:space="preserve">   </w:t>
      </w:r>
      <w:r w:rsidRPr="00861EA5">
        <w:rPr>
          <w:rFonts w:ascii="Times New Roman" w:hAnsi="Times New Roman"/>
        </w:rPr>
        <w:t>Educación</w:t>
      </w:r>
      <w:bookmarkEnd w:id="18"/>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041E90" w:rsidRDefault="00041E90" w:rsidP="00041E90">
      <w:pPr>
        <w:rPr>
          <w:lang w:val="es-ES"/>
        </w:rPr>
      </w:pPr>
    </w:p>
    <w:p w:rsidR="00C22A42" w:rsidRPr="00342EA0" w:rsidRDefault="00C22A42" w:rsidP="00342EA0">
      <w:pPr>
        <w:pStyle w:val="Ttulo2"/>
        <w:rPr>
          <w:rFonts w:ascii="Times New Roman" w:hAnsi="Times New Roman" w:cs="Times New Roman"/>
          <w:color w:val="auto"/>
          <w:sz w:val="30"/>
          <w:szCs w:val="30"/>
        </w:rPr>
      </w:pPr>
      <w:bookmarkStart w:id="19" w:name="_Toc406754286"/>
      <w:r w:rsidRPr="00342EA0">
        <w:rPr>
          <w:rFonts w:ascii="Times New Roman" w:hAnsi="Times New Roman" w:cs="Times New Roman"/>
          <w:color w:val="auto"/>
          <w:sz w:val="30"/>
          <w:szCs w:val="30"/>
        </w:rPr>
        <w:lastRenderedPageBreak/>
        <w:t xml:space="preserve">2.1 </w:t>
      </w:r>
      <w:r w:rsidR="00342EA0" w:rsidRPr="00342EA0">
        <w:rPr>
          <w:rFonts w:ascii="Times New Roman" w:hAnsi="Times New Roman" w:cs="Times New Roman"/>
          <w:color w:val="auto"/>
          <w:sz w:val="30"/>
          <w:szCs w:val="30"/>
        </w:rPr>
        <w:t>Educación Básica</w:t>
      </w:r>
      <w:bookmarkEnd w:id="19"/>
    </w:p>
    <w:p w:rsidR="00C22A42" w:rsidRPr="00A86144" w:rsidRDefault="00C22A42" w:rsidP="00C22A42">
      <w:pPr>
        <w:rPr>
          <w:b/>
          <w:sz w:val="30"/>
          <w:szCs w:val="30"/>
        </w:rPr>
      </w:pPr>
    </w:p>
    <w:p w:rsidR="00C22A42" w:rsidRPr="00766DEA" w:rsidRDefault="00C22A42" w:rsidP="00856E0D">
      <w:pPr>
        <w:spacing w:line="360" w:lineRule="auto"/>
        <w:ind w:firstLine="284"/>
        <w:jc w:val="both"/>
      </w:pPr>
      <w:r w:rsidRPr="00766DEA">
        <w:t>Según la Constitución</w:t>
      </w:r>
      <w:r w:rsidR="007052FB">
        <w:t xml:space="preserve"> </w:t>
      </w:r>
      <w:r w:rsidRPr="00766DEA">
        <w:t>Nacional de Colombia, toda persona tiene el derecho a la educación, la cual es un servicio público, obligatorio  y debe  cumplir con una función social, familiar y del estado, la educación  debe  ser  prestada por  particulares  con instituciones educativas que cumplan con los requisitos de ley.</w:t>
      </w:r>
    </w:p>
    <w:p w:rsidR="00C22A42" w:rsidRPr="00766DEA" w:rsidRDefault="00C22A42" w:rsidP="00C22A42">
      <w:pPr>
        <w:spacing w:line="360" w:lineRule="auto"/>
        <w:jc w:val="both"/>
      </w:pPr>
    </w:p>
    <w:p w:rsidR="00C22A42" w:rsidRDefault="00C22A42" w:rsidP="00856E0D">
      <w:pPr>
        <w:spacing w:line="360" w:lineRule="auto"/>
        <w:ind w:firstLine="284"/>
        <w:jc w:val="both"/>
      </w:pPr>
      <w:r w:rsidRPr="00766DEA">
        <w:t>En Colombia la educación se rige por la Ley 115 de Febrero 8 de 1994, por medio de  la cual, “</w:t>
      </w:r>
      <w:r>
        <w:t>…</w:t>
      </w:r>
      <w:r w:rsidRPr="00314D73">
        <w:rPr>
          <w:i/>
        </w:rPr>
        <w:t>El Congreso de la República de Colombia señala las normas generales para regular el Servicio Público de la Educación que cumple una función social acorde con las necesidades e Intereses de las personas, de la familia y de la sociedad, se fundamenta en los principios de la Constitución Política sobre el derecho a la educación que tiene toda persona, en las libertades de enseñanza, aprendizaje, investigación y cátedra y en su carácter de servicio público</w:t>
      </w:r>
      <w:r w:rsidRPr="00EA63FC">
        <w:t>”</w:t>
      </w:r>
      <w:r w:rsidRPr="00EA63FC">
        <w:rPr>
          <w:sz w:val="28"/>
        </w:rPr>
        <w:t xml:space="preserve">. </w:t>
      </w:r>
      <w:r w:rsidRPr="00766DEA">
        <w:rPr>
          <w:rStyle w:val="Refdenotaalpie"/>
        </w:rPr>
        <w:footnoteReference w:id="16"/>
      </w:r>
      <w:r w:rsidR="00314D73">
        <w:t xml:space="preserve"> (Ley 115, 1994).</w:t>
      </w:r>
    </w:p>
    <w:p w:rsidR="00314D73" w:rsidRPr="00766DEA" w:rsidRDefault="00314D73" w:rsidP="00856E0D">
      <w:pPr>
        <w:spacing w:line="360" w:lineRule="auto"/>
        <w:ind w:firstLine="284"/>
        <w:jc w:val="both"/>
      </w:pPr>
    </w:p>
    <w:p w:rsidR="00C22A42" w:rsidRPr="00766DEA" w:rsidRDefault="00C22A42" w:rsidP="00314D73">
      <w:pPr>
        <w:spacing w:line="360" w:lineRule="auto"/>
        <w:ind w:firstLine="284"/>
        <w:jc w:val="both"/>
      </w:pPr>
      <w:r w:rsidRPr="00466FB6">
        <w:t>La Educación formal es aquella</w:t>
      </w:r>
      <w:r w:rsidRPr="00766DEA">
        <w:t xml:space="preserve"> que se  enseña en instituciones educativas, debidamente aprobadas y está estable</w:t>
      </w:r>
      <w:r>
        <w:t>cida  en  tres niveles que son:</w:t>
      </w:r>
    </w:p>
    <w:p w:rsidR="00314D73" w:rsidRDefault="00C22A42" w:rsidP="00C22A42">
      <w:pPr>
        <w:spacing w:line="360" w:lineRule="auto"/>
        <w:jc w:val="both"/>
        <w:rPr>
          <w:b/>
          <w:i/>
        </w:rPr>
      </w:pPr>
      <w:r w:rsidRPr="00766DEA">
        <w:rPr>
          <w:b/>
          <w:i/>
        </w:rPr>
        <w:t xml:space="preserve">     </w:t>
      </w:r>
    </w:p>
    <w:p w:rsidR="00C22A42" w:rsidRPr="00766DEA" w:rsidRDefault="00C22A42" w:rsidP="00314D73">
      <w:pPr>
        <w:spacing w:line="360" w:lineRule="auto"/>
        <w:ind w:firstLine="284"/>
        <w:jc w:val="both"/>
      </w:pPr>
      <w:r w:rsidRPr="00766DEA">
        <w:rPr>
          <w:b/>
          <w:i/>
        </w:rPr>
        <w:t>Preescolar</w:t>
      </w:r>
      <w:r w:rsidRPr="00766DEA">
        <w:t>: Comprende los grados de Pre jardín, Jardín y transición está dirigido a niños con edades inferiores a 5 años, en Colombia el grado de transic</w:t>
      </w:r>
      <w:r>
        <w:t>ión es de carácter obligatorio.</w:t>
      </w:r>
    </w:p>
    <w:p w:rsidR="00C22A42" w:rsidRPr="00506F36" w:rsidRDefault="00C22A42" w:rsidP="00314D73">
      <w:pPr>
        <w:spacing w:line="360" w:lineRule="auto"/>
        <w:ind w:firstLine="284"/>
        <w:jc w:val="both"/>
      </w:pPr>
      <w:r w:rsidRPr="00766DEA">
        <w:rPr>
          <w:b/>
          <w:i/>
        </w:rPr>
        <w:t>Educación básica</w:t>
      </w:r>
      <w:r w:rsidRPr="00766DEA">
        <w:t>: Tiene  una duración de  9  grados y se desarrolla en dos ciclos, los prime</w:t>
      </w:r>
      <w:r>
        <w:t>ros  cinco años  corresponde a básica p</w:t>
      </w:r>
      <w:r w:rsidRPr="00766DEA">
        <w:t>rimaria y van del</w:t>
      </w:r>
      <w:r>
        <w:t xml:space="preserve"> grado primero al grado quinto,</w:t>
      </w:r>
      <w:r w:rsidR="00314D73">
        <w:t xml:space="preserve"> </w:t>
      </w:r>
      <w:r>
        <w:t>s</w:t>
      </w:r>
      <w:r w:rsidRPr="00766DEA">
        <w:t>on niños c</w:t>
      </w:r>
      <w:r>
        <w:t>on edades de 6 a  10 años y la básica s</w:t>
      </w:r>
      <w:r w:rsidRPr="00766DEA">
        <w:t>ecundaria que tiene  cuatro grados, los cuales van de sexto a noveno,  son niños co</w:t>
      </w:r>
      <w:r>
        <w:t>n edades entre los 11 y 14 años.</w:t>
      </w:r>
    </w:p>
    <w:p w:rsidR="00C22A42" w:rsidRPr="00766DEA" w:rsidRDefault="00C22A42" w:rsidP="00314D73">
      <w:pPr>
        <w:spacing w:line="360" w:lineRule="auto"/>
        <w:ind w:firstLine="284"/>
        <w:jc w:val="both"/>
      </w:pPr>
      <w:r w:rsidRPr="00766DEA">
        <w:rPr>
          <w:b/>
          <w:i/>
        </w:rPr>
        <w:t xml:space="preserve">Educación media: </w:t>
      </w:r>
      <w:r w:rsidRPr="00766DEA">
        <w:t>Tiene una duración de dos ciclos, los cuales son decimo y once para niños con edades de 15 a 16 años.</w:t>
      </w:r>
    </w:p>
    <w:p w:rsidR="00C22A42" w:rsidRPr="00766DEA" w:rsidRDefault="00C22A42" w:rsidP="00C22A42">
      <w:pPr>
        <w:spacing w:line="480" w:lineRule="auto"/>
        <w:jc w:val="both"/>
      </w:pPr>
    </w:p>
    <w:p w:rsidR="007645B9" w:rsidRDefault="00C22A42" w:rsidP="007645B9">
      <w:pPr>
        <w:spacing w:after="5" w:line="360" w:lineRule="auto"/>
        <w:ind w:firstLine="284"/>
        <w:jc w:val="both"/>
      </w:pPr>
      <w:r w:rsidRPr="00766DEA">
        <w:lastRenderedPageBreak/>
        <w:t xml:space="preserve">Mediante, la ley 1324 del 13 de Julio del 2009 “ </w:t>
      </w:r>
      <w:r w:rsidRPr="00875764">
        <w:rPr>
          <w:i/>
        </w:rPr>
        <w:t>Se fijan parámetros y criterios para organizar el sistema de evaluación de resultados de la calidad de la educación, se dictan normas para el  fomento de una cultura de evaluación en procura de facilitar la inspección y vigilancia del estado y se transforma el ICFES, el cual  tendrá por objeto ofrecer el servicio de evaluación de  la educación en todos sus niveles y adelantar investigación sobre los factores que inciden en la calidad de la educación  con la finalidad de ofrecer información, para mejorar la calidad educativa</w:t>
      </w:r>
      <w:r w:rsidRPr="00766DEA">
        <w:t>.”</w:t>
      </w:r>
      <w:r>
        <w:t xml:space="preserve"> (Ley 1324,2009).</w:t>
      </w:r>
    </w:p>
    <w:p w:rsidR="007645B9" w:rsidRDefault="007645B9" w:rsidP="007645B9">
      <w:pPr>
        <w:spacing w:after="5" w:line="360" w:lineRule="auto"/>
        <w:ind w:firstLine="284"/>
        <w:jc w:val="both"/>
      </w:pPr>
    </w:p>
    <w:p w:rsidR="00A13351" w:rsidRDefault="00875764" w:rsidP="00A13351">
      <w:pPr>
        <w:spacing w:after="5" w:line="360" w:lineRule="auto"/>
        <w:ind w:firstLine="284"/>
        <w:jc w:val="both"/>
      </w:pPr>
      <w:r>
        <w:rPr>
          <w:color w:val="333333"/>
          <w:shd w:val="clear" w:color="auto" w:fill="FFFFFF"/>
        </w:rPr>
        <w:t xml:space="preserve">El </w:t>
      </w:r>
      <w:r w:rsidR="00C22A42" w:rsidRPr="00766DEA">
        <w:rPr>
          <w:color w:val="333333"/>
          <w:shd w:val="clear" w:color="auto" w:fill="FFFFFF"/>
        </w:rPr>
        <w:t xml:space="preserve">Ministerio de Educación Nacional es el responsable directo de generar la información estadística en el sector, apoyado por el  Departamento Nacional de Estadística - </w:t>
      </w:r>
      <w:r w:rsidR="008F5FB2">
        <w:rPr>
          <w:color w:val="333333"/>
          <w:shd w:val="clear" w:color="auto" w:fill="FFFFFF"/>
        </w:rPr>
        <w:t>DANE</w:t>
      </w:r>
      <w:r w:rsidR="00C22A42" w:rsidRPr="00766DEA">
        <w:rPr>
          <w:color w:val="333333"/>
          <w:shd w:val="clear" w:color="auto" w:fill="FFFFFF"/>
        </w:rPr>
        <w:t>. “</w:t>
      </w:r>
      <w:r w:rsidR="00C22A42" w:rsidRPr="007645B9">
        <w:rPr>
          <w:i/>
          <w:color w:val="333333"/>
          <w:shd w:val="clear" w:color="auto" w:fill="FFFFFF"/>
        </w:rPr>
        <w:t xml:space="preserve">En el año 2013 el Ministerio de Educación Nacional obtuvo la recertificación de la operación estadística de matrícula de Educación Preescolar, Básica y Media por parte del </w:t>
      </w:r>
      <w:r w:rsidR="008F5FB2">
        <w:rPr>
          <w:i/>
          <w:color w:val="333333"/>
          <w:shd w:val="clear" w:color="auto" w:fill="FFFFFF"/>
        </w:rPr>
        <w:t>DANE</w:t>
      </w:r>
      <w:r w:rsidR="00C22A42" w:rsidRPr="007645B9">
        <w:rPr>
          <w:i/>
          <w:color w:val="333333"/>
          <w:shd w:val="clear" w:color="auto" w:fill="FFFFFF"/>
        </w:rPr>
        <w:t>, señalando la calidad de su proceso estadístico y de su información</w:t>
      </w:r>
      <w:r w:rsidR="00C22A42">
        <w:rPr>
          <w:color w:val="333333"/>
          <w:shd w:val="clear" w:color="auto" w:fill="FFFFFF"/>
        </w:rPr>
        <w:t>”.</w:t>
      </w:r>
      <w:r w:rsidR="00C22A42" w:rsidRPr="00766DEA">
        <w:rPr>
          <w:color w:val="333333"/>
          <w:shd w:val="clear" w:color="auto" w:fill="FFFFFF"/>
          <w:vertAlign w:val="superscript"/>
        </w:rPr>
        <w:t xml:space="preserve"> </w:t>
      </w:r>
      <w:r w:rsidR="00C22A42" w:rsidRPr="00766DEA">
        <w:rPr>
          <w:rStyle w:val="Refdenotaalpie"/>
          <w:color w:val="333333"/>
          <w:shd w:val="clear" w:color="auto" w:fill="FFFFFF"/>
        </w:rPr>
        <w:footnoteReference w:id="17"/>
      </w:r>
      <w:r w:rsidR="00C22A42" w:rsidRPr="00766DEA">
        <w:rPr>
          <w:color w:val="333333"/>
          <w:shd w:val="clear" w:color="auto" w:fill="FFFFFF"/>
          <w:vertAlign w:val="superscript"/>
        </w:rPr>
        <w:t xml:space="preserve"> </w:t>
      </w:r>
      <w:r w:rsidR="00C22A42">
        <w:t>(MEN, 2014)</w:t>
      </w:r>
      <w:r w:rsidR="00A13351">
        <w:t>.</w:t>
      </w:r>
    </w:p>
    <w:p w:rsidR="00A13351" w:rsidRDefault="00A13351" w:rsidP="00A13351">
      <w:pPr>
        <w:spacing w:after="5" w:line="360" w:lineRule="auto"/>
        <w:ind w:firstLine="284"/>
        <w:jc w:val="both"/>
      </w:pPr>
    </w:p>
    <w:p w:rsidR="00A13351" w:rsidRDefault="00C22A42" w:rsidP="00A13351">
      <w:pPr>
        <w:spacing w:after="5" w:line="360" w:lineRule="auto"/>
        <w:ind w:firstLine="284"/>
        <w:jc w:val="both"/>
        <w:rPr>
          <w:color w:val="333333"/>
          <w:shd w:val="clear" w:color="auto" w:fill="FFFFFF"/>
        </w:rPr>
      </w:pPr>
      <w:r w:rsidRPr="00766DEA">
        <w:rPr>
          <w:color w:val="333333"/>
          <w:shd w:val="clear" w:color="auto" w:fill="FFFFFF"/>
        </w:rPr>
        <w:t xml:space="preserve">El Ministerio de Educación es la fuente de </w:t>
      </w:r>
      <w:r>
        <w:rPr>
          <w:color w:val="333333"/>
          <w:shd w:val="clear" w:color="auto" w:fill="FFFFFF"/>
        </w:rPr>
        <w:t>información  estadística en el sector e</w:t>
      </w:r>
      <w:r w:rsidRPr="00766DEA">
        <w:rPr>
          <w:color w:val="333333"/>
          <w:shd w:val="clear" w:color="auto" w:fill="FFFFFF"/>
        </w:rPr>
        <w:t xml:space="preserve">ducativo, con la colaboración de entidades como el </w:t>
      </w:r>
      <w:r w:rsidR="008F5FB2">
        <w:rPr>
          <w:color w:val="333333"/>
          <w:shd w:val="clear" w:color="auto" w:fill="FFFFFF"/>
        </w:rPr>
        <w:t>DANE</w:t>
      </w:r>
      <w:r w:rsidRPr="00766DEA">
        <w:rPr>
          <w:color w:val="333333"/>
          <w:shd w:val="clear" w:color="auto" w:fill="FFFFFF"/>
        </w:rPr>
        <w:t>. Así mismo</w:t>
      </w:r>
      <w:r>
        <w:rPr>
          <w:color w:val="333333"/>
          <w:shd w:val="clear" w:color="auto" w:fill="FFFFFF"/>
        </w:rPr>
        <w:t>,</w:t>
      </w:r>
      <w:r w:rsidRPr="00766DEA">
        <w:rPr>
          <w:color w:val="333333"/>
          <w:shd w:val="clear" w:color="auto" w:fill="FFFFFF"/>
        </w:rPr>
        <w:t xml:space="preserve"> posee un  Sistema Integrado de matrícula (SIMAT)  para evaluar a los alumnos en los diferentes niveles de l</w:t>
      </w:r>
      <w:r>
        <w:rPr>
          <w:color w:val="333333"/>
          <w:shd w:val="clear" w:color="auto" w:fill="FFFFFF"/>
        </w:rPr>
        <w:t>a educación, permitiendo hacer</w:t>
      </w:r>
      <w:r w:rsidRPr="00766DEA">
        <w:rPr>
          <w:color w:val="333333"/>
          <w:shd w:val="clear" w:color="auto" w:fill="FFFFFF"/>
        </w:rPr>
        <w:t xml:space="preserve"> un  seguimiento al estudiante durante toda su vida estudiantil.</w:t>
      </w:r>
    </w:p>
    <w:p w:rsidR="00A13351" w:rsidRDefault="00A13351" w:rsidP="00A13351">
      <w:pPr>
        <w:spacing w:after="5" w:line="360" w:lineRule="auto"/>
        <w:ind w:firstLine="284"/>
        <w:jc w:val="both"/>
        <w:rPr>
          <w:color w:val="333333"/>
          <w:shd w:val="clear" w:color="auto" w:fill="FFFFFF"/>
        </w:rPr>
      </w:pPr>
    </w:p>
    <w:p w:rsidR="00A13351" w:rsidRDefault="00C22A42" w:rsidP="00A13351">
      <w:pPr>
        <w:spacing w:after="5" w:line="360" w:lineRule="auto"/>
        <w:ind w:firstLine="284"/>
        <w:jc w:val="both"/>
        <w:rPr>
          <w:color w:val="333333"/>
          <w:shd w:val="clear" w:color="auto" w:fill="FFFFFF"/>
        </w:rPr>
      </w:pPr>
      <w:r>
        <w:rPr>
          <w:color w:val="333333"/>
          <w:shd w:val="clear" w:color="auto" w:fill="FFFFFF"/>
        </w:rPr>
        <w:t>Al</w:t>
      </w:r>
      <w:r w:rsidRPr="00766DEA">
        <w:rPr>
          <w:color w:val="333333"/>
          <w:shd w:val="clear" w:color="auto" w:fill="FFFFFF"/>
        </w:rPr>
        <w:t xml:space="preserve"> evaluar la calidad del nivel educativo </w:t>
      </w:r>
      <w:r>
        <w:rPr>
          <w:color w:val="333333"/>
          <w:shd w:val="clear" w:color="auto" w:fill="FFFFFF"/>
        </w:rPr>
        <w:t>en Colombia y su impacto en la r</w:t>
      </w:r>
      <w:r w:rsidRPr="00766DEA">
        <w:rPr>
          <w:color w:val="333333"/>
          <w:shd w:val="clear" w:color="auto" w:fill="FFFFFF"/>
        </w:rPr>
        <w:t>egión es indispensable el análisis de ciertos indicadores, tales como</w:t>
      </w:r>
      <w:r>
        <w:rPr>
          <w:color w:val="333333"/>
          <w:shd w:val="clear" w:color="auto" w:fill="FFFFFF"/>
        </w:rPr>
        <w:t>: c</w:t>
      </w:r>
      <w:r w:rsidRPr="00766DEA">
        <w:rPr>
          <w:color w:val="333333"/>
          <w:shd w:val="clear" w:color="auto" w:fill="FFFFFF"/>
        </w:rPr>
        <w:t xml:space="preserve">obertura, </w:t>
      </w:r>
      <w:r>
        <w:rPr>
          <w:color w:val="333333"/>
          <w:shd w:val="clear" w:color="auto" w:fill="FFFFFF"/>
        </w:rPr>
        <w:t>cobertura bruta y neta, evolución de las matrí</w:t>
      </w:r>
      <w:r w:rsidRPr="00766DEA">
        <w:rPr>
          <w:color w:val="333333"/>
          <w:shd w:val="clear" w:color="auto" w:fill="FFFFFF"/>
        </w:rPr>
        <w:t>culas, sedes educa</w:t>
      </w:r>
      <w:r>
        <w:rPr>
          <w:color w:val="333333"/>
          <w:shd w:val="clear" w:color="auto" w:fill="FFFFFF"/>
        </w:rPr>
        <w:t xml:space="preserve">tivas, </w:t>
      </w:r>
      <w:r w:rsidRPr="00766DEA">
        <w:rPr>
          <w:color w:val="333333"/>
          <w:shd w:val="clear" w:color="auto" w:fill="FFFFFF"/>
        </w:rPr>
        <w:t>calidad de la educación, promedios y niveles de de</w:t>
      </w:r>
      <w:r>
        <w:rPr>
          <w:color w:val="333333"/>
          <w:shd w:val="clear" w:color="auto" w:fill="FFFFFF"/>
        </w:rPr>
        <w:t>sarrollo en los grados 3, 5, 9 y  11.</w:t>
      </w:r>
    </w:p>
    <w:p w:rsidR="00A13351" w:rsidRDefault="00A13351" w:rsidP="00A13351">
      <w:pPr>
        <w:spacing w:after="5" w:line="360" w:lineRule="auto"/>
        <w:ind w:firstLine="284"/>
        <w:jc w:val="both"/>
        <w:rPr>
          <w:color w:val="333333"/>
          <w:shd w:val="clear" w:color="auto" w:fill="FFFFFF"/>
        </w:rPr>
      </w:pPr>
    </w:p>
    <w:p w:rsidR="00C22A42" w:rsidRDefault="00C22A42" w:rsidP="0055793F">
      <w:pPr>
        <w:spacing w:line="360" w:lineRule="auto"/>
        <w:ind w:firstLine="284"/>
        <w:jc w:val="both"/>
        <w:rPr>
          <w:b/>
          <w:color w:val="333333"/>
          <w:shd w:val="clear" w:color="auto" w:fill="FFFFFF"/>
        </w:rPr>
      </w:pPr>
      <w:r w:rsidRPr="00766DEA">
        <w:rPr>
          <w:color w:val="333333"/>
          <w:shd w:val="clear" w:color="auto" w:fill="FFFFFF"/>
        </w:rPr>
        <w:t>En el departamento del Quindío, Armenia</w:t>
      </w:r>
      <w:r>
        <w:rPr>
          <w:color w:val="333333"/>
          <w:shd w:val="clear" w:color="auto" w:fill="FFFFFF"/>
        </w:rPr>
        <w:t xml:space="preserve"> es </w:t>
      </w:r>
      <w:r w:rsidRPr="00766DEA">
        <w:rPr>
          <w:color w:val="333333"/>
          <w:shd w:val="clear" w:color="auto" w:fill="FFFFFF"/>
        </w:rPr>
        <w:t xml:space="preserve">el único municipio certificado en materia de educación; </w:t>
      </w:r>
      <w:r w:rsidR="007052FB">
        <w:rPr>
          <w:color w:val="333333"/>
          <w:shd w:val="clear" w:color="auto" w:fill="FFFFFF"/>
        </w:rPr>
        <w:t>el</w:t>
      </w:r>
      <w:r w:rsidRPr="00766DEA">
        <w:rPr>
          <w:color w:val="333333"/>
          <w:shd w:val="clear" w:color="auto" w:fill="FFFFFF"/>
        </w:rPr>
        <w:t xml:space="preserve"> cual posee 70 establecimientos educativos de los cuales 29 pertenecen al sector público y 41 al privado, cuenta con 64 instituciones  urbanas y 3 rurales, con una cobertura real  de 51.170 alumnos distribuidos así: en  preescolar 4.506, en primaria </w:t>
      </w:r>
      <w:r w:rsidRPr="00766DEA">
        <w:rPr>
          <w:color w:val="333333"/>
          <w:shd w:val="clear" w:color="auto" w:fill="FFFFFF"/>
        </w:rPr>
        <w:lastRenderedPageBreak/>
        <w:t>20.726, en secundaria 18.712 y en Educación Media 7.226.   A junio del año 2013 Armenia presentó una deserción escolar de 1.336 alumnos, de los cuales 67 desertaron del preescolar, 394 de primaria, 718 de secundaria y 157 de educación media.  Bajo este contexto el análisis se basa principalmente en las estadísticas generadas para los once municipios no certificados del departamento.</w:t>
      </w:r>
      <w:r w:rsidRPr="00766DEA">
        <w:rPr>
          <w:b/>
          <w:color w:val="333333"/>
          <w:shd w:val="clear" w:color="auto" w:fill="FFFFFF"/>
        </w:rPr>
        <w:t xml:space="preserve">  </w:t>
      </w:r>
    </w:p>
    <w:p w:rsidR="00C22A42" w:rsidRDefault="00C22A42" w:rsidP="00C22A42">
      <w:pPr>
        <w:spacing w:line="360" w:lineRule="auto"/>
        <w:jc w:val="both"/>
        <w:rPr>
          <w:b/>
          <w:color w:val="333333"/>
          <w:shd w:val="clear" w:color="auto" w:fill="FFFFFF"/>
        </w:rPr>
      </w:pPr>
    </w:p>
    <w:p w:rsidR="00C22A42" w:rsidRPr="00F2466B" w:rsidRDefault="00C22A42" w:rsidP="00F2466B">
      <w:pPr>
        <w:pStyle w:val="Ttulo2"/>
        <w:rPr>
          <w:rFonts w:ascii="Times New Roman" w:hAnsi="Times New Roman" w:cs="Times New Roman"/>
          <w:color w:val="auto"/>
          <w:sz w:val="30"/>
          <w:szCs w:val="30"/>
          <w:shd w:val="clear" w:color="auto" w:fill="FFFFFF"/>
        </w:rPr>
      </w:pPr>
      <w:bookmarkStart w:id="20" w:name="_Toc406754287"/>
      <w:r w:rsidRPr="00F2466B">
        <w:rPr>
          <w:rFonts w:ascii="Times New Roman" w:hAnsi="Times New Roman" w:cs="Times New Roman"/>
          <w:color w:val="auto"/>
          <w:sz w:val="30"/>
          <w:szCs w:val="30"/>
        </w:rPr>
        <w:t>2</w:t>
      </w:r>
      <w:r w:rsidR="005B2596" w:rsidRPr="00F2466B">
        <w:rPr>
          <w:rFonts w:ascii="Times New Roman" w:hAnsi="Times New Roman" w:cs="Times New Roman"/>
          <w:color w:val="auto"/>
          <w:sz w:val="30"/>
          <w:szCs w:val="30"/>
        </w:rPr>
        <w:t>.2</w:t>
      </w:r>
      <w:r w:rsidRPr="00F2466B">
        <w:rPr>
          <w:rFonts w:ascii="Times New Roman" w:hAnsi="Times New Roman" w:cs="Times New Roman"/>
          <w:color w:val="auto"/>
          <w:sz w:val="30"/>
          <w:szCs w:val="30"/>
        </w:rPr>
        <w:t xml:space="preserve"> Tasa de Cobertura Bruta y Neta</w:t>
      </w:r>
      <w:r w:rsidR="00A359C4">
        <w:rPr>
          <w:rStyle w:val="Refdenotaalpie"/>
          <w:rFonts w:ascii="Times New Roman" w:hAnsi="Times New Roman" w:cs="Times New Roman"/>
          <w:color w:val="auto"/>
          <w:sz w:val="30"/>
          <w:szCs w:val="30"/>
        </w:rPr>
        <w:footnoteReference w:id="18"/>
      </w:r>
      <w:bookmarkEnd w:id="20"/>
      <w:r w:rsidRPr="00F2466B">
        <w:rPr>
          <w:rFonts w:ascii="Times New Roman" w:hAnsi="Times New Roman" w:cs="Times New Roman"/>
          <w:color w:val="auto"/>
          <w:sz w:val="30"/>
          <w:szCs w:val="30"/>
        </w:rPr>
        <w:t xml:space="preserve"> </w:t>
      </w:r>
    </w:p>
    <w:p w:rsidR="00C22A42" w:rsidRDefault="00C22A42" w:rsidP="00C22A42">
      <w:pPr>
        <w:tabs>
          <w:tab w:val="left" w:pos="3403"/>
        </w:tabs>
        <w:spacing w:line="360" w:lineRule="auto"/>
        <w:jc w:val="both"/>
        <w:rPr>
          <w:b/>
          <w:sz w:val="30"/>
          <w:szCs w:val="30"/>
        </w:rPr>
      </w:pPr>
    </w:p>
    <w:p w:rsidR="00C22A42" w:rsidRDefault="00A359C4" w:rsidP="008B36DE">
      <w:pPr>
        <w:tabs>
          <w:tab w:val="left" w:pos="3403"/>
        </w:tabs>
        <w:spacing w:line="360" w:lineRule="auto"/>
        <w:ind w:firstLine="284"/>
        <w:jc w:val="both"/>
      </w:pPr>
      <w:r>
        <w:t>El cálculo de la Tasa de Cobertura Bruta</w:t>
      </w:r>
      <w:r w:rsidR="008B0B0E">
        <w:t xml:space="preserve"> realiza de la misma forma </w:t>
      </w:r>
      <w:r w:rsidR="00C22A42" w:rsidRPr="00766DEA">
        <w:t>para cada nivel educativo. Adicionalmente, se considera factible que en el cálculo de este indicador se obtengan resultados de cobertura mayores a 100% dado que el numerador incluye alumnos en extra-edad. Una tasa cercana o superior a 100% indica que, en teoría, el país cuenta con la capacidad para atender a toda su población en edad escolar aunque no indica  qué  proporción de esta población ya se encuentra matriculada.</w:t>
      </w:r>
      <w:r w:rsidR="008B36DE">
        <w:t xml:space="preserve"> </w:t>
      </w:r>
      <w:r w:rsidR="00C22A42" w:rsidRPr="00766DEA">
        <w:t xml:space="preserve">Para el cálculo  de este indicador  se  utiliza  las fuentes de información del Sistema Nacional de Información de Matrícula del Ministerio de Educación y las proyecciones de población oficializadas por el Departamento Administrativo Nacional de Estadística – </w:t>
      </w:r>
      <w:r w:rsidR="008F5FB2">
        <w:t>DANE</w:t>
      </w:r>
      <w:r w:rsidR="00C22A42" w:rsidRPr="00766DEA">
        <w:t>.</w:t>
      </w:r>
      <w:r w:rsidR="00C22A42" w:rsidRPr="00766DEA">
        <w:rPr>
          <w:rStyle w:val="Refdenotaalpie"/>
        </w:rPr>
        <w:footnoteReference w:id="19"/>
      </w:r>
    </w:p>
    <w:p w:rsidR="00C22A42" w:rsidRDefault="00C22A42" w:rsidP="00C22A42">
      <w:pPr>
        <w:tabs>
          <w:tab w:val="left" w:pos="3403"/>
        </w:tabs>
        <w:spacing w:line="360" w:lineRule="auto"/>
        <w:jc w:val="both"/>
      </w:pPr>
      <w:r>
        <w:t xml:space="preserve"> </w:t>
      </w:r>
    </w:p>
    <w:p w:rsidR="00C22A42" w:rsidRDefault="008B36DE" w:rsidP="008B36DE">
      <w:pPr>
        <w:tabs>
          <w:tab w:val="left" w:pos="3403"/>
        </w:tabs>
        <w:spacing w:line="360" w:lineRule="auto"/>
        <w:ind w:firstLine="284"/>
        <w:jc w:val="both"/>
        <w:rPr>
          <w:bCs/>
          <w:lang w:val="es-ES"/>
        </w:rPr>
      </w:pPr>
      <w:r>
        <w:rPr>
          <w:bCs/>
          <w:lang w:val="es-ES"/>
        </w:rPr>
        <w:t xml:space="preserve">A </w:t>
      </w:r>
      <w:r w:rsidR="00C22A42" w:rsidRPr="00446F6F">
        <w:rPr>
          <w:bCs/>
          <w:lang w:val="es-ES"/>
        </w:rPr>
        <w:t xml:space="preserve">nivel regional, </w:t>
      </w:r>
      <w:r w:rsidR="00C22A42">
        <w:rPr>
          <w:bCs/>
          <w:lang w:val="es-ES"/>
        </w:rPr>
        <w:t>el departamento de</w:t>
      </w:r>
      <w:r>
        <w:rPr>
          <w:bCs/>
          <w:lang w:val="es-ES"/>
        </w:rPr>
        <w:t xml:space="preserve"> Caldas </w:t>
      </w:r>
      <w:r w:rsidR="00C22A42">
        <w:rPr>
          <w:bCs/>
          <w:lang w:val="es-ES"/>
        </w:rPr>
        <w:t>registra una tas</w:t>
      </w:r>
      <w:r w:rsidR="00C22A42" w:rsidRPr="00446F6F">
        <w:rPr>
          <w:lang w:val="es-ES"/>
        </w:rPr>
        <w:t xml:space="preserve">a de cobertura neta en educación </w:t>
      </w:r>
      <w:r w:rsidR="00C22A42">
        <w:rPr>
          <w:lang w:val="es-ES"/>
        </w:rPr>
        <w:t xml:space="preserve">básica y </w:t>
      </w:r>
      <w:r w:rsidR="00C22A42" w:rsidRPr="00446F6F">
        <w:rPr>
          <w:lang w:val="es-ES"/>
        </w:rPr>
        <w:t>media</w:t>
      </w:r>
      <w:r w:rsidR="00C22A42">
        <w:rPr>
          <w:lang w:val="es-ES"/>
        </w:rPr>
        <w:t xml:space="preserve"> del 82,54% siendo la más baja de Antioquia y el eje Cafetero</w:t>
      </w:r>
      <w:r w:rsidR="00C22A42" w:rsidRPr="00446F6F">
        <w:rPr>
          <w:bCs/>
          <w:lang w:val="es-ES"/>
        </w:rPr>
        <w:t>,</w:t>
      </w:r>
      <w:r w:rsidR="00C22A42" w:rsidRPr="00446F6F">
        <w:rPr>
          <w:lang w:val="es-ES"/>
        </w:rPr>
        <w:t xml:space="preserve"> </w:t>
      </w:r>
      <w:r w:rsidR="00C22A42">
        <w:rPr>
          <w:lang w:val="es-ES"/>
        </w:rPr>
        <w:t xml:space="preserve">adicionalmente, esta se encuentra por debajo del promedio nacional (87.55%). El departamento  del  </w:t>
      </w:r>
      <w:r w:rsidR="00C22A42" w:rsidRPr="00446F6F">
        <w:rPr>
          <w:bCs/>
          <w:lang w:val="es-ES"/>
        </w:rPr>
        <w:t>Quindío</w:t>
      </w:r>
      <w:r w:rsidR="00C22A42">
        <w:rPr>
          <w:bCs/>
          <w:lang w:val="es-ES"/>
        </w:rPr>
        <w:t xml:space="preserve"> </w:t>
      </w:r>
      <w:r w:rsidR="00C22A42">
        <w:rPr>
          <w:lang w:val="es-ES"/>
        </w:rPr>
        <w:t xml:space="preserve">reporta  una tasa neta del </w:t>
      </w:r>
      <w:r w:rsidR="00C22A42" w:rsidRPr="00446F6F">
        <w:rPr>
          <w:bCs/>
          <w:lang w:val="es-ES"/>
        </w:rPr>
        <w:t>85,87%</w:t>
      </w:r>
      <w:r w:rsidR="00C22A42">
        <w:rPr>
          <w:bCs/>
          <w:lang w:val="es-ES"/>
        </w:rPr>
        <w:t xml:space="preserve"> la cual es inferior a la cobertura media nacional</w:t>
      </w:r>
      <w:r w:rsidR="00C22A42" w:rsidRPr="00446F6F">
        <w:rPr>
          <w:bCs/>
          <w:lang w:val="es-ES"/>
        </w:rPr>
        <w:t>.</w:t>
      </w:r>
      <w:r w:rsidR="00C22A42">
        <w:rPr>
          <w:bCs/>
          <w:lang w:val="es-ES"/>
        </w:rPr>
        <w:t xml:space="preserve"> En el eje se destaca el departamento de Risaralda el cual registra la mayor cobertura a nivel local.</w:t>
      </w:r>
    </w:p>
    <w:p w:rsidR="00C22A42" w:rsidRDefault="00C22A42" w:rsidP="00C22A42">
      <w:pPr>
        <w:tabs>
          <w:tab w:val="left" w:pos="3403"/>
        </w:tabs>
        <w:spacing w:line="360" w:lineRule="auto"/>
        <w:jc w:val="both"/>
        <w:rPr>
          <w:bCs/>
          <w:lang w:val="es-ES"/>
        </w:rPr>
      </w:pPr>
    </w:p>
    <w:p w:rsidR="00FC056D" w:rsidRDefault="00FC056D" w:rsidP="00C22A42">
      <w:pPr>
        <w:tabs>
          <w:tab w:val="left" w:pos="3403"/>
        </w:tabs>
        <w:spacing w:line="360" w:lineRule="auto"/>
        <w:jc w:val="both"/>
        <w:rPr>
          <w:bCs/>
          <w:lang w:val="es-ES"/>
        </w:rPr>
      </w:pPr>
    </w:p>
    <w:p w:rsidR="00C22A42" w:rsidRPr="003E48DA" w:rsidRDefault="00C22A42" w:rsidP="008064C8">
      <w:pPr>
        <w:tabs>
          <w:tab w:val="left" w:pos="3403"/>
        </w:tabs>
      </w:pPr>
      <w:r w:rsidRPr="003E48DA">
        <w:lastRenderedPageBreak/>
        <w:t>Gráfico 2.1</w:t>
      </w:r>
    </w:p>
    <w:p w:rsidR="00C22A42" w:rsidRPr="003E48DA" w:rsidRDefault="00C22A42" w:rsidP="008064C8">
      <w:pPr>
        <w:tabs>
          <w:tab w:val="left" w:pos="3403"/>
        </w:tabs>
      </w:pPr>
      <w:r w:rsidRPr="003E48DA">
        <w:t>Tasa de cobertura neta de educación básica y media</w:t>
      </w:r>
    </w:p>
    <w:p w:rsidR="00C22A42" w:rsidRPr="003E48DA" w:rsidRDefault="00C22A42" w:rsidP="008064C8">
      <w:pPr>
        <w:tabs>
          <w:tab w:val="left" w:pos="3403"/>
        </w:tabs>
      </w:pPr>
      <w:r w:rsidRPr="003E48DA">
        <w:t>2013</w:t>
      </w:r>
    </w:p>
    <w:p w:rsidR="00C22A42" w:rsidRDefault="00C22A42" w:rsidP="00C22A42">
      <w:pPr>
        <w:tabs>
          <w:tab w:val="left" w:pos="3403"/>
        </w:tabs>
        <w:jc w:val="center"/>
      </w:pPr>
    </w:p>
    <w:p w:rsidR="00C22A42" w:rsidRPr="00766DEA" w:rsidRDefault="00C22A42" w:rsidP="008064C8">
      <w:pPr>
        <w:tabs>
          <w:tab w:val="left" w:pos="3403"/>
        </w:tabs>
        <w:spacing w:line="360" w:lineRule="auto"/>
      </w:pPr>
      <w:r w:rsidRPr="007C20D6">
        <w:rPr>
          <w:noProof/>
        </w:rPr>
        <w:drawing>
          <wp:inline distT="0" distB="0" distL="0" distR="0" wp14:anchorId="1172EDBA" wp14:editId="0116A2C2">
            <wp:extent cx="3886200" cy="274320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22A42" w:rsidRPr="003E48DA" w:rsidRDefault="00C22A42" w:rsidP="008064C8">
      <w:pPr>
        <w:ind w:firstLine="708"/>
        <w:rPr>
          <w:sz w:val="16"/>
          <w:szCs w:val="16"/>
        </w:rPr>
      </w:pPr>
      <w:r w:rsidRPr="003E48DA">
        <w:rPr>
          <w:sz w:val="16"/>
          <w:szCs w:val="16"/>
        </w:rPr>
        <w:t>Fuente: Ministerio de Educación. Cálculos DNP – DDS</w:t>
      </w:r>
    </w:p>
    <w:p w:rsidR="00C22A42" w:rsidRPr="009D3A5D" w:rsidRDefault="00C22A42" w:rsidP="00C22A42">
      <w:pPr>
        <w:jc w:val="center"/>
        <w:rPr>
          <w:sz w:val="18"/>
          <w:szCs w:val="18"/>
        </w:rPr>
      </w:pPr>
    </w:p>
    <w:p w:rsidR="00C22A42" w:rsidRDefault="00C22A42" w:rsidP="00C22A42">
      <w:pPr>
        <w:jc w:val="center"/>
      </w:pPr>
    </w:p>
    <w:p w:rsidR="00C22A42" w:rsidRDefault="00C22A42" w:rsidP="00C22A42">
      <w:pPr>
        <w:jc w:val="center"/>
      </w:pPr>
    </w:p>
    <w:p w:rsidR="00C22A42" w:rsidRPr="003E48DA" w:rsidRDefault="00B07B67" w:rsidP="000A2524">
      <w:r>
        <w:t>Tabla</w:t>
      </w:r>
      <w:r w:rsidR="00C22A42" w:rsidRPr="003E48DA">
        <w:t xml:space="preserve"> 2.1</w:t>
      </w:r>
    </w:p>
    <w:p w:rsidR="00C22A42" w:rsidRPr="003E48DA" w:rsidRDefault="00C22A42" w:rsidP="000A2524">
      <w:r w:rsidRPr="003E48DA">
        <w:t>Tasa Bruta de Cobertura por rangos de edad, nivel educativo y zona</w:t>
      </w:r>
    </w:p>
    <w:p w:rsidR="00C22A42" w:rsidRDefault="00C22A42" w:rsidP="000A2524">
      <w:r w:rsidRPr="003E48DA">
        <w:t>2013</w:t>
      </w:r>
    </w:p>
    <w:p w:rsidR="00FC056D" w:rsidRPr="003E48DA" w:rsidRDefault="00FC056D" w:rsidP="000A2524"/>
    <w:tbl>
      <w:tblPr>
        <w:tblW w:w="7953" w:type="dxa"/>
        <w:tblCellMar>
          <w:left w:w="70" w:type="dxa"/>
          <w:right w:w="70" w:type="dxa"/>
        </w:tblCellMar>
        <w:tblLook w:val="04A0" w:firstRow="1" w:lastRow="0" w:firstColumn="1" w:lastColumn="0" w:noHBand="0" w:noVBand="1"/>
      </w:tblPr>
      <w:tblGrid>
        <w:gridCol w:w="1702"/>
        <w:gridCol w:w="1136"/>
        <w:gridCol w:w="1708"/>
        <w:gridCol w:w="829"/>
        <w:gridCol w:w="882"/>
        <w:gridCol w:w="814"/>
        <w:gridCol w:w="882"/>
      </w:tblGrid>
      <w:tr w:rsidR="00C22A42" w:rsidRPr="00DF0446" w:rsidTr="00FC056D">
        <w:trPr>
          <w:trHeight w:val="758"/>
        </w:trPr>
        <w:tc>
          <w:tcPr>
            <w:tcW w:w="1702" w:type="dxa"/>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NIVEL</w:t>
            </w:r>
          </w:p>
        </w:tc>
        <w:tc>
          <w:tcPr>
            <w:tcW w:w="1136" w:type="dxa"/>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RANGOS EDAD</w:t>
            </w:r>
          </w:p>
        </w:tc>
        <w:tc>
          <w:tcPr>
            <w:tcW w:w="1708" w:type="dxa"/>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POBLACIÓN POTENCIAL</w:t>
            </w:r>
          </w:p>
        </w:tc>
        <w:tc>
          <w:tcPr>
            <w:tcW w:w="1711" w:type="dxa"/>
            <w:gridSpan w:val="2"/>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MATRÍCULA</w:t>
            </w:r>
          </w:p>
        </w:tc>
        <w:tc>
          <w:tcPr>
            <w:tcW w:w="1696" w:type="dxa"/>
            <w:gridSpan w:val="2"/>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TASA BRUTA</w:t>
            </w:r>
          </w:p>
        </w:tc>
      </w:tr>
      <w:tr w:rsidR="00C22A42" w:rsidRPr="00DF0446" w:rsidTr="00FC056D">
        <w:trPr>
          <w:trHeight w:val="379"/>
        </w:trPr>
        <w:tc>
          <w:tcPr>
            <w:tcW w:w="1702" w:type="dxa"/>
            <w:tcBorders>
              <w:top w:val="nil"/>
              <w:left w:val="nil"/>
              <w:bottom w:val="single" w:sz="4" w:space="0" w:color="auto"/>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 </w:t>
            </w:r>
          </w:p>
        </w:tc>
        <w:tc>
          <w:tcPr>
            <w:tcW w:w="1136" w:type="dxa"/>
            <w:tcBorders>
              <w:top w:val="nil"/>
              <w:left w:val="nil"/>
              <w:bottom w:val="single" w:sz="4" w:space="0" w:color="auto"/>
              <w:right w:val="nil"/>
            </w:tcBorders>
            <w:shd w:val="clear" w:color="auto" w:fill="auto"/>
            <w:noWrap/>
            <w:vAlign w:val="bottom"/>
            <w:hideMark/>
          </w:tcPr>
          <w:p w:rsidR="00C22A42" w:rsidRPr="00DF0446" w:rsidRDefault="00C22A42" w:rsidP="000A2524">
            <w:pPr>
              <w:jc w:val="center"/>
              <w:rPr>
                <w:color w:val="000000"/>
                <w:sz w:val="20"/>
                <w:szCs w:val="20"/>
                <w:lang w:eastAsia="es-ES"/>
              </w:rPr>
            </w:pPr>
          </w:p>
        </w:tc>
        <w:tc>
          <w:tcPr>
            <w:tcW w:w="1708" w:type="dxa"/>
            <w:tcBorders>
              <w:top w:val="nil"/>
              <w:left w:val="nil"/>
              <w:bottom w:val="single" w:sz="4" w:space="0" w:color="auto"/>
              <w:right w:val="nil"/>
            </w:tcBorders>
            <w:shd w:val="clear" w:color="auto" w:fill="auto"/>
            <w:noWrap/>
            <w:vAlign w:val="bottom"/>
            <w:hideMark/>
          </w:tcPr>
          <w:p w:rsidR="00C22A42" w:rsidRPr="00DF0446" w:rsidRDefault="00C22A42" w:rsidP="000A2524">
            <w:pPr>
              <w:rPr>
                <w:color w:val="000000"/>
                <w:sz w:val="20"/>
                <w:szCs w:val="20"/>
                <w:lang w:eastAsia="es-ES"/>
              </w:rPr>
            </w:pPr>
            <w:r w:rsidRPr="00DF0446">
              <w:rPr>
                <w:color w:val="000000"/>
                <w:sz w:val="20"/>
                <w:szCs w:val="20"/>
                <w:lang w:eastAsia="es-ES"/>
              </w:rPr>
              <w:t> </w:t>
            </w:r>
          </w:p>
        </w:tc>
        <w:tc>
          <w:tcPr>
            <w:tcW w:w="829" w:type="dxa"/>
            <w:tcBorders>
              <w:top w:val="nil"/>
              <w:left w:val="nil"/>
              <w:bottom w:val="single" w:sz="4" w:space="0" w:color="auto"/>
              <w:right w:val="nil"/>
            </w:tcBorders>
            <w:shd w:val="clear" w:color="auto" w:fill="auto"/>
            <w:noWrap/>
            <w:vAlign w:val="center"/>
            <w:hideMark/>
          </w:tcPr>
          <w:p w:rsidR="00C22A42" w:rsidRPr="00BF5FC7" w:rsidRDefault="00C22A42" w:rsidP="000A2524">
            <w:pPr>
              <w:jc w:val="center"/>
              <w:rPr>
                <w:b/>
                <w:color w:val="000000"/>
                <w:sz w:val="20"/>
                <w:szCs w:val="20"/>
                <w:lang w:eastAsia="es-ES"/>
              </w:rPr>
            </w:pPr>
            <w:r w:rsidRPr="00BF5FC7">
              <w:rPr>
                <w:b/>
                <w:color w:val="000000"/>
                <w:sz w:val="20"/>
                <w:szCs w:val="20"/>
                <w:lang w:eastAsia="es-ES"/>
              </w:rPr>
              <w:t>Oficial</w:t>
            </w:r>
          </w:p>
        </w:tc>
        <w:tc>
          <w:tcPr>
            <w:tcW w:w="882" w:type="dxa"/>
            <w:tcBorders>
              <w:top w:val="nil"/>
              <w:left w:val="nil"/>
              <w:bottom w:val="single" w:sz="4" w:space="0" w:color="auto"/>
              <w:right w:val="nil"/>
            </w:tcBorders>
            <w:shd w:val="clear" w:color="auto" w:fill="auto"/>
            <w:noWrap/>
            <w:vAlign w:val="center"/>
            <w:hideMark/>
          </w:tcPr>
          <w:p w:rsidR="00C22A42" w:rsidRPr="00BF5FC7" w:rsidRDefault="00C22A42" w:rsidP="000A2524">
            <w:pPr>
              <w:jc w:val="center"/>
              <w:rPr>
                <w:b/>
                <w:color w:val="000000"/>
                <w:sz w:val="20"/>
                <w:szCs w:val="20"/>
                <w:lang w:eastAsia="es-ES"/>
              </w:rPr>
            </w:pPr>
            <w:r w:rsidRPr="00BF5FC7">
              <w:rPr>
                <w:b/>
                <w:color w:val="000000"/>
                <w:sz w:val="20"/>
                <w:szCs w:val="20"/>
                <w:lang w:eastAsia="es-ES"/>
              </w:rPr>
              <w:t>Privada</w:t>
            </w:r>
          </w:p>
        </w:tc>
        <w:tc>
          <w:tcPr>
            <w:tcW w:w="814" w:type="dxa"/>
            <w:tcBorders>
              <w:top w:val="nil"/>
              <w:left w:val="nil"/>
              <w:bottom w:val="single" w:sz="4" w:space="0" w:color="auto"/>
              <w:right w:val="nil"/>
            </w:tcBorders>
            <w:shd w:val="clear" w:color="auto" w:fill="auto"/>
            <w:noWrap/>
            <w:vAlign w:val="center"/>
            <w:hideMark/>
          </w:tcPr>
          <w:p w:rsidR="00C22A42" w:rsidRPr="00BF5FC7" w:rsidRDefault="00C22A42" w:rsidP="000A2524">
            <w:pPr>
              <w:jc w:val="center"/>
              <w:rPr>
                <w:b/>
                <w:color w:val="000000"/>
                <w:sz w:val="20"/>
                <w:szCs w:val="20"/>
                <w:lang w:eastAsia="es-ES"/>
              </w:rPr>
            </w:pPr>
            <w:r w:rsidRPr="00BF5FC7">
              <w:rPr>
                <w:b/>
                <w:color w:val="000000"/>
                <w:sz w:val="20"/>
                <w:szCs w:val="20"/>
                <w:lang w:eastAsia="es-ES"/>
              </w:rPr>
              <w:t>Oficial</w:t>
            </w:r>
          </w:p>
        </w:tc>
        <w:tc>
          <w:tcPr>
            <w:tcW w:w="882" w:type="dxa"/>
            <w:tcBorders>
              <w:top w:val="nil"/>
              <w:left w:val="nil"/>
              <w:bottom w:val="single" w:sz="4" w:space="0" w:color="auto"/>
              <w:right w:val="nil"/>
            </w:tcBorders>
            <w:shd w:val="clear" w:color="auto" w:fill="auto"/>
            <w:noWrap/>
            <w:vAlign w:val="center"/>
            <w:hideMark/>
          </w:tcPr>
          <w:p w:rsidR="00C22A42" w:rsidRPr="00BF5FC7" w:rsidRDefault="00C22A42" w:rsidP="000A2524">
            <w:pPr>
              <w:jc w:val="center"/>
              <w:rPr>
                <w:b/>
                <w:color w:val="000000"/>
                <w:sz w:val="20"/>
                <w:szCs w:val="20"/>
                <w:lang w:eastAsia="es-ES"/>
              </w:rPr>
            </w:pPr>
            <w:r w:rsidRPr="00BF5FC7">
              <w:rPr>
                <w:b/>
                <w:color w:val="000000"/>
                <w:sz w:val="20"/>
                <w:szCs w:val="20"/>
                <w:lang w:eastAsia="es-ES"/>
              </w:rPr>
              <w:t>Privada</w:t>
            </w:r>
          </w:p>
        </w:tc>
      </w:tr>
      <w:tr w:rsidR="00C22A42" w:rsidRPr="00DF0446" w:rsidTr="00FC056D">
        <w:trPr>
          <w:trHeight w:val="379"/>
        </w:trPr>
        <w:tc>
          <w:tcPr>
            <w:tcW w:w="1702" w:type="dxa"/>
            <w:tcBorders>
              <w:top w:val="nil"/>
              <w:left w:val="nil"/>
              <w:bottom w:val="nil"/>
              <w:right w:val="nil"/>
            </w:tcBorders>
            <w:shd w:val="clear" w:color="auto" w:fill="auto"/>
            <w:noWrap/>
            <w:vAlign w:val="bottom"/>
            <w:hideMark/>
          </w:tcPr>
          <w:p w:rsidR="00C22A42" w:rsidRPr="00DF0446" w:rsidRDefault="00FC056D" w:rsidP="000A2524">
            <w:pPr>
              <w:rPr>
                <w:color w:val="000000"/>
                <w:sz w:val="20"/>
                <w:szCs w:val="20"/>
                <w:lang w:eastAsia="es-ES"/>
              </w:rPr>
            </w:pPr>
            <w:r w:rsidRPr="00DF0446">
              <w:rPr>
                <w:color w:val="000000"/>
                <w:sz w:val="20"/>
                <w:szCs w:val="20"/>
                <w:lang w:eastAsia="es-ES"/>
              </w:rPr>
              <w:t>Preescolar</w:t>
            </w:r>
          </w:p>
        </w:tc>
        <w:tc>
          <w:tcPr>
            <w:tcW w:w="1136"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5</w:t>
            </w:r>
          </w:p>
        </w:tc>
        <w:tc>
          <w:tcPr>
            <w:tcW w:w="1708"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4.582</w:t>
            </w:r>
          </w:p>
        </w:tc>
        <w:tc>
          <w:tcPr>
            <w:tcW w:w="829"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3.231</w:t>
            </w:r>
          </w:p>
        </w:tc>
        <w:tc>
          <w:tcPr>
            <w:tcW w:w="882"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223</w:t>
            </w:r>
          </w:p>
        </w:tc>
        <w:tc>
          <w:tcPr>
            <w:tcW w:w="814"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70%</w:t>
            </w:r>
          </w:p>
        </w:tc>
        <w:tc>
          <w:tcPr>
            <w:tcW w:w="882"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4%</w:t>
            </w:r>
          </w:p>
        </w:tc>
      </w:tr>
      <w:tr w:rsidR="00C22A42" w:rsidRPr="00DF0446" w:rsidTr="00FC056D">
        <w:trPr>
          <w:trHeight w:val="379"/>
        </w:trPr>
        <w:tc>
          <w:tcPr>
            <w:tcW w:w="1702" w:type="dxa"/>
            <w:tcBorders>
              <w:top w:val="nil"/>
              <w:left w:val="nil"/>
              <w:bottom w:val="nil"/>
              <w:right w:val="nil"/>
            </w:tcBorders>
            <w:shd w:val="clear" w:color="auto" w:fill="auto"/>
            <w:noWrap/>
            <w:vAlign w:val="bottom"/>
            <w:hideMark/>
          </w:tcPr>
          <w:p w:rsidR="00C22A42" w:rsidRPr="00DF0446" w:rsidRDefault="00FC056D" w:rsidP="000A2524">
            <w:pPr>
              <w:rPr>
                <w:color w:val="000000"/>
                <w:sz w:val="20"/>
                <w:szCs w:val="20"/>
                <w:lang w:eastAsia="es-ES"/>
              </w:rPr>
            </w:pPr>
            <w:r w:rsidRPr="00DF0446">
              <w:rPr>
                <w:color w:val="000000"/>
                <w:sz w:val="20"/>
                <w:szCs w:val="20"/>
                <w:lang w:eastAsia="es-ES"/>
              </w:rPr>
              <w:t>Primaria</w:t>
            </w:r>
          </w:p>
        </w:tc>
        <w:tc>
          <w:tcPr>
            <w:tcW w:w="1136"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6  -  10</w:t>
            </w:r>
          </w:p>
        </w:tc>
        <w:tc>
          <w:tcPr>
            <w:tcW w:w="1708"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22.918</w:t>
            </w:r>
          </w:p>
        </w:tc>
        <w:tc>
          <w:tcPr>
            <w:tcW w:w="829"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20.485</w:t>
            </w:r>
          </w:p>
        </w:tc>
        <w:tc>
          <w:tcPr>
            <w:tcW w:w="882"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915</w:t>
            </w:r>
          </w:p>
        </w:tc>
        <w:tc>
          <w:tcPr>
            <w:tcW w:w="814"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89%</w:t>
            </w:r>
          </w:p>
        </w:tc>
        <w:tc>
          <w:tcPr>
            <w:tcW w:w="882"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3%</w:t>
            </w:r>
          </w:p>
        </w:tc>
      </w:tr>
      <w:tr w:rsidR="00C22A42" w:rsidRPr="00DF0446" w:rsidTr="00FC056D">
        <w:trPr>
          <w:trHeight w:val="379"/>
        </w:trPr>
        <w:tc>
          <w:tcPr>
            <w:tcW w:w="1702" w:type="dxa"/>
            <w:tcBorders>
              <w:top w:val="nil"/>
              <w:left w:val="nil"/>
              <w:bottom w:val="nil"/>
              <w:right w:val="nil"/>
            </w:tcBorders>
            <w:shd w:val="clear" w:color="auto" w:fill="auto"/>
            <w:noWrap/>
            <w:vAlign w:val="bottom"/>
            <w:hideMark/>
          </w:tcPr>
          <w:p w:rsidR="00C22A42" w:rsidRPr="00DF0446" w:rsidRDefault="00FC056D" w:rsidP="000A2524">
            <w:pPr>
              <w:rPr>
                <w:color w:val="000000"/>
                <w:sz w:val="20"/>
                <w:szCs w:val="20"/>
                <w:lang w:eastAsia="es-ES"/>
              </w:rPr>
            </w:pPr>
            <w:r w:rsidRPr="00DF0446">
              <w:rPr>
                <w:color w:val="000000"/>
                <w:sz w:val="20"/>
                <w:szCs w:val="20"/>
                <w:lang w:eastAsia="es-ES"/>
              </w:rPr>
              <w:t>Secundaria</w:t>
            </w:r>
          </w:p>
        </w:tc>
        <w:tc>
          <w:tcPr>
            <w:tcW w:w="1136"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11 - 14</w:t>
            </w:r>
          </w:p>
        </w:tc>
        <w:tc>
          <w:tcPr>
            <w:tcW w:w="1708"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18.792</w:t>
            </w:r>
          </w:p>
        </w:tc>
        <w:tc>
          <w:tcPr>
            <w:tcW w:w="829"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16.581</w:t>
            </w:r>
          </w:p>
        </w:tc>
        <w:tc>
          <w:tcPr>
            <w:tcW w:w="882"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609</w:t>
            </w:r>
          </w:p>
        </w:tc>
        <w:tc>
          <w:tcPr>
            <w:tcW w:w="814"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88%</w:t>
            </w:r>
          </w:p>
        </w:tc>
        <w:tc>
          <w:tcPr>
            <w:tcW w:w="882" w:type="dxa"/>
            <w:tcBorders>
              <w:top w:val="nil"/>
              <w:left w:val="nil"/>
              <w:bottom w:val="nil"/>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3%</w:t>
            </w:r>
          </w:p>
        </w:tc>
      </w:tr>
      <w:tr w:rsidR="00C22A42" w:rsidRPr="00DF0446" w:rsidTr="00FC056D">
        <w:trPr>
          <w:trHeight w:val="379"/>
        </w:trPr>
        <w:tc>
          <w:tcPr>
            <w:tcW w:w="1702" w:type="dxa"/>
            <w:tcBorders>
              <w:top w:val="nil"/>
              <w:left w:val="nil"/>
              <w:bottom w:val="single" w:sz="4" w:space="0" w:color="auto"/>
              <w:right w:val="nil"/>
            </w:tcBorders>
            <w:shd w:val="clear" w:color="auto" w:fill="auto"/>
            <w:noWrap/>
            <w:vAlign w:val="bottom"/>
            <w:hideMark/>
          </w:tcPr>
          <w:p w:rsidR="00C22A42" w:rsidRPr="00DF0446" w:rsidRDefault="00FC056D" w:rsidP="000A2524">
            <w:pPr>
              <w:rPr>
                <w:color w:val="000000"/>
                <w:sz w:val="20"/>
                <w:szCs w:val="20"/>
                <w:lang w:eastAsia="es-ES"/>
              </w:rPr>
            </w:pPr>
            <w:r w:rsidRPr="00DF0446">
              <w:rPr>
                <w:color w:val="000000"/>
                <w:sz w:val="20"/>
                <w:szCs w:val="20"/>
                <w:lang w:eastAsia="es-ES"/>
              </w:rPr>
              <w:t>Media</w:t>
            </w:r>
          </w:p>
        </w:tc>
        <w:tc>
          <w:tcPr>
            <w:tcW w:w="1136" w:type="dxa"/>
            <w:tcBorders>
              <w:top w:val="nil"/>
              <w:left w:val="nil"/>
              <w:bottom w:val="single" w:sz="4" w:space="0" w:color="auto"/>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15 A 16</w:t>
            </w:r>
          </w:p>
        </w:tc>
        <w:tc>
          <w:tcPr>
            <w:tcW w:w="1708" w:type="dxa"/>
            <w:tcBorders>
              <w:top w:val="nil"/>
              <w:left w:val="nil"/>
              <w:bottom w:val="single" w:sz="4" w:space="0" w:color="auto"/>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9.797</w:t>
            </w:r>
          </w:p>
        </w:tc>
        <w:tc>
          <w:tcPr>
            <w:tcW w:w="829" w:type="dxa"/>
            <w:tcBorders>
              <w:top w:val="nil"/>
              <w:left w:val="nil"/>
              <w:bottom w:val="single" w:sz="4" w:space="0" w:color="auto"/>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5.731</w:t>
            </w:r>
          </w:p>
        </w:tc>
        <w:tc>
          <w:tcPr>
            <w:tcW w:w="882" w:type="dxa"/>
            <w:tcBorders>
              <w:top w:val="nil"/>
              <w:left w:val="nil"/>
              <w:bottom w:val="single" w:sz="4" w:space="0" w:color="auto"/>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202</w:t>
            </w:r>
          </w:p>
        </w:tc>
        <w:tc>
          <w:tcPr>
            <w:tcW w:w="814" w:type="dxa"/>
            <w:tcBorders>
              <w:top w:val="nil"/>
              <w:left w:val="nil"/>
              <w:bottom w:val="single" w:sz="4" w:space="0" w:color="auto"/>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58%</w:t>
            </w:r>
          </w:p>
        </w:tc>
        <w:tc>
          <w:tcPr>
            <w:tcW w:w="882" w:type="dxa"/>
            <w:tcBorders>
              <w:top w:val="nil"/>
              <w:left w:val="nil"/>
              <w:bottom w:val="single" w:sz="4" w:space="0" w:color="auto"/>
              <w:right w:val="nil"/>
            </w:tcBorders>
            <w:shd w:val="clear" w:color="auto" w:fill="auto"/>
            <w:noWrap/>
            <w:vAlign w:val="bottom"/>
            <w:hideMark/>
          </w:tcPr>
          <w:p w:rsidR="00C22A42" w:rsidRPr="00DF0446" w:rsidRDefault="00C22A42" w:rsidP="000A2524">
            <w:pPr>
              <w:jc w:val="center"/>
              <w:rPr>
                <w:color w:val="000000"/>
                <w:sz w:val="20"/>
                <w:szCs w:val="20"/>
                <w:lang w:eastAsia="es-ES"/>
              </w:rPr>
            </w:pPr>
            <w:r w:rsidRPr="00DF0446">
              <w:rPr>
                <w:color w:val="000000"/>
                <w:sz w:val="20"/>
                <w:szCs w:val="20"/>
                <w:lang w:eastAsia="es-ES"/>
              </w:rPr>
              <w:t>2%</w:t>
            </w:r>
          </w:p>
        </w:tc>
      </w:tr>
      <w:tr w:rsidR="00C22A42" w:rsidRPr="00DF0446" w:rsidTr="00FC056D">
        <w:trPr>
          <w:trHeight w:val="379"/>
        </w:trPr>
        <w:tc>
          <w:tcPr>
            <w:tcW w:w="1702" w:type="dxa"/>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TOTAL</w:t>
            </w:r>
          </w:p>
        </w:tc>
        <w:tc>
          <w:tcPr>
            <w:tcW w:w="1136" w:type="dxa"/>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p>
        </w:tc>
        <w:tc>
          <w:tcPr>
            <w:tcW w:w="1708" w:type="dxa"/>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56.089</w:t>
            </w:r>
          </w:p>
        </w:tc>
        <w:tc>
          <w:tcPr>
            <w:tcW w:w="829" w:type="dxa"/>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46.028</w:t>
            </w:r>
          </w:p>
        </w:tc>
        <w:tc>
          <w:tcPr>
            <w:tcW w:w="882" w:type="dxa"/>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1.949</w:t>
            </w:r>
          </w:p>
        </w:tc>
        <w:tc>
          <w:tcPr>
            <w:tcW w:w="814" w:type="dxa"/>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76%</w:t>
            </w:r>
          </w:p>
        </w:tc>
        <w:tc>
          <w:tcPr>
            <w:tcW w:w="882" w:type="dxa"/>
            <w:tcBorders>
              <w:top w:val="single" w:sz="4" w:space="0" w:color="auto"/>
              <w:left w:val="nil"/>
              <w:bottom w:val="single" w:sz="4" w:space="0" w:color="auto"/>
              <w:right w:val="nil"/>
            </w:tcBorders>
            <w:shd w:val="clear" w:color="auto" w:fill="auto"/>
            <w:noWrap/>
            <w:vAlign w:val="center"/>
            <w:hideMark/>
          </w:tcPr>
          <w:p w:rsidR="00C22A42" w:rsidRPr="00DF0446" w:rsidRDefault="00C22A42" w:rsidP="000A2524">
            <w:pPr>
              <w:jc w:val="center"/>
              <w:rPr>
                <w:b/>
                <w:color w:val="000000"/>
                <w:sz w:val="20"/>
                <w:szCs w:val="20"/>
                <w:lang w:eastAsia="es-ES"/>
              </w:rPr>
            </w:pPr>
            <w:r w:rsidRPr="00DF0446">
              <w:rPr>
                <w:b/>
                <w:color w:val="000000"/>
                <w:sz w:val="20"/>
                <w:szCs w:val="20"/>
                <w:lang w:eastAsia="es-ES"/>
              </w:rPr>
              <w:t>3%</w:t>
            </w:r>
          </w:p>
        </w:tc>
      </w:tr>
    </w:tbl>
    <w:p w:rsidR="00C22A42" w:rsidRPr="003E48DA" w:rsidRDefault="00C22A42" w:rsidP="00FC056D">
      <w:pPr>
        <w:tabs>
          <w:tab w:val="right" w:pos="8838"/>
        </w:tabs>
        <w:rPr>
          <w:color w:val="000000"/>
          <w:sz w:val="16"/>
          <w:szCs w:val="16"/>
          <w:lang w:eastAsia="es-ES"/>
        </w:rPr>
      </w:pPr>
      <w:r w:rsidRPr="003E48DA">
        <w:rPr>
          <w:color w:val="000000"/>
          <w:sz w:val="16"/>
          <w:szCs w:val="16"/>
          <w:lang w:eastAsia="es-ES"/>
        </w:rPr>
        <w:t>Fuente: Secretaria de Educación, Ministerio de Educación SIMAT. Con corte al 31 de Julio 2013</w:t>
      </w:r>
      <w:r w:rsidRPr="003E48DA">
        <w:rPr>
          <w:color w:val="000000"/>
          <w:sz w:val="16"/>
          <w:szCs w:val="16"/>
          <w:lang w:eastAsia="es-ES"/>
        </w:rPr>
        <w:tab/>
      </w:r>
    </w:p>
    <w:p w:rsidR="00C22A42" w:rsidRPr="00953A70" w:rsidRDefault="00C22A42" w:rsidP="00C22A42">
      <w:pPr>
        <w:spacing w:after="2" w:line="360" w:lineRule="auto"/>
        <w:rPr>
          <w:sz w:val="18"/>
          <w:szCs w:val="18"/>
        </w:rPr>
      </w:pPr>
    </w:p>
    <w:p w:rsidR="00C22A42" w:rsidRDefault="00C22A42" w:rsidP="00C22A42">
      <w:pPr>
        <w:spacing w:after="2" w:line="360" w:lineRule="auto"/>
      </w:pPr>
    </w:p>
    <w:p w:rsidR="00C22A42" w:rsidRDefault="00C22A42" w:rsidP="00C22A42">
      <w:pPr>
        <w:spacing w:after="2" w:line="360" w:lineRule="auto"/>
      </w:pPr>
    </w:p>
    <w:p w:rsidR="003E48DA" w:rsidRDefault="003E48DA" w:rsidP="00C22A42">
      <w:pPr>
        <w:spacing w:after="2" w:line="360" w:lineRule="auto"/>
      </w:pPr>
    </w:p>
    <w:p w:rsidR="00C22A42" w:rsidRPr="00BE0C94" w:rsidRDefault="00C22A42" w:rsidP="008064C8">
      <w:pPr>
        <w:spacing w:after="5" w:line="244" w:lineRule="auto"/>
      </w:pPr>
      <w:r w:rsidRPr="00BE0C94">
        <w:lastRenderedPageBreak/>
        <w:t>Gráfico 2.2</w:t>
      </w:r>
    </w:p>
    <w:p w:rsidR="00C22A42" w:rsidRPr="00BE0C94" w:rsidRDefault="00C22A42" w:rsidP="008064C8">
      <w:pPr>
        <w:spacing w:after="5" w:line="244" w:lineRule="auto"/>
      </w:pPr>
      <w:r w:rsidRPr="00BE0C94">
        <w:t>Tasa Bruta por rang</w:t>
      </w:r>
      <w:r w:rsidR="000410FB">
        <w:t xml:space="preserve">os </w:t>
      </w:r>
      <w:r w:rsidRPr="00BE0C94">
        <w:t>de edad y niveles de educación</w:t>
      </w:r>
    </w:p>
    <w:p w:rsidR="00C22A42" w:rsidRPr="00BE0C94" w:rsidRDefault="00C22A42" w:rsidP="008064C8">
      <w:pPr>
        <w:spacing w:after="5" w:line="244" w:lineRule="auto"/>
      </w:pPr>
      <w:r w:rsidRPr="00BE0C94">
        <w:t>Julio 2013</w:t>
      </w:r>
    </w:p>
    <w:p w:rsidR="00C22A42" w:rsidRPr="00766DEA" w:rsidRDefault="00C22A42" w:rsidP="00C22A42">
      <w:pPr>
        <w:spacing w:after="5" w:line="244" w:lineRule="auto"/>
        <w:jc w:val="center"/>
      </w:pPr>
    </w:p>
    <w:p w:rsidR="00C22A42" w:rsidRPr="00766DEA" w:rsidRDefault="00C22A42" w:rsidP="008064C8">
      <w:pPr>
        <w:spacing w:after="5" w:line="244" w:lineRule="auto"/>
      </w:pPr>
      <w:r w:rsidRPr="00766DEA">
        <w:rPr>
          <w:noProof/>
        </w:rPr>
        <w:drawing>
          <wp:inline distT="0" distB="0" distL="0" distR="0" wp14:anchorId="5627D8E3" wp14:editId="51B8697C">
            <wp:extent cx="4026090" cy="2224586"/>
            <wp:effectExtent l="0" t="0" r="12700" b="2349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22A42" w:rsidRPr="000157E7" w:rsidRDefault="008064C8" w:rsidP="00C22A42">
      <w:pPr>
        <w:rPr>
          <w:color w:val="000000"/>
          <w:sz w:val="16"/>
          <w:szCs w:val="16"/>
          <w:lang w:eastAsia="es-ES"/>
        </w:rPr>
      </w:pPr>
      <w:r>
        <w:rPr>
          <w:color w:val="000000"/>
          <w:lang w:eastAsia="es-ES"/>
        </w:rPr>
        <w:t xml:space="preserve"> </w:t>
      </w:r>
      <w:r w:rsidR="00C22A42" w:rsidRPr="00766DEA">
        <w:rPr>
          <w:color w:val="000000"/>
          <w:lang w:eastAsia="es-ES"/>
        </w:rPr>
        <w:t xml:space="preserve"> </w:t>
      </w:r>
      <w:r w:rsidR="00C22A42" w:rsidRPr="000157E7">
        <w:rPr>
          <w:color w:val="000000"/>
          <w:sz w:val="16"/>
          <w:szCs w:val="16"/>
          <w:lang w:eastAsia="es-ES"/>
        </w:rPr>
        <w:t>Fuente: Secretaria de Educación, Ministerio de Educación SIMAT. Con corte al 31 de Julio 2013</w:t>
      </w:r>
    </w:p>
    <w:p w:rsidR="00C22A42" w:rsidRPr="000157E7" w:rsidRDefault="00C22A42" w:rsidP="00C22A42">
      <w:pPr>
        <w:rPr>
          <w:color w:val="000000"/>
          <w:sz w:val="16"/>
          <w:szCs w:val="16"/>
          <w:lang w:eastAsia="es-ES"/>
        </w:rPr>
      </w:pPr>
    </w:p>
    <w:p w:rsidR="00BE0C94" w:rsidRDefault="00BE0C94" w:rsidP="00C22A42">
      <w:pPr>
        <w:spacing w:after="5" w:line="360" w:lineRule="auto"/>
        <w:jc w:val="both"/>
        <w:rPr>
          <w:sz w:val="16"/>
          <w:szCs w:val="16"/>
        </w:rPr>
      </w:pPr>
    </w:p>
    <w:p w:rsidR="00C22A42" w:rsidRDefault="00C22A42" w:rsidP="00BE0C94">
      <w:pPr>
        <w:spacing w:line="360" w:lineRule="auto"/>
        <w:ind w:firstLine="284"/>
        <w:jc w:val="both"/>
      </w:pPr>
      <w:r w:rsidRPr="00766DEA">
        <w:t>La mayor tasa de cobertur</w:t>
      </w:r>
      <w:r>
        <w:t>a en los once municipios del d</w:t>
      </w:r>
      <w:r w:rsidRPr="00766DEA">
        <w:t>epartamento del Quindío está representada en el nivel de</w:t>
      </w:r>
      <w:r>
        <w:t xml:space="preserve"> primaria 89% (20.485 estudiantes) y secundaria con el 88%</w:t>
      </w:r>
      <w:r w:rsidRPr="00766DEA">
        <w:t xml:space="preserve"> </w:t>
      </w:r>
      <w:r>
        <w:t>(equivalentes a  16.581 estudiantes)</w:t>
      </w:r>
      <w:r w:rsidRPr="00766DEA">
        <w:t xml:space="preserve"> </w:t>
      </w:r>
      <w:r>
        <w:t>en el sector oficial y en el sector  privado presenta una  cobertura  del 3%, tanto a nivel primaria como en secundaria.</w:t>
      </w:r>
      <w:r w:rsidR="00BE0C94">
        <w:t xml:space="preserve"> </w:t>
      </w:r>
      <w:r>
        <w:t>Preescolar presenta una cobertura bruta del 70% en el sector oficial y del 4%  en el sector privado, a su vez, el nivel media secundaria presenta una tasa de cobertura del 58% en el sector oficial y del 2% en el privado.</w:t>
      </w:r>
    </w:p>
    <w:p w:rsidR="00C22A42" w:rsidRDefault="00C22A42" w:rsidP="00C22A42">
      <w:pPr>
        <w:spacing w:after="5" w:line="360" w:lineRule="auto"/>
        <w:jc w:val="both"/>
      </w:pPr>
    </w:p>
    <w:p w:rsidR="00C22A42" w:rsidRPr="00A932FC" w:rsidRDefault="00D703A3" w:rsidP="00A932FC">
      <w:r>
        <w:t>Tabla</w:t>
      </w:r>
      <w:r w:rsidR="00C22A42" w:rsidRPr="00A932FC">
        <w:t xml:space="preserve"> 2.2</w:t>
      </w:r>
    </w:p>
    <w:p w:rsidR="00C22A42" w:rsidRPr="00A932FC" w:rsidRDefault="00C22A42" w:rsidP="00A932FC">
      <w:r w:rsidRPr="00A932FC">
        <w:t>Tasa de coberturas</w:t>
      </w:r>
      <w:r w:rsidR="00475CE1">
        <w:t xml:space="preserve"> bruta</w:t>
      </w:r>
      <w:r w:rsidR="00B51C23">
        <w:t>, matrícula y población potencial por r</w:t>
      </w:r>
      <w:r w:rsidRPr="00A932FC">
        <w:t>angos de edad, nivel educativo y según municipio.</w:t>
      </w:r>
    </w:p>
    <w:p w:rsidR="00C22A42" w:rsidRPr="00A932FC" w:rsidRDefault="00C22A42" w:rsidP="00A932FC">
      <w:pPr>
        <w:spacing w:after="2"/>
      </w:pPr>
      <w:r w:rsidRPr="00A932FC">
        <w:t>2013</w:t>
      </w:r>
    </w:p>
    <w:p w:rsidR="00C22A42" w:rsidRPr="00766DEA" w:rsidRDefault="00C22A42" w:rsidP="00C22A42">
      <w:pPr>
        <w:spacing w:after="2"/>
        <w:jc w:val="center"/>
      </w:pPr>
    </w:p>
    <w:tbl>
      <w:tblPr>
        <w:tblW w:w="5000" w:type="pct"/>
        <w:jc w:val="center"/>
        <w:tblCellMar>
          <w:left w:w="70" w:type="dxa"/>
          <w:right w:w="70" w:type="dxa"/>
        </w:tblCellMar>
        <w:tblLook w:val="04A0" w:firstRow="1" w:lastRow="0" w:firstColumn="1" w:lastColumn="0" w:noHBand="0" w:noVBand="1"/>
      </w:tblPr>
      <w:tblGrid>
        <w:gridCol w:w="1336"/>
        <w:gridCol w:w="1243"/>
        <w:gridCol w:w="1151"/>
        <w:gridCol w:w="1176"/>
        <w:gridCol w:w="1320"/>
        <w:gridCol w:w="717"/>
        <w:gridCol w:w="1320"/>
        <w:gridCol w:w="717"/>
      </w:tblGrid>
      <w:tr w:rsidR="00C22A42" w:rsidRPr="00A932FC" w:rsidTr="00A932FC">
        <w:trPr>
          <w:trHeight w:val="300"/>
          <w:tblHeader/>
          <w:jc w:val="center"/>
        </w:trPr>
        <w:tc>
          <w:tcPr>
            <w:tcW w:w="744" w:type="pct"/>
            <w:vMerge w:val="restart"/>
            <w:tcBorders>
              <w:top w:val="single" w:sz="4" w:space="0" w:color="auto"/>
              <w:left w:val="nil"/>
              <w:bottom w:val="double" w:sz="6" w:space="0" w:color="000000"/>
              <w:right w:val="nil"/>
            </w:tcBorders>
            <w:shd w:val="clear" w:color="auto" w:fill="auto"/>
            <w:noWrap/>
            <w:vAlign w:val="center"/>
            <w:hideMark/>
          </w:tcPr>
          <w:p w:rsidR="00C22A42" w:rsidRPr="00A932FC" w:rsidRDefault="00C22A42" w:rsidP="003D5F04">
            <w:pPr>
              <w:jc w:val="center"/>
              <w:rPr>
                <w:b/>
                <w:bCs/>
                <w:color w:val="000000"/>
                <w:sz w:val="16"/>
                <w:szCs w:val="16"/>
                <w:lang w:eastAsia="es-ES"/>
              </w:rPr>
            </w:pPr>
            <w:r w:rsidRPr="00A932FC">
              <w:rPr>
                <w:sz w:val="16"/>
                <w:szCs w:val="16"/>
              </w:rPr>
              <w:t xml:space="preserve"> </w:t>
            </w:r>
            <w:r w:rsidRPr="00A932FC">
              <w:rPr>
                <w:b/>
                <w:bCs/>
                <w:color w:val="000000"/>
                <w:sz w:val="16"/>
                <w:szCs w:val="16"/>
                <w:lang w:eastAsia="es-ES"/>
              </w:rPr>
              <w:t>MUNICIPIO</w:t>
            </w:r>
          </w:p>
        </w:tc>
        <w:tc>
          <w:tcPr>
            <w:tcW w:w="692" w:type="pct"/>
            <w:vMerge w:val="restart"/>
            <w:tcBorders>
              <w:top w:val="single" w:sz="4" w:space="0" w:color="auto"/>
              <w:left w:val="nil"/>
              <w:bottom w:val="double" w:sz="6" w:space="0" w:color="000000"/>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NIVEL</w:t>
            </w:r>
          </w:p>
        </w:tc>
        <w:tc>
          <w:tcPr>
            <w:tcW w:w="641" w:type="pct"/>
            <w:tcBorders>
              <w:top w:val="single" w:sz="4" w:space="0" w:color="auto"/>
              <w:left w:val="nil"/>
              <w:bottom w:val="nil"/>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RANGOS DE</w:t>
            </w:r>
          </w:p>
        </w:tc>
        <w:tc>
          <w:tcPr>
            <w:tcW w:w="655" w:type="pct"/>
            <w:tcBorders>
              <w:top w:val="single" w:sz="4" w:space="0" w:color="auto"/>
              <w:left w:val="nil"/>
              <w:bottom w:val="nil"/>
              <w:right w:val="nil"/>
            </w:tcBorders>
            <w:shd w:val="clear" w:color="000000" w:fill="FFFFFF"/>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POBLACION</w:t>
            </w:r>
          </w:p>
        </w:tc>
        <w:tc>
          <w:tcPr>
            <w:tcW w:w="1134" w:type="pct"/>
            <w:gridSpan w:val="2"/>
            <w:tcBorders>
              <w:top w:val="single" w:sz="4" w:space="0" w:color="auto"/>
              <w:left w:val="nil"/>
              <w:bottom w:val="nil"/>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MATRÍCULA</w:t>
            </w:r>
          </w:p>
        </w:tc>
        <w:tc>
          <w:tcPr>
            <w:tcW w:w="1134" w:type="pct"/>
            <w:gridSpan w:val="2"/>
            <w:tcBorders>
              <w:top w:val="single" w:sz="4" w:space="0" w:color="auto"/>
              <w:left w:val="nil"/>
              <w:bottom w:val="nil"/>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TASA BRUTA     %</w:t>
            </w:r>
          </w:p>
        </w:tc>
      </w:tr>
      <w:tr w:rsidR="00C22A42" w:rsidRPr="00A932FC" w:rsidTr="00A932FC">
        <w:trPr>
          <w:trHeight w:val="315"/>
          <w:tblHeader/>
          <w:jc w:val="center"/>
        </w:trPr>
        <w:tc>
          <w:tcPr>
            <w:tcW w:w="744" w:type="pct"/>
            <w:vMerge/>
            <w:tcBorders>
              <w:top w:val="single" w:sz="4" w:space="0" w:color="auto"/>
              <w:left w:val="nil"/>
              <w:bottom w:val="double" w:sz="6" w:space="0" w:color="000000"/>
              <w:right w:val="nil"/>
            </w:tcBorders>
            <w:vAlign w:val="center"/>
            <w:hideMark/>
          </w:tcPr>
          <w:p w:rsidR="00C22A42" w:rsidRPr="00A932FC" w:rsidRDefault="00C22A42" w:rsidP="003D5F04">
            <w:pPr>
              <w:rPr>
                <w:b/>
                <w:bCs/>
                <w:color w:val="000000"/>
                <w:sz w:val="16"/>
                <w:szCs w:val="16"/>
                <w:lang w:eastAsia="es-ES"/>
              </w:rPr>
            </w:pPr>
          </w:p>
        </w:tc>
        <w:tc>
          <w:tcPr>
            <w:tcW w:w="692" w:type="pct"/>
            <w:vMerge/>
            <w:tcBorders>
              <w:top w:val="single" w:sz="4" w:space="0" w:color="auto"/>
              <w:left w:val="nil"/>
              <w:bottom w:val="double" w:sz="6" w:space="0" w:color="000000"/>
              <w:right w:val="nil"/>
            </w:tcBorders>
            <w:vAlign w:val="center"/>
            <w:hideMark/>
          </w:tcPr>
          <w:p w:rsidR="00C22A42" w:rsidRPr="00A932FC" w:rsidRDefault="00C22A42" w:rsidP="003D5F04">
            <w:pPr>
              <w:rPr>
                <w:b/>
                <w:bCs/>
                <w:color w:val="000000"/>
                <w:sz w:val="16"/>
                <w:szCs w:val="16"/>
                <w:lang w:eastAsia="es-ES"/>
              </w:rPr>
            </w:pPr>
          </w:p>
        </w:tc>
        <w:tc>
          <w:tcPr>
            <w:tcW w:w="641" w:type="pct"/>
            <w:tcBorders>
              <w:top w:val="nil"/>
              <w:left w:val="nil"/>
              <w:bottom w:val="double" w:sz="6"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EDAD</w:t>
            </w:r>
          </w:p>
        </w:tc>
        <w:tc>
          <w:tcPr>
            <w:tcW w:w="655" w:type="pct"/>
            <w:tcBorders>
              <w:top w:val="nil"/>
              <w:left w:val="nil"/>
              <w:bottom w:val="double" w:sz="6" w:space="0" w:color="auto"/>
              <w:right w:val="nil"/>
            </w:tcBorders>
            <w:shd w:val="clear" w:color="000000" w:fill="FFFFFF"/>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POTENCIAL</w:t>
            </w:r>
          </w:p>
        </w:tc>
        <w:tc>
          <w:tcPr>
            <w:tcW w:w="735" w:type="pct"/>
            <w:tcBorders>
              <w:top w:val="nil"/>
              <w:left w:val="nil"/>
              <w:bottom w:val="double" w:sz="6"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Oficial</w:t>
            </w:r>
          </w:p>
        </w:tc>
        <w:tc>
          <w:tcPr>
            <w:tcW w:w="399" w:type="pct"/>
            <w:tcBorders>
              <w:top w:val="nil"/>
              <w:left w:val="nil"/>
              <w:bottom w:val="double" w:sz="6"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Privada</w:t>
            </w:r>
          </w:p>
        </w:tc>
        <w:tc>
          <w:tcPr>
            <w:tcW w:w="735" w:type="pct"/>
            <w:tcBorders>
              <w:top w:val="nil"/>
              <w:left w:val="nil"/>
              <w:bottom w:val="double" w:sz="6"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Oficial</w:t>
            </w:r>
          </w:p>
        </w:tc>
        <w:tc>
          <w:tcPr>
            <w:tcW w:w="399" w:type="pct"/>
            <w:tcBorders>
              <w:top w:val="nil"/>
              <w:left w:val="nil"/>
              <w:bottom w:val="double" w:sz="6"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Privada</w:t>
            </w:r>
          </w:p>
        </w:tc>
      </w:tr>
      <w:tr w:rsidR="00C22A42" w:rsidRPr="00A932FC" w:rsidTr="00A932FC">
        <w:trPr>
          <w:trHeight w:val="315"/>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BUENAVISTA</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116</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37</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585</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251</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43</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452</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247</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221</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87</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39</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15"/>
          <w:jc w:val="center"/>
        </w:trPr>
        <w:tc>
          <w:tcPr>
            <w:tcW w:w="744" w:type="pct"/>
            <w:tcBorders>
              <w:top w:val="single" w:sz="4" w:space="0" w:color="auto"/>
              <w:left w:val="nil"/>
              <w:bottom w:val="single" w:sz="8"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1.374</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622</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0</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r w:rsidR="00C22A42" w:rsidRPr="00A932FC" w:rsidTr="00A932FC">
        <w:trPr>
          <w:trHeight w:val="300"/>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lastRenderedPageBreak/>
              <w:t>CALARCA</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1.293</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868</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95</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67</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7</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6.424</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5.468</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428</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7</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5.177</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4.447</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332</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86</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2.719</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1.724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106</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63</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w:t>
            </w:r>
          </w:p>
        </w:tc>
      </w:tr>
      <w:tr w:rsidR="00C22A42" w:rsidRPr="00A932FC" w:rsidTr="00A932FC">
        <w:trPr>
          <w:trHeight w:val="315"/>
          <w:jc w:val="center"/>
        </w:trPr>
        <w:tc>
          <w:tcPr>
            <w:tcW w:w="744" w:type="pct"/>
            <w:tcBorders>
              <w:top w:val="single" w:sz="4" w:space="0" w:color="auto"/>
              <w:left w:val="nil"/>
              <w:bottom w:val="single" w:sz="8"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15.613</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12.507</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961</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r w:rsidR="00C22A42" w:rsidRPr="00A932FC" w:rsidTr="00A932FC">
        <w:trPr>
          <w:trHeight w:val="300"/>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CIRCASIA</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466</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307</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28</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66</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2.326</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2.162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139</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93</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1.911</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1.710</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21</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89</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1.031</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675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15"/>
          <w:jc w:val="center"/>
        </w:trPr>
        <w:tc>
          <w:tcPr>
            <w:tcW w:w="744" w:type="pct"/>
            <w:tcBorders>
              <w:top w:val="single" w:sz="4" w:space="0" w:color="auto"/>
              <w:left w:val="nil"/>
              <w:bottom w:val="single" w:sz="8"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5.734</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4.854</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188</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r w:rsidR="00C22A42" w:rsidRPr="00A932FC" w:rsidTr="00A932FC">
        <w:trPr>
          <w:trHeight w:val="300"/>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CORDOBA</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90</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77</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86</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443</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560</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126</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358</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391</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109</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189</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60</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15"/>
          <w:jc w:val="center"/>
        </w:trPr>
        <w:tc>
          <w:tcPr>
            <w:tcW w:w="744" w:type="pct"/>
            <w:tcBorders>
              <w:top w:val="single" w:sz="4" w:space="0" w:color="auto"/>
              <w:left w:val="nil"/>
              <w:bottom w:val="single" w:sz="8"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1.080</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1.142</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 </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r w:rsidR="00C22A42" w:rsidRPr="00A932FC" w:rsidTr="00A932FC">
        <w:trPr>
          <w:trHeight w:val="300"/>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FILANDIA</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219</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158</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72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1.119</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1.054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975</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823</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510</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304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60</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15"/>
          <w:jc w:val="center"/>
        </w:trPr>
        <w:tc>
          <w:tcPr>
            <w:tcW w:w="744" w:type="pct"/>
            <w:tcBorders>
              <w:top w:val="single" w:sz="4" w:space="0" w:color="auto"/>
              <w:left w:val="nil"/>
              <w:bottom w:val="single" w:sz="8"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2.823</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2.339</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0</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p w:rsidR="00C22A42" w:rsidRPr="00A932FC" w:rsidRDefault="00C22A42" w:rsidP="003D5F04">
            <w:pPr>
              <w:rPr>
                <w:color w:val="000000"/>
                <w:sz w:val="16"/>
                <w:szCs w:val="16"/>
                <w:lang w:eastAsia="es-ES"/>
              </w:rPr>
            </w:pP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r w:rsidR="00C22A42" w:rsidRPr="00A932FC" w:rsidTr="00A932FC">
        <w:trPr>
          <w:trHeight w:val="300"/>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GENOVA</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137</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126</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685</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797</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116</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553</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562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102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292</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179</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61</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15"/>
          <w:jc w:val="center"/>
        </w:trPr>
        <w:tc>
          <w:tcPr>
            <w:tcW w:w="744" w:type="pct"/>
            <w:tcBorders>
              <w:top w:val="single" w:sz="4" w:space="0" w:color="auto"/>
              <w:left w:val="nil"/>
              <w:bottom w:val="single" w:sz="8"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1.667</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1.664</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0</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r w:rsidR="00C22A42" w:rsidRPr="00A932FC" w:rsidTr="00A932FC">
        <w:trPr>
          <w:trHeight w:val="300"/>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LA TEBAIDA</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743</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473</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3.800</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3.068</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81</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3.207</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2.612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81</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1.598</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810</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51</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15"/>
          <w:jc w:val="center"/>
        </w:trPr>
        <w:tc>
          <w:tcPr>
            <w:tcW w:w="744" w:type="pct"/>
            <w:tcBorders>
              <w:top w:val="single" w:sz="4" w:space="0" w:color="auto"/>
              <w:left w:val="nil"/>
              <w:bottom w:val="single" w:sz="8"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9.348</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6.963</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0</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r w:rsidR="00C22A42" w:rsidRPr="00A932FC" w:rsidTr="00A932FC">
        <w:trPr>
          <w:trHeight w:val="300"/>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MONTENEGRO</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701</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599</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3.525</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3.314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2.919</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2.589</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89</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1.522</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830</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15"/>
          <w:jc w:val="center"/>
        </w:trPr>
        <w:tc>
          <w:tcPr>
            <w:tcW w:w="744" w:type="pct"/>
            <w:tcBorders>
              <w:top w:val="single" w:sz="4" w:space="0" w:color="auto"/>
              <w:left w:val="nil"/>
              <w:bottom w:val="single" w:sz="8"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8.667</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7.332</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0</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r w:rsidR="00C22A42" w:rsidRPr="00A932FC" w:rsidTr="00A932FC">
        <w:trPr>
          <w:trHeight w:val="300"/>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PIJAO</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106</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98</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514</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523</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102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420</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569</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135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222</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194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87</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15"/>
          <w:jc w:val="center"/>
        </w:trPr>
        <w:tc>
          <w:tcPr>
            <w:tcW w:w="744" w:type="pct"/>
            <w:tcBorders>
              <w:top w:val="single" w:sz="4" w:space="0" w:color="auto"/>
              <w:left w:val="nil"/>
              <w:bottom w:val="single" w:sz="8"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1.262</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1.384</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0</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r w:rsidR="00C22A42" w:rsidRPr="00A932FC" w:rsidTr="00A932FC">
        <w:trPr>
          <w:trHeight w:val="300"/>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QUIMBAYA</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582</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386</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19</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66</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2.865</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2.735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2.323</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2.211</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1.241</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702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 </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57</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0</w:t>
            </w:r>
          </w:p>
        </w:tc>
      </w:tr>
      <w:tr w:rsidR="00C22A42" w:rsidRPr="00A932FC" w:rsidTr="00A932FC">
        <w:trPr>
          <w:trHeight w:val="315"/>
          <w:jc w:val="center"/>
        </w:trPr>
        <w:tc>
          <w:tcPr>
            <w:tcW w:w="744" w:type="pct"/>
            <w:tcBorders>
              <w:top w:val="single" w:sz="4" w:space="0" w:color="auto"/>
              <w:left w:val="nil"/>
              <w:bottom w:val="single" w:sz="8"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7.011</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6.034</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19</w:t>
            </w:r>
          </w:p>
        </w:tc>
        <w:tc>
          <w:tcPr>
            <w:tcW w:w="735"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399" w:type="pct"/>
            <w:tcBorders>
              <w:top w:val="single" w:sz="4" w:space="0" w:color="auto"/>
              <w:left w:val="nil"/>
              <w:bottom w:val="single" w:sz="8"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r w:rsidR="00C22A42" w:rsidRPr="00A932FC" w:rsidTr="00A932FC">
        <w:trPr>
          <w:trHeight w:val="300"/>
          <w:jc w:val="center"/>
        </w:trPr>
        <w:tc>
          <w:tcPr>
            <w:tcW w:w="744" w:type="pct"/>
            <w:vMerge w:val="restart"/>
            <w:tcBorders>
              <w:top w:val="nil"/>
              <w:left w:val="nil"/>
              <w:bottom w:val="nil"/>
              <w:right w:val="nil"/>
            </w:tcBorders>
            <w:shd w:val="clear" w:color="auto" w:fill="auto"/>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SALENTO</w:t>
            </w: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PRESCOLAR</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129</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102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81</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79</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63</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PRIMARIA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 a 10</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632</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553</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348</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88</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55</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SECUNDARIA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 a 14</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497</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420</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256</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85</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52</w:t>
            </w:r>
          </w:p>
        </w:tc>
      </w:tr>
      <w:tr w:rsidR="00C22A42" w:rsidRPr="00A932FC" w:rsidTr="00A932FC">
        <w:trPr>
          <w:trHeight w:val="300"/>
          <w:jc w:val="center"/>
        </w:trPr>
        <w:tc>
          <w:tcPr>
            <w:tcW w:w="744" w:type="pct"/>
            <w:vMerge/>
            <w:tcBorders>
              <w:top w:val="nil"/>
              <w:left w:val="nil"/>
              <w:bottom w:val="nil"/>
              <w:right w:val="nil"/>
            </w:tcBorders>
            <w:vAlign w:val="center"/>
            <w:hideMark/>
          </w:tcPr>
          <w:p w:rsidR="00C22A42" w:rsidRPr="00A932FC" w:rsidRDefault="00C22A42" w:rsidP="003D5F04">
            <w:pPr>
              <w:rPr>
                <w:color w:val="000000"/>
                <w:sz w:val="16"/>
                <w:szCs w:val="16"/>
                <w:lang w:eastAsia="es-ES"/>
              </w:rPr>
            </w:pPr>
          </w:p>
        </w:tc>
        <w:tc>
          <w:tcPr>
            <w:tcW w:w="692" w:type="pct"/>
            <w:tcBorders>
              <w:top w:val="nil"/>
              <w:left w:val="nil"/>
              <w:bottom w:val="nil"/>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MEDIA</w:t>
            </w:r>
          </w:p>
        </w:tc>
        <w:tc>
          <w:tcPr>
            <w:tcW w:w="641"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15 A 16</w:t>
            </w:r>
          </w:p>
        </w:tc>
        <w:tc>
          <w:tcPr>
            <w:tcW w:w="65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252</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112</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96</w:t>
            </w:r>
          </w:p>
        </w:tc>
        <w:tc>
          <w:tcPr>
            <w:tcW w:w="735"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44</w:t>
            </w:r>
          </w:p>
        </w:tc>
        <w:tc>
          <w:tcPr>
            <w:tcW w:w="399" w:type="pct"/>
            <w:tcBorders>
              <w:top w:val="nil"/>
              <w:left w:val="nil"/>
              <w:bottom w:val="nil"/>
              <w:right w:val="nil"/>
            </w:tcBorders>
            <w:shd w:val="clear" w:color="000000" w:fill="FFFFFF"/>
            <w:noWrap/>
            <w:vAlign w:val="center"/>
            <w:hideMark/>
          </w:tcPr>
          <w:p w:rsidR="00C22A42" w:rsidRPr="00A932FC" w:rsidRDefault="00C22A42" w:rsidP="003D5F04">
            <w:pPr>
              <w:jc w:val="center"/>
              <w:rPr>
                <w:color w:val="000000"/>
                <w:sz w:val="16"/>
                <w:szCs w:val="16"/>
                <w:lang w:eastAsia="es-ES"/>
              </w:rPr>
            </w:pPr>
            <w:r w:rsidRPr="00A932FC">
              <w:rPr>
                <w:color w:val="000000"/>
                <w:sz w:val="16"/>
                <w:szCs w:val="16"/>
                <w:lang w:eastAsia="es-ES"/>
              </w:rPr>
              <w:t>38</w:t>
            </w:r>
          </w:p>
        </w:tc>
      </w:tr>
      <w:tr w:rsidR="00C22A42" w:rsidRPr="00A932FC" w:rsidTr="00A932FC">
        <w:trPr>
          <w:trHeight w:val="315"/>
          <w:jc w:val="center"/>
        </w:trPr>
        <w:tc>
          <w:tcPr>
            <w:tcW w:w="744" w:type="pct"/>
            <w:tcBorders>
              <w:top w:val="single" w:sz="4" w:space="0" w:color="auto"/>
              <w:left w:val="nil"/>
              <w:bottom w:val="double" w:sz="6" w:space="0" w:color="auto"/>
              <w:right w:val="nil"/>
            </w:tcBorders>
            <w:shd w:val="clear" w:color="auto" w:fill="auto"/>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92" w:type="pct"/>
            <w:tcBorders>
              <w:top w:val="single" w:sz="4" w:space="0" w:color="auto"/>
              <w:left w:val="nil"/>
              <w:bottom w:val="double" w:sz="6" w:space="0" w:color="auto"/>
              <w:right w:val="nil"/>
            </w:tcBorders>
            <w:shd w:val="clear" w:color="000000" w:fill="FFFFFF"/>
            <w:noWrap/>
            <w:vAlign w:val="center"/>
            <w:hideMark/>
          </w:tcPr>
          <w:p w:rsidR="00C22A42" w:rsidRPr="00A932FC" w:rsidRDefault="00C22A42" w:rsidP="003D5F04">
            <w:pPr>
              <w:rPr>
                <w:b/>
                <w:bCs/>
                <w:color w:val="000000"/>
                <w:sz w:val="16"/>
                <w:szCs w:val="16"/>
                <w:lang w:eastAsia="es-ES"/>
              </w:rPr>
            </w:pPr>
            <w:r w:rsidRPr="00A932FC">
              <w:rPr>
                <w:b/>
                <w:bCs/>
                <w:color w:val="000000"/>
                <w:sz w:val="16"/>
                <w:szCs w:val="16"/>
                <w:lang w:eastAsia="es-ES"/>
              </w:rPr>
              <w:t xml:space="preserve">         TOTAL</w:t>
            </w:r>
          </w:p>
        </w:tc>
        <w:tc>
          <w:tcPr>
            <w:tcW w:w="641" w:type="pct"/>
            <w:tcBorders>
              <w:top w:val="single" w:sz="4" w:space="0" w:color="auto"/>
              <w:left w:val="nil"/>
              <w:bottom w:val="double" w:sz="6"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655" w:type="pct"/>
            <w:tcBorders>
              <w:top w:val="single" w:sz="4" w:space="0" w:color="auto"/>
              <w:left w:val="nil"/>
              <w:bottom w:val="double" w:sz="6"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1.510</w:t>
            </w:r>
          </w:p>
        </w:tc>
        <w:tc>
          <w:tcPr>
            <w:tcW w:w="735" w:type="pct"/>
            <w:tcBorders>
              <w:top w:val="single" w:sz="4" w:space="0" w:color="auto"/>
              <w:left w:val="nil"/>
              <w:bottom w:val="double" w:sz="6"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1.187</w:t>
            </w:r>
          </w:p>
        </w:tc>
        <w:tc>
          <w:tcPr>
            <w:tcW w:w="399" w:type="pct"/>
            <w:tcBorders>
              <w:top w:val="single" w:sz="4" w:space="0" w:color="auto"/>
              <w:left w:val="nil"/>
              <w:bottom w:val="double" w:sz="6" w:space="0" w:color="auto"/>
              <w:right w:val="nil"/>
            </w:tcBorders>
            <w:shd w:val="clear" w:color="000000" w:fill="FFFFFF"/>
            <w:noWrap/>
            <w:vAlign w:val="center"/>
            <w:hideMark/>
          </w:tcPr>
          <w:p w:rsidR="00C22A42" w:rsidRPr="00A932FC" w:rsidRDefault="00C22A42" w:rsidP="003D5F04">
            <w:pPr>
              <w:jc w:val="center"/>
              <w:rPr>
                <w:b/>
                <w:bCs/>
                <w:color w:val="000000"/>
                <w:sz w:val="16"/>
                <w:szCs w:val="16"/>
                <w:lang w:eastAsia="es-ES"/>
              </w:rPr>
            </w:pPr>
            <w:r w:rsidRPr="00A932FC">
              <w:rPr>
                <w:b/>
                <w:bCs/>
                <w:color w:val="000000"/>
                <w:sz w:val="16"/>
                <w:szCs w:val="16"/>
                <w:lang w:eastAsia="es-ES"/>
              </w:rPr>
              <w:t>781</w:t>
            </w:r>
          </w:p>
        </w:tc>
        <w:tc>
          <w:tcPr>
            <w:tcW w:w="735" w:type="pct"/>
            <w:tcBorders>
              <w:top w:val="single" w:sz="4" w:space="0" w:color="auto"/>
              <w:left w:val="nil"/>
              <w:bottom w:val="double" w:sz="6"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c>
          <w:tcPr>
            <w:tcW w:w="399" w:type="pct"/>
            <w:tcBorders>
              <w:top w:val="single" w:sz="4" w:space="0" w:color="auto"/>
              <w:left w:val="nil"/>
              <w:bottom w:val="double" w:sz="6" w:space="0" w:color="auto"/>
              <w:right w:val="nil"/>
            </w:tcBorders>
            <w:shd w:val="clear" w:color="000000" w:fill="FFFFFF"/>
            <w:noWrap/>
            <w:vAlign w:val="center"/>
            <w:hideMark/>
          </w:tcPr>
          <w:p w:rsidR="00C22A42" w:rsidRPr="00A932FC" w:rsidRDefault="00C22A42" w:rsidP="003D5F04">
            <w:pPr>
              <w:rPr>
                <w:color w:val="000000"/>
                <w:sz w:val="16"/>
                <w:szCs w:val="16"/>
                <w:lang w:eastAsia="es-ES"/>
              </w:rPr>
            </w:pPr>
            <w:r w:rsidRPr="00A932FC">
              <w:rPr>
                <w:color w:val="000000"/>
                <w:sz w:val="16"/>
                <w:szCs w:val="16"/>
                <w:lang w:eastAsia="es-ES"/>
              </w:rPr>
              <w:t> </w:t>
            </w:r>
          </w:p>
        </w:tc>
      </w:tr>
    </w:tbl>
    <w:p w:rsidR="00C22A42" w:rsidRPr="009358B3" w:rsidRDefault="00C22A42" w:rsidP="00C22A42">
      <w:pPr>
        <w:rPr>
          <w:color w:val="000000"/>
          <w:sz w:val="18"/>
          <w:szCs w:val="18"/>
          <w:lang w:eastAsia="es-ES"/>
        </w:rPr>
      </w:pPr>
      <w:r w:rsidRPr="009121CF">
        <w:rPr>
          <w:color w:val="000000"/>
          <w:sz w:val="18"/>
          <w:szCs w:val="18"/>
          <w:lang w:eastAsia="es-ES"/>
        </w:rPr>
        <w:t>Fuente: Ministerio de Educación, SIMAT. Con corte al 31 de Julio 2013</w:t>
      </w:r>
      <w:r>
        <w:rPr>
          <w:color w:val="000000"/>
          <w:sz w:val="18"/>
          <w:szCs w:val="18"/>
          <w:lang w:eastAsia="es-ES"/>
        </w:rPr>
        <w:t>.</w:t>
      </w:r>
    </w:p>
    <w:p w:rsidR="00C22A42" w:rsidRDefault="00C22A42" w:rsidP="00C22A42">
      <w:pPr>
        <w:spacing w:after="5" w:line="244" w:lineRule="auto"/>
        <w:jc w:val="center"/>
      </w:pPr>
    </w:p>
    <w:p w:rsidR="00C22A42" w:rsidRDefault="00C22A42" w:rsidP="00C22A42">
      <w:pPr>
        <w:spacing w:after="5" w:line="244" w:lineRule="auto"/>
        <w:jc w:val="center"/>
      </w:pPr>
    </w:p>
    <w:p w:rsidR="008F0683" w:rsidRDefault="008F0683" w:rsidP="00C22A42">
      <w:pPr>
        <w:spacing w:after="5" w:line="244" w:lineRule="auto"/>
        <w:jc w:val="center"/>
      </w:pPr>
    </w:p>
    <w:p w:rsidR="00C22A42" w:rsidRPr="00A932FC" w:rsidRDefault="00C22A42" w:rsidP="00590AA9">
      <w:pPr>
        <w:spacing w:after="5" w:line="244" w:lineRule="auto"/>
      </w:pPr>
      <w:r w:rsidRPr="00A932FC">
        <w:t>Gráfico 2.3</w:t>
      </w:r>
    </w:p>
    <w:p w:rsidR="00C22A42" w:rsidRPr="00A932FC" w:rsidRDefault="00C22A42" w:rsidP="00590AA9">
      <w:pPr>
        <w:spacing w:after="5" w:line="244" w:lineRule="auto"/>
      </w:pPr>
      <w:r w:rsidRPr="00A932FC">
        <w:t>Tasas de cobertura bruta y neta según rangos de edad</w:t>
      </w:r>
    </w:p>
    <w:p w:rsidR="00C22A42" w:rsidRPr="00A932FC" w:rsidRDefault="00C22A42" w:rsidP="00590AA9">
      <w:pPr>
        <w:spacing w:after="5" w:line="244" w:lineRule="auto"/>
      </w:pPr>
      <w:r w:rsidRPr="00A932FC">
        <w:t>Julio 2013</w:t>
      </w:r>
    </w:p>
    <w:p w:rsidR="00C22A42" w:rsidRPr="00766DEA" w:rsidRDefault="00C22A42" w:rsidP="000424B0">
      <w:pPr>
        <w:jc w:val="both"/>
      </w:pPr>
    </w:p>
    <w:p w:rsidR="00C22A42" w:rsidRDefault="00C22A42" w:rsidP="000424B0">
      <w:r w:rsidRPr="00766DEA">
        <w:rPr>
          <w:noProof/>
        </w:rPr>
        <w:drawing>
          <wp:inline distT="0" distB="0" distL="0" distR="0" wp14:anchorId="593A9C45" wp14:editId="3889EF7D">
            <wp:extent cx="3990975" cy="2381250"/>
            <wp:effectExtent l="0" t="0" r="9525"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22A42" w:rsidRDefault="00C22A42" w:rsidP="000424B0">
      <w:pPr>
        <w:rPr>
          <w:sz w:val="18"/>
          <w:szCs w:val="18"/>
        </w:rPr>
      </w:pPr>
      <w:r w:rsidRPr="00BD184F">
        <w:rPr>
          <w:sz w:val="18"/>
          <w:szCs w:val="18"/>
        </w:rPr>
        <w:t>Fuente: Secretaria  de Edu</w:t>
      </w:r>
      <w:r>
        <w:rPr>
          <w:sz w:val="18"/>
          <w:szCs w:val="18"/>
        </w:rPr>
        <w:t>cación, Ministerio de Educación.</w:t>
      </w:r>
      <w:r w:rsidRPr="00BD184F">
        <w:rPr>
          <w:sz w:val="18"/>
          <w:szCs w:val="18"/>
        </w:rPr>
        <w:t xml:space="preserve"> </w:t>
      </w:r>
      <w:proofErr w:type="spellStart"/>
      <w:r w:rsidRPr="00BD184F">
        <w:rPr>
          <w:sz w:val="18"/>
          <w:szCs w:val="18"/>
        </w:rPr>
        <w:t>Simat</w:t>
      </w:r>
      <w:proofErr w:type="spellEnd"/>
      <w:r w:rsidRPr="00BD184F">
        <w:rPr>
          <w:sz w:val="18"/>
          <w:szCs w:val="18"/>
        </w:rPr>
        <w:t>, vigencia Julio 2013.</w:t>
      </w:r>
    </w:p>
    <w:p w:rsidR="00C22A42" w:rsidRDefault="00C22A42" w:rsidP="00C22A42">
      <w:pPr>
        <w:spacing w:line="480" w:lineRule="auto"/>
        <w:jc w:val="center"/>
      </w:pPr>
    </w:p>
    <w:p w:rsidR="00C22A42" w:rsidRDefault="00C22A42" w:rsidP="00C22A42">
      <w:pPr>
        <w:spacing w:after="5" w:line="360" w:lineRule="auto"/>
        <w:jc w:val="both"/>
      </w:pPr>
      <w:r>
        <w:t xml:space="preserve">     La tasa de cobertura b</w:t>
      </w:r>
      <w:r w:rsidRPr="00766DEA">
        <w:t>ruta  para los o</w:t>
      </w:r>
      <w:r>
        <w:t>nce municipios del d</w:t>
      </w:r>
      <w:r w:rsidRPr="00766DEA">
        <w:t>epartamento del Quindío es del 86% para la vigencia 2013, esta es s</w:t>
      </w:r>
      <w:r>
        <w:t>uperior a la tasa de cobertura n</w:t>
      </w:r>
      <w:r w:rsidRPr="00766DEA">
        <w:t xml:space="preserve">eta, la cual es del  66%. </w:t>
      </w:r>
      <w:r>
        <w:lastRenderedPageBreak/>
        <w:t>La  educación m</w:t>
      </w:r>
      <w:r w:rsidRPr="00766DEA">
        <w:t>edia y el  nivel de preescolar presentan las menores tasas de cobertura tanto bruta como neta, siendo el nivel de educación media el que tiene menos cobertura con una tasa bruta del 61% y neta del 42%. La cobertura en los niveles de primaria y secundaria es la que más se acerca al cumplimiento de este objetivo, sin embargo no alcanza los niveles del 100% de su cumplimiento.</w:t>
      </w:r>
    </w:p>
    <w:p w:rsidR="00C22A42" w:rsidRPr="00766DEA" w:rsidRDefault="00C22A42" w:rsidP="00C22A42">
      <w:pPr>
        <w:spacing w:after="5" w:line="360" w:lineRule="auto"/>
        <w:jc w:val="both"/>
      </w:pPr>
    </w:p>
    <w:p w:rsidR="00C22A42" w:rsidRDefault="00C22A42" w:rsidP="00C22A42">
      <w:pPr>
        <w:spacing w:after="5" w:line="244" w:lineRule="auto"/>
        <w:jc w:val="center"/>
      </w:pPr>
    </w:p>
    <w:p w:rsidR="00C22A42" w:rsidRPr="008F0683" w:rsidRDefault="00D703A3" w:rsidP="000410FB">
      <w:pPr>
        <w:spacing w:after="5" w:line="244" w:lineRule="auto"/>
      </w:pPr>
      <w:r>
        <w:t>Tabla</w:t>
      </w:r>
      <w:r w:rsidR="00C22A42" w:rsidRPr="008F0683">
        <w:t xml:space="preserve"> 2.4</w:t>
      </w:r>
    </w:p>
    <w:p w:rsidR="00C22A42" w:rsidRPr="008F0683" w:rsidRDefault="00C22A42" w:rsidP="000410FB">
      <w:pPr>
        <w:rPr>
          <w:bCs/>
          <w:lang w:eastAsia="es-ES"/>
        </w:rPr>
      </w:pPr>
      <w:r w:rsidRPr="008F0683">
        <w:rPr>
          <w:bCs/>
          <w:lang w:eastAsia="es-ES"/>
        </w:rPr>
        <w:t>Tasas brutas y netas por rangos de edad, niveles de educación y municipios</w:t>
      </w:r>
    </w:p>
    <w:p w:rsidR="00C22A42" w:rsidRPr="008F0683" w:rsidRDefault="00C22A42" w:rsidP="000410FB">
      <w:pPr>
        <w:spacing w:after="5" w:line="244" w:lineRule="auto"/>
      </w:pPr>
      <w:r w:rsidRPr="008F0683">
        <w:t>2013</w:t>
      </w:r>
    </w:p>
    <w:p w:rsidR="00C22A42" w:rsidRPr="00766DEA" w:rsidRDefault="00C22A42" w:rsidP="00C22A42">
      <w:pPr>
        <w:spacing w:after="5" w:line="244" w:lineRule="auto"/>
        <w:jc w:val="center"/>
      </w:pPr>
    </w:p>
    <w:tbl>
      <w:tblPr>
        <w:tblW w:w="8435" w:type="dxa"/>
        <w:tblCellMar>
          <w:left w:w="70" w:type="dxa"/>
          <w:right w:w="70" w:type="dxa"/>
        </w:tblCellMar>
        <w:tblLook w:val="04A0" w:firstRow="1" w:lastRow="0" w:firstColumn="1" w:lastColumn="0" w:noHBand="0" w:noVBand="1"/>
      </w:tblPr>
      <w:tblGrid>
        <w:gridCol w:w="1680"/>
        <w:gridCol w:w="904"/>
        <w:gridCol w:w="815"/>
        <w:gridCol w:w="904"/>
        <w:gridCol w:w="820"/>
        <w:gridCol w:w="904"/>
        <w:gridCol w:w="760"/>
        <w:gridCol w:w="904"/>
        <w:gridCol w:w="744"/>
      </w:tblGrid>
      <w:tr w:rsidR="00C22A42" w:rsidRPr="008F0683" w:rsidTr="000410FB">
        <w:trPr>
          <w:trHeight w:val="353"/>
        </w:trPr>
        <w:tc>
          <w:tcPr>
            <w:tcW w:w="1680" w:type="dxa"/>
            <w:vMerge w:val="restart"/>
            <w:tcBorders>
              <w:top w:val="single" w:sz="4" w:space="0" w:color="auto"/>
              <w:left w:val="nil"/>
              <w:bottom w:val="single" w:sz="4" w:space="0" w:color="000000"/>
              <w:right w:val="nil"/>
            </w:tcBorders>
            <w:shd w:val="clear" w:color="auto" w:fill="auto"/>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MUNICIPIOS</w:t>
            </w:r>
          </w:p>
        </w:tc>
        <w:tc>
          <w:tcPr>
            <w:tcW w:w="1719" w:type="dxa"/>
            <w:gridSpan w:val="2"/>
            <w:tcBorders>
              <w:top w:val="single" w:sz="4" w:space="0" w:color="auto"/>
              <w:left w:val="nil"/>
              <w:bottom w:val="nil"/>
              <w:right w:val="nil"/>
            </w:tcBorders>
            <w:shd w:val="clear" w:color="auto" w:fill="auto"/>
            <w:noWrap/>
            <w:vAlign w:val="center"/>
            <w:hideMark/>
          </w:tcPr>
          <w:p w:rsidR="008F0683" w:rsidRDefault="00C22A42" w:rsidP="008F0683">
            <w:pPr>
              <w:jc w:val="center"/>
              <w:rPr>
                <w:b/>
                <w:bCs/>
                <w:color w:val="000000"/>
                <w:sz w:val="20"/>
                <w:szCs w:val="20"/>
                <w:lang w:eastAsia="es-ES"/>
              </w:rPr>
            </w:pPr>
            <w:r w:rsidRPr="008F0683">
              <w:rPr>
                <w:b/>
                <w:bCs/>
                <w:color w:val="000000"/>
                <w:sz w:val="20"/>
                <w:szCs w:val="20"/>
                <w:lang w:eastAsia="es-ES"/>
              </w:rPr>
              <w:t>PREESCOLAR</w:t>
            </w:r>
          </w:p>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5 AÑOS</w:t>
            </w:r>
          </w:p>
        </w:tc>
        <w:tc>
          <w:tcPr>
            <w:tcW w:w="1724" w:type="dxa"/>
            <w:gridSpan w:val="2"/>
            <w:tcBorders>
              <w:top w:val="single" w:sz="4" w:space="0" w:color="auto"/>
              <w:left w:val="nil"/>
              <w:bottom w:val="nil"/>
              <w:right w:val="nil"/>
            </w:tcBorders>
            <w:shd w:val="clear" w:color="auto" w:fill="auto"/>
            <w:noWrap/>
            <w:vAlign w:val="center"/>
            <w:hideMark/>
          </w:tcPr>
          <w:p w:rsidR="008F0683" w:rsidRDefault="00C22A42" w:rsidP="008F0683">
            <w:pPr>
              <w:jc w:val="center"/>
              <w:rPr>
                <w:b/>
                <w:bCs/>
                <w:color w:val="000000"/>
                <w:sz w:val="20"/>
                <w:szCs w:val="20"/>
                <w:lang w:eastAsia="es-ES"/>
              </w:rPr>
            </w:pPr>
            <w:r w:rsidRPr="008F0683">
              <w:rPr>
                <w:b/>
                <w:bCs/>
                <w:color w:val="000000"/>
                <w:sz w:val="20"/>
                <w:szCs w:val="20"/>
                <w:lang w:eastAsia="es-ES"/>
              </w:rPr>
              <w:t>PRIMARIA</w:t>
            </w:r>
          </w:p>
          <w:p w:rsidR="00C22A42" w:rsidRPr="008F0683" w:rsidRDefault="008F0683" w:rsidP="008F0683">
            <w:pPr>
              <w:jc w:val="center"/>
              <w:rPr>
                <w:b/>
                <w:bCs/>
                <w:color w:val="000000"/>
                <w:sz w:val="20"/>
                <w:szCs w:val="20"/>
                <w:lang w:eastAsia="es-ES"/>
              </w:rPr>
            </w:pPr>
            <w:r w:rsidRPr="008F0683">
              <w:rPr>
                <w:b/>
                <w:bCs/>
                <w:color w:val="000000"/>
                <w:sz w:val="20"/>
                <w:szCs w:val="20"/>
                <w:lang w:eastAsia="es-ES"/>
              </w:rPr>
              <w:t>6-10</w:t>
            </w:r>
            <w:r>
              <w:rPr>
                <w:b/>
                <w:bCs/>
                <w:color w:val="000000"/>
                <w:sz w:val="20"/>
                <w:szCs w:val="20"/>
                <w:lang w:eastAsia="es-ES"/>
              </w:rPr>
              <w:t xml:space="preserve"> </w:t>
            </w:r>
            <w:r w:rsidR="00C22A42" w:rsidRPr="008F0683">
              <w:rPr>
                <w:b/>
                <w:bCs/>
                <w:color w:val="000000"/>
                <w:sz w:val="20"/>
                <w:szCs w:val="20"/>
                <w:lang w:eastAsia="es-ES"/>
              </w:rPr>
              <w:t>AÑOS</w:t>
            </w:r>
          </w:p>
        </w:tc>
        <w:tc>
          <w:tcPr>
            <w:tcW w:w="1664" w:type="dxa"/>
            <w:gridSpan w:val="2"/>
            <w:tcBorders>
              <w:top w:val="single" w:sz="4" w:space="0" w:color="auto"/>
              <w:left w:val="nil"/>
              <w:bottom w:val="nil"/>
              <w:right w:val="nil"/>
            </w:tcBorders>
            <w:shd w:val="clear" w:color="auto" w:fill="auto"/>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SECUNDARIA 11 -14 AÑOS</w:t>
            </w:r>
          </w:p>
        </w:tc>
        <w:tc>
          <w:tcPr>
            <w:tcW w:w="1648" w:type="dxa"/>
            <w:gridSpan w:val="2"/>
            <w:tcBorders>
              <w:top w:val="single" w:sz="4" w:space="0" w:color="auto"/>
              <w:left w:val="nil"/>
              <w:bottom w:val="nil"/>
              <w:right w:val="nil"/>
            </w:tcBorders>
            <w:shd w:val="clear" w:color="auto" w:fill="auto"/>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MEDIA 15-16 AÑOS</w:t>
            </w:r>
          </w:p>
        </w:tc>
      </w:tr>
      <w:tr w:rsidR="00C22A42" w:rsidRPr="008F0683" w:rsidTr="000410FB">
        <w:trPr>
          <w:trHeight w:val="370"/>
        </w:trPr>
        <w:tc>
          <w:tcPr>
            <w:tcW w:w="1680" w:type="dxa"/>
            <w:vMerge/>
            <w:tcBorders>
              <w:top w:val="single" w:sz="4" w:space="0" w:color="auto"/>
              <w:left w:val="nil"/>
              <w:bottom w:val="single" w:sz="4" w:space="0" w:color="000000"/>
              <w:right w:val="nil"/>
            </w:tcBorders>
            <w:vAlign w:val="center"/>
            <w:hideMark/>
          </w:tcPr>
          <w:p w:rsidR="00C22A42" w:rsidRPr="008F0683" w:rsidRDefault="00C22A42" w:rsidP="008F0683">
            <w:pPr>
              <w:jc w:val="center"/>
              <w:rPr>
                <w:b/>
                <w:bCs/>
                <w:color w:val="000000"/>
                <w:sz w:val="20"/>
                <w:szCs w:val="20"/>
                <w:lang w:eastAsia="es-ES"/>
              </w:rPr>
            </w:pPr>
          </w:p>
        </w:tc>
        <w:tc>
          <w:tcPr>
            <w:tcW w:w="904" w:type="dxa"/>
            <w:tcBorders>
              <w:top w:val="nil"/>
              <w:left w:val="nil"/>
              <w:bottom w:val="single" w:sz="4" w:space="0" w:color="auto"/>
              <w:right w:val="nil"/>
            </w:tcBorders>
            <w:shd w:val="clear" w:color="auto" w:fill="auto"/>
            <w:noWrap/>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BRUTA</w:t>
            </w:r>
          </w:p>
        </w:tc>
        <w:tc>
          <w:tcPr>
            <w:tcW w:w="814" w:type="dxa"/>
            <w:tcBorders>
              <w:top w:val="nil"/>
              <w:left w:val="nil"/>
              <w:bottom w:val="single" w:sz="4" w:space="0" w:color="auto"/>
              <w:right w:val="nil"/>
            </w:tcBorders>
            <w:shd w:val="clear" w:color="auto" w:fill="auto"/>
            <w:noWrap/>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NETA</w:t>
            </w:r>
          </w:p>
        </w:tc>
        <w:tc>
          <w:tcPr>
            <w:tcW w:w="904" w:type="dxa"/>
            <w:tcBorders>
              <w:top w:val="nil"/>
              <w:left w:val="nil"/>
              <w:bottom w:val="single" w:sz="4" w:space="0" w:color="auto"/>
              <w:right w:val="nil"/>
            </w:tcBorders>
            <w:shd w:val="clear" w:color="auto" w:fill="auto"/>
            <w:noWrap/>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BRUTA</w:t>
            </w:r>
          </w:p>
        </w:tc>
        <w:tc>
          <w:tcPr>
            <w:tcW w:w="819" w:type="dxa"/>
            <w:tcBorders>
              <w:top w:val="nil"/>
              <w:left w:val="nil"/>
              <w:bottom w:val="single" w:sz="4" w:space="0" w:color="auto"/>
              <w:right w:val="nil"/>
            </w:tcBorders>
            <w:shd w:val="clear" w:color="auto" w:fill="auto"/>
            <w:noWrap/>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NETA</w:t>
            </w:r>
          </w:p>
        </w:tc>
        <w:tc>
          <w:tcPr>
            <w:tcW w:w="904" w:type="dxa"/>
            <w:tcBorders>
              <w:top w:val="nil"/>
              <w:left w:val="nil"/>
              <w:bottom w:val="single" w:sz="4" w:space="0" w:color="auto"/>
              <w:right w:val="nil"/>
            </w:tcBorders>
            <w:shd w:val="clear" w:color="auto" w:fill="auto"/>
            <w:noWrap/>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BRUTA</w:t>
            </w:r>
          </w:p>
        </w:tc>
        <w:tc>
          <w:tcPr>
            <w:tcW w:w="760" w:type="dxa"/>
            <w:tcBorders>
              <w:top w:val="nil"/>
              <w:left w:val="nil"/>
              <w:bottom w:val="single" w:sz="4" w:space="0" w:color="auto"/>
              <w:right w:val="nil"/>
            </w:tcBorders>
            <w:shd w:val="clear" w:color="auto" w:fill="auto"/>
            <w:noWrap/>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NETA</w:t>
            </w:r>
          </w:p>
        </w:tc>
        <w:tc>
          <w:tcPr>
            <w:tcW w:w="904" w:type="dxa"/>
            <w:tcBorders>
              <w:top w:val="nil"/>
              <w:left w:val="nil"/>
              <w:bottom w:val="single" w:sz="4" w:space="0" w:color="auto"/>
              <w:right w:val="nil"/>
            </w:tcBorders>
            <w:shd w:val="clear" w:color="auto" w:fill="auto"/>
            <w:noWrap/>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BRUTA</w:t>
            </w:r>
          </w:p>
        </w:tc>
        <w:tc>
          <w:tcPr>
            <w:tcW w:w="743" w:type="dxa"/>
            <w:tcBorders>
              <w:top w:val="nil"/>
              <w:left w:val="nil"/>
              <w:bottom w:val="single" w:sz="4" w:space="0" w:color="auto"/>
              <w:right w:val="nil"/>
            </w:tcBorders>
            <w:shd w:val="clear" w:color="auto" w:fill="auto"/>
            <w:noWrap/>
            <w:vAlign w:val="center"/>
            <w:hideMark/>
          </w:tcPr>
          <w:p w:rsidR="00C22A42" w:rsidRPr="008F0683" w:rsidRDefault="00C22A42" w:rsidP="008F0683">
            <w:pPr>
              <w:jc w:val="center"/>
              <w:rPr>
                <w:b/>
                <w:bCs/>
                <w:color w:val="000000"/>
                <w:sz w:val="20"/>
                <w:szCs w:val="20"/>
                <w:lang w:eastAsia="es-ES"/>
              </w:rPr>
            </w:pPr>
            <w:r w:rsidRPr="008F0683">
              <w:rPr>
                <w:b/>
                <w:bCs/>
                <w:color w:val="000000"/>
                <w:sz w:val="20"/>
                <w:szCs w:val="20"/>
                <w:lang w:eastAsia="es-ES"/>
              </w:rPr>
              <w:t>NETA</w:t>
            </w:r>
          </w:p>
        </w:tc>
      </w:tr>
      <w:tr w:rsidR="00C22A42" w:rsidRPr="008F0683" w:rsidTr="000410FB">
        <w:trPr>
          <w:trHeight w:val="370"/>
        </w:trPr>
        <w:tc>
          <w:tcPr>
            <w:tcW w:w="1680" w:type="dxa"/>
            <w:tcBorders>
              <w:top w:val="nil"/>
              <w:left w:val="nil"/>
              <w:bottom w:val="nil"/>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BUENAVISTA</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32%</w:t>
            </w:r>
          </w:p>
        </w:tc>
        <w:tc>
          <w:tcPr>
            <w:tcW w:w="81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43%</w:t>
            </w:r>
          </w:p>
        </w:tc>
        <w:tc>
          <w:tcPr>
            <w:tcW w:w="819"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33%</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55%</w:t>
            </w:r>
          </w:p>
        </w:tc>
        <w:tc>
          <w:tcPr>
            <w:tcW w:w="760"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38%</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39%</w:t>
            </w:r>
          </w:p>
        </w:tc>
        <w:tc>
          <w:tcPr>
            <w:tcW w:w="743"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28%</w:t>
            </w:r>
          </w:p>
        </w:tc>
      </w:tr>
      <w:tr w:rsidR="00C22A42" w:rsidRPr="008F0683" w:rsidTr="000410FB">
        <w:trPr>
          <w:trHeight w:val="370"/>
        </w:trPr>
        <w:tc>
          <w:tcPr>
            <w:tcW w:w="1680" w:type="dxa"/>
            <w:tcBorders>
              <w:top w:val="nil"/>
              <w:left w:val="nil"/>
              <w:bottom w:val="nil"/>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CALARCA</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74%</w:t>
            </w:r>
          </w:p>
        </w:tc>
        <w:tc>
          <w:tcPr>
            <w:tcW w:w="81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43%</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92%</w:t>
            </w:r>
          </w:p>
        </w:tc>
        <w:tc>
          <w:tcPr>
            <w:tcW w:w="819"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76%</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92%</w:t>
            </w:r>
          </w:p>
        </w:tc>
        <w:tc>
          <w:tcPr>
            <w:tcW w:w="760"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75%</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67%</w:t>
            </w:r>
          </w:p>
        </w:tc>
        <w:tc>
          <w:tcPr>
            <w:tcW w:w="743"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46%</w:t>
            </w:r>
          </w:p>
        </w:tc>
      </w:tr>
      <w:tr w:rsidR="00C22A42" w:rsidRPr="008F0683" w:rsidTr="000410FB">
        <w:trPr>
          <w:trHeight w:val="370"/>
        </w:trPr>
        <w:tc>
          <w:tcPr>
            <w:tcW w:w="1680" w:type="dxa"/>
            <w:tcBorders>
              <w:top w:val="nil"/>
              <w:left w:val="nil"/>
              <w:bottom w:val="nil"/>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CIRCASIA</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72%</w:t>
            </w:r>
          </w:p>
        </w:tc>
        <w:tc>
          <w:tcPr>
            <w:tcW w:w="81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34%</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99%</w:t>
            </w:r>
          </w:p>
        </w:tc>
        <w:tc>
          <w:tcPr>
            <w:tcW w:w="819"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79%</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91%</w:t>
            </w:r>
          </w:p>
        </w:tc>
        <w:tc>
          <w:tcPr>
            <w:tcW w:w="760"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71%</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65%</w:t>
            </w:r>
          </w:p>
        </w:tc>
        <w:tc>
          <w:tcPr>
            <w:tcW w:w="743"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45%</w:t>
            </w:r>
          </w:p>
        </w:tc>
      </w:tr>
      <w:tr w:rsidR="00C22A42" w:rsidRPr="008F0683" w:rsidTr="000410FB">
        <w:trPr>
          <w:trHeight w:val="370"/>
        </w:trPr>
        <w:tc>
          <w:tcPr>
            <w:tcW w:w="1680" w:type="dxa"/>
            <w:tcBorders>
              <w:top w:val="nil"/>
              <w:left w:val="nil"/>
              <w:bottom w:val="nil"/>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CORDOBA</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86%</w:t>
            </w:r>
          </w:p>
        </w:tc>
        <w:tc>
          <w:tcPr>
            <w:tcW w:w="81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51%</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126%</w:t>
            </w:r>
          </w:p>
        </w:tc>
        <w:tc>
          <w:tcPr>
            <w:tcW w:w="819"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98%</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109%</w:t>
            </w:r>
          </w:p>
        </w:tc>
        <w:tc>
          <w:tcPr>
            <w:tcW w:w="760"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80%</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60%</w:t>
            </w:r>
          </w:p>
        </w:tc>
        <w:tc>
          <w:tcPr>
            <w:tcW w:w="743"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43%</w:t>
            </w:r>
          </w:p>
        </w:tc>
      </w:tr>
      <w:tr w:rsidR="00C22A42" w:rsidRPr="008F0683" w:rsidTr="000410FB">
        <w:trPr>
          <w:trHeight w:val="370"/>
        </w:trPr>
        <w:tc>
          <w:tcPr>
            <w:tcW w:w="1680" w:type="dxa"/>
            <w:tcBorders>
              <w:top w:val="nil"/>
              <w:left w:val="nil"/>
              <w:bottom w:val="nil"/>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FILANDIA</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72%</w:t>
            </w:r>
          </w:p>
        </w:tc>
        <w:tc>
          <w:tcPr>
            <w:tcW w:w="81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40%</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94%</w:t>
            </w:r>
          </w:p>
        </w:tc>
        <w:tc>
          <w:tcPr>
            <w:tcW w:w="819"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76%</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84%</w:t>
            </w:r>
          </w:p>
        </w:tc>
        <w:tc>
          <w:tcPr>
            <w:tcW w:w="760"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68%</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60%</w:t>
            </w:r>
          </w:p>
        </w:tc>
        <w:tc>
          <w:tcPr>
            <w:tcW w:w="743"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41%</w:t>
            </w:r>
          </w:p>
        </w:tc>
      </w:tr>
      <w:tr w:rsidR="00C22A42" w:rsidRPr="008F0683" w:rsidTr="000410FB">
        <w:trPr>
          <w:trHeight w:val="370"/>
        </w:trPr>
        <w:tc>
          <w:tcPr>
            <w:tcW w:w="1680" w:type="dxa"/>
            <w:tcBorders>
              <w:top w:val="nil"/>
              <w:left w:val="nil"/>
              <w:bottom w:val="nil"/>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GENOVA</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92%</w:t>
            </w:r>
          </w:p>
        </w:tc>
        <w:tc>
          <w:tcPr>
            <w:tcW w:w="81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44%</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116%</w:t>
            </w:r>
          </w:p>
        </w:tc>
        <w:tc>
          <w:tcPr>
            <w:tcW w:w="819"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91%</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102%</w:t>
            </w:r>
          </w:p>
        </w:tc>
        <w:tc>
          <w:tcPr>
            <w:tcW w:w="760"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75%</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61%</w:t>
            </w:r>
          </w:p>
        </w:tc>
        <w:tc>
          <w:tcPr>
            <w:tcW w:w="743"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42%</w:t>
            </w:r>
          </w:p>
        </w:tc>
      </w:tr>
      <w:tr w:rsidR="00C22A42" w:rsidRPr="008F0683" w:rsidTr="000410FB">
        <w:trPr>
          <w:trHeight w:val="370"/>
        </w:trPr>
        <w:tc>
          <w:tcPr>
            <w:tcW w:w="1680" w:type="dxa"/>
            <w:tcBorders>
              <w:top w:val="nil"/>
              <w:left w:val="nil"/>
              <w:bottom w:val="nil"/>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LA TEBAIDA</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64%</w:t>
            </w:r>
          </w:p>
        </w:tc>
        <w:tc>
          <w:tcPr>
            <w:tcW w:w="81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39%</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81%</w:t>
            </w:r>
          </w:p>
        </w:tc>
        <w:tc>
          <w:tcPr>
            <w:tcW w:w="819"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66%</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81%</w:t>
            </w:r>
          </w:p>
        </w:tc>
        <w:tc>
          <w:tcPr>
            <w:tcW w:w="760"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65%</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51%</w:t>
            </w:r>
          </w:p>
        </w:tc>
        <w:tc>
          <w:tcPr>
            <w:tcW w:w="743"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36%</w:t>
            </w:r>
          </w:p>
        </w:tc>
      </w:tr>
      <w:tr w:rsidR="00C22A42" w:rsidRPr="008F0683" w:rsidTr="000410FB">
        <w:trPr>
          <w:trHeight w:val="370"/>
        </w:trPr>
        <w:tc>
          <w:tcPr>
            <w:tcW w:w="1680" w:type="dxa"/>
            <w:tcBorders>
              <w:top w:val="nil"/>
              <w:left w:val="nil"/>
              <w:bottom w:val="nil"/>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PIJAO</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92%</w:t>
            </w:r>
          </w:p>
        </w:tc>
        <w:tc>
          <w:tcPr>
            <w:tcW w:w="81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45%</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102%</w:t>
            </w:r>
          </w:p>
        </w:tc>
        <w:tc>
          <w:tcPr>
            <w:tcW w:w="819"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80%</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135%</w:t>
            </w:r>
          </w:p>
        </w:tc>
        <w:tc>
          <w:tcPr>
            <w:tcW w:w="760"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106%</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87%</w:t>
            </w:r>
          </w:p>
        </w:tc>
        <w:tc>
          <w:tcPr>
            <w:tcW w:w="743"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63%</w:t>
            </w:r>
          </w:p>
        </w:tc>
      </w:tr>
      <w:tr w:rsidR="00C22A42" w:rsidRPr="008F0683" w:rsidTr="000410FB">
        <w:trPr>
          <w:trHeight w:val="370"/>
        </w:trPr>
        <w:tc>
          <w:tcPr>
            <w:tcW w:w="1680" w:type="dxa"/>
            <w:tcBorders>
              <w:top w:val="nil"/>
              <w:left w:val="nil"/>
              <w:bottom w:val="nil"/>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QUIMBAYA</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70%</w:t>
            </w:r>
          </w:p>
        </w:tc>
        <w:tc>
          <w:tcPr>
            <w:tcW w:w="81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36%</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95%</w:t>
            </w:r>
          </w:p>
        </w:tc>
        <w:tc>
          <w:tcPr>
            <w:tcW w:w="819"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78%</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95%</w:t>
            </w:r>
          </w:p>
        </w:tc>
        <w:tc>
          <w:tcPr>
            <w:tcW w:w="760"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74%</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57%</w:t>
            </w:r>
          </w:p>
        </w:tc>
        <w:tc>
          <w:tcPr>
            <w:tcW w:w="743"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39%</w:t>
            </w:r>
          </w:p>
        </w:tc>
      </w:tr>
      <w:tr w:rsidR="00C22A42" w:rsidRPr="008F0683" w:rsidTr="000410FB">
        <w:trPr>
          <w:trHeight w:val="370"/>
        </w:trPr>
        <w:tc>
          <w:tcPr>
            <w:tcW w:w="1680" w:type="dxa"/>
            <w:tcBorders>
              <w:top w:val="nil"/>
              <w:left w:val="nil"/>
              <w:bottom w:val="nil"/>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SALENTO</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142%</w:t>
            </w:r>
          </w:p>
        </w:tc>
        <w:tc>
          <w:tcPr>
            <w:tcW w:w="81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74%</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143%</w:t>
            </w:r>
          </w:p>
        </w:tc>
        <w:tc>
          <w:tcPr>
            <w:tcW w:w="819"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114%</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136%</w:t>
            </w:r>
          </w:p>
        </w:tc>
        <w:tc>
          <w:tcPr>
            <w:tcW w:w="760"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110%</w:t>
            </w:r>
          </w:p>
        </w:tc>
        <w:tc>
          <w:tcPr>
            <w:tcW w:w="904"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83%</w:t>
            </w:r>
          </w:p>
        </w:tc>
        <w:tc>
          <w:tcPr>
            <w:tcW w:w="743" w:type="dxa"/>
            <w:tcBorders>
              <w:top w:val="nil"/>
              <w:left w:val="nil"/>
              <w:bottom w:val="nil"/>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56%</w:t>
            </w:r>
          </w:p>
        </w:tc>
      </w:tr>
      <w:tr w:rsidR="00C22A42" w:rsidRPr="008F0683" w:rsidTr="000410FB">
        <w:trPr>
          <w:trHeight w:val="370"/>
        </w:trPr>
        <w:tc>
          <w:tcPr>
            <w:tcW w:w="1680" w:type="dxa"/>
            <w:tcBorders>
              <w:top w:val="nil"/>
              <w:left w:val="nil"/>
              <w:bottom w:val="single" w:sz="4" w:space="0" w:color="auto"/>
              <w:right w:val="nil"/>
            </w:tcBorders>
            <w:shd w:val="clear" w:color="auto" w:fill="auto"/>
            <w:noWrap/>
            <w:vAlign w:val="bottom"/>
            <w:hideMark/>
          </w:tcPr>
          <w:p w:rsidR="00C22A42" w:rsidRPr="008F0683" w:rsidRDefault="00C22A42" w:rsidP="003D5F04">
            <w:pPr>
              <w:rPr>
                <w:color w:val="000000"/>
                <w:sz w:val="20"/>
                <w:szCs w:val="20"/>
                <w:lang w:eastAsia="es-ES"/>
              </w:rPr>
            </w:pPr>
            <w:r w:rsidRPr="008F0683">
              <w:rPr>
                <w:color w:val="000000"/>
                <w:sz w:val="20"/>
                <w:szCs w:val="20"/>
                <w:lang w:eastAsia="es-ES"/>
              </w:rPr>
              <w:t>MONTENEGRO</w:t>
            </w:r>
          </w:p>
        </w:tc>
        <w:tc>
          <w:tcPr>
            <w:tcW w:w="904" w:type="dxa"/>
            <w:tcBorders>
              <w:top w:val="nil"/>
              <w:left w:val="nil"/>
              <w:bottom w:val="single" w:sz="4" w:space="0" w:color="auto"/>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85%</w:t>
            </w:r>
          </w:p>
        </w:tc>
        <w:tc>
          <w:tcPr>
            <w:tcW w:w="814" w:type="dxa"/>
            <w:tcBorders>
              <w:top w:val="nil"/>
              <w:left w:val="nil"/>
              <w:bottom w:val="single" w:sz="4" w:space="0" w:color="auto"/>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49%</w:t>
            </w:r>
          </w:p>
        </w:tc>
        <w:tc>
          <w:tcPr>
            <w:tcW w:w="904" w:type="dxa"/>
            <w:tcBorders>
              <w:top w:val="nil"/>
              <w:left w:val="nil"/>
              <w:bottom w:val="single" w:sz="4" w:space="0" w:color="auto"/>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94%</w:t>
            </w:r>
          </w:p>
        </w:tc>
        <w:tc>
          <w:tcPr>
            <w:tcW w:w="819" w:type="dxa"/>
            <w:tcBorders>
              <w:top w:val="nil"/>
              <w:left w:val="nil"/>
              <w:bottom w:val="single" w:sz="4" w:space="0" w:color="auto"/>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76%</w:t>
            </w:r>
          </w:p>
        </w:tc>
        <w:tc>
          <w:tcPr>
            <w:tcW w:w="904" w:type="dxa"/>
            <w:tcBorders>
              <w:top w:val="nil"/>
              <w:left w:val="nil"/>
              <w:bottom w:val="single" w:sz="4" w:space="0" w:color="auto"/>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89%</w:t>
            </w:r>
          </w:p>
        </w:tc>
        <w:tc>
          <w:tcPr>
            <w:tcW w:w="760" w:type="dxa"/>
            <w:tcBorders>
              <w:top w:val="nil"/>
              <w:left w:val="nil"/>
              <w:bottom w:val="single" w:sz="4" w:space="0" w:color="auto"/>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67%</w:t>
            </w:r>
          </w:p>
        </w:tc>
        <w:tc>
          <w:tcPr>
            <w:tcW w:w="904" w:type="dxa"/>
            <w:tcBorders>
              <w:top w:val="nil"/>
              <w:left w:val="nil"/>
              <w:bottom w:val="single" w:sz="4" w:space="0" w:color="auto"/>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55%</w:t>
            </w:r>
          </w:p>
        </w:tc>
        <w:tc>
          <w:tcPr>
            <w:tcW w:w="743" w:type="dxa"/>
            <w:tcBorders>
              <w:top w:val="nil"/>
              <w:left w:val="nil"/>
              <w:bottom w:val="single" w:sz="4" w:space="0" w:color="auto"/>
              <w:right w:val="nil"/>
            </w:tcBorders>
            <w:shd w:val="clear" w:color="auto" w:fill="auto"/>
            <w:noWrap/>
            <w:vAlign w:val="bottom"/>
            <w:hideMark/>
          </w:tcPr>
          <w:p w:rsidR="00C22A42" w:rsidRPr="008F0683" w:rsidRDefault="00C22A42" w:rsidP="003D5F04">
            <w:pPr>
              <w:jc w:val="center"/>
              <w:rPr>
                <w:color w:val="000000"/>
                <w:sz w:val="20"/>
                <w:szCs w:val="20"/>
                <w:lang w:eastAsia="es-ES"/>
              </w:rPr>
            </w:pPr>
            <w:r w:rsidRPr="008F0683">
              <w:rPr>
                <w:color w:val="000000"/>
                <w:sz w:val="20"/>
                <w:szCs w:val="20"/>
                <w:lang w:eastAsia="es-ES"/>
              </w:rPr>
              <w:t>37%</w:t>
            </w:r>
          </w:p>
        </w:tc>
      </w:tr>
    </w:tbl>
    <w:p w:rsidR="00C22A42" w:rsidRPr="00BD184F" w:rsidRDefault="00C22A42" w:rsidP="00C22A42">
      <w:pPr>
        <w:spacing w:after="5" w:line="360" w:lineRule="auto"/>
        <w:jc w:val="both"/>
        <w:rPr>
          <w:sz w:val="18"/>
          <w:szCs w:val="18"/>
        </w:rPr>
      </w:pPr>
      <w:r w:rsidRPr="00BD184F">
        <w:rPr>
          <w:sz w:val="18"/>
          <w:szCs w:val="18"/>
        </w:rPr>
        <w:t>Fuente: Ministerio de Educación. Secretaria de Educación.</w:t>
      </w:r>
    </w:p>
    <w:p w:rsidR="00C22A42" w:rsidRDefault="00C22A42" w:rsidP="00C22A42">
      <w:pPr>
        <w:spacing w:after="5" w:line="360" w:lineRule="auto"/>
        <w:jc w:val="both"/>
      </w:pPr>
      <w:r>
        <w:t xml:space="preserve">     </w:t>
      </w:r>
    </w:p>
    <w:p w:rsidR="00A83FBC" w:rsidRDefault="00A83FBC" w:rsidP="00C22A42">
      <w:pPr>
        <w:spacing w:after="5" w:line="360" w:lineRule="auto"/>
        <w:jc w:val="both"/>
      </w:pPr>
    </w:p>
    <w:p w:rsidR="00C22A42" w:rsidRPr="00766DEA" w:rsidRDefault="00C22A42" w:rsidP="00A83FBC">
      <w:pPr>
        <w:spacing w:line="360" w:lineRule="auto"/>
        <w:ind w:firstLine="284"/>
        <w:jc w:val="both"/>
      </w:pPr>
      <w:r>
        <w:t>Según municipio,</w:t>
      </w:r>
      <w:r w:rsidRPr="00766DEA">
        <w:t xml:space="preserve"> Salento presenta u</w:t>
      </w:r>
      <w:r>
        <w:t xml:space="preserve">na  cobertura superior al 100% </w:t>
      </w:r>
      <w:r w:rsidRPr="00766DEA">
        <w:t>en los nivele</w:t>
      </w:r>
      <w:r>
        <w:t xml:space="preserve">s de primaria y </w:t>
      </w:r>
      <w:r w:rsidRPr="00766DEA">
        <w:t>secundaria, tanto en la tasa bruta como en la neta, en preescolar tiene una cobertura del 142%  de su población y en la educación</w:t>
      </w:r>
      <w:r>
        <w:t xml:space="preserve"> media  presenta una cobertura bruta del 83%.</w:t>
      </w:r>
      <w:r w:rsidRPr="00766DEA">
        <w:t xml:space="preserve"> El municipio de Buenavista  es el que presenta las menores tasas de cobertura</w:t>
      </w:r>
      <w:r>
        <w:t>s bruta y neta</w:t>
      </w:r>
      <w:r w:rsidRPr="00766DEA">
        <w:t xml:space="preserve">, </w:t>
      </w:r>
      <w:r>
        <w:t>en todos los niveles educativos, por cuanto se ubican por debajo del 60%.</w:t>
      </w:r>
      <w:r w:rsidR="00A83FBC">
        <w:t xml:space="preserve"> </w:t>
      </w:r>
      <w:r w:rsidRPr="00766DEA">
        <w:t>Calarc</w:t>
      </w:r>
      <w:r>
        <w:t xml:space="preserve">á, presenta tasas de cobertura bruta superiores al 90%  en los niveles educativos de </w:t>
      </w:r>
      <w:r>
        <w:lastRenderedPageBreak/>
        <w:t>primaria y secundaria</w:t>
      </w:r>
      <w:r w:rsidRPr="00766DEA">
        <w:t>,</w:t>
      </w:r>
      <w:r>
        <w:t xml:space="preserve"> mientras que para estos niveles las tasas de cobertura neta se ubican por encima del 70%.</w:t>
      </w:r>
      <w:r w:rsidRPr="00766DEA">
        <w:t xml:space="preserve"> </w:t>
      </w:r>
      <w:r>
        <w:t>En los niveles de media y preescolar las tasas de cobertura bruta son inferiores al 50%.</w:t>
      </w:r>
    </w:p>
    <w:p w:rsidR="00C22A42" w:rsidRDefault="00C22A42" w:rsidP="00C22A42">
      <w:pPr>
        <w:spacing w:after="5" w:line="360" w:lineRule="auto"/>
        <w:jc w:val="both"/>
      </w:pPr>
      <w:r>
        <w:t xml:space="preserve">      </w:t>
      </w:r>
    </w:p>
    <w:p w:rsidR="00C22A42" w:rsidRDefault="00C22A42" w:rsidP="00C22A42">
      <w:pPr>
        <w:spacing w:after="5" w:line="360" w:lineRule="auto"/>
        <w:jc w:val="both"/>
      </w:pPr>
      <w:r>
        <w:t>Municipios como Buenavista, Quimbaya y La Tebaida r</w:t>
      </w:r>
      <w:r w:rsidR="00B64DEF">
        <w:t>egistran</w:t>
      </w:r>
      <w:r>
        <w:t xml:space="preserve"> coberturas netas en educación preescolar inferiores al 40%, donde Buenavista presenta la tasa más baja con tan solo un 9% de cobertura; así mismo, las coberturas en los niveles de primaria, secundaria y media son l</w:t>
      </w:r>
      <w:r w:rsidR="00B64DEF">
        <w:t>as más bajas en el comparativo D</w:t>
      </w:r>
      <w:r>
        <w:t>epartamental.</w:t>
      </w:r>
    </w:p>
    <w:p w:rsidR="00C22A42" w:rsidRDefault="00C22A42" w:rsidP="00C22A42">
      <w:pPr>
        <w:spacing w:after="5" w:line="360" w:lineRule="auto"/>
        <w:jc w:val="both"/>
      </w:pPr>
    </w:p>
    <w:p w:rsidR="00C22A42" w:rsidRPr="00A917DA" w:rsidRDefault="00C22A42" w:rsidP="00A917DA">
      <w:pPr>
        <w:pStyle w:val="Ttulo2"/>
        <w:rPr>
          <w:rFonts w:ascii="Times New Roman" w:hAnsi="Times New Roman" w:cs="Times New Roman"/>
          <w:color w:val="auto"/>
          <w:sz w:val="30"/>
          <w:szCs w:val="30"/>
        </w:rPr>
      </w:pPr>
      <w:bookmarkStart w:id="21" w:name="_Toc406754288"/>
      <w:r w:rsidRPr="00A917DA">
        <w:rPr>
          <w:rFonts w:ascii="Times New Roman" w:hAnsi="Times New Roman" w:cs="Times New Roman"/>
          <w:color w:val="auto"/>
          <w:sz w:val="30"/>
          <w:szCs w:val="30"/>
        </w:rPr>
        <w:t>2</w:t>
      </w:r>
      <w:r w:rsidR="00A917DA" w:rsidRPr="00A917DA">
        <w:rPr>
          <w:rFonts w:ascii="Times New Roman" w:hAnsi="Times New Roman" w:cs="Times New Roman"/>
          <w:color w:val="auto"/>
          <w:sz w:val="30"/>
          <w:szCs w:val="30"/>
        </w:rPr>
        <w:t>.3</w:t>
      </w:r>
      <w:r w:rsidR="00B45124">
        <w:rPr>
          <w:rFonts w:ascii="Times New Roman" w:hAnsi="Times New Roman" w:cs="Times New Roman"/>
          <w:color w:val="auto"/>
          <w:sz w:val="30"/>
          <w:szCs w:val="30"/>
        </w:rPr>
        <w:t xml:space="preserve"> Sedes educativas en el D</w:t>
      </w:r>
      <w:r w:rsidRPr="00A917DA">
        <w:rPr>
          <w:rFonts w:ascii="Times New Roman" w:hAnsi="Times New Roman" w:cs="Times New Roman"/>
          <w:color w:val="auto"/>
          <w:sz w:val="30"/>
          <w:szCs w:val="30"/>
        </w:rPr>
        <w:t>epartamento del Quindío.</w:t>
      </w:r>
      <w:bookmarkEnd w:id="21"/>
    </w:p>
    <w:p w:rsidR="00A917DA" w:rsidRDefault="00A917DA" w:rsidP="00A83FBC">
      <w:pPr>
        <w:ind w:left="284"/>
      </w:pPr>
    </w:p>
    <w:p w:rsidR="00A917DA" w:rsidRDefault="00A917DA" w:rsidP="00A83FBC">
      <w:pPr>
        <w:ind w:left="284"/>
      </w:pPr>
    </w:p>
    <w:p w:rsidR="00C22A42" w:rsidRPr="00906D29" w:rsidRDefault="00C22A42" w:rsidP="00590AA9">
      <w:pPr>
        <w:spacing w:after="5" w:line="244" w:lineRule="auto"/>
        <w:jc w:val="both"/>
      </w:pPr>
      <w:r w:rsidRPr="00906D29">
        <w:t>Gráfico 2.4</w:t>
      </w:r>
    </w:p>
    <w:p w:rsidR="00C22A42" w:rsidRPr="00906D29" w:rsidRDefault="00C22A42" w:rsidP="00590AA9">
      <w:pPr>
        <w:jc w:val="both"/>
      </w:pPr>
      <w:r w:rsidRPr="00906D29">
        <w:t>Número de Sedes e Instituciones educativas según municipio</w:t>
      </w:r>
    </w:p>
    <w:p w:rsidR="00C22A42" w:rsidRPr="00906D29" w:rsidRDefault="00C22A42" w:rsidP="00590AA9">
      <w:pPr>
        <w:jc w:val="both"/>
      </w:pPr>
      <w:r w:rsidRPr="00906D29">
        <w:t>2013</w:t>
      </w:r>
    </w:p>
    <w:p w:rsidR="00C22A42" w:rsidRPr="00766DEA" w:rsidRDefault="00C22A42" w:rsidP="00C22A42">
      <w:pPr>
        <w:jc w:val="center"/>
      </w:pPr>
    </w:p>
    <w:p w:rsidR="00C22A42" w:rsidRDefault="00536690" w:rsidP="00590AA9">
      <w:pPr>
        <w:spacing w:after="5" w:line="360" w:lineRule="auto"/>
      </w:pPr>
      <w:r>
        <w:rPr>
          <w:noProof/>
        </w:rPr>
        <w:drawing>
          <wp:inline distT="0" distB="0" distL="0" distR="0" wp14:anchorId="5672D2E6" wp14:editId="4858C7AF">
            <wp:extent cx="5977720" cy="3548418"/>
            <wp:effectExtent l="0" t="0" r="23495" b="1397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22A42" w:rsidRDefault="00700C2B" w:rsidP="00700C2B">
      <w:pPr>
        <w:spacing w:after="5" w:line="360" w:lineRule="auto"/>
        <w:rPr>
          <w:iCs/>
          <w:color w:val="000000"/>
          <w:sz w:val="18"/>
          <w:szCs w:val="18"/>
          <w:lang w:eastAsia="es-ES"/>
        </w:rPr>
      </w:pPr>
      <w:r>
        <w:rPr>
          <w:bCs/>
          <w:iCs/>
          <w:color w:val="000000"/>
          <w:sz w:val="18"/>
          <w:szCs w:val="18"/>
          <w:lang w:eastAsia="es-ES"/>
        </w:rPr>
        <w:t xml:space="preserve">   </w:t>
      </w:r>
      <w:r w:rsidR="00C22A42" w:rsidRPr="005462A7">
        <w:rPr>
          <w:bCs/>
          <w:iCs/>
          <w:color w:val="000000"/>
          <w:sz w:val="18"/>
          <w:szCs w:val="18"/>
          <w:lang w:eastAsia="es-ES"/>
        </w:rPr>
        <w:t>Fuente:</w:t>
      </w:r>
      <w:r w:rsidR="00C22A42" w:rsidRPr="005462A7">
        <w:rPr>
          <w:iCs/>
          <w:color w:val="000000"/>
          <w:sz w:val="18"/>
          <w:szCs w:val="18"/>
          <w:lang w:eastAsia="es-ES"/>
        </w:rPr>
        <w:t xml:space="preserve"> Oficina de Secretaría de Educación Departamental.</w:t>
      </w:r>
    </w:p>
    <w:p w:rsidR="00C22A42" w:rsidRDefault="00C22A42" w:rsidP="00C22A42">
      <w:pPr>
        <w:spacing w:after="5" w:line="360" w:lineRule="auto"/>
        <w:jc w:val="center"/>
        <w:rPr>
          <w:iCs/>
          <w:color w:val="000000"/>
          <w:sz w:val="18"/>
          <w:szCs w:val="18"/>
          <w:lang w:eastAsia="es-ES"/>
        </w:rPr>
      </w:pPr>
    </w:p>
    <w:p w:rsidR="00C22A42" w:rsidRPr="00766DEA" w:rsidRDefault="00C22A42" w:rsidP="00B45124">
      <w:pPr>
        <w:spacing w:line="360" w:lineRule="auto"/>
        <w:ind w:firstLine="284"/>
        <w:jc w:val="both"/>
      </w:pPr>
      <w:r>
        <w:lastRenderedPageBreak/>
        <w:t>El d</w:t>
      </w:r>
      <w:r w:rsidRPr="00766DEA">
        <w:t>epartamento del Quindío (Sin tener en cuenta el municipio de Armenia)  en el año 201</w:t>
      </w:r>
      <w:r>
        <w:t>3 cuenta con 54 instituciones educativas en el sector público, siendo el m</w:t>
      </w:r>
      <w:r w:rsidRPr="00766DEA">
        <w:t>unicipio de Calarcá el que tiene u</w:t>
      </w:r>
      <w:r>
        <w:t>na mayor representación con 14 i</w:t>
      </w:r>
      <w:r w:rsidRPr="00766DEA">
        <w:t>nstituciones</w:t>
      </w:r>
      <w:r>
        <w:t xml:space="preserve"> y 43 sedes educativas en su territorio, le sigue el municipio de Qui</w:t>
      </w:r>
      <w:r w:rsidRPr="00766DEA">
        <w:t xml:space="preserve">mbaya </w:t>
      </w:r>
      <w:r>
        <w:t>con 7 instituciones y 33 sedes y Génova con tan solo 2 instituciones educativas pero con un total de 31 sedes dentro de su territorio. Es de resaltar que de 266 sedes educativas m</w:t>
      </w:r>
      <w:r w:rsidRPr="00766DEA">
        <w:t xml:space="preserve">unicipales 208 </w:t>
      </w:r>
      <w:r>
        <w:t xml:space="preserve">se  encuentran ubicadas en el sector rural y 58 en el </w:t>
      </w:r>
      <w:r w:rsidRPr="00766DEA">
        <w:t xml:space="preserve"> </w:t>
      </w:r>
      <w:r>
        <w:t>urbano.</w:t>
      </w:r>
    </w:p>
    <w:p w:rsidR="00C22A42" w:rsidRPr="00766DEA" w:rsidRDefault="00C22A42" w:rsidP="00C22A42">
      <w:pPr>
        <w:spacing w:after="5" w:line="360" w:lineRule="auto"/>
      </w:pPr>
    </w:p>
    <w:p w:rsidR="00C22A42" w:rsidRPr="00B45124" w:rsidRDefault="00D703A3" w:rsidP="003C748E">
      <w:pPr>
        <w:spacing w:after="5"/>
      </w:pPr>
      <w:r>
        <w:t>Tabla</w:t>
      </w:r>
      <w:r w:rsidR="003C748E">
        <w:t xml:space="preserve"> 2.5</w:t>
      </w:r>
    </w:p>
    <w:p w:rsidR="00C22A42" w:rsidRPr="00B45124" w:rsidRDefault="00C22A42" w:rsidP="003C748E">
      <w:pPr>
        <w:spacing w:after="5"/>
      </w:pPr>
      <w:r w:rsidRPr="00B45124">
        <w:t>Evolución en la matricula oficial por grados 0-11 en el departamento del Quindío</w:t>
      </w:r>
    </w:p>
    <w:p w:rsidR="00C22A42" w:rsidRDefault="00C22A42" w:rsidP="003C748E">
      <w:pPr>
        <w:spacing w:after="5"/>
      </w:pPr>
      <w:r w:rsidRPr="00B45124">
        <w:t xml:space="preserve">2009 </w:t>
      </w:r>
      <w:r w:rsidR="008332AC">
        <w:t>–</w:t>
      </w:r>
      <w:r w:rsidRPr="00B45124">
        <w:t xml:space="preserve"> 2013</w:t>
      </w:r>
    </w:p>
    <w:p w:rsidR="008332AC" w:rsidRPr="00766DEA" w:rsidRDefault="008332AC" w:rsidP="003C748E">
      <w:pPr>
        <w:spacing w:after="5"/>
      </w:pPr>
    </w:p>
    <w:tbl>
      <w:tblPr>
        <w:tblW w:w="7532" w:type="dxa"/>
        <w:tblCellMar>
          <w:left w:w="70" w:type="dxa"/>
          <w:right w:w="70" w:type="dxa"/>
        </w:tblCellMar>
        <w:tblLook w:val="04A0" w:firstRow="1" w:lastRow="0" w:firstColumn="1" w:lastColumn="0" w:noHBand="0" w:noVBand="1"/>
      </w:tblPr>
      <w:tblGrid>
        <w:gridCol w:w="1546"/>
        <w:gridCol w:w="1197"/>
        <w:gridCol w:w="1197"/>
        <w:gridCol w:w="1197"/>
        <w:gridCol w:w="1197"/>
        <w:gridCol w:w="1198"/>
      </w:tblGrid>
      <w:tr w:rsidR="00C22A42" w:rsidRPr="00B45124" w:rsidTr="008332AC">
        <w:trPr>
          <w:trHeight w:val="448"/>
        </w:trPr>
        <w:tc>
          <w:tcPr>
            <w:tcW w:w="1546"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GRADOS</w:t>
            </w:r>
          </w:p>
        </w:tc>
        <w:tc>
          <w:tcPr>
            <w:tcW w:w="1197"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2009</w:t>
            </w:r>
          </w:p>
        </w:tc>
        <w:tc>
          <w:tcPr>
            <w:tcW w:w="1197"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2010</w:t>
            </w:r>
          </w:p>
        </w:tc>
        <w:tc>
          <w:tcPr>
            <w:tcW w:w="1197"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2011</w:t>
            </w:r>
          </w:p>
        </w:tc>
        <w:tc>
          <w:tcPr>
            <w:tcW w:w="1197"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2012</w:t>
            </w:r>
          </w:p>
        </w:tc>
        <w:tc>
          <w:tcPr>
            <w:tcW w:w="1198"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2013</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0°</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3.762</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3.212</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3.493</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3.573</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3.238</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1º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5.464</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5.095</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4.620</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4.427</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4.128</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2º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5.158</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4.777</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4.665</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4.329</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4.011</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3º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4.871</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4.956</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4.720</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4.529</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4.009</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4º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4.979</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4.633</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4.837</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4.567</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4.189</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5º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4.809</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4.786</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4.627</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4.487</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4.311</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6º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5.401</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5.206</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5.504</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5.357</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5.173</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7º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4.787</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4.875</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4.666</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4.606</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4.448</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8º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4.231</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4.337</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4.277</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4.068</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4.049</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9º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3.689</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3.725</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3.625</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3.629</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3.422</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10º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3.130</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3.370</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3.300</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3.211</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3.180</w:t>
            </w:r>
          </w:p>
        </w:tc>
      </w:tr>
      <w:tr w:rsidR="00C22A42" w:rsidRPr="00B45124" w:rsidTr="008332AC">
        <w:trPr>
          <w:trHeight w:val="292"/>
        </w:trPr>
        <w:tc>
          <w:tcPr>
            <w:tcW w:w="1546" w:type="dxa"/>
            <w:tcBorders>
              <w:top w:val="nil"/>
              <w:left w:val="nil"/>
              <w:bottom w:val="nil"/>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11º</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2.599</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2.656</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2.664</w:t>
            </w:r>
          </w:p>
        </w:tc>
        <w:tc>
          <w:tcPr>
            <w:tcW w:w="1197"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2.705</w:t>
            </w:r>
          </w:p>
        </w:tc>
        <w:tc>
          <w:tcPr>
            <w:tcW w:w="1198" w:type="dxa"/>
            <w:tcBorders>
              <w:top w:val="nil"/>
              <w:left w:val="nil"/>
              <w:bottom w:val="nil"/>
              <w:right w:val="nil"/>
            </w:tcBorders>
            <w:shd w:val="clear" w:color="auto" w:fill="auto"/>
            <w:noWrap/>
            <w:vAlign w:val="center"/>
            <w:hideMark/>
          </w:tcPr>
          <w:p w:rsidR="00C22A42" w:rsidRPr="00B45124" w:rsidRDefault="00C22A42" w:rsidP="003C748E">
            <w:pPr>
              <w:jc w:val="center"/>
              <w:rPr>
                <w:color w:val="000000"/>
                <w:sz w:val="20"/>
                <w:szCs w:val="20"/>
                <w:lang w:eastAsia="es-ES"/>
              </w:rPr>
            </w:pPr>
            <w:r w:rsidRPr="00B45124">
              <w:rPr>
                <w:color w:val="000000"/>
                <w:sz w:val="20"/>
                <w:szCs w:val="20"/>
                <w:lang w:eastAsia="es-ES"/>
              </w:rPr>
              <w:t>2.634</w:t>
            </w:r>
          </w:p>
        </w:tc>
      </w:tr>
      <w:tr w:rsidR="00C22A42" w:rsidRPr="00B45124" w:rsidTr="008332AC">
        <w:trPr>
          <w:trHeight w:val="292"/>
        </w:trPr>
        <w:tc>
          <w:tcPr>
            <w:tcW w:w="1546"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TOTAL</w:t>
            </w:r>
          </w:p>
        </w:tc>
        <w:tc>
          <w:tcPr>
            <w:tcW w:w="1197"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52.880</w:t>
            </w:r>
          </w:p>
        </w:tc>
        <w:tc>
          <w:tcPr>
            <w:tcW w:w="1197"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51.628</w:t>
            </w:r>
          </w:p>
        </w:tc>
        <w:tc>
          <w:tcPr>
            <w:tcW w:w="1197"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50.998</w:t>
            </w:r>
          </w:p>
        </w:tc>
        <w:tc>
          <w:tcPr>
            <w:tcW w:w="1197"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49.488</w:t>
            </w:r>
          </w:p>
        </w:tc>
        <w:tc>
          <w:tcPr>
            <w:tcW w:w="1198" w:type="dxa"/>
            <w:tcBorders>
              <w:top w:val="single" w:sz="4" w:space="0" w:color="auto"/>
              <w:left w:val="nil"/>
              <w:bottom w:val="single" w:sz="4" w:space="0" w:color="auto"/>
              <w:right w:val="nil"/>
            </w:tcBorders>
            <w:shd w:val="clear" w:color="auto" w:fill="auto"/>
            <w:vAlign w:val="center"/>
            <w:hideMark/>
          </w:tcPr>
          <w:p w:rsidR="00C22A42" w:rsidRPr="00B45124" w:rsidRDefault="00C22A42" w:rsidP="003C748E">
            <w:pPr>
              <w:jc w:val="center"/>
              <w:rPr>
                <w:b/>
                <w:bCs/>
                <w:color w:val="000000"/>
                <w:sz w:val="20"/>
                <w:szCs w:val="20"/>
                <w:lang w:eastAsia="es-ES"/>
              </w:rPr>
            </w:pPr>
            <w:r w:rsidRPr="00B45124">
              <w:rPr>
                <w:b/>
                <w:bCs/>
                <w:color w:val="000000"/>
                <w:sz w:val="20"/>
                <w:szCs w:val="20"/>
                <w:lang w:eastAsia="es-ES"/>
              </w:rPr>
              <w:t>46.792</w:t>
            </w:r>
          </w:p>
        </w:tc>
      </w:tr>
    </w:tbl>
    <w:p w:rsidR="00C22A42" w:rsidRPr="00426D2A" w:rsidRDefault="00C22A42" w:rsidP="00C22A42">
      <w:pPr>
        <w:spacing w:after="5" w:line="480" w:lineRule="auto"/>
        <w:jc w:val="both"/>
        <w:rPr>
          <w:sz w:val="18"/>
          <w:szCs w:val="18"/>
        </w:rPr>
      </w:pPr>
      <w:r w:rsidRPr="00426D2A">
        <w:rPr>
          <w:sz w:val="18"/>
          <w:szCs w:val="18"/>
        </w:rPr>
        <w:t>Fuente: Secretaria de educación departamental.</w:t>
      </w:r>
    </w:p>
    <w:p w:rsidR="00C22A42" w:rsidRPr="00766DEA" w:rsidRDefault="00C22A42" w:rsidP="00C22A42">
      <w:pPr>
        <w:jc w:val="both"/>
      </w:pPr>
    </w:p>
    <w:p w:rsidR="00C22A42" w:rsidRPr="0047732D" w:rsidRDefault="00C22A42" w:rsidP="00190853">
      <w:pPr>
        <w:spacing w:line="360" w:lineRule="auto"/>
        <w:ind w:firstLine="284"/>
        <w:jc w:val="both"/>
        <w:rPr>
          <w:iCs/>
          <w:color w:val="000000"/>
          <w:sz w:val="20"/>
          <w:szCs w:val="20"/>
          <w:lang w:eastAsia="es-ES"/>
        </w:rPr>
      </w:pPr>
      <w:r>
        <w:t xml:space="preserve">De acuerdo a la  evolución de la matrícula oficial en </w:t>
      </w:r>
      <w:r w:rsidRPr="00766DEA">
        <w:t>los</w:t>
      </w:r>
      <w:r>
        <w:t xml:space="preserve"> 11 municipios de los departamentos del Quindío se observa una tendencia decreciente</w:t>
      </w:r>
      <w:r w:rsidRPr="00766DEA">
        <w:t xml:space="preserve"> </w:t>
      </w:r>
      <w:r>
        <w:t>ya que en el año 2009, esta se ubicó en 52.880 estudiantes y para el año 2013 fue de 46.792 estudiantes, lo que representa una disminución del 12%.</w:t>
      </w:r>
    </w:p>
    <w:p w:rsidR="00C22A42" w:rsidRDefault="00C22A42" w:rsidP="00C22A42">
      <w:pPr>
        <w:spacing w:line="360" w:lineRule="auto"/>
        <w:jc w:val="both"/>
      </w:pPr>
    </w:p>
    <w:p w:rsidR="008332AC" w:rsidRPr="00695DA8" w:rsidRDefault="008332AC" w:rsidP="00C22A42">
      <w:pPr>
        <w:spacing w:line="360" w:lineRule="auto"/>
        <w:jc w:val="both"/>
      </w:pPr>
    </w:p>
    <w:p w:rsidR="00C22A42" w:rsidRPr="00A40A4D" w:rsidRDefault="00C22A42" w:rsidP="00A40A4D">
      <w:pPr>
        <w:pStyle w:val="Ttulo2"/>
        <w:rPr>
          <w:rFonts w:ascii="Times New Roman" w:hAnsi="Times New Roman" w:cs="Times New Roman"/>
          <w:color w:val="auto"/>
          <w:sz w:val="30"/>
          <w:szCs w:val="30"/>
        </w:rPr>
      </w:pPr>
      <w:bookmarkStart w:id="22" w:name="_Toc406754289"/>
      <w:r w:rsidRPr="00A40A4D">
        <w:rPr>
          <w:rFonts w:ascii="Times New Roman" w:hAnsi="Times New Roman" w:cs="Times New Roman"/>
          <w:color w:val="auto"/>
          <w:sz w:val="30"/>
          <w:szCs w:val="30"/>
        </w:rPr>
        <w:lastRenderedPageBreak/>
        <w:t>2</w:t>
      </w:r>
      <w:r w:rsidR="00A40A4D" w:rsidRPr="00A40A4D">
        <w:rPr>
          <w:rFonts w:ascii="Times New Roman" w:hAnsi="Times New Roman" w:cs="Times New Roman"/>
          <w:color w:val="auto"/>
          <w:sz w:val="30"/>
          <w:szCs w:val="30"/>
        </w:rPr>
        <w:t>.4</w:t>
      </w:r>
      <w:r w:rsidRPr="00A40A4D">
        <w:rPr>
          <w:rFonts w:ascii="Times New Roman" w:hAnsi="Times New Roman" w:cs="Times New Roman"/>
          <w:color w:val="auto"/>
          <w:sz w:val="30"/>
          <w:szCs w:val="30"/>
        </w:rPr>
        <w:t xml:space="preserve"> Calidad de la educación básica y media</w:t>
      </w:r>
      <w:bookmarkEnd w:id="22"/>
    </w:p>
    <w:p w:rsidR="00C22A42" w:rsidRPr="00766DEA" w:rsidRDefault="00C22A42" w:rsidP="00C22A42"/>
    <w:p w:rsidR="00A40A4D" w:rsidRDefault="00A40A4D" w:rsidP="00A40A4D">
      <w:pPr>
        <w:spacing w:line="360" w:lineRule="auto"/>
        <w:ind w:firstLine="284"/>
        <w:jc w:val="both"/>
      </w:pPr>
    </w:p>
    <w:p w:rsidR="00C22A42" w:rsidRDefault="00C22A42" w:rsidP="00A40A4D">
      <w:pPr>
        <w:spacing w:line="360" w:lineRule="auto"/>
        <w:ind w:firstLine="284"/>
        <w:jc w:val="both"/>
      </w:pPr>
      <w:r>
        <w:t>De acuerdo con el Ministerio de Educación, l</w:t>
      </w:r>
      <w:r w:rsidRPr="00766DEA">
        <w:t>as pruebas SABER son aplicadas a los grados de 3º, 5º y 9º con el fin de</w:t>
      </w:r>
      <w:r>
        <w:t xml:space="preserve"> medir la calidad de la e</w:t>
      </w:r>
      <w:r w:rsidRPr="00766DEA">
        <w:t>ducación en Colombia, est</w:t>
      </w:r>
      <w:r>
        <w:t>os resultados permiten  a  los establecimientos educativos, las secretarías de educación, al ministerio de educación nacional y a la s</w:t>
      </w:r>
      <w:r w:rsidRPr="00766DEA">
        <w:t>ociedad en general, identificar conocimientos, habilidades y valores que los estudiantes desarrollan en su proceso de formación escolar, independientemente de su procedencia, condiciones sociales, culturales y económicas para así, poder definir planes que conlle</w:t>
      </w:r>
      <w:r>
        <w:t>ven a mejorar la calidad de la educación básica y m</w:t>
      </w:r>
      <w:r w:rsidRPr="00766DEA">
        <w:t>edia en Colombia.</w:t>
      </w:r>
      <w:r>
        <w:t>(MEN, 2014).</w:t>
      </w:r>
    </w:p>
    <w:p w:rsidR="00190853" w:rsidRDefault="00190853" w:rsidP="00C22A42">
      <w:pPr>
        <w:spacing w:line="360" w:lineRule="auto"/>
        <w:jc w:val="both"/>
      </w:pPr>
    </w:p>
    <w:p w:rsidR="00C22A42" w:rsidRPr="00A40A4D" w:rsidRDefault="00A40A4D" w:rsidP="00A40A4D">
      <w:pPr>
        <w:pStyle w:val="Ttulo2"/>
        <w:rPr>
          <w:rFonts w:ascii="Times New Roman" w:hAnsi="Times New Roman" w:cs="Times New Roman"/>
          <w:color w:val="auto"/>
          <w:sz w:val="30"/>
          <w:szCs w:val="30"/>
        </w:rPr>
      </w:pPr>
      <w:bookmarkStart w:id="23" w:name="_Toc406754290"/>
      <w:r w:rsidRPr="00A40A4D">
        <w:rPr>
          <w:rFonts w:ascii="Times New Roman" w:hAnsi="Times New Roman" w:cs="Times New Roman"/>
          <w:color w:val="auto"/>
          <w:sz w:val="30"/>
          <w:szCs w:val="30"/>
        </w:rPr>
        <w:t>2.4.1</w:t>
      </w:r>
      <w:r w:rsidR="00C22A42" w:rsidRPr="00A40A4D">
        <w:rPr>
          <w:rFonts w:ascii="Times New Roman" w:hAnsi="Times New Roman" w:cs="Times New Roman"/>
          <w:color w:val="auto"/>
          <w:sz w:val="30"/>
          <w:szCs w:val="30"/>
        </w:rPr>
        <w:t xml:space="preserve"> Promedio y niveles de desempeño  pruebas saber. Grado 3º</w:t>
      </w:r>
      <w:bookmarkEnd w:id="23"/>
    </w:p>
    <w:p w:rsidR="00A40A4D" w:rsidRDefault="00A40A4D" w:rsidP="00C22A42">
      <w:pPr>
        <w:jc w:val="center"/>
      </w:pPr>
    </w:p>
    <w:p w:rsidR="00A40A4D" w:rsidRDefault="00A40A4D" w:rsidP="00C22A42">
      <w:pPr>
        <w:jc w:val="center"/>
      </w:pPr>
    </w:p>
    <w:p w:rsidR="00191871" w:rsidRDefault="00191871" w:rsidP="00C22A42">
      <w:pPr>
        <w:rPr>
          <w:sz w:val="18"/>
          <w:szCs w:val="18"/>
        </w:rPr>
      </w:pPr>
    </w:p>
    <w:p w:rsidR="00C22A42" w:rsidRPr="00503873" w:rsidRDefault="00CB4C85" w:rsidP="00590AA9">
      <w:pPr>
        <w:jc w:val="both"/>
      </w:pPr>
      <w:r>
        <w:t>Gráfico 2.5</w:t>
      </w:r>
    </w:p>
    <w:p w:rsidR="00C22A42" w:rsidRPr="00503873" w:rsidRDefault="00C22A42" w:rsidP="00590AA9">
      <w:pPr>
        <w:jc w:val="both"/>
      </w:pPr>
      <w:r w:rsidRPr="00503873">
        <w:t>Promedio y nivel de desempeño pruebas saber grado 3º</w:t>
      </w:r>
    </w:p>
    <w:p w:rsidR="00C22A42" w:rsidRPr="00503873" w:rsidRDefault="00C22A42" w:rsidP="00590AA9">
      <w:pPr>
        <w:jc w:val="both"/>
      </w:pPr>
      <w:r w:rsidRPr="00503873">
        <w:t>2013</w:t>
      </w:r>
    </w:p>
    <w:p w:rsidR="00C22A42" w:rsidRPr="00766DEA" w:rsidRDefault="00C22A42" w:rsidP="00C22A42">
      <w:pPr>
        <w:jc w:val="right"/>
      </w:pPr>
    </w:p>
    <w:p w:rsidR="00590AA9" w:rsidRDefault="00C22A42" w:rsidP="00590AA9">
      <w:r w:rsidRPr="00F53026">
        <w:rPr>
          <w:noProof/>
          <w:color w:val="FF0000"/>
        </w:rPr>
        <w:drawing>
          <wp:inline distT="0" distB="0" distL="0" distR="0" wp14:anchorId="1D6892AC" wp14:editId="4FCF847C">
            <wp:extent cx="4572000" cy="2743200"/>
            <wp:effectExtent l="0" t="0" r="19050"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22A42" w:rsidRPr="00590AA9" w:rsidRDefault="00C22A42" w:rsidP="00590AA9">
      <w:r>
        <w:t xml:space="preserve">   </w:t>
      </w:r>
      <w:r w:rsidRPr="008E6C02">
        <w:rPr>
          <w:sz w:val="18"/>
          <w:szCs w:val="18"/>
        </w:rPr>
        <w:t xml:space="preserve">Fuente: Ministerio de Educación.      </w:t>
      </w:r>
    </w:p>
    <w:p w:rsidR="00C22A42" w:rsidRDefault="00C22A42" w:rsidP="00C22A42">
      <w:pPr>
        <w:tabs>
          <w:tab w:val="left" w:pos="555"/>
        </w:tabs>
        <w:spacing w:line="360" w:lineRule="auto"/>
        <w:jc w:val="both"/>
      </w:pPr>
    </w:p>
    <w:p w:rsidR="00C22A42" w:rsidRDefault="00C22A42" w:rsidP="00010464">
      <w:pPr>
        <w:tabs>
          <w:tab w:val="left" w:pos="555"/>
        </w:tabs>
        <w:spacing w:line="360" w:lineRule="auto"/>
        <w:jc w:val="both"/>
      </w:pPr>
      <w:r w:rsidRPr="00766DEA">
        <w:lastRenderedPageBreak/>
        <w:t xml:space="preserve">    </w:t>
      </w:r>
      <w:r>
        <w:t xml:space="preserve">  </w:t>
      </w:r>
      <w:r w:rsidRPr="00766DEA">
        <w:t xml:space="preserve"> La ETC Quindío, presenta un promedio en Lenguaje de 298 puntos, comparado con el nivel Nacional difiere en</w:t>
      </w:r>
      <w:r>
        <w:t xml:space="preserve"> tan</w:t>
      </w:r>
      <w:r w:rsidRPr="00766DEA">
        <w:t xml:space="preserve"> solo 3 puntos.  En  Matemática  el promedio es de 295 puntos</w:t>
      </w:r>
      <w:r>
        <w:t xml:space="preserve"> y en relación con  los resultados obtenidos dentro del total nacional estos son muy similares ya que se presenta una diferencia de seis puntos</w:t>
      </w:r>
      <w:r w:rsidRPr="00766DEA">
        <w:t>,  el porcentaje de estudiantes en los n</w:t>
      </w:r>
      <w:r>
        <w:t>iveles insuficiente y mínimo en las áreas de matemáticas y lenguaje en el departamento del Quindío se encuentra entre uno y  dos puntos por encima de la media nacional.</w:t>
      </w:r>
      <w:r w:rsidRPr="00766DEA">
        <w:t xml:space="preserve">  </w:t>
      </w:r>
    </w:p>
    <w:p w:rsidR="00C22A42" w:rsidRDefault="00C22A42" w:rsidP="00C22A42">
      <w:pPr>
        <w:tabs>
          <w:tab w:val="left" w:pos="555"/>
        </w:tabs>
        <w:spacing w:line="360" w:lineRule="auto"/>
        <w:jc w:val="both"/>
      </w:pPr>
    </w:p>
    <w:p w:rsidR="00C22A42" w:rsidRPr="00010464" w:rsidRDefault="00D703A3" w:rsidP="00010464">
      <w:pPr>
        <w:tabs>
          <w:tab w:val="left" w:pos="555"/>
        </w:tabs>
      </w:pPr>
      <w:r>
        <w:t>Tabla</w:t>
      </w:r>
      <w:r w:rsidR="00CB4C85">
        <w:t xml:space="preserve"> 2.6</w:t>
      </w:r>
    </w:p>
    <w:p w:rsidR="00C22A42" w:rsidRPr="00010464" w:rsidRDefault="00C22A42" w:rsidP="00010464">
      <w:pPr>
        <w:tabs>
          <w:tab w:val="left" w:pos="555"/>
        </w:tabs>
      </w:pPr>
      <w:r w:rsidRPr="00010464">
        <w:t>Quindío – porcentaje de estudiantes, según nivel de desempeño. Grado 3º</w:t>
      </w:r>
    </w:p>
    <w:p w:rsidR="00C22A42" w:rsidRPr="00010464" w:rsidRDefault="00C22A42" w:rsidP="00010464">
      <w:pPr>
        <w:tabs>
          <w:tab w:val="left" w:pos="0"/>
        </w:tabs>
      </w:pPr>
      <w:r w:rsidRPr="00010464">
        <w:t>2012 – 2013</w:t>
      </w:r>
    </w:p>
    <w:p w:rsidR="00C22A42" w:rsidRPr="00766DEA" w:rsidRDefault="00C22A42" w:rsidP="00C22A42">
      <w:pPr>
        <w:tabs>
          <w:tab w:val="left" w:pos="0"/>
        </w:tabs>
        <w:jc w:val="center"/>
      </w:pPr>
    </w:p>
    <w:tbl>
      <w:tblPr>
        <w:tblW w:w="5110" w:type="pct"/>
        <w:tblCellMar>
          <w:left w:w="70" w:type="dxa"/>
          <w:right w:w="70" w:type="dxa"/>
        </w:tblCellMar>
        <w:tblLook w:val="04A0" w:firstRow="1" w:lastRow="0" w:firstColumn="1" w:lastColumn="0" w:noHBand="0" w:noVBand="1"/>
      </w:tblPr>
      <w:tblGrid>
        <w:gridCol w:w="1188"/>
        <w:gridCol w:w="846"/>
        <w:gridCol w:w="149"/>
        <w:gridCol w:w="371"/>
        <w:gridCol w:w="336"/>
        <w:gridCol w:w="1026"/>
        <w:gridCol w:w="422"/>
        <w:gridCol w:w="420"/>
        <w:gridCol w:w="483"/>
        <w:gridCol w:w="477"/>
        <w:gridCol w:w="352"/>
        <w:gridCol w:w="345"/>
        <w:gridCol w:w="514"/>
        <w:gridCol w:w="512"/>
        <w:gridCol w:w="50"/>
        <w:gridCol w:w="848"/>
        <w:gridCol w:w="149"/>
        <w:gridCol w:w="145"/>
        <w:gridCol w:w="202"/>
        <w:gridCol w:w="343"/>
      </w:tblGrid>
      <w:tr w:rsidR="00C81B42" w:rsidRPr="00010464" w:rsidTr="00C81B42">
        <w:trPr>
          <w:trHeight w:val="691"/>
        </w:trPr>
        <w:tc>
          <w:tcPr>
            <w:tcW w:w="647" w:type="pct"/>
            <w:vMerge w:val="restart"/>
            <w:tcBorders>
              <w:top w:val="single" w:sz="4" w:space="0" w:color="auto"/>
              <w:left w:val="nil"/>
              <w:bottom w:val="nil"/>
              <w:right w:val="nil"/>
            </w:tcBorders>
            <w:shd w:val="clear" w:color="auto" w:fill="auto"/>
            <w:noWrap/>
            <w:vAlign w:val="center"/>
            <w:hideMark/>
          </w:tcPr>
          <w:p w:rsidR="00C22A42" w:rsidRPr="00010464" w:rsidRDefault="00C22A42" w:rsidP="003D5F04">
            <w:pPr>
              <w:rPr>
                <w:color w:val="000000"/>
                <w:sz w:val="20"/>
                <w:szCs w:val="20"/>
                <w:lang w:eastAsia="es-ES"/>
              </w:rPr>
            </w:pPr>
          </w:p>
          <w:p w:rsidR="00C22A42" w:rsidRPr="00010464" w:rsidRDefault="00C22A42" w:rsidP="003D5F04">
            <w:pPr>
              <w:rPr>
                <w:b/>
                <w:color w:val="000000"/>
                <w:sz w:val="20"/>
                <w:szCs w:val="20"/>
                <w:lang w:eastAsia="es-ES"/>
              </w:rPr>
            </w:pPr>
            <w:r w:rsidRPr="00010464">
              <w:rPr>
                <w:b/>
                <w:color w:val="000000"/>
                <w:sz w:val="20"/>
                <w:szCs w:val="20"/>
                <w:lang w:eastAsia="es-ES"/>
              </w:rPr>
              <w:t>Área</w:t>
            </w:r>
          </w:p>
        </w:tc>
        <w:tc>
          <w:tcPr>
            <w:tcW w:w="2208" w:type="pct"/>
            <w:gridSpan w:val="8"/>
            <w:tcBorders>
              <w:top w:val="single" w:sz="4" w:space="0" w:color="auto"/>
              <w:left w:val="nil"/>
              <w:bottom w:val="nil"/>
              <w:right w:val="nil"/>
            </w:tcBorders>
            <w:shd w:val="clear" w:color="auto" w:fill="auto"/>
            <w:vAlign w:val="center"/>
            <w:hideMark/>
          </w:tcPr>
          <w:p w:rsidR="00C22A42" w:rsidRPr="00010464" w:rsidRDefault="00C22A42" w:rsidP="003D5F04">
            <w:pPr>
              <w:jc w:val="center"/>
              <w:rPr>
                <w:b/>
                <w:color w:val="000000"/>
                <w:sz w:val="20"/>
                <w:szCs w:val="20"/>
                <w:lang w:eastAsia="es-ES"/>
              </w:rPr>
            </w:pPr>
            <w:r w:rsidRPr="00010464">
              <w:rPr>
                <w:b/>
                <w:color w:val="000000"/>
                <w:sz w:val="20"/>
                <w:szCs w:val="20"/>
                <w:lang w:eastAsia="es-ES"/>
              </w:rPr>
              <w:t>Niveles de Desempeño 2012</w:t>
            </w:r>
          </w:p>
        </w:tc>
        <w:tc>
          <w:tcPr>
            <w:tcW w:w="1688" w:type="pct"/>
            <w:gridSpan w:val="7"/>
            <w:tcBorders>
              <w:top w:val="single" w:sz="4" w:space="0" w:color="auto"/>
              <w:left w:val="nil"/>
              <w:bottom w:val="nil"/>
              <w:right w:val="nil"/>
            </w:tcBorders>
            <w:shd w:val="clear" w:color="auto" w:fill="auto"/>
            <w:vAlign w:val="center"/>
            <w:hideMark/>
          </w:tcPr>
          <w:p w:rsidR="00C22A42" w:rsidRPr="00010464" w:rsidRDefault="00C22A42" w:rsidP="003D5F04">
            <w:pPr>
              <w:jc w:val="center"/>
              <w:rPr>
                <w:b/>
                <w:color w:val="000000"/>
                <w:sz w:val="20"/>
                <w:szCs w:val="20"/>
                <w:lang w:eastAsia="es-ES"/>
              </w:rPr>
            </w:pPr>
            <w:r w:rsidRPr="00010464">
              <w:rPr>
                <w:b/>
                <w:color w:val="000000"/>
                <w:sz w:val="20"/>
                <w:szCs w:val="20"/>
                <w:lang w:eastAsia="es-ES"/>
              </w:rPr>
              <w:t>Niveles de Desempeño 2013</w:t>
            </w:r>
          </w:p>
        </w:tc>
        <w:tc>
          <w:tcPr>
            <w:tcW w:w="81" w:type="pct"/>
            <w:tcBorders>
              <w:top w:val="single" w:sz="4" w:space="0" w:color="auto"/>
              <w:left w:val="nil"/>
              <w:bottom w:val="nil"/>
              <w:right w:val="nil"/>
            </w:tcBorders>
          </w:tcPr>
          <w:p w:rsidR="00C22A42" w:rsidRPr="00010464" w:rsidRDefault="00C22A42" w:rsidP="003D5F04">
            <w:pPr>
              <w:jc w:val="center"/>
              <w:rPr>
                <w:b/>
                <w:color w:val="000000"/>
                <w:sz w:val="20"/>
                <w:szCs w:val="20"/>
                <w:lang w:eastAsia="es-ES"/>
              </w:rPr>
            </w:pPr>
          </w:p>
        </w:tc>
        <w:tc>
          <w:tcPr>
            <w:tcW w:w="376" w:type="pct"/>
            <w:gridSpan w:val="3"/>
            <w:tcBorders>
              <w:top w:val="single" w:sz="4" w:space="0" w:color="auto"/>
              <w:left w:val="nil"/>
              <w:bottom w:val="nil"/>
              <w:right w:val="nil"/>
            </w:tcBorders>
            <w:shd w:val="clear" w:color="auto" w:fill="auto"/>
            <w:noWrap/>
            <w:vAlign w:val="center"/>
            <w:hideMark/>
          </w:tcPr>
          <w:p w:rsidR="00C22A42" w:rsidRPr="00010464" w:rsidRDefault="00C22A42" w:rsidP="003D5F04">
            <w:pPr>
              <w:jc w:val="center"/>
              <w:rPr>
                <w:b/>
                <w:color w:val="000000"/>
                <w:sz w:val="20"/>
                <w:szCs w:val="20"/>
                <w:lang w:eastAsia="es-ES"/>
              </w:rPr>
            </w:pPr>
            <w:r w:rsidRPr="00010464">
              <w:rPr>
                <w:b/>
                <w:color w:val="000000"/>
                <w:sz w:val="20"/>
                <w:szCs w:val="20"/>
                <w:lang w:eastAsia="es-ES"/>
              </w:rPr>
              <w:t>Índice</w:t>
            </w:r>
          </w:p>
        </w:tc>
      </w:tr>
      <w:tr w:rsidR="00C81B42" w:rsidRPr="00010464" w:rsidTr="00C81B42">
        <w:trPr>
          <w:trHeight w:val="377"/>
        </w:trPr>
        <w:tc>
          <w:tcPr>
            <w:tcW w:w="647" w:type="pct"/>
            <w:vMerge/>
            <w:tcBorders>
              <w:top w:val="nil"/>
              <w:left w:val="nil"/>
              <w:bottom w:val="single" w:sz="4" w:space="0" w:color="auto"/>
              <w:right w:val="nil"/>
            </w:tcBorders>
            <w:vAlign w:val="center"/>
            <w:hideMark/>
          </w:tcPr>
          <w:p w:rsidR="00C22A42" w:rsidRPr="00010464" w:rsidRDefault="00C22A42" w:rsidP="003D5F04">
            <w:pPr>
              <w:rPr>
                <w:color w:val="000000"/>
                <w:sz w:val="20"/>
                <w:szCs w:val="20"/>
                <w:lang w:eastAsia="es-ES"/>
              </w:rPr>
            </w:pPr>
          </w:p>
        </w:tc>
        <w:tc>
          <w:tcPr>
            <w:tcW w:w="542" w:type="pct"/>
            <w:gridSpan w:val="2"/>
            <w:tcBorders>
              <w:top w:val="nil"/>
              <w:left w:val="nil"/>
              <w:bottom w:val="single" w:sz="4" w:space="0" w:color="auto"/>
              <w:right w:val="nil"/>
            </w:tcBorders>
            <w:shd w:val="clear" w:color="auto" w:fill="auto"/>
            <w:noWrap/>
            <w:vAlign w:val="center"/>
            <w:hideMark/>
          </w:tcPr>
          <w:p w:rsidR="00C22A42" w:rsidRPr="00C81B42" w:rsidRDefault="00C22A42" w:rsidP="00C81B42">
            <w:pPr>
              <w:jc w:val="center"/>
              <w:rPr>
                <w:b/>
                <w:color w:val="000000"/>
                <w:sz w:val="16"/>
                <w:szCs w:val="16"/>
                <w:lang w:eastAsia="es-ES"/>
              </w:rPr>
            </w:pPr>
            <w:r w:rsidRPr="00C81B42">
              <w:rPr>
                <w:b/>
                <w:color w:val="000000"/>
                <w:sz w:val="16"/>
                <w:szCs w:val="16"/>
                <w:lang w:eastAsia="es-ES"/>
              </w:rPr>
              <w:t>Insuficiente</w:t>
            </w:r>
          </w:p>
        </w:tc>
        <w:tc>
          <w:tcPr>
            <w:tcW w:w="385" w:type="pct"/>
            <w:gridSpan w:val="2"/>
            <w:tcBorders>
              <w:top w:val="nil"/>
              <w:left w:val="nil"/>
              <w:bottom w:val="single" w:sz="4" w:space="0" w:color="auto"/>
              <w:right w:val="nil"/>
            </w:tcBorders>
            <w:shd w:val="clear" w:color="auto" w:fill="auto"/>
            <w:noWrap/>
            <w:vAlign w:val="center"/>
            <w:hideMark/>
          </w:tcPr>
          <w:p w:rsidR="00C22A42" w:rsidRPr="00C81B42" w:rsidRDefault="00C22A42" w:rsidP="00C81B42">
            <w:pPr>
              <w:jc w:val="center"/>
              <w:rPr>
                <w:b/>
                <w:color w:val="000000"/>
                <w:sz w:val="16"/>
                <w:szCs w:val="16"/>
                <w:lang w:eastAsia="es-ES"/>
              </w:rPr>
            </w:pPr>
            <w:r w:rsidRPr="00C81B42">
              <w:rPr>
                <w:b/>
                <w:color w:val="000000"/>
                <w:sz w:val="16"/>
                <w:szCs w:val="16"/>
                <w:lang w:eastAsia="es-ES"/>
              </w:rPr>
              <w:t>Mínimo</w:t>
            </w:r>
          </w:p>
        </w:tc>
        <w:tc>
          <w:tcPr>
            <w:tcW w:w="559" w:type="pct"/>
            <w:tcBorders>
              <w:top w:val="nil"/>
              <w:left w:val="nil"/>
              <w:bottom w:val="single" w:sz="4" w:space="0" w:color="auto"/>
              <w:right w:val="nil"/>
            </w:tcBorders>
            <w:shd w:val="clear" w:color="auto" w:fill="auto"/>
            <w:noWrap/>
            <w:vAlign w:val="center"/>
            <w:hideMark/>
          </w:tcPr>
          <w:p w:rsidR="00C22A42" w:rsidRPr="00C81B42" w:rsidRDefault="00C22A42" w:rsidP="00C81B42">
            <w:pPr>
              <w:jc w:val="center"/>
              <w:rPr>
                <w:b/>
                <w:color w:val="000000"/>
                <w:sz w:val="16"/>
                <w:szCs w:val="16"/>
                <w:lang w:eastAsia="es-ES"/>
              </w:rPr>
            </w:pPr>
            <w:r w:rsidRPr="00C81B42">
              <w:rPr>
                <w:b/>
                <w:color w:val="000000"/>
                <w:sz w:val="16"/>
                <w:szCs w:val="16"/>
                <w:lang w:eastAsia="es-ES"/>
              </w:rPr>
              <w:t>Satisfactorio</w:t>
            </w:r>
          </w:p>
        </w:tc>
        <w:tc>
          <w:tcPr>
            <w:tcW w:w="459" w:type="pct"/>
            <w:gridSpan w:val="2"/>
            <w:tcBorders>
              <w:top w:val="nil"/>
              <w:left w:val="nil"/>
              <w:bottom w:val="single" w:sz="4" w:space="0" w:color="auto"/>
              <w:right w:val="nil"/>
            </w:tcBorders>
            <w:shd w:val="clear" w:color="auto" w:fill="auto"/>
            <w:noWrap/>
            <w:vAlign w:val="center"/>
            <w:hideMark/>
          </w:tcPr>
          <w:p w:rsidR="00C22A42" w:rsidRPr="00C81B42" w:rsidRDefault="00C22A42" w:rsidP="00C81B42">
            <w:pPr>
              <w:jc w:val="center"/>
              <w:rPr>
                <w:b/>
                <w:color w:val="000000"/>
                <w:sz w:val="16"/>
                <w:szCs w:val="16"/>
                <w:lang w:eastAsia="es-ES"/>
              </w:rPr>
            </w:pPr>
            <w:r w:rsidRPr="00C81B42">
              <w:rPr>
                <w:b/>
                <w:color w:val="000000"/>
                <w:sz w:val="16"/>
                <w:szCs w:val="16"/>
                <w:lang w:eastAsia="es-ES"/>
              </w:rPr>
              <w:t>Avanzado</w:t>
            </w:r>
          </w:p>
        </w:tc>
        <w:tc>
          <w:tcPr>
            <w:tcW w:w="523" w:type="pct"/>
            <w:gridSpan w:val="2"/>
            <w:tcBorders>
              <w:top w:val="nil"/>
              <w:left w:val="nil"/>
              <w:bottom w:val="single" w:sz="4" w:space="0" w:color="auto"/>
              <w:right w:val="nil"/>
            </w:tcBorders>
            <w:shd w:val="clear" w:color="auto" w:fill="auto"/>
            <w:noWrap/>
            <w:vAlign w:val="center"/>
            <w:hideMark/>
          </w:tcPr>
          <w:p w:rsidR="00C22A42" w:rsidRPr="00C81B42" w:rsidRDefault="00C22A42" w:rsidP="00C81B42">
            <w:pPr>
              <w:jc w:val="center"/>
              <w:rPr>
                <w:b/>
                <w:color w:val="000000"/>
                <w:sz w:val="16"/>
                <w:szCs w:val="16"/>
                <w:lang w:eastAsia="es-ES"/>
              </w:rPr>
            </w:pPr>
            <w:r w:rsidRPr="00C81B42">
              <w:rPr>
                <w:b/>
                <w:color w:val="000000"/>
                <w:sz w:val="16"/>
                <w:szCs w:val="16"/>
                <w:lang w:eastAsia="es-ES"/>
              </w:rPr>
              <w:t>Insuficiente</w:t>
            </w:r>
          </w:p>
        </w:tc>
        <w:tc>
          <w:tcPr>
            <w:tcW w:w="380" w:type="pct"/>
            <w:gridSpan w:val="2"/>
            <w:tcBorders>
              <w:top w:val="nil"/>
              <w:left w:val="nil"/>
              <w:bottom w:val="single" w:sz="4" w:space="0" w:color="auto"/>
              <w:right w:val="nil"/>
            </w:tcBorders>
            <w:shd w:val="clear" w:color="auto" w:fill="auto"/>
            <w:noWrap/>
            <w:vAlign w:val="center"/>
            <w:hideMark/>
          </w:tcPr>
          <w:p w:rsidR="00C22A42" w:rsidRPr="00C81B42" w:rsidRDefault="00C22A42" w:rsidP="00C81B42">
            <w:pPr>
              <w:jc w:val="center"/>
              <w:rPr>
                <w:b/>
                <w:color w:val="000000"/>
                <w:sz w:val="16"/>
                <w:szCs w:val="16"/>
                <w:lang w:eastAsia="es-ES"/>
              </w:rPr>
            </w:pPr>
            <w:r w:rsidRPr="00C81B42">
              <w:rPr>
                <w:b/>
                <w:color w:val="000000"/>
                <w:sz w:val="16"/>
                <w:szCs w:val="16"/>
                <w:lang w:eastAsia="es-ES"/>
              </w:rPr>
              <w:t>Mínimo</w:t>
            </w:r>
          </w:p>
        </w:tc>
        <w:tc>
          <w:tcPr>
            <w:tcW w:w="559" w:type="pct"/>
            <w:gridSpan w:val="2"/>
            <w:tcBorders>
              <w:top w:val="nil"/>
              <w:left w:val="nil"/>
              <w:bottom w:val="single" w:sz="4" w:space="0" w:color="auto"/>
              <w:right w:val="nil"/>
            </w:tcBorders>
            <w:shd w:val="clear" w:color="auto" w:fill="auto"/>
            <w:noWrap/>
            <w:vAlign w:val="center"/>
            <w:hideMark/>
          </w:tcPr>
          <w:p w:rsidR="00C22A42" w:rsidRPr="00C81B42" w:rsidRDefault="00C22A42" w:rsidP="00C81B42">
            <w:pPr>
              <w:jc w:val="center"/>
              <w:rPr>
                <w:b/>
                <w:color w:val="000000"/>
                <w:sz w:val="16"/>
                <w:szCs w:val="16"/>
                <w:lang w:eastAsia="es-ES"/>
              </w:rPr>
            </w:pPr>
            <w:r w:rsidRPr="00C81B42">
              <w:rPr>
                <w:b/>
                <w:color w:val="000000"/>
                <w:sz w:val="16"/>
                <w:szCs w:val="16"/>
                <w:lang w:eastAsia="es-ES"/>
              </w:rPr>
              <w:t>Satisfactorio</w:t>
            </w:r>
          </w:p>
        </w:tc>
        <w:tc>
          <w:tcPr>
            <w:tcW w:w="649" w:type="pct"/>
            <w:gridSpan w:val="4"/>
            <w:tcBorders>
              <w:top w:val="nil"/>
              <w:left w:val="nil"/>
              <w:bottom w:val="single" w:sz="4" w:space="0" w:color="auto"/>
              <w:right w:val="nil"/>
            </w:tcBorders>
            <w:shd w:val="clear" w:color="auto" w:fill="auto"/>
            <w:noWrap/>
            <w:vAlign w:val="center"/>
            <w:hideMark/>
          </w:tcPr>
          <w:p w:rsidR="00C22A42" w:rsidRPr="00C81B42" w:rsidRDefault="00C22A42" w:rsidP="00C81B42">
            <w:pPr>
              <w:jc w:val="center"/>
              <w:rPr>
                <w:b/>
                <w:color w:val="000000"/>
                <w:sz w:val="16"/>
                <w:szCs w:val="16"/>
                <w:lang w:eastAsia="es-ES"/>
              </w:rPr>
            </w:pPr>
            <w:r w:rsidRPr="00C81B42">
              <w:rPr>
                <w:b/>
                <w:color w:val="000000"/>
                <w:sz w:val="16"/>
                <w:szCs w:val="16"/>
                <w:lang w:eastAsia="es-ES"/>
              </w:rPr>
              <w:t>Avanzado</w:t>
            </w:r>
          </w:p>
        </w:tc>
        <w:tc>
          <w:tcPr>
            <w:tcW w:w="110" w:type="pct"/>
            <w:tcBorders>
              <w:top w:val="nil"/>
              <w:left w:val="nil"/>
              <w:bottom w:val="single" w:sz="4" w:space="0" w:color="auto"/>
              <w:right w:val="nil"/>
            </w:tcBorders>
          </w:tcPr>
          <w:p w:rsidR="00C22A42" w:rsidRPr="00010464" w:rsidRDefault="00C22A42" w:rsidP="003D5F04">
            <w:pPr>
              <w:rPr>
                <w:b/>
                <w:color w:val="000000"/>
                <w:sz w:val="20"/>
                <w:szCs w:val="20"/>
                <w:lang w:eastAsia="es-ES"/>
              </w:rPr>
            </w:pPr>
          </w:p>
        </w:tc>
        <w:tc>
          <w:tcPr>
            <w:tcW w:w="187" w:type="pct"/>
            <w:tcBorders>
              <w:top w:val="nil"/>
              <w:left w:val="nil"/>
              <w:bottom w:val="single" w:sz="4" w:space="0" w:color="auto"/>
              <w:right w:val="nil"/>
            </w:tcBorders>
            <w:vAlign w:val="center"/>
            <w:hideMark/>
          </w:tcPr>
          <w:p w:rsidR="00C22A42" w:rsidRPr="00010464" w:rsidRDefault="00C22A42" w:rsidP="003D5F04">
            <w:pPr>
              <w:rPr>
                <w:color w:val="000000"/>
                <w:sz w:val="20"/>
                <w:szCs w:val="20"/>
                <w:lang w:eastAsia="es-ES"/>
              </w:rPr>
            </w:pPr>
          </w:p>
        </w:tc>
      </w:tr>
      <w:tr w:rsidR="00C81B42" w:rsidRPr="00010464" w:rsidTr="006C6D74">
        <w:trPr>
          <w:trHeight w:val="400"/>
        </w:trPr>
        <w:tc>
          <w:tcPr>
            <w:tcW w:w="647" w:type="pct"/>
            <w:tcBorders>
              <w:top w:val="single" w:sz="4" w:space="0" w:color="auto"/>
              <w:left w:val="nil"/>
              <w:bottom w:val="nil"/>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Lenguaje</w:t>
            </w:r>
          </w:p>
        </w:tc>
        <w:tc>
          <w:tcPr>
            <w:tcW w:w="461" w:type="pct"/>
            <w:tcBorders>
              <w:top w:val="single" w:sz="4" w:space="0" w:color="auto"/>
              <w:left w:val="nil"/>
              <w:bottom w:val="nil"/>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19%</w:t>
            </w:r>
          </w:p>
        </w:tc>
        <w:tc>
          <w:tcPr>
            <w:tcW w:w="283" w:type="pct"/>
            <w:gridSpan w:val="2"/>
            <w:tcBorders>
              <w:top w:val="single" w:sz="4" w:space="0" w:color="auto"/>
              <w:left w:val="nil"/>
              <w:bottom w:val="nil"/>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34%</w:t>
            </w:r>
          </w:p>
        </w:tc>
        <w:tc>
          <w:tcPr>
            <w:tcW w:w="972" w:type="pct"/>
            <w:gridSpan w:val="3"/>
            <w:tcBorders>
              <w:top w:val="single" w:sz="4" w:space="0" w:color="auto"/>
              <w:left w:val="nil"/>
              <w:bottom w:val="nil"/>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32%</w:t>
            </w:r>
          </w:p>
        </w:tc>
        <w:tc>
          <w:tcPr>
            <w:tcW w:w="492" w:type="pct"/>
            <w:gridSpan w:val="2"/>
            <w:tcBorders>
              <w:top w:val="single" w:sz="4" w:space="0" w:color="auto"/>
              <w:left w:val="nil"/>
              <w:bottom w:val="nil"/>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15%</w:t>
            </w:r>
          </w:p>
        </w:tc>
        <w:tc>
          <w:tcPr>
            <w:tcW w:w="452" w:type="pct"/>
            <w:gridSpan w:val="2"/>
            <w:tcBorders>
              <w:top w:val="single" w:sz="4" w:space="0" w:color="auto"/>
              <w:left w:val="nil"/>
              <w:bottom w:val="nil"/>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19%</w:t>
            </w:r>
          </w:p>
        </w:tc>
        <w:tc>
          <w:tcPr>
            <w:tcW w:w="468" w:type="pct"/>
            <w:gridSpan w:val="2"/>
            <w:tcBorders>
              <w:top w:val="single" w:sz="4" w:space="0" w:color="auto"/>
              <w:left w:val="nil"/>
              <w:bottom w:val="nil"/>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33%</w:t>
            </w:r>
          </w:p>
        </w:tc>
        <w:tc>
          <w:tcPr>
            <w:tcW w:w="306" w:type="pct"/>
            <w:gridSpan w:val="2"/>
            <w:tcBorders>
              <w:top w:val="single" w:sz="4" w:space="0" w:color="auto"/>
              <w:left w:val="nil"/>
              <w:bottom w:val="nil"/>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32%</w:t>
            </w:r>
          </w:p>
        </w:tc>
        <w:tc>
          <w:tcPr>
            <w:tcW w:w="462" w:type="pct"/>
            <w:tcBorders>
              <w:top w:val="single" w:sz="4" w:space="0" w:color="auto"/>
              <w:left w:val="nil"/>
              <w:bottom w:val="nil"/>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16%</w:t>
            </w:r>
          </w:p>
        </w:tc>
        <w:tc>
          <w:tcPr>
            <w:tcW w:w="81" w:type="pct"/>
            <w:tcBorders>
              <w:top w:val="single" w:sz="4" w:space="0" w:color="auto"/>
              <w:left w:val="nil"/>
              <w:bottom w:val="nil"/>
              <w:right w:val="nil"/>
            </w:tcBorders>
            <w:vAlign w:val="center"/>
          </w:tcPr>
          <w:p w:rsidR="00C22A42" w:rsidRPr="00010464" w:rsidRDefault="00C22A42" w:rsidP="006C6D74">
            <w:pPr>
              <w:jc w:val="center"/>
              <w:rPr>
                <w:color w:val="000000"/>
                <w:sz w:val="20"/>
                <w:szCs w:val="20"/>
                <w:lang w:eastAsia="es-ES"/>
              </w:rPr>
            </w:pPr>
          </w:p>
        </w:tc>
        <w:tc>
          <w:tcPr>
            <w:tcW w:w="376" w:type="pct"/>
            <w:gridSpan w:val="3"/>
            <w:tcBorders>
              <w:top w:val="single" w:sz="4" w:space="0" w:color="auto"/>
              <w:left w:val="nil"/>
              <w:bottom w:val="nil"/>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2%</w:t>
            </w:r>
          </w:p>
        </w:tc>
      </w:tr>
      <w:tr w:rsidR="00C81B42" w:rsidRPr="00010464" w:rsidTr="006C6D74">
        <w:trPr>
          <w:trHeight w:val="400"/>
        </w:trPr>
        <w:tc>
          <w:tcPr>
            <w:tcW w:w="647" w:type="pct"/>
            <w:tcBorders>
              <w:top w:val="nil"/>
              <w:left w:val="nil"/>
              <w:bottom w:val="single" w:sz="4" w:space="0" w:color="auto"/>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Matemáticas</w:t>
            </w:r>
          </w:p>
        </w:tc>
        <w:tc>
          <w:tcPr>
            <w:tcW w:w="461" w:type="pct"/>
            <w:tcBorders>
              <w:top w:val="nil"/>
              <w:left w:val="nil"/>
              <w:bottom w:val="single" w:sz="4" w:space="0" w:color="auto"/>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18%</w:t>
            </w:r>
          </w:p>
        </w:tc>
        <w:tc>
          <w:tcPr>
            <w:tcW w:w="283" w:type="pct"/>
            <w:gridSpan w:val="2"/>
            <w:tcBorders>
              <w:top w:val="nil"/>
              <w:left w:val="nil"/>
              <w:bottom w:val="single" w:sz="4" w:space="0" w:color="auto"/>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35%</w:t>
            </w:r>
          </w:p>
        </w:tc>
        <w:tc>
          <w:tcPr>
            <w:tcW w:w="972" w:type="pct"/>
            <w:gridSpan w:val="3"/>
            <w:tcBorders>
              <w:top w:val="nil"/>
              <w:left w:val="nil"/>
              <w:bottom w:val="single" w:sz="4" w:space="0" w:color="auto"/>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28%</w:t>
            </w:r>
          </w:p>
        </w:tc>
        <w:tc>
          <w:tcPr>
            <w:tcW w:w="492" w:type="pct"/>
            <w:gridSpan w:val="2"/>
            <w:tcBorders>
              <w:top w:val="nil"/>
              <w:left w:val="nil"/>
              <w:bottom w:val="single" w:sz="4" w:space="0" w:color="auto"/>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19%</w:t>
            </w:r>
          </w:p>
        </w:tc>
        <w:tc>
          <w:tcPr>
            <w:tcW w:w="452" w:type="pct"/>
            <w:gridSpan w:val="2"/>
            <w:tcBorders>
              <w:top w:val="nil"/>
              <w:left w:val="nil"/>
              <w:bottom w:val="single" w:sz="4" w:space="0" w:color="auto"/>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19%</w:t>
            </w:r>
          </w:p>
        </w:tc>
        <w:tc>
          <w:tcPr>
            <w:tcW w:w="468" w:type="pct"/>
            <w:gridSpan w:val="2"/>
            <w:tcBorders>
              <w:top w:val="nil"/>
              <w:left w:val="nil"/>
              <w:bottom w:val="single" w:sz="4" w:space="0" w:color="auto"/>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32%</w:t>
            </w:r>
          </w:p>
        </w:tc>
        <w:tc>
          <w:tcPr>
            <w:tcW w:w="306" w:type="pct"/>
            <w:gridSpan w:val="2"/>
            <w:tcBorders>
              <w:top w:val="nil"/>
              <w:left w:val="nil"/>
              <w:bottom w:val="single" w:sz="4" w:space="0" w:color="auto"/>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27%</w:t>
            </w:r>
          </w:p>
        </w:tc>
        <w:tc>
          <w:tcPr>
            <w:tcW w:w="462" w:type="pct"/>
            <w:tcBorders>
              <w:top w:val="nil"/>
              <w:left w:val="nil"/>
              <w:bottom w:val="single" w:sz="4" w:space="0" w:color="auto"/>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22%</w:t>
            </w:r>
          </w:p>
        </w:tc>
        <w:tc>
          <w:tcPr>
            <w:tcW w:w="81" w:type="pct"/>
            <w:tcBorders>
              <w:top w:val="nil"/>
              <w:left w:val="nil"/>
              <w:bottom w:val="single" w:sz="4" w:space="0" w:color="auto"/>
              <w:right w:val="nil"/>
            </w:tcBorders>
            <w:vAlign w:val="center"/>
          </w:tcPr>
          <w:p w:rsidR="00C22A42" w:rsidRPr="00010464" w:rsidRDefault="00C22A42" w:rsidP="006C6D74">
            <w:pPr>
              <w:jc w:val="center"/>
              <w:rPr>
                <w:color w:val="000000"/>
                <w:sz w:val="20"/>
                <w:szCs w:val="20"/>
                <w:lang w:eastAsia="es-ES"/>
              </w:rPr>
            </w:pPr>
          </w:p>
        </w:tc>
        <w:tc>
          <w:tcPr>
            <w:tcW w:w="376" w:type="pct"/>
            <w:gridSpan w:val="3"/>
            <w:tcBorders>
              <w:top w:val="nil"/>
              <w:left w:val="nil"/>
              <w:bottom w:val="single" w:sz="4" w:space="0" w:color="auto"/>
              <w:right w:val="nil"/>
            </w:tcBorders>
            <w:shd w:val="clear" w:color="auto" w:fill="auto"/>
            <w:noWrap/>
            <w:vAlign w:val="center"/>
            <w:hideMark/>
          </w:tcPr>
          <w:p w:rsidR="00C22A42" w:rsidRPr="00010464" w:rsidRDefault="00C22A42" w:rsidP="006C6D74">
            <w:pPr>
              <w:jc w:val="center"/>
              <w:rPr>
                <w:color w:val="000000"/>
                <w:sz w:val="20"/>
                <w:szCs w:val="20"/>
                <w:lang w:eastAsia="es-ES"/>
              </w:rPr>
            </w:pPr>
            <w:r w:rsidRPr="00010464">
              <w:rPr>
                <w:color w:val="000000"/>
                <w:sz w:val="20"/>
                <w:szCs w:val="20"/>
                <w:lang w:eastAsia="es-ES"/>
              </w:rPr>
              <w:t>4%</w:t>
            </w:r>
          </w:p>
        </w:tc>
      </w:tr>
    </w:tbl>
    <w:p w:rsidR="00C22A42" w:rsidRPr="00C81B42" w:rsidRDefault="00C22A42" w:rsidP="00C22A42">
      <w:pPr>
        <w:tabs>
          <w:tab w:val="left" w:pos="555"/>
        </w:tabs>
        <w:spacing w:line="360" w:lineRule="auto"/>
        <w:jc w:val="both"/>
        <w:rPr>
          <w:sz w:val="16"/>
          <w:szCs w:val="16"/>
        </w:rPr>
      </w:pPr>
      <w:r w:rsidRPr="000F626A">
        <w:rPr>
          <w:sz w:val="18"/>
          <w:szCs w:val="18"/>
        </w:rPr>
        <w:t xml:space="preserve"> </w:t>
      </w:r>
      <w:r w:rsidRPr="00C81B42">
        <w:rPr>
          <w:sz w:val="16"/>
          <w:szCs w:val="16"/>
        </w:rPr>
        <w:t>Fuente: Ministerio de Educación.</w:t>
      </w:r>
    </w:p>
    <w:p w:rsidR="00CB4C85" w:rsidRDefault="00CB4C85" w:rsidP="00D72772">
      <w:pPr>
        <w:tabs>
          <w:tab w:val="left" w:pos="555"/>
        </w:tabs>
        <w:spacing w:line="360" w:lineRule="auto"/>
        <w:ind w:firstLine="284"/>
        <w:jc w:val="both"/>
      </w:pPr>
    </w:p>
    <w:p w:rsidR="00C22A42" w:rsidRDefault="00C22A42" w:rsidP="00D72772">
      <w:pPr>
        <w:tabs>
          <w:tab w:val="left" w:pos="555"/>
        </w:tabs>
        <w:spacing w:line="360" w:lineRule="auto"/>
        <w:ind w:firstLine="284"/>
        <w:jc w:val="both"/>
      </w:pPr>
      <w:r>
        <w:t>Para las pruebas SABER 3, e</w:t>
      </w:r>
      <w:r w:rsidRPr="00766DEA">
        <w:t xml:space="preserve">l porcentaje de estudiantes  que se movilizan entre los niveles de desempeño presenta un índice positivo  </w:t>
      </w:r>
      <w:r>
        <w:t>d</w:t>
      </w:r>
      <w:r w:rsidRPr="00766DEA">
        <w:t>el 2%</w:t>
      </w:r>
      <w:r>
        <w:t xml:space="preserve"> en área del Lenguaje; es decir, que entre el año 2012 y 2013 se presentó una mejoría en los resultados de dicha área. Para el caso de matemáticas se registra un índice del 4%  en el desempeño al 2013; es decir, una mejora 2 puntos porcentuales a la registrada en</w:t>
      </w:r>
      <w:r w:rsidRPr="00766DEA">
        <w:t xml:space="preserve"> el área de Lenguaje</w:t>
      </w:r>
      <w:r>
        <w:t>.</w:t>
      </w:r>
      <w:r w:rsidRPr="00766DEA">
        <w:t xml:space="preserve">  </w:t>
      </w:r>
    </w:p>
    <w:p w:rsidR="00C81B42" w:rsidRDefault="00C81B42" w:rsidP="00D72772">
      <w:pPr>
        <w:tabs>
          <w:tab w:val="left" w:pos="555"/>
        </w:tabs>
        <w:spacing w:line="360" w:lineRule="auto"/>
        <w:ind w:firstLine="284"/>
        <w:jc w:val="both"/>
      </w:pPr>
    </w:p>
    <w:p w:rsidR="00C22A42" w:rsidRDefault="00C22A42" w:rsidP="00D72772">
      <w:pPr>
        <w:tabs>
          <w:tab w:val="left" w:pos="555"/>
        </w:tabs>
        <w:spacing w:line="360" w:lineRule="auto"/>
        <w:ind w:firstLine="284"/>
        <w:jc w:val="both"/>
      </w:pPr>
      <w:r w:rsidRPr="00766DEA">
        <w:t>En el nivel de insufici</w:t>
      </w:r>
      <w:r>
        <w:t xml:space="preserve">ente para el grado 3º en el año 2013 no se evidencian cambios en lenguaje; no obstante, el área de matemáticas  presenta un incremento de un punto porcentual en los resultados de los alumnos evaluados.  </w:t>
      </w:r>
      <w:r w:rsidRPr="00766DEA">
        <w:t>En lo referente al nivel avanzado en el área de lenguaje pasa de 15% (2012) a 16% (</w:t>
      </w:r>
      <w:r w:rsidRPr="008E6C02">
        <w:t>2013)</w:t>
      </w:r>
      <w:r w:rsidRPr="00766DEA">
        <w:t xml:space="preserve"> y en matemáticas  pasa del 19% (2012) al 22% (2013)</w:t>
      </w:r>
      <w:r>
        <w:t>, es decir que los estudiantes que cursan el grado tercero en el departamento del Quindío están obteniendo un mejor desempeño tanto en Lenguaje como en Matemáticas</w:t>
      </w:r>
      <w:r w:rsidRPr="00766DEA">
        <w:t>.</w:t>
      </w:r>
    </w:p>
    <w:p w:rsidR="00C22A42" w:rsidRPr="00EE1F54" w:rsidRDefault="00C22A42" w:rsidP="00EE1F54">
      <w:pPr>
        <w:pStyle w:val="Ttulo2"/>
        <w:rPr>
          <w:rFonts w:ascii="Times New Roman" w:hAnsi="Times New Roman" w:cs="Times New Roman"/>
          <w:color w:val="auto"/>
          <w:sz w:val="30"/>
          <w:szCs w:val="30"/>
        </w:rPr>
      </w:pPr>
      <w:bookmarkStart w:id="24" w:name="_Toc406754291"/>
      <w:r w:rsidRPr="00EE1F54">
        <w:rPr>
          <w:rFonts w:ascii="Times New Roman" w:hAnsi="Times New Roman" w:cs="Times New Roman"/>
          <w:color w:val="auto"/>
          <w:sz w:val="30"/>
          <w:szCs w:val="30"/>
        </w:rPr>
        <w:lastRenderedPageBreak/>
        <w:t>2</w:t>
      </w:r>
      <w:r w:rsidR="009C7EA6" w:rsidRPr="00EE1F54">
        <w:rPr>
          <w:rFonts w:ascii="Times New Roman" w:hAnsi="Times New Roman" w:cs="Times New Roman"/>
          <w:color w:val="auto"/>
          <w:sz w:val="30"/>
          <w:szCs w:val="30"/>
        </w:rPr>
        <w:t xml:space="preserve">.4.2 </w:t>
      </w:r>
      <w:r w:rsidRPr="00EE1F54">
        <w:rPr>
          <w:rFonts w:ascii="Times New Roman" w:hAnsi="Times New Roman" w:cs="Times New Roman"/>
          <w:color w:val="auto"/>
          <w:sz w:val="30"/>
          <w:szCs w:val="30"/>
        </w:rPr>
        <w:t>Promedio y niveles de desempeño  pruebas saber. Grado 5º</w:t>
      </w:r>
      <w:bookmarkEnd w:id="24"/>
    </w:p>
    <w:p w:rsidR="00C22A42" w:rsidRPr="00766DEA" w:rsidRDefault="00C22A42" w:rsidP="00C22A42">
      <w:pPr>
        <w:tabs>
          <w:tab w:val="left" w:pos="225"/>
        </w:tabs>
      </w:pPr>
    </w:p>
    <w:p w:rsidR="00C22A42" w:rsidRDefault="00C22A42" w:rsidP="006C6D74">
      <w:pPr>
        <w:tabs>
          <w:tab w:val="left" w:pos="225"/>
        </w:tabs>
        <w:spacing w:line="360" w:lineRule="auto"/>
        <w:ind w:firstLine="284"/>
        <w:jc w:val="both"/>
      </w:pPr>
      <w:r w:rsidRPr="00766DEA">
        <w:t>Par</w:t>
      </w:r>
      <w:r>
        <w:t>a el año de 2013 la ETC Quindío en el grado 5º</w:t>
      </w:r>
      <w:r w:rsidRPr="00766DEA">
        <w:t xml:space="preserve"> presenta promedios en las áreas de Lenguaje (299), Matemáticas (293) y Competencias ciudadanas (297),  inferiores en  9, 10 y 4 puntos respectivamente con relación  a los promedios Nacionales  los cuales son de 308, 303 y 301 en las </w:t>
      </w:r>
      <w:r>
        <w:t>mismas áreas.</w:t>
      </w:r>
    </w:p>
    <w:p w:rsidR="00C22A42" w:rsidRPr="00766DEA" w:rsidRDefault="00C22A42" w:rsidP="00C22A42">
      <w:pPr>
        <w:jc w:val="center"/>
      </w:pPr>
    </w:p>
    <w:p w:rsidR="00C22A42" w:rsidRDefault="00C22A42" w:rsidP="00C22A42">
      <w:pPr>
        <w:jc w:val="center"/>
      </w:pPr>
    </w:p>
    <w:p w:rsidR="00C22A42" w:rsidRPr="00004DFB" w:rsidRDefault="00DB02B6" w:rsidP="00334C5E">
      <w:r>
        <w:t>Gráfico 2.6</w:t>
      </w:r>
    </w:p>
    <w:p w:rsidR="00C22A42" w:rsidRPr="00004DFB" w:rsidRDefault="00C22A42" w:rsidP="00334C5E">
      <w:r w:rsidRPr="00004DFB">
        <w:t>Promedio y nivel de desempeño pruebas saber grado 5º</w:t>
      </w:r>
    </w:p>
    <w:p w:rsidR="00C22A42" w:rsidRPr="00004DFB" w:rsidRDefault="00C22A42" w:rsidP="00334C5E">
      <w:r w:rsidRPr="00004DFB">
        <w:t>2013</w:t>
      </w:r>
    </w:p>
    <w:p w:rsidR="00C22A42" w:rsidRPr="00766DEA" w:rsidRDefault="00C22A42" w:rsidP="00C22A42"/>
    <w:p w:rsidR="00C22A42" w:rsidRDefault="00C22A42" w:rsidP="00334C5E">
      <w:pPr>
        <w:rPr>
          <w:color w:val="000000"/>
          <w:sz w:val="18"/>
          <w:szCs w:val="18"/>
          <w:lang w:eastAsia="es-ES"/>
        </w:rPr>
      </w:pPr>
      <w:r w:rsidRPr="00766DEA">
        <w:rPr>
          <w:noProof/>
        </w:rPr>
        <w:drawing>
          <wp:inline distT="0" distB="0" distL="0" distR="0" wp14:anchorId="59E662D9" wp14:editId="766B1584">
            <wp:extent cx="4940490" cy="2702257"/>
            <wp:effectExtent l="0" t="0" r="12700" b="222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22A42" w:rsidRPr="00841AE9" w:rsidRDefault="00334C5E" w:rsidP="00C22A42">
      <w:pPr>
        <w:rPr>
          <w:color w:val="000000"/>
          <w:sz w:val="18"/>
          <w:szCs w:val="18"/>
          <w:lang w:eastAsia="es-ES"/>
        </w:rPr>
      </w:pPr>
      <w:r>
        <w:rPr>
          <w:color w:val="000000"/>
          <w:sz w:val="18"/>
          <w:szCs w:val="18"/>
          <w:lang w:eastAsia="es-ES"/>
        </w:rPr>
        <w:t xml:space="preserve">    </w:t>
      </w:r>
      <w:r w:rsidR="00C22A42">
        <w:rPr>
          <w:color w:val="000000"/>
          <w:sz w:val="18"/>
          <w:szCs w:val="18"/>
          <w:lang w:eastAsia="es-ES"/>
        </w:rPr>
        <w:t xml:space="preserve"> Fuente: Ministerio de Educación.</w:t>
      </w:r>
      <w:r w:rsidR="00C22A42">
        <w:rPr>
          <w:color w:val="000000"/>
          <w:sz w:val="18"/>
          <w:szCs w:val="18"/>
          <w:lang w:eastAsia="es-ES"/>
        </w:rPr>
        <w:tab/>
      </w:r>
    </w:p>
    <w:p w:rsidR="00C22A42" w:rsidRPr="00766DEA" w:rsidRDefault="00C22A42" w:rsidP="00C22A42">
      <w:pPr>
        <w:jc w:val="right"/>
      </w:pPr>
    </w:p>
    <w:p w:rsidR="00004DFB" w:rsidRDefault="00C22A42" w:rsidP="00C22A42">
      <w:pPr>
        <w:spacing w:line="360" w:lineRule="auto"/>
        <w:jc w:val="both"/>
      </w:pPr>
      <w:r>
        <w:t xml:space="preserve">       </w:t>
      </w:r>
    </w:p>
    <w:p w:rsidR="00C22A42" w:rsidRPr="00766DEA" w:rsidRDefault="00C22A42" w:rsidP="003039CE">
      <w:pPr>
        <w:spacing w:line="360" w:lineRule="auto"/>
        <w:ind w:firstLine="284"/>
        <w:jc w:val="both"/>
      </w:pPr>
      <w:r w:rsidRPr="00766DEA">
        <w:t>El p</w:t>
      </w:r>
      <w:r>
        <w:t>romedio de desempeño por niveles</w:t>
      </w:r>
      <w:r w:rsidRPr="00766DEA">
        <w:t xml:space="preserve"> para el Grado 5º en</w:t>
      </w:r>
      <w:r>
        <w:t xml:space="preserve"> competencias ciudadanas en el d</w:t>
      </w:r>
      <w:r w:rsidRPr="00766DEA">
        <w:t>epartamento del Q</w:t>
      </w:r>
      <w:r>
        <w:t>uindío es de (297), muy cercano a los resultados obtenidos a nivel nacional (301)</w:t>
      </w:r>
      <w:r w:rsidRPr="00766DEA">
        <w:t>.</w:t>
      </w:r>
      <w:r>
        <w:t xml:space="preserve"> </w:t>
      </w:r>
      <w:r w:rsidRPr="00766DEA">
        <w:t>El porcentaje de estudiantes entre el nivel insuficiente y mínimo en las áreas de Lenguaje, Matemáticas y Competencias Ciudadanas es de 18% y 43%, 39% y</w:t>
      </w:r>
      <w:r>
        <w:t xml:space="preserve"> </w:t>
      </w:r>
      <w:r w:rsidRPr="00766DEA">
        <w:t xml:space="preserve">33%, 26% y 35% </w:t>
      </w:r>
      <w:r>
        <w:t>resultados superiores a los obtenidos en el agregado nacional</w:t>
      </w:r>
      <w:r w:rsidRPr="00766DEA">
        <w:t>.</w:t>
      </w:r>
      <w:r>
        <w:t xml:space="preserve"> En general el desempeño de los estudiantes de 5 grado del Quindío es muy cercano a la media nacional, aspecto que evidencia habilidades, competencias y facilidades similares al de los estudiantes del resto del país.</w:t>
      </w:r>
    </w:p>
    <w:p w:rsidR="00C22A42" w:rsidRPr="004477C7" w:rsidRDefault="00D703A3" w:rsidP="00DB02B6">
      <w:pPr>
        <w:jc w:val="both"/>
      </w:pPr>
      <w:r>
        <w:lastRenderedPageBreak/>
        <w:t>Tabla</w:t>
      </w:r>
      <w:r w:rsidR="00C22A42" w:rsidRPr="004477C7">
        <w:t xml:space="preserve"> 2</w:t>
      </w:r>
      <w:r w:rsidR="00DB02B6">
        <w:t>.7</w:t>
      </w:r>
    </w:p>
    <w:p w:rsidR="00C22A42" w:rsidRPr="004477C7" w:rsidRDefault="00C22A42" w:rsidP="00DB02B6">
      <w:r w:rsidRPr="004477C7">
        <w:t>Quindío.- Porcentaje de estudiantes según nivel de desempeño. Grado 5º</w:t>
      </w:r>
    </w:p>
    <w:p w:rsidR="00C22A42" w:rsidRDefault="00C22A42" w:rsidP="00DB02B6">
      <w:r w:rsidRPr="004477C7">
        <w:t>2009</w:t>
      </w:r>
      <w:r w:rsidR="005763AF">
        <w:t>, 2012 y</w:t>
      </w:r>
      <w:r w:rsidRPr="004477C7">
        <w:t xml:space="preserve"> 2013</w:t>
      </w:r>
    </w:p>
    <w:p w:rsidR="004477C7" w:rsidRPr="004477C7" w:rsidRDefault="004477C7" w:rsidP="004477C7"/>
    <w:tbl>
      <w:tblPr>
        <w:tblW w:w="9478" w:type="dxa"/>
        <w:tblLayout w:type="fixed"/>
        <w:tblCellMar>
          <w:left w:w="70" w:type="dxa"/>
          <w:right w:w="70" w:type="dxa"/>
        </w:tblCellMar>
        <w:tblLook w:val="04A0" w:firstRow="1" w:lastRow="0" w:firstColumn="1" w:lastColumn="0" w:noHBand="0" w:noVBand="1"/>
      </w:tblPr>
      <w:tblGrid>
        <w:gridCol w:w="1171"/>
        <w:gridCol w:w="985"/>
        <w:gridCol w:w="638"/>
        <w:gridCol w:w="980"/>
        <w:gridCol w:w="973"/>
        <w:gridCol w:w="910"/>
        <w:gridCol w:w="1171"/>
        <w:gridCol w:w="1033"/>
        <w:gridCol w:w="1061"/>
        <w:gridCol w:w="556"/>
      </w:tblGrid>
      <w:tr w:rsidR="00C22A42" w:rsidRPr="0044031E" w:rsidTr="005A282B">
        <w:trPr>
          <w:trHeight w:val="291"/>
        </w:trPr>
        <w:tc>
          <w:tcPr>
            <w:tcW w:w="1171" w:type="dxa"/>
            <w:vMerge w:val="restart"/>
            <w:tcBorders>
              <w:top w:val="nil"/>
              <w:left w:val="nil"/>
              <w:bottom w:val="single" w:sz="4" w:space="0" w:color="000000"/>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Área</w:t>
            </w:r>
          </w:p>
        </w:tc>
        <w:tc>
          <w:tcPr>
            <w:tcW w:w="3576" w:type="dxa"/>
            <w:gridSpan w:val="4"/>
            <w:tcBorders>
              <w:top w:val="single" w:sz="4" w:space="0" w:color="auto"/>
              <w:left w:val="nil"/>
              <w:bottom w:val="nil"/>
              <w:right w:val="nil"/>
            </w:tcBorders>
            <w:shd w:val="clear" w:color="auto" w:fill="auto"/>
            <w:vAlign w:val="center"/>
            <w:hideMark/>
          </w:tcPr>
          <w:p w:rsidR="00C22A42" w:rsidRPr="004477C7" w:rsidRDefault="004477C7" w:rsidP="005A282B">
            <w:pPr>
              <w:jc w:val="center"/>
              <w:rPr>
                <w:b/>
                <w:color w:val="000000"/>
                <w:sz w:val="16"/>
                <w:szCs w:val="16"/>
                <w:lang w:eastAsia="es-ES"/>
              </w:rPr>
            </w:pPr>
            <w:r w:rsidRPr="004477C7">
              <w:rPr>
                <w:b/>
                <w:color w:val="000000"/>
                <w:sz w:val="16"/>
                <w:szCs w:val="16"/>
                <w:lang w:eastAsia="es-ES"/>
              </w:rPr>
              <w:t>NIVELES DE DESEMPEÑO 2009</w:t>
            </w:r>
          </w:p>
        </w:tc>
        <w:tc>
          <w:tcPr>
            <w:tcW w:w="4175" w:type="dxa"/>
            <w:gridSpan w:val="4"/>
            <w:tcBorders>
              <w:top w:val="single" w:sz="4" w:space="0" w:color="auto"/>
              <w:left w:val="nil"/>
              <w:bottom w:val="nil"/>
              <w:right w:val="nil"/>
            </w:tcBorders>
            <w:shd w:val="clear" w:color="auto" w:fill="auto"/>
            <w:vAlign w:val="center"/>
            <w:hideMark/>
          </w:tcPr>
          <w:p w:rsidR="00C22A42" w:rsidRPr="004477C7" w:rsidRDefault="004477C7" w:rsidP="005A282B">
            <w:pPr>
              <w:jc w:val="center"/>
              <w:rPr>
                <w:b/>
                <w:color w:val="000000"/>
                <w:sz w:val="16"/>
                <w:szCs w:val="16"/>
                <w:lang w:eastAsia="es-ES"/>
              </w:rPr>
            </w:pPr>
            <w:r w:rsidRPr="004477C7">
              <w:rPr>
                <w:b/>
                <w:color w:val="000000"/>
                <w:sz w:val="16"/>
                <w:szCs w:val="16"/>
                <w:lang w:eastAsia="es-ES"/>
              </w:rPr>
              <w:t>NIVELES DE DESEMPEÑO 2012</w:t>
            </w:r>
          </w:p>
        </w:tc>
        <w:tc>
          <w:tcPr>
            <w:tcW w:w="556" w:type="dxa"/>
            <w:vMerge w:val="restart"/>
            <w:tcBorders>
              <w:top w:val="nil"/>
              <w:left w:val="nil"/>
              <w:bottom w:val="single" w:sz="4" w:space="0" w:color="000000"/>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Índice</w:t>
            </w:r>
          </w:p>
        </w:tc>
      </w:tr>
      <w:tr w:rsidR="00C22A42" w:rsidRPr="0044031E" w:rsidTr="005A282B">
        <w:trPr>
          <w:trHeight w:val="469"/>
        </w:trPr>
        <w:tc>
          <w:tcPr>
            <w:tcW w:w="1171" w:type="dxa"/>
            <w:vMerge/>
            <w:tcBorders>
              <w:top w:val="nil"/>
              <w:left w:val="nil"/>
              <w:bottom w:val="single" w:sz="4" w:space="0" w:color="000000"/>
              <w:right w:val="nil"/>
            </w:tcBorders>
            <w:vAlign w:val="center"/>
            <w:hideMark/>
          </w:tcPr>
          <w:p w:rsidR="00C22A42" w:rsidRPr="0044031E" w:rsidRDefault="00C22A42" w:rsidP="005A282B">
            <w:pPr>
              <w:rPr>
                <w:color w:val="000000"/>
                <w:sz w:val="16"/>
                <w:szCs w:val="16"/>
                <w:lang w:eastAsia="es-ES"/>
              </w:rPr>
            </w:pPr>
          </w:p>
        </w:tc>
        <w:tc>
          <w:tcPr>
            <w:tcW w:w="985"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Insuficiente</w:t>
            </w:r>
          </w:p>
        </w:tc>
        <w:tc>
          <w:tcPr>
            <w:tcW w:w="637" w:type="dxa"/>
            <w:tcBorders>
              <w:top w:val="nil"/>
              <w:left w:val="nil"/>
              <w:bottom w:val="single" w:sz="4" w:space="0" w:color="auto"/>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Mínimo</w:t>
            </w:r>
          </w:p>
        </w:tc>
        <w:tc>
          <w:tcPr>
            <w:tcW w:w="980"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Satisfactorio</w:t>
            </w:r>
          </w:p>
        </w:tc>
        <w:tc>
          <w:tcPr>
            <w:tcW w:w="973"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Avanzado</w:t>
            </w:r>
          </w:p>
        </w:tc>
        <w:tc>
          <w:tcPr>
            <w:tcW w:w="910"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Insuficiente</w:t>
            </w:r>
          </w:p>
        </w:tc>
        <w:tc>
          <w:tcPr>
            <w:tcW w:w="1171" w:type="dxa"/>
            <w:tcBorders>
              <w:top w:val="nil"/>
              <w:left w:val="nil"/>
              <w:bottom w:val="single" w:sz="4" w:space="0" w:color="auto"/>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Mínimo</w:t>
            </w:r>
          </w:p>
        </w:tc>
        <w:tc>
          <w:tcPr>
            <w:tcW w:w="1033"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Satisfactorio</w:t>
            </w:r>
          </w:p>
        </w:tc>
        <w:tc>
          <w:tcPr>
            <w:tcW w:w="1059"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Avanzado</w:t>
            </w:r>
          </w:p>
        </w:tc>
        <w:tc>
          <w:tcPr>
            <w:tcW w:w="556" w:type="dxa"/>
            <w:vMerge/>
            <w:tcBorders>
              <w:top w:val="nil"/>
              <w:left w:val="nil"/>
              <w:bottom w:val="single" w:sz="4" w:space="0" w:color="000000"/>
              <w:right w:val="nil"/>
            </w:tcBorders>
            <w:vAlign w:val="center"/>
            <w:hideMark/>
          </w:tcPr>
          <w:p w:rsidR="00C22A42" w:rsidRPr="0044031E" w:rsidRDefault="00C22A42" w:rsidP="005A282B">
            <w:pPr>
              <w:rPr>
                <w:color w:val="000000"/>
                <w:sz w:val="16"/>
                <w:szCs w:val="16"/>
                <w:lang w:eastAsia="es-ES"/>
              </w:rPr>
            </w:pP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Lenguaje</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18%</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46%</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29%</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8%</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18%</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45%</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28%</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0%</w:t>
            </w: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Matemáticas</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37%</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35%</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19%</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8%</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39%</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34%</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19%</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w:t>
            </w: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Ciencias N.</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20%</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54%</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21%</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6%</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18%</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50%</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23%</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Ciudadanas</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25%</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35%</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31%</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r>
      <w:tr w:rsidR="00C22A42" w:rsidRPr="0044031E" w:rsidTr="005A282B">
        <w:trPr>
          <w:trHeight w:val="291"/>
        </w:trPr>
        <w:tc>
          <w:tcPr>
            <w:tcW w:w="1171" w:type="dxa"/>
            <w:vMerge w:val="restart"/>
            <w:tcBorders>
              <w:top w:val="nil"/>
              <w:left w:val="nil"/>
              <w:bottom w:val="nil"/>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Área</w:t>
            </w:r>
          </w:p>
        </w:tc>
        <w:tc>
          <w:tcPr>
            <w:tcW w:w="3576" w:type="dxa"/>
            <w:gridSpan w:val="4"/>
            <w:tcBorders>
              <w:top w:val="single" w:sz="4" w:space="0" w:color="auto"/>
              <w:left w:val="nil"/>
              <w:bottom w:val="single" w:sz="4" w:space="0" w:color="auto"/>
              <w:right w:val="nil"/>
            </w:tcBorders>
            <w:shd w:val="clear" w:color="auto" w:fill="auto"/>
            <w:vAlign w:val="center"/>
            <w:hideMark/>
          </w:tcPr>
          <w:p w:rsidR="00C22A42" w:rsidRPr="004477C7" w:rsidRDefault="004477C7" w:rsidP="005A282B">
            <w:pPr>
              <w:jc w:val="center"/>
              <w:rPr>
                <w:b/>
                <w:color w:val="000000"/>
                <w:sz w:val="16"/>
                <w:szCs w:val="16"/>
                <w:lang w:eastAsia="es-ES"/>
              </w:rPr>
            </w:pPr>
            <w:r w:rsidRPr="004477C7">
              <w:rPr>
                <w:b/>
                <w:color w:val="000000"/>
                <w:sz w:val="16"/>
                <w:szCs w:val="16"/>
                <w:lang w:eastAsia="es-ES"/>
              </w:rPr>
              <w:t>NIVELES DE DESEMPEÑO 2009</w:t>
            </w:r>
          </w:p>
        </w:tc>
        <w:tc>
          <w:tcPr>
            <w:tcW w:w="4175" w:type="dxa"/>
            <w:gridSpan w:val="4"/>
            <w:tcBorders>
              <w:top w:val="single" w:sz="4" w:space="0" w:color="auto"/>
              <w:left w:val="nil"/>
              <w:bottom w:val="single" w:sz="4" w:space="0" w:color="auto"/>
              <w:right w:val="nil"/>
            </w:tcBorders>
            <w:shd w:val="clear" w:color="auto" w:fill="auto"/>
            <w:vAlign w:val="center"/>
            <w:hideMark/>
          </w:tcPr>
          <w:p w:rsidR="00C22A42" w:rsidRPr="004477C7" w:rsidRDefault="004477C7" w:rsidP="005A282B">
            <w:pPr>
              <w:jc w:val="center"/>
              <w:rPr>
                <w:b/>
                <w:color w:val="000000"/>
                <w:sz w:val="16"/>
                <w:szCs w:val="16"/>
                <w:lang w:eastAsia="es-ES"/>
              </w:rPr>
            </w:pPr>
            <w:r w:rsidRPr="004477C7">
              <w:rPr>
                <w:b/>
                <w:color w:val="000000"/>
                <w:sz w:val="16"/>
                <w:szCs w:val="16"/>
                <w:lang w:eastAsia="es-ES"/>
              </w:rPr>
              <w:t>NIVELES DE DESEMPEÑO 2013</w:t>
            </w:r>
          </w:p>
        </w:tc>
        <w:tc>
          <w:tcPr>
            <w:tcW w:w="556" w:type="dxa"/>
            <w:vMerge w:val="restart"/>
            <w:tcBorders>
              <w:top w:val="nil"/>
              <w:left w:val="nil"/>
              <w:bottom w:val="nil"/>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Índice</w:t>
            </w:r>
          </w:p>
        </w:tc>
      </w:tr>
      <w:tr w:rsidR="00C22A42" w:rsidRPr="0044031E" w:rsidTr="005A282B">
        <w:trPr>
          <w:trHeight w:val="469"/>
        </w:trPr>
        <w:tc>
          <w:tcPr>
            <w:tcW w:w="1171" w:type="dxa"/>
            <w:vMerge/>
            <w:tcBorders>
              <w:top w:val="nil"/>
              <w:left w:val="nil"/>
              <w:bottom w:val="nil"/>
              <w:right w:val="nil"/>
            </w:tcBorders>
            <w:vAlign w:val="center"/>
            <w:hideMark/>
          </w:tcPr>
          <w:p w:rsidR="00C22A42" w:rsidRPr="0044031E" w:rsidRDefault="00C22A42" w:rsidP="005A282B">
            <w:pPr>
              <w:rPr>
                <w:color w:val="000000"/>
                <w:sz w:val="16"/>
                <w:szCs w:val="16"/>
                <w:lang w:eastAsia="es-ES"/>
              </w:rPr>
            </w:pPr>
          </w:p>
        </w:tc>
        <w:tc>
          <w:tcPr>
            <w:tcW w:w="985"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Insuficiente</w:t>
            </w:r>
          </w:p>
        </w:tc>
        <w:tc>
          <w:tcPr>
            <w:tcW w:w="637" w:type="dxa"/>
            <w:tcBorders>
              <w:top w:val="nil"/>
              <w:left w:val="nil"/>
              <w:bottom w:val="single" w:sz="4" w:space="0" w:color="auto"/>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Mínimo</w:t>
            </w:r>
          </w:p>
        </w:tc>
        <w:tc>
          <w:tcPr>
            <w:tcW w:w="980"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Satisfactorio</w:t>
            </w:r>
          </w:p>
        </w:tc>
        <w:tc>
          <w:tcPr>
            <w:tcW w:w="973"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Avanzado</w:t>
            </w:r>
          </w:p>
        </w:tc>
        <w:tc>
          <w:tcPr>
            <w:tcW w:w="910"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Insuficiente</w:t>
            </w:r>
          </w:p>
        </w:tc>
        <w:tc>
          <w:tcPr>
            <w:tcW w:w="1171" w:type="dxa"/>
            <w:tcBorders>
              <w:top w:val="nil"/>
              <w:left w:val="nil"/>
              <w:bottom w:val="single" w:sz="4" w:space="0" w:color="auto"/>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Mínimo</w:t>
            </w:r>
          </w:p>
        </w:tc>
        <w:tc>
          <w:tcPr>
            <w:tcW w:w="1033"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Satisfactorio</w:t>
            </w:r>
          </w:p>
        </w:tc>
        <w:tc>
          <w:tcPr>
            <w:tcW w:w="1059" w:type="dxa"/>
            <w:tcBorders>
              <w:top w:val="nil"/>
              <w:left w:val="nil"/>
              <w:bottom w:val="single" w:sz="4" w:space="0" w:color="auto"/>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Avanzado</w:t>
            </w:r>
          </w:p>
        </w:tc>
        <w:tc>
          <w:tcPr>
            <w:tcW w:w="556" w:type="dxa"/>
            <w:vMerge/>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Lenguaje</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18%</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46%</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29%</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8%</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18%</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43%</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28%</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11%</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4%</w:t>
            </w: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Matemáticas</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37%</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35%</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19%</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8%</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39%</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33%</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18%</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10%</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w:t>
            </w: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Ciencias N.</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20%</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54%</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21%</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6%</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Ciudadanas</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26%</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35%</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30%</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r>
      <w:tr w:rsidR="00C22A42" w:rsidRPr="0044031E" w:rsidTr="005A282B">
        <w:trPr>
          <w:trHeight w:val="291"/>
        </w:trPr>
        <w:tc>
          <w:tcPr>
            <w:tcW w:w="1171" w:type="dxa"/>
            <w:vMerge w:val="restart"/>
            <w:tcBorders>
              <w:top w:val="nil"/>
              <w:left w:val="nil"/>
              <w:bottom w:val="nil"/>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Área</w:t>
            </w:r>
          </w:p>
        </w:tc>
        <w:tc>
          <w:tcPr>
            <w:tcW w:w="3576" w:type="dxa"/>
            <w:gridSpan w:val="4"/>
            <w:tcBorders>
              <w:top w:val="single" w:sz="4" w:space="0" w:color="auto"/>
              <w:left w:val="nil"/>
              <w:bottom w:val="single" w:sz="4" w:space="0" w:color="auto"/>
              <w:right w:val="nil"/>
            </w:tcBorders>
            <w:shd w:val="clear" w:color="auto" w:fill="auto"/>
            <w:vAlign w:val="center"/>
            <w:hideMark/>
          </w:tcPr>
          <w:p w:rsidR="00C22A42" w:rsidRPr="004477C7" w:rsidRDefault="004477C7" w:rsidP="005A282B">
            <w:pPr>
              <w:jc w:val="center"/>
              <w:rPr>
                <w:b/>
                <w:color w:val="000000"/>
                <w:sz w:val="16"/>
                <w:szCs w:val="16"/>
                <w:lang w:eastAsia="es-ES"/>
              </w:rPr>
            </w:pPr>
            <w:r w:rsidRPr="004477C7">
              <w:rPr>
                <w:b/>
                <w:color w:val="000000"/>
                <w:sz w:val="16"/>
                <w:szCs w:val="16"/>
                <w:lang w:eastAsia="es-ES"/>
              </w:rPr>
              <w:t>NIVELES DE DESEMPEÑO 2012</w:t>
            </w:r>
          </w:p>
        </w:tc>
        <w:tc>
          <w:tcPr>
            <w:tcW w:w="4175" w:type="dxa"/>
            <w:gridSpan w:val="4"/>
            <w:tcBorders>
              <w:top w:val="single" w:sz="4" w:space="0" w:color="auto"/>
              <w:left w:val="nil"/>
              <w:bottom w:val="single" w:sz="4" w:space="0" w:color="auto"/>
              <w:right w:val="nil"/>
            </w:tcBorders>
            <w:shd w:val="clear" w:color="auto" w:fill="auto"/>
            <w:vAlign w:val="center"/>
            <w:hideMark/>
          </w:tcPr>
          <w:p w:rsidR="00C22A42" w:rsidRPr="004477C7" w:rsidRDefault="004477C7" w:rsidP="005A282B">
            <w:pPr>
              <w:jc w:val="center"/>
              <w:rPr>
                <w:b/>
                <w:color w:val="000000"/>
                <w:sz w:val="16"/>
                <w:szCs w:val="16"/>
                <w:lang w:eastAsia="es-ES"/>
              </w:rPr>
            </w:pPr>
            <w:r w:rsidRPr="004477C7">
              <w:rPr>
                <w:b/>
                <w:color w:val="000000"/>
                <w:sz w:val="16"/>
                <w:szCs w:val="16"/>
                <w:lang w:eastAsia="es-ES"/>
              </w:rPr>
              <w:t>NIVELES DE DESEMPEÑO 2013</w:t>
            </w:r>
          </w:p>
        </w:tc>
        <w:tc>
          <w:tcPr>
            <w:tcW w:w="556" w:type="dxa"/>
            <w:vMerge w:val="restart"/>
            <w:tcBorders>
              <w:top w:val="nil"/>
              <w:left w:val="nil"/>
              <w:bottom w:val="nil"/>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Índice</w:t>
            </w:r>
          </w:p>
        </w:tc>
      </w:tr>
      <w:tr w:rsidR="00C22A42" w:rsidRPr="0044031E" w:rsidTr="005A282B">
        <w:trPr>
          <w:trHeight w:val="469"/>
        </w:trPr>
        <w:tc>
          <w:tcPr>
            <w:tcW w:w="1171" w:type="dxa"/>
            <w:vMerge/>
            <w:tcBorders>
              <w:top w:val="nil"/>
              <w:left w:val="nil"/>
              <w:bottom w:val="nil"/>
              <w:right w:val="nil"/>
            </w:tcBorders>
            <w:vAlign w:val="center"/>
            <w:hideMark/>
          </w:tcPr>
          <w:p w:rsidR="00C22A42" w:rsidRPr="0044031E" w:rsidRDefault="00C22A42" w:rsidP="005A282B">
            <w:pPr>
              <w:rPr>
                <w:color w:val="000000"/>
                <w:sz w:val="16"/>
                <w:szCs w:val="16"/>
                <w:lang w:eastAsia="es-ES"/>
              </w:rPr>
            </w:pPr>
          </w:p>
        </w:tc>
        <w:tc>
          <w:tcPr>
            <w:tcW w:w="985" w:type="dxa"/>
            <w:tcBorders>
              <w:top w:val="nil"/>
              <w:left w:val="nil"/>
              <w:bottom w:val="nil"/>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Insuficiente</w:t>
            </w:r>
          </w:p>
        </w:tc>
        <w:tc>
          <w:tcPr>
            <w:tcW w:w="637" w:type="dxa"/>
            <w:tcBorders>
              <w:top w:val="nil"/>
              <w:left w:val="nil"/>
              <w:bottom w:val="nil"/>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Mínimo</w:t>
            </w:r>
          </w:p>
        </w:tc>
        <w:tc>
          <w:tcPr>
            <w:tcW w:w="980" w:type="dxa"/>
            <w:tcBorders>
              <w:top w:val="nil"/>
              <w:left w:val="nil"/>
              <w:bottom w:val="nil"/>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Satisfactorio</w:t>
            </w:r>
          </w:p>
        </w:tc>
        <w:tc>
          <w:tcPr>
            <w:tcW w:w="973" w:type="dxa"/>
            <w:tcBorders>
              <w:top w:val="nil"/>
              <w:left w:val="nil"/>
              <w:bottom w:val="nil"/>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Avanzado</w:t>
            </w:r>
          </w:p>
        </w:tc>
        <w:tc>
          <w:tcPr>
            <w:tcW w:w="910" w:type="dxa"/>
            <w:tcBorders>
              <w:top w:val="nil"/>
              <w:left w:val="nil"/>
              <w:bottom w:val="nil"/>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Insuficiente</w:t>
            </w:r>
          </w:p>
        </w:tc>
        <w:tc>
          <w:tcPr>
            <w:tcW w:w="1171" w:type="dxa"/>
            <w:tcBorders>
              <w:top w:val="nil"/>
              <w:left w:val="nil"/>
              <w:bottom w:val="nil"/>
              <w:right w:val="nil"/>
            </w:tcBorders>
            <w:shd w:val="clear" w:color="auto" w:fill="auto"/>
            <w:vAlign w:val="center"/>
            <w:hideMark/>
          </w:tcPr>
          <w:p w:rsidR="00C22A42" w:rsidRPr="0044031E" w:rsidRDefault="00C22A42" w:rsidP="005A282B">
            <w:pPr>
              <w:jc w:val="center"/>
              <w:rPr>
                <w:color w:val="000000"/>
                <w:sz w:val="16"/>
                <w:szCs w:val="16"/>
                <w:lang w:eastAsia="es-ES"/>
              </w:rPr>
            </w:pPr>
            <w:r w:rsidRPr="0044031E">
              <w:rPr>
                <w:color w:val="000000"/>
                <w:sz w:val="16"/>
                <w:szCs w:val="16"/>
                <w:lang w:eastAsia="es-ES"/>
              </w:rPr>
              <w:t>Mínimo</w:t>
            </w:r>
          </w:p>
        </w:tc>
        <w:tc>
          <w:tcPr>
            <w:tcW w:w="1033" w:type="dxa"/>
            <w:tcBorders>
              <w:top w:val="nil"/>
              <w:left w:val="nil"/>
              <w:bottom w:val="nil"/>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Satisfactorio</w:t>
            </w:r>
          </w:p>
        </w:tc>
        <w:tc>
          <w:tcPr>
            <w:tcW w:w="1059" w:type="dxa"/>
            <w:tcBorders>
              <w:top w:val="nil"/>
              <w:left w:val="nil"/>
              <w:bottom w:val="nil"/>
              <w:right w:val="nil"/>
            </w:tcBorders>
            <w:shd w:val="clear" w:color="auto" w:fill="auto"/>
            <w:vAlign w:val="center"/>
            <w:hideMark/>
          </w:tcPr>
          <w:p w:rsidR="00C22A42" w:rsidRPr="0044031E" w:rsidRDefault="00C22A42" w:rsidP="005A282B">
            <w:pPr>
              <w:jc w:val="both"/>
              <w:rPr>
                <w:color w:val="000000"/>
                <w:sz w:val="16"/>
                <w:szCs w:val="16"/>
                <w:lang w:eastAsia="es-ES"/>
              </w:rPr>
            </w:pPr>
            <w:r w:rsidRPr="0044031E">
              <w:rPr>
                <w:color w:val="000000"/>
                <w:sz w:val="16"/>
                <w:szCs w:val="16"/>
                <w:lang w:eastAsia="es-ES"/>
              </w:rPr>
              <w:t>Avanzado</w:t>
            </w:r>
          </w:p>
        </w:tc>
        <w:tc>
          <w:tcPr>
            <w:tcW w:w="556" w:type="dxa"/>
            <w:vMerge/>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Lenguaje</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18%</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45%</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28%</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18%</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43%</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28%</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11%</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4%</w:t>
            </w: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Matemáticas</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39%</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34%</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19%</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39%</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33%</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18%</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10%</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0%</w:t>
            </w: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Ciencias N.</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18%</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50%</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23%</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n/a</w:t>
            </w:r>
          </w:p>
        </w:tc>
      </w:tr>
      <w:tr w:rsidR="00C22A42" w:rsidRPr="0044031E" w:rsidTr="005A282B">
        <w:trPr>
          <w:trHeight w:val="291"/>
        </w:trPr>
        <w:tc>
          <w:tcPr>
            <w:tcW w:w="1171" w:type="dxa"/>
            <w:tcBorders>
              <w:top w:val="nil"/>
              <w:left w:val="nil"/>
              <w:bottom w:val="nil"/>
              <w:right w:val="nil"/>
            </w:tcBorders>
            <w:shd w:val="clear" w:color="auto" w:fill="auto"/>
            <w:vAlign w:val="center"/>
            <w:hideMark/>
          </w:tcPr>
          <w:p w:rsidR="00C22A42" w:rsidRPr="0044031E" w:rsidRDefault="00C22A42" w:rsidP="005A282B">
            <w:pPr>
              <w:rPr>
                <w:color w:val="000000"/>
                <w:sz w:val="16"/>
                <w:szCs w:val="16"/>
                <w:lang w:eastAsia="es-ES"/>
              </w:rPr>
            </w:pPr>
            <w:r w:rsidRPr="0044031E">
              <w:rPr>
                <w:color w:val="000000"/>
                <w:sz w:val="16"/>
                <w:szCs w:val="16"/>
                <w:lang w:eastAsia="es-ES"/>
              </w:rPr>
              <w:t>Ciudadanas</w:t>
            </w:r>
          </w:p>
        </w:tc>
        <w:tc>
          <w:tcPr>
            <w:tcW w:w="985"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25%</w:t>
            </w:r>
          </w:p>
        </w:tc>
        <w:tc>
          <w:tcPr>
            <w:tcW w:w="637"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35%</w:t>
            </w:r>
          </w:p>
        </w:tc>
        <w:tc>
          <w:tcPr>
            <w:tcW w:w="98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31%</w:t>
            </w:r>
          </w:p>
        </w:tc>
        <w:tc>
          <w:tcPr>
            <w:tcW w:w="97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c>
          <w:tcPr>
            <w:tcW w:w="910"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26%</w:t>
            </w:r>
          </w:p>
        </w:tc>
        <w:tc>
          <w:tcPr>
            <w:tcW w:w="1171"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35%</w:t>
            </w:r>
          </w:p>
        </w:tc>
        <w:tc>
          <w:tcPr>
            <w:tcW w:w="1033"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30%</w:t>
            </w:r>
          </w:p>
        </w:tc>
        <w:tc>
          <w:tcPr>
            <w:tcW w:w="1059"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9%</w:t>
            </w:r>
          </w:p>
        </w:tc>
        <w:tc>
          <w:tcPr>
            <w:tcW w:w="556" w:type="dxa"/>
            <w:tcBorders>
              <w:top w:val="nil"/>
              <w:left w:val="nil"/>
              <w:bottom w:val="nil"/>
              <w:right w:val="nil"/>
            </w:tcBorders>
            <w:shd w:val="clear" w:color="auto" w:fill="auto"/>
            <w:vAlign w:val="center"/>
            <w:hideMark/>
          </w:tcPr>
          <w:p w:rsidR="00C22A42" w:rsidRPr="004477C7" w:rsidRDefault="00C22A42" w:rsidP="005A282B">
            <w:pPr>
              <w:jc w:val="center"/>
              <w:rPr>
                <w:bCs/>
                <w:color w:val="000000"/>
                <w:sz w:val="16"/>
                <w:szCs w:val="16"/>
                <w:lang w:eastAsia="es-ES"/>
              </w:rPr>
            </w:pPr>
            <w:r w:rsidRPr="004477C7">
              <w:rPr>
                <w:bCs/>
                <w:color w:val="000000"/>
                <w:sz w:val="16"/>
                <w:szCs w:val="16"/>
                <w:lang w:eastAsia="es-ES"/>
              </w:rPr>
              <w:t>-2%</w:t>
            </w:r>
          </w:p>
        </w:tc>
      </w:tr>
      <w:tr w:rsidR="00C22A42" w:rsidRPr="0044031E" w:rsidTr="005A282B">
        <w:trPr>
          <w:trHeight w:val="291"/>
        </w:trPr>
        <w:tc>
          <w:tcPr>
            <w:tcW w:w="2794" w:type="dxa"/>
            <w:gridSpan w:val="3"/>
            <w:tcBorders>
              <w:top w:val="single" w:sz="4" w:space="0" w:color="auto"/>
              <w:left w:val="nil"/>
              <w:bottom w:val="nil"/>
              <w:right w:val="nil"/>
            </w:tcBorders>
            <w:shd w:val="clear" w:color="auto" w:fill="auto"/>
            <w:noWrap/>
            <w:vAlign w:val="bottom"/>
            <w:hideMark/>
          </w:tcPr>
          <w:p w:rsidR="00C22A42" w:rsidRPr="0044031E" w:rsidRDefault="00C22A42" w:rsidP="005A282B">
            <w:pPr>
              <w:rPr>
                <w:color w:val="000000"/>
                <w:sz w:val="16"/>
                <w:szCs w:val="16"/>
                <w:lang w:eastAsia="es-ES"/>
              </w:rPr>
            </w:pPr>
            <w:r w:rsidRPr="0044031E">
              <w:rPr>
                <w:color w:val="000000"/>
                <w:sz w:val="16"/>
                <w:szCs w:val="16"/>
                <w:lang w:eastAsia="es-ES"/>
              </w:rPr>
              <w:t>Fuente: Ministerio de Educación.</w:t>
            </w:r>
          </w:p>
        </w:tc>
        <w:tc>
          <w:tcPr>
            <w:tcW w:w="980" w:type="dxa"/>
            <w:tcBorders>
              <w:top w:val="single" w:sz="4" w:space="0" w:color="auto"/>
              <w:left w:val="nil"/>
              <w:bottom w:val="nil"/>
              <w:right w:val="nil"/>
            </w:tcBorders>
            <w:shd w:val="clear" w:color="auto" w:fill="auto"/>
            <w:noWrap/>
            <w:vAlign w:val="bottom"/>
            <w:hideMark/>
          </w:tcPr>
          <w:p w:rsidR="00C22A42" w:rsidRPr="0044031E" w:rsidRDefault="00C22A42" w:rsidP="005A282B">
            <w:pPr>
              <w:rPr>
                <w:color w:val="000000"/>
                <w:sz w:val="16"/>
                <w:szCs w:val="16"/>
                <w:lang w:eastAsia="es-ES"/>
              </w:rPr>
            </w:pPr>
            <w:r w:rsidRPr="0044031E">
              <w:rPr>
                <w:color w:val="000000"/>
                <w:sz w:val="16"/>
                <w:szCs w:val="16"/>
                <w:lang w:eastAsia="es-ES"/>
              </w:rPr>
              <w:t> </w:t>
            </w:r>
          </w:p>
        </w:tc>
        <w:tc>
          <w:tcPr>
            <w:tcW w:w="973" w:type="dxa"/>
            <w:tcBorders>
              <w:top w:val="single" w:sz="4" w:space="0" w:color="auto"/>
              <w:left w:val="nil"/>
              <w:bottom w:val="nil"/>
              <w:right w:val="nil"/>
            </w:tcBorders>
            <w:shd w:val="clear" w:color="auto" w:fill="auto"/>
            <w:noWrap/>
            <w:vAlign w:val="bottom"/>
            <w:hideMark/>
          </w:tcPr>
          <w:p w:rsidR="00C22A42" w:rsidRPr="0044031E" w:rsidRDefault="00C22A42" w:rsidP="005A282B">
            <w:pPr>
              <w:rPr>
                <w:color w:val="000000"/>
                <w:sz w:val="16"/>
                <w:szCs w:val="16"/>
                <w:lang w:eastAsia="es-ES"/>
              </w:rPr>
            </w:pPr>
            <w:r w:rsidRPr="0044031E">
              <w:rPr>
                <w:color w:val="000000"/>
                <w:sz w:val="16"/>
                <w:szCs w:val="16"/>
                <w:lang w:eastAsia="es-ES"/>
              </w:rPr>
              <w:t> </w:t>
            </w:r>
          </w:p>
        </w:tc>
        <w:tc>
          <w:tcPr>
            <w:tcW w:w="910" w:type="dxa"/>
            <w:tcBorders>
              <w:top w:val="single" w:sz="4" w:space="0" w:color="auto"/>
              <w:left w:val="nil"/>
              <w:bottom w:val="nil"/>
              <w:right w:val="nil"/>
            </w:tcBorders>
            <w:shd w:val="clear" w:color="auto" w:fill="auto"/>
            <w:noWrap/>
            <w:vAlign w:val="bottom"/>
            <w:hideMark/>
          </w:tcPr>
          <w:p w:rsidR="00C22A42" w:rsidRPr="0044031E" w:rsidRDefault="00C22A42" w:rsidP="005A282B">
            <w:pPr>
              <w:rPr>
                <w:color w:val="000000"/>
                <w:sz w:val="16"/>
                <w:szCs w:val="16"/>
                <w:lang w:eastAsia="es-ES"/>
              </w:rPr>
            </w:pPr>
            <w:r w:rsidRPr="0044031E">
              <w:rPr>
                <w:color w:val="000000"/>
                <w:sz w:val="16"/>
                <w:szCs w:val="16"/>
                <w:lang w:eastAsia="es-ES"/>
              </w:rPr>
              <w:t> </w:t>
            </w:r>
          </w:p>
        </w:tc>
        <w:tc>
          <w:tcPr>
            <w:tcW w:w="1171" w:type="dxa"/>
            <w:tcBorders>
              <w:top w:val="single" w:sz="4" w:space="0" w:color="auto"/>
              <w:left w:val="nil"/>
              <w:bottom w:val="nil"/>
              <w:right w:val="nil"/>
            </w:tcBorders>
            <w:shd w:val="clear" w:color="auto" w:fill="auto"/>
            <w:noWrap/>
            <w:vAlign w:val="bottom"/>
            <w:hideMark/>
          </w:tcPr>
          <w:p w:rsidR="00C22A42" w:rsidRPr="0044031E" w:rsidRDefault="00C22A42" w:rsidP="005A282B">
            <w:pPr>
              <w:rPr>
                <w:color w:val="000000"/>
                <w:sz w:val="16"/>
                <w:szCs w:val="16"/>
                <w:lang w:eastAsia="es-ES"/>
              </w:rPr>
            </w:pPr>
            <w:r w:rsidRPr="0044031E">
              <w:rPr>
                <w:color w:val="000000"/>
                <w:sz w:val="16"/>
                <w:szCs w:val="16"/>
                <w:lang w:eastAsia="es-ES"/>
              </w:rPr>
              <w:t> </w:t>
            </w:r>
          </w:p>
        </w:tc>
        <w:tc>
          <w:tcPr>
            <w:tcW w:w="1033" w:type="dxa"/>
            <w:tcBorders>
              <w:top w:val="single" w:sz="4" w:space="0" w:color="auto"/>
              <w:left w:val="nil"/>
              <w:bottom w:val="nil"/>
              <w:right w:val="nil"/>
            </w:tcBorders>
            <w:shd w:val="clear" w:color="auto" w:fill="auto"/>
            <w:noWrap/>
            <w:vAlign w:val="bottom"/>
            <w:hideMark/>
          </w:tcPr>
          <w:p w:rsidR="00C22A42" w:rsidRPr="0044031E" w:rsidRDefault="00C22A42" w:rsidP="005A282B">
            <w:pPr>
              <w:rPr>
                <w:color w:val="000000"/>
                <w:sz w:val="16"/>
                <w:szCs w:val="16"/>
                <w:lang w:eastAsia="es-ES"/>
              </w:rPr>
            </w:pPr>
            <w:r w:rsidRPr="0044031E">
              <w:rPr>
                <w:color w:val="000000"/>
                <w:sz w:val="16"/>
                <w:szCs w:val="16"/>
                <w:lang w:eastAsia="es-ES"/>
              </w:rPr>
              <w:t> </w:t>
            </w:r>
          </w:p>
        </w:tc>
        <w:tc>
          <w:tcPr>
            <w:tcW w:w="1059" w:type="dxa"/>
            <w:tcBorders>
              <w:top w:val="single" w:sz="4" w:space="0" w:color="auto"/>
              <w:left w:val="nil"/>
              <w:bottom w:val="nil"/>
              <w:right w:val="nil"/>
            </w:tcBorders>
            <w:shd w:val="clear" w:color="auto" w:fill="auto"/>
            <w:noWrap/>
            <w:vAlign w:val="bottom"/>
            <w:hideMark/>
          </w:tcPr>
          <w:p w:rsidR="00C22A42" w:rsidRPr="0044031E" w:rsidRDefault="00C22A42" w:rsidP="005A282B">
            <w:pPr>
              <w:rPr>
                <w:color w:val="000000"/>
                <w:sz w:val="16"/>
                <w:szCs w:val="16"/>
                <w:lang w:eastAsia="es-ES"/>
              </w:rPr>
            </w:pPr>
            <w:r w:rsidRPr="0044031E">
              <w:rPr>
                <w:color w:val="000000"/>
                <w:sz w:val="16"/>
                <w:szCs w:val="16"/>
                <w:lang w:eastAsia="es-ES"/>
              </w:rPr>
              <w:t> </w:t>
            </w:r>
          </w:p>
        </w:tc>
        <w:tc>
          <w:tcPr>
            <w:tcW w:w="556" w:type="dxa"/>
            <w:tcBorders>
              <w:top w:val="single" w:sz="4" w:space="0" w:color="auto"/>
              <w:left w:val="nil"/>
              <w:bottom w:val="nil"/>
              <w:right w:val="nil"/>
            </w:tcBorders>
            <w:shd w:val="clear" w:color="auto" w:fill="auto"/>
            <w:noWrap/>
            <w:vAlign w:val="bottom"/>
            <w:hideMark/>
          </w:tcPr>
          <w:p w:rsidR="00C22A42" w:rsidRPr="0044031E" w:rsidRDefault="00C22A42" w:rsidP="005A282B">
            <w:pPr>
              <w:rPr>
                <w:color w:val="000000"/>
                <w:sz w:val="16"/>
                <w:szCs w:val="16"/>
                <w:lang w:eastAsia="es-ES"/>
              </w:rPr>
            </w:pPr>
            <w:r w:rsidRPr="0044031E">
              <w:rPr>
                <w:color w:val="000000"/>
                <w:sz w:val="16"/>
                <w:szCs w:val="16"/>
                <w:lang w:eastAsia="es-ES"/>
              </w:rPr>
              <w:t> </w:t>
            </w:r>
          </w:p>
        </w:tc>
      </w:tr>
    </w:tbl>
    <w:p w:rsidR="00C22A42" w:rsidRPr="00766DEA" w:rsidRDefault="00C22A42" w:rsidP="00C22A42">
      <w:pPr>
        <w:ind w:right="-235"/>
        <w:jc w:val="right"/>
      </w:pPr>
    </w:p>
    <w:p w:rsidR="00EE4C04" w:rsidRDefault="00EE4C04" w:rsidP="00C22A42">
      <w:pPr>
        <w:spacing w:line="360" w:lineRule="auto"/>
        <w:ind w:right="-235"/>
        <w:jc w:val="both"/>
      </w:pPr>
    </w:p>
    <w:p w:rsidR="00C22A42" w:rsidRPr="00766DEA" w:rsidRDefault="00C22A42" w:rsidP="00EE4C04">
      <w:pPr>
        <w:spacing w:line="360" w:lineRule="auto"/>
        <w:ind w:right="-232" w:firstLine="284"/>
        <w:jc w:val="both"/>
      </w:pPr>
      <w:r w:rsidRPr="00766DEA">
        <w:t>Según el porcentaje de estudiantes que se movilizan entre los niveles de desempeño insuficiente y mínimo  en el grado 5º para las áreas de Lenguaje y Matemáticas no se han presentado variaciones significativas entre los años 2009 al 2013. El desempeño insuficiente</w:t>
      </w:r>
      <w:r>
        <w:t xml:space="preserve"> se</w:t>
      </w:r>
      <w:r w:rsidR="00514ECE">
        <w:t xml:space="preserve"> mantiene en el 18% durante los </w:t>
      </w:r>
      <w:r>
        <w:t>años del 2009 al 2013;</w:t>
      </w:r>
      <w:r w:rsidRPr="00766DEA">
        <w:t xml:space="preserve"> no obstante</w:t>
      </w:r>
      <w:r>
        <w:t>,</w:t>
      </w:r>
      <w:r w:rsidRPr="00766DEA">
        <w:t xml:space="preserve"> el nivel mínimo ha presentado una leve disminución en las áreas de lenguaje con  un 46%  y 43%  y matemáticas en el mismo nivel pasa de 35% al 33% en los años 2009 – 2013</w:t>
      </w:r>
      <w:r>
        <w:t>,</w:t>
      </w:r>
      <w:r w:rsidRPr="00766DEA">
        <w:t xml:space="preserve"> respectivamente. Es de resaltar el nivel  avanzado en el Quindío</w:t>
      </w:r>
      <w:r>
        <w:t>,</w:t>
      </w:r>
      <w:r w:rsidRPr="00766DEA">
        <w:t xml:space="preserve"> el cual en el área de lenguaje pasa del 8% en el año 2009 al 11% en el año 2013 y matemáticas pasa del 8% (2009) al 10%  en el 2013 </w:t>
      </w:r>
      <w:r>
        <w:t xml:space="preserve">lo que presupone una mejora de </w:t>
      </w:r>
      <w:r w:rsidRPr="00766DEA">
        <w:t>los conocimientos de los estudiantes en estas áreas.</w:t>
      </w:r>
    </w:p>
    <w:p w:rsidR="00C22A42" w:rsidRPr="00353EB9" w:rsidRDefault="00C22A42" w:rsidP="00C22A42">
      <w:pPr>
        <w:jc w:val="right"/>
        <w:rPr>
          <w:b/>
          <w:sz w:val="30"/>
          <w:szCs w:val="30"/>
        </w:rPr>
      </w:pPr>
    </w:p>
    <w:p w:rsidR="00C22A42" w:rsidRPr="00514ECE" w:rsidRDefault="00C22A42" w:rsidP="00514ECE">
      <w:pPr>
        <w:pStyle w:val="Ttulo2"/>
        <w:rPr>
          <w:rFonts w:ascii="Times New Roman" w:hAnsi="Times New Roman" w:cs="Times New Roman"/>
          <w:color w:val="auto"/>
          <w:sz w:val="30"/>
          <w:szCs w:val="30"/>
        </w:rPr>
      </w:pPr>
      <w:bookmarkStart w:id="25" w:name="_Toc406754292"/>
      <w:r w:rsidRPr="00514ECE">
        <w:rPr>
          <w:rFonts w:ascii="Times New Roman" w:hAnsi="Times New Roman" w:cs="Times New Roman"/>
          <w:color w:val="auto"/>
          <w:sz w:val="30"/>
          <w:szCs w:val="30"/>
        </w:rPr>
        <w:lastRenderedPageBreak/>
        <w:t>2</w:t>
      </w:r>
      <w:r w:rsidR="00514ECE" w:rsidRPr="00514ECE">
        <w:rPr>
          <w:rFonts w:ascii="Times New Roman" w:hAnsi="Times New Roman" w:cs="Times New Roman"/>
          <w:color w:val="auto"/>
          <w:sz w:val="30"/>
          <w:szCs w:val="30"/>
        </w:rPr>
        <w:t>.4.3</w:t>
      </w:r>
      <w:r w:rsidRPr="00514ECE">
        <w:rPr>
          <w:rFonts w:ascii="Times New Roman" w:hAnsi="Times New Roman" w:cs="Times New Roman"/>
          <w:color w:val="auto"/>
          <w:sz w:val="30"/>
          <w:szCs w:val="30"/>
        </w:rPr>
        <w:t xml:space="preserve"> Promedio y niveles de desempeño en las pruebas Saber 2012 – Grado 9º</w:t>
      </w:r>
      <w:bookmarkEnd w:id="25"/>
    </w:p>
    <w:p w:rsidR="00514ECE" w:rsidRDefault="00514ECE" w:rsidP="00C22A42">
      <w:pPr>
        <w:ind w:right="-235"/>
        <w:jc w:val="center"/>
      </w:pPr>
    </w:p>
    <w:p w:rsidR="00BA68CF" w:rsidRDefault="00BA68CF" w:rsidP="00C22A42">
      <w:pPr>
        <w:ind w:right="-235"/>
        <w:jc w:val="center"/>
      </w:pPr>
    </w:p>
    <w:p w:rsidR="00C22A42" w:rsidRPr="000257E8" w:rsidRDefault="00DB02B6" w:rsidP="006111C6">
      <w:r>
        <w:t>Gráfico 2.7</w:t>
      </w:r>
    </w:p>
    <w:p w:rsidR="00C22A42" w:rsidRPr="000257E8" w:rsidRDefault="00C22A42" w:rsidP="006111C6">
      <w:r w:rsidRPr="000257E8">
        <w:t>Promedio y niveles de desempeño, pruebas saber grado 9º</w:t>
      </w:r>
    </w:p>
    <w:p w:rsidR="00C22A42" w:rsidRPr="000257E8" w:rsidRDefault="00C22A42" w:rsidP="006111C6">
      <w:r w:rsidRPr="000257E8">
        <w:t>Vigencia 2012</w:t>
      </w:r>
    </w:p>
    <w:p w:rsidR="00C22A42" w:rsidRPr="00766DEA" w:rsidRDefault="00C22A42" w:rsidP="00C22A42">
      <w:pPr>
        <w:jc w:val="center"/>
      </w:pPr>
    </w:p>
    <w:p w:rsidR="006111C6" w:rsidRDefault="00C22A42" w:rsidP="00C22A42">
      <w:pPr>
        <w:rPr>
          <w:sz w:val="18"/>
          <w:szCs w:val="18"/>
        </w:rPr>
      </w:pPr>
      <w:r w:rsidRPr="00766DEA">
        <w:rPr>
          <w:noProof/>
        </w:rPr>
        <w:drawing>
          <wp:inline distT="0" distB="0" distL="0" distR="0" wp14:anchorId="05255E5F" wp14:editId="05A207E8">
            <wp:extent cx="4790364" cy="2811439"/>
            <wp:effectExtent l="0" t="0" r="10795" b="2730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C844DA">
        <w:rPr>
          <w:sz w:val="18"/>
          <w:szCs w:val="18"/>
        </w:rPr>
        <w:t xml:space="preserve"> </w:t>
      </w:r>
    </w:p>
    <w:p w:rsidR="00C22A42" w:rsidRPr="006111C6" w:rsidRDefault="00C22A42" w:rsidP="006111C6">
      <w:pPr>
        <w:ind w:firstLine="284"/>
      </w:pPr>
      <w:r w:rsidRPr="00C844DA">
        <w:rPr>
          <w:sz w:val="18"/>
          <w:szCs w:val="18"/>
        </w:rPr>
        <w:t>Fuente: Ministerio de Educación.</w:t>
      </w:r>
    </w:p>
    <w:p w:rsidR="00C22A42" w:rsidRPr="00766DEA" w:rsidRDefault="00C22A42" w:rsidP="00C22A42"/>
    <w:p w:rsidR="000257E8" w:rsidRDefault="00C22A42" w:rsidP="00C22A42">
      <w:pPr>
        <w:spacing w:line="360" w:lineRule="auto"/>
        <w:jc w:val="both"/>
      </w:pPr>
      <w:r w:rsidRPr="00766DEA">
        <w:t xml:space="preserve">   </w:t>
      </w:r>
      <w:r>
        <w:t xml:space="preserve"> </w:t>
      </w:r>
    </w:p>
    <w:p w:rsidR="00C22A42" w:rsidRDefault="00C22A42" w:rsidP="00CD6F59">
      <w:pPr>
        <w:spacing w:line="360" w:lineRule="auto"/>
        <w:ind w:firstLine="284"/>
        <w:jc w:val="both"/>
      </w:pPr>
      <w:r>
        <w:t>De acuerdo con los resultados obtenidos en las pruebas SABER 9, se evidencia una vez más que l</w:t>
      </w:r>
      <w:r w:rsidRPr="00766DEA">
        <w:t>os promedios que presenta la ETC Quindío en las áreas de Lenguaje, Matemáticas y Competencias Ciudadanas son  muy similares a las presentadas en el país</w:t>
      </w:r>
      <w:r w:rsidR="00C6026D">
        <w:t>, co</w:t>
      </w:r>
      <w:r w:rsidR="00F34280">
        <w:t>n un promedio de 299, 293 y 299, respectivamente</w:t>
      </w:r>
      <w:r>
        <w:t>. Con respecto a los promedios n</w:t>
      </w:r>
      <w:r w:rsidRPr="00766DEA">
        <w:t>acionales;  Quindío presenta una disminución de  9 puntos en Lenguaje, 10 puntos en Matemáticas y 2 pun</w:t>
      </w:r>
      <w:r>
        <w:t>tos en Competencias Ciudadanas.</w:t>
      </w:r>
    </w:p>
    <w:p w:rsidR="00C22A42" w:rsidRDefault="00C22A42" w:rsidP="00C22A42">
      <w:pPr>
        <w:spacing w:line="360" w:lineRule="auto"/>
        <w:jc w:val="both"/>
      </w:pPr>
    </w:p>
    <w:p w:rsidR="00CD6F59" w:rsidRDefault="00C22A42" w:rsidP="00CD6F59">
      <w:pPr>
        <w:spacing w:line="360" w:lineRule="auto"/>
        <w:ind w:firstLine="284"/>
        <w:jc w:val="both"/>
      </w:pPr>
      <w:r w:rsidRPr="00766DEA">
        <w:t>Es de resaltar, que en el Grado 9º, el porcentaje de estudiantes con  nivel insuficiente es menor en  la ETC Quindío que  en el país, en las áreas de Lenguaje 15% (Quindío) y 16% (País); en Matemáticas 19% (Quindío) y 20% (País); Competencias Ciudadanas 12% (Quindío) y 14% (País).</w:t>
      </w:r>
    </w:p>
    <w:p w:rsidR="00C22A42" w:rsidRPr="00766DEA" w:rsidRDefault="00C22A42" w:rsidP="00CD6F59">
      <w:pPr>
        <w:spacing w:line="360" w:lineRule="auto"/>
        <w:ind w:firstLine="284"/>
        <w:jc w:val="both"/>
      </w:pPr>
      <w:r w:rsidRPr="00766DEA">
        <w:lastRenderedPageBreak/>
        <w:t xml:space="preserve">En el nivel mínimo el porcentaje de estudiantes es superior en la ETC Quindío, que a nivel nacional con los siguientes porcentajes por área; Lenguaje 45%, </w:t>
      </w:r>
      <w:r>
        <w:t xml:space="preserve">Matemáticas 61% y Competencias </w:t>
      </w:r>
      <w:r w:rsidRPr="00766DEA">
        <w:t>Ciudadanas 31% y a nivel nacional tenemos 40%, 52%, y 30% en las mismas áreas respectivamente.</w:t>
      </w:r>
    </w:p>
    <w:p w:rsidR="00C22A42" w:rsidRPr="00766DEA" w:rsidRDefault="00C22A42" w:rsidP="00C22A42">
      <w:pPr>
        <w:spacing w:line="360" w:lineRule="auto"/>
        <w:jc w:val="both"/>
      </w:pPr>
    </w:p>
    <w:p w:rsidR="00C22A42" w:rsidRDefault="00C22A42" w:rsidP="00C22A42">
      <w:pPr>
        <w:spacing w:line="360" w:lineRule="auto"/>
        <w:jc w:val="both"/>
      </w:pPr>
      <w:r w:rsidRPr="00766DEA">
        <w:t xml:space="preserve">      En el nivel satisfactorio </w:t>
      </w:r>
      <w:r>
        <w:t>los resultados obtenidos</w:t>
      </w:r>
      <w:r w:rsidRPr="00766DEA">
        <w:t xml:space="preserve"> en las áreas de  Lenguaje </w:t>
      </w:r>
      <w:r>
        <w:t>para el Quindío y el total nacional corresponden al 37 % y 38%,</w:t>
      </w:r>
      <w:r w:rsidRPr="00766DEA">
        <w:t xml:space="preserve"> Matemá</w:t>
      </w:r>
      <w:r w:rsidR="00F34280">
        <w:t>ticas 18% y 22%. E</w:t>
      </w:r>
      <w:r>
        <w:t>s pertinente mencionar</w:t>
      </w:r>
      <w:r w:rsidR="00F34280">
        <w:t>,</w:t>
      </w:r>
      <w:r w:rsidRPr="00766DEA">
        <w:t xml:space="preserve"> que en el área de competencias ciudadanas el Quindío presenta un nivel </w:t>
      </w:r>
      <w:r>
        <w:t xml:space="preserve"> satisfactorio superior al nacional en 4 puntos porcentuales.</w:t>
      </w:r>
      <w:r w:rsidRPr="00766DEA">
        <w:t xml:space="preserve">   </w:t>
      </w:r>
    </w:p>
    <w:p w:rsidR="00C22A42" w:rsidRDefault="00C22A42" w:rsidP="00C22A42">
      <w:pPr>
        <w:spacing w:line="360" w:lineRule="auto"/>
        <w:jc w:val="both"/>
      </w:pPr>
    </w:p>
    <w:p w:rsidR="00C22A42" w:rsidRPr="00CD6F59" w:rsidRDefault="00D703A3" w:rsidP="00CD6F59">
      <w:r>
        <w:t>Tabla</w:t>
      </w:r>
      <w:r w:rsidR="00DB02B6">
        <w:t xml:space="preserve"> 2.8</w:t>
      </w:r>
    </w:p>
    <w:p w:rsidR="00C22A42" w:rsidRPr="00CD6F59" w:rsidRDefault="00C22A42" w:rsidP="00CD6F59">
      <w:r w:rsidRPr="00CD6F59">
        <w:t>Quindío.- Porcentaje de Estudiantes, según nivel de Desempeño – Grado 9º</w:t>
      </w:r>
    </w:p>
    <w:p w:rsidR="00C22A42" w:rsidRPr="00CD6F59" w:rsidRDefault="00700D77" w:rsidP="00CD6F59">
      <w:r>
        <w:t>2009, 2012 y</w:t>
      </w:r>
      <w:r w:rsidR="00C22A42" w:rsidRPr="00CD6F59">
        <w:t xml:space="preserve"> 201</w:t>
      </w:r>
      <w:r>
        <w:t>3</w:t>
      </w:r>
    </w:p>
    <w:p w:rsidR="00C22A42" w:rsidRPr="00766DEA" w:rsidRDefault="00C22A42" w:rsidP="00C22A42">
      <w:pPr>
        <w:jc w:val="center"/>
      </w:pPr>
    </w:p>
    <w:tbl>
      <w:tblPr>
        <w:tblW w:w="9107" w:type="dxa"/>
        <w:tblCellMar>
          <w:left w:w="70" w:type="dxa"/>
          <w:right w:w="70" w:type="dxa"/>
        </w:tblCellMar>
        <w:tblLook w:val="04A0" w:firstRow="1" w:lastRow="0" w:firstColumn="1" w:lastColumn="0" w:noHBand="0" w:noVBand="1"/>
      </w:tblPr>
      <w:tblGrid>
        <w:gridCol w:w="1082"/>
        <w:gridCol w:w="1012"/>
        <w:gridCol w:w="736"/>
        <w:gridCol w:w="1072"/>
        <w:gridCol w:w="891"/>
        <w:gridCol w:w="1012"/>
        <w:gridCol w:w="736"/>
        <w:gridCol w:w="1072"/>
        <w:gridCol w:w="891"/>
        <w:gridCol w:w="603"/>
      </w:tblGrid>
      <w:tr w:rsidR="00C22A42" w:rsidRPr="00E97784" w:rsidTr="00590AA9">
        <w:trPr>
          <w:trHeight w:val="291"/>
        </w:trPr>
        <w:tc>
          <w:tcPr>
            <w:tcW w:w="1082" w:type="dxa"/>
            <w:vMerge w:val="restart"/>
            <w:tcBorders>
              <w:top w:val="nil"/>
              <w:left w:val="nil"/>
              <w:bottom w:val="nil"/>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Área</w:t>
            </w:r>
          </w:p>
        </w:tc>
        <w:tc>
          <w:tcPr>
            <w:tcW w:w="3711" w:type="dxa"/>
            <w:gridSpan w:val="4"/>
            <w:tcBorders>
              <w:top w:val="single" w:sz="4" w:space="0" w:color="auto"/>
              <w:left w:val="nil"/>
              <w:bottom w:val="single" w:sz="4" w:space="0" w:color="auto"/>
              <w:right w:val="nil"/>
            </w:tcBorders>
            <w:shd w:val="clear" w:color="auto" w:fill="auto"/>
            <w:vAlign w:val="center"/>
            <w:hideMark/>
          </w:tcPr>
          <w:p w:rsidR="00C22A42" w:rsidRPr="00CD6F59" w:rsidRDefault="00CD6F59" w:rsidP="00590AA9">
            <w:pPr>
              <w:jc w:val="center"/>
              <w:rPr>
                <w:b/>
                <w:color w:val="000000"/>
                <w:sz w:val="18"/>
                <w:szCs w:val="18"/>
                <w:lang w:eastAsia="es-ES"/>
              </w:rPr>
            </w:pPr>
            <w:r w:rsidRPr="00CD6F59">
              <w:rPr>
                <w:b/>
                <w:color w:val="000000"/>
                <w:sz w:val="18"/>
                <w:szCs w:val="18"/>
                <w:lang w:eastAsia="es-ES"/>
              </w:rPr>
              <w:t>NIVELES DE DESEMPEÑO 2009</w:t>
            </w:r>
          </w:p>
        </w:tc>
        <w:tc>
          <w:tcPr>
            <w:tcW w:w="3711" w:type="dxa"/>
            <w:gridSpan w:val="4"/>
            <w:tcBorders>
              <w:top w:val="single" w:sz="4" w:space="0" w:color="auto"/>
              <w:left w:val="nil"/>
              <w:bottom w:val="single" w:sz="4" w:space="0" w:color="auto"/>
              <w:right w:val="nil"/>
            </w:tcBorders>
            <w:shd w:val="clear" w:color="auto" w:fill="auto"/>
            <w:vAlign w:val="center"/>
            <w:hideMark/>
          </w:tcPr>
          <w:p w:rsidR="00C22A42" w:rsidRPr="00CD6F59" w:rsidRDefault="00CD6F59" w:rsidP="00590AA9">
            <w:pPr>
              <w:jc w:val="center"/>
              <w:rPr>
                <w:b/>
                <w:color w:val="000000"/>
                <w:sz w:val="18"/>
                <w:szCs w:val="18"/>
                <w:lang w:eastAsia="es-ES"/>
              </w:rPr>
            </w:pPr>
            <w:r w:rsidRPr="00CD6F59">
              <w:rPr>
                <w:b/>
                <w:color w:val="000000"/>
                <w:sz w:val="18"/>
                <w:szCs w:val="18"/>
                <w:lang w:eastAsia="es-ES"/>
              </w:rPr>
              <w:t>NIVELES DE DESEMPEÑO 2012</w:t>
            </w:r>
          </w:p>
        </w:tc>
        <w:tc>
          <w:tcPr>
            <w:tcW w:w="603" w:type="dxa"/>
            <w:vMerge w:val="restart"/>
            <w:tcBorders>
              <w:top w:val="nil"/>
              <w:left w:val="nil"/>
              <w:bottom w:val="nil"/>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Índice</w:t>
            </w:r>
          </w:p>
        </w:tc>
      </w:tr>
      <w:tr w:rsidR="00C22A42" w:rsidRPr="00E97784" w:rsidTr="00590AA9">
        <w:trPr>
          <w:trHeight w:val="468"/>
        </w:trPr>
        <w:tc>
          <w:tcPr>
            <w:tcW w:w="1082" w:type="dxa"/>
            <w:vMerge/>
            <w:tcBorders>
              <w:top w:val="nil"/>
              <w:left w:val="nil"/>
              <w:bottom w:val="nil"/>
              <w:right w:val="nil"/>
            </w:tcBorders>
            <w:vAlign w:val="center"/>
            <w:hideMark/>
          </w:tcPr>
          <w:p w:rsidR="00C22A42" w:rsidRPr="00E97784" w:rsidRDefault="00C22A42" w:rsidP="00590AA9">
            <w:pPr>
              <w:rPr>
                <w:color w:val="000000"/>
                <w:sz w:val="18"/>
                <w:szCs w:val="18"/>
                <w:lang w:eastAsia="es-ES"/>
              </w:rPr>
            </w:pPr>
          </w:p>
        </w:tc>
        <w:tc>
          <w:tcPr>
            <w:tcW w:w="101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Insuficiente</w:t>
            </w:r>
          </w:p>
        </w:tc>
        <w:tc>
          <w:tcPr>
            <w:tcW w:w="736" w:type="dxa"/>
            <w:tcBorders>
              <w:top w:val="nil"/>
              <w:left w:val="nil"/>
              <w:bottom w:val="single" w:sz="4" w:space="0" w:color="auto"/>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Mínimo</w:t>
            </w:r>
          </w:p>
        </w:tc>
        <w:tc>
          <w:tcPr>
            <w:tcW w:w="107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Satisfactorio</w:t>
            </w:r>
          </w:p>
        </w:tc>
        <w:tc>
          <w:tcPr>
            <w:tcW w:w="889"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Avanzado</w:t>
            </w:r>
          </w:p>
        </w:tc>
        <w:tc>
          <w:tcPr>
            <w:tcW w:w="101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Insuficiente</w:t>
            </w:r>
          </w:p>
        </w:tc>
        <w:tc>
          <w:tcPr>
            <w:tcW w:w="736" w:type="dxa"/>
            <w:tcBorders>
              <w:top w:val="nil"/>
              <w:left w:val="nil"/>
              <w:bottom w:val="single" w:sz="4" w:space="0" w:color="auto"/>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Mínimo</w:t>
            </w:r>
          </w:p>
        </w:tc>
        <w:tc>
          <w:tcPr>
            <w:tcW w:w="107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Satisfactorio</w:t>
            </w:r>
          </w:p>
        </w:tc>
        <w:tc>
          <w:tcPr>
            <w:tcW w:w="889"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Avanzado</w:t>
            </w:r>
          </w:p>
        </w:tc>
        <w:tc>
          <w:tcPr>
            <w:tcW w:w="603" w:type="dxa"/>
            <w:vMerge/>
            <w:tcBorders>
              <w:top w:val="nil"/>
              <w:left w:val="nil"/>
              <w:bottom w:val="nil"/>
              <w:right w:val="nil"/>
            </w:tcBorders>
            <w:vAlign w:val="center"/>
            <w:hideMark/>
          </w:tcPr>
          <w:p w:rsidR="00C22A42" w:rsidRPr="00E97784" w:rsidRDefault="00C22A42" w:rsidP="00590AA9">
            <w:pPr>
              <w:rPr>
                <w:color w:val="000000"/>
                <w:sz w:val="18"/>
                <w:szCs w:val="18"/>
                <w:lang w:eastAsia="es-ES"/>
              </w:rPr>
            </w:pPr>
          </w:p>
        </w:tc>
      </w:tr>
      <w:tr w:rsidR="00C22A42" w:rsidRPr="00E97784" w:rsidTr="00590AA9">
        <w:trPr>
          <w:trHeight w:val="291"/>
        </w:trPr>
        <w:tc>
          <w:tcPr>
            <w:tcW w:w="1082" w:type="dxa"/>
            <w:tcBorders>
              <w:top w:val="nil"/>
              <w:left w:val="nil"/>
              <w:bottom w:val="nil"/>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Lenguaje</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14%</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47%</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37%</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12%</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43%</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43%</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w:t>
            </w:r>
          </w:p>
        </w:tc>
        <w:tc>
          <w:tcPr>
            <w:tcW w:w="603"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8%</w:t>
            </w:r>
          </w:p>
        </w:tc>
      </w:tr>
      <w:tr w:rsidR="00C22A42" w:rsidRPr="00E97784" w:rsidTr="00590AA9">
        <w:trPr>
          <w:trHeight w:val="291"/>
        </w:trPr>
        <w:tc>
          <w:tcPr>
            <w:tcW w:w="1082" w:type="dxa"/>
            <w:tcBorders>
              <w:top w:val="nil"/>
              <w:left w:val="nil"/>
              <w:bottom w:val="nil"/>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Matemátic</w:t>
            </w:r>
            <w:r>
              <w:rPr>
                <w:color w:val="000000"/>
                <w:sz w:val="18"/>
                <w:szCs w:val="18"/>
                <w:lang w:eastAsia="es-ES"/>
              </w:rPr>
              <w:t>as</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18%</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62%</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19%</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19%</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58%</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21%</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w:t>
            </w:r>
          </w:p>
        </w:tc>
        <w:tc>
          <w:tcPr>
            <w:tcW w:w="603"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0%</w:t>
            </w:r>
          </w:p>
        </w:tc>
      </w:tr>
      <w:tr w:rsidR="00C22A42" w:rsidRPr="00E97784" w:rsidTr="00590AA9">
        <w:trPr>
          <w:trHeight w:val="291"/>
        </w:trPr>
        <w:tc>
          <w:tcPr>
            <w:tcW w:w="1082" w:type="dxa"/>
            <w:tcBorders>
              <w:top w:val="nil"/>
              <w:left w:val="nil"/>
              <w:bottom w:val="nil"/>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Ciencias N.</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13%</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55%</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28%</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12%</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55%</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28%</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6%</w:t>
            </w:r>
          </w:p>
        </w:tc>
        <w:tc>
          <w:tcPr>
            <w:tcW w:w="603"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6%</w:t>
            </w:r>
          </w:p>
        </w:tc>
      </w:tr>
      <w:tr w:rsidR="00C22A42" w:rsidRPr="00E97784" w:rsidTr="00590AA9">
        <w:trPr>
          <w:trHeight w:val="291"/>
        </w:trPr>
        <w:tc>
          <w:tcPr>
            <w:tcW w:w="1082" w:type="dxa"/>
            <w:tcBorders>
              <w:top w:val="nil"/>
              <w:left w:val="nil"/>
              <w:bottom w:val="nil"/>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Ciudadanas</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12%</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34%</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49%</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6%</w:t>
            </w:r>
          </w:p>
        </w:tc>
        <w:tc>
          <w:tcPr>
            <w:tcW w:w="603"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r>
      <w:tr w:rsidR="00C22A42" w:rsidRPr="00E97784" w:rsidTr="00590AA9">
        <w:trPr>
          <w:trHeight w:val="291"/>
        </w:trPr>
        <w:tc>
          <w:tcPr>
            <w:tcW w:w="1082" w:type="dxa"/>
            <w:vMerge w:val="restart"/>
            <w:tcBorders>
              <w:top w:val="nil"/>
              <w:left w:val="nil"/>
              <w:bottom w:val="nil"/>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Área</w:t>
            </w:r>
          </w:p>
        </w:tc>
        <w:tc>
          <w:tcPr>
            <w:tcW w:w="3711" w:type="dxa"/>
            <w:gridSpan w:val="4"/>
            <w:tcBorders>
              <w:top w:val="single" w:sz="4" w:space="0" w:color="auto"/>
              <w:left w:val="nil"/>
              <w:bottom w:val="single" w:sz="4" w:space="0" w:color="auto"/>
              <w:right w:val="nil"/>
            </w:tcBorders>
            <w:shd w:val="clear" w:color="auto" w:fill="auto"/>
            <w:vAlign w:val="center"/>
            <w:hideMark/>
          </w:tcPr>
          <w:p w:rsidR="00C22A42" w:rsidRPr="00CD6F59" w:rsidRDefault="00CD6F59" w:rsidP="00590AA9">
            <w:pPr>
              <w:jc w:val="center"/>
              <w:rPr>
                <w:b/>
                <w:color w:val="000000"/>
                <w:sz w:val="18"/>
                <w:szCs w:val="18"/>
                <w:lang w:eastAsia="es-ES"/>
              </w:rPr>
            </w:pPr>
            <w:r w:rsidRPr="00CD6F59">
              <w:rPr>
                <w:b/>
                <w:color w:val="000000"/>
                <w:sz w:val="18"/>
                <w:szCs w:val="18"/>
                <w:lang w:eastAsia="es-ES"/>
              </w:rPr>
              <w:t>NIVELES DE DESEMPEÑO 2009</w:t>
            </w:r>
          </w:p>
        </w:tc>
        <w:tc>
          <w:tcPr>
            <w:tcW w:w="3711" w:type="dxa"/>
            <w:gridSpan w:val="4"/>
            <w:tcBorders>
              <w:top w:val="single" w:sz="4" w:space="0" w:color="auto"/>
              <w:left w:val="nil"/>
              <w:bottom w:val="single" w:sz="4" w:space="0" w:color="auto"/>
              <w:right w:val="nil"/>
            </w:tcBorders>
            <w:shd w:val="clear" w:color="auto" w:fill="auto"/>
            <w:vAlign w:val="center"/>
            <w:hideMark/>
          </w:tcPr>
          <w:p w:rsidR="00C22A42" w:rsidRPr="00CD6F59" w:rsidRDefault="00CD6F59" w:rsidP="00590AA9">
            <w:pPr>
              <w:jc w:val="center"/>
              <w:rPr>
                <w:b/>
                <w:color w:val="000000"/>
                <w:sz w:val="18"/>
                <w:szCs w:val="18"/>
                <w:lang w:eastAsia="es-ES"/>
              </w:rPr>
            </w:pPr>
            <w:r w:rsidRPr="00CD6F59">
              <w:rPr>
                <w:b/>
                <w:color w:val="000000"/>
                <w:sz w:val="18"/>
                <w:szCs w:val="18"/>
                <w:lang w:eastAsia="es-ES"/>
              </w:rPr>
              <w:t>NIVELES DE DESEMPEÑO 2013</w:t>
            </w:r>
          </w:p>
        </w:tc>
        <w:tc>
          <w:tcPr>
            <w:tcW w:w="603" w:type="dxa"/>
            <w:vMerge w:val="restart"/>
            <w:tcBorders>
              <w:top w:val="nil"/>
              <w:left w:val="nil"/>
              <w:bottom w:val="nil"/>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Índice</w:t>
            </w:r>
          </w:p>
        </w:tc>
      </w:tr>
      <w:tr w:rsidR="00C22A42" w:rsidRPr="00E97784" w:rsidTr="00590AA9">
        <w:trPr>
          <w:trHeight w:val="468"/>
        </w:trPr>
        <w:tc>
          <w:tcPr>
            <w:tcW w:w="1082" w:type="dxa"/>
            <w:vMerge/>
            <w:tcBorders>
              <w:top w:val="nil"/>
              <w:left w:val="nil"/>
              <w:bottom w:val="nil"/>
              <w:right w:val="nil"/>
            </w:tcBorders>
            <w:vAlign w:val="center"/>
            <w:hideMark/>
          </w:tcPr>
          <w:p w:rsidR="00C22A42" w:rsidRPr="00E97784" w:rsidRDefault="00C22A42" w:rsidP="00590AA9">
            <w:pPr>
              <w:rPr>
                <w:color w:val="000000"/>
                <w:sz w:val="18"/>
                <w:szCs w:val="18"/>
                <w:lang w:eastAsia="es-ES"/>
              </w:rPr>
            </w:pPr>
          </w:p>
        </w:tc>
        <w:tc>
          <w:tcPr>
            <w:tcW w:w="101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Insuficiente</w:t>
            </w:r>
          </w:p>
        </w:tc>
        <w:tc>
          <w:tcPr>
            <w:tcW w:w="736" w:type="dxa"/>
            <w:tcBorders>
              <w:top w:val="nil"/>
              <w:left w:val="nil"/>
              <w:bottom w:val="single" w:sz="4" w:space="0" w:color="auto"/>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Mínimo</w:t>
            </w:r>
          </w:p>
        </w:tc>
        <w:tc>
          <w:tcPr>
            <w:tcW w:w="107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Satisfactorio</w:t>
            </w:r>
          </w:p>
        </w:tc>
        <w:tc>
          <w:tcPr>
            <w:tcW w:w="889"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Avanzado</w:t>
            </w:r>
          </w:p>
        </w:tc>
        <w:tc>
          <w:tcPr>
            <w:tcW w:w="101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Insuficiente</w:t>
            </w:r>
          </w:p>
        </w:tc>
        <w:tc>
          <w:tcPr>
            <w:tcW w:w="736" w:type="dxa"/>
            <w:tcBorders>
              <w:top w:val="nil"/>
              <w:left w:val="nil"/>
              <w:bottom w:val="single" w:sz="4" w:space="0" w:color="auto"/>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Mínimo</w:t>
            </w:r>
          </w:p>
        </w:tc>
        <w:tc>
          <w:tcPr>
            <w:tcW w:w="107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Satisfactorio</w:t>
            </w:r>
          </w:p>
        </w:tc>
        <w:tc>
          <w:tcPr>
            <w:tcW w:w="889"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Avanzado</w:t>
            </w:r>
          </w:p>
        </w:tc>
        <w:tc>
          <w:tcPr>
            <w:tcW w:w="603" w:type="dxa"/>
            <w:vMerge/>
            <w:tcBorders>
              <w:top w:val="nil"/>
              <w:left w:val="nil"/>
              <w:bottom w:val="nil"/>
              <w:right w:val="nil"/>
            </w:tcBorders>
            <w:vAlign w:val="center"/>
            <w:hideMark/>
          </w:tcPr>
          <w:p w:rsidR="00C22A42" w:rsidRPr="00E97784" w:rsidRDefault="00C22A42" w:rsidP="00590AA9">
            <w:pPr>
              <w:rPr>
                <w:color w:val="000000"/>
                <w:sz w:val="18"/>
                <w:szCs w:val="18"/>
                <w:lang w:eastAsia="es-ES"/>
              </w:rPr>
            </w:pPr>
          </w:p>
        </w:tc>
      </w:tr>
      <w:tr w:rsidR="00C22A42" w:rsidRPr="00E97784" w:rsidTr="00590AA9">
        <w:trPr>
          <w:trHeight w:val="291"/>
        </w:trPr>
        <w:tc>
          <w:tcPr>
            <w:tcW w:w="1082" w:type="dxa"/>
            <w:tcBorders>
              <w:top w:val="nil"/>
              <w:left w:val="nil"/>
              <w:bottom w:val="nil"/>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Lenguaje</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14%</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47%</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37%</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15%</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45%</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37%</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w:t>
            </w:r>
          </w:p>
        </w:tc>
        <w:tc>
          <w:tcPr>
            <w:tcW w:w="603"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w:t>
            </w:r>
          </w:p>
        </w:tc>
      </w:tr>
      <w:tr w:rsidR="00C22A42" w:rsidRPr="00E97784" w:rsidTr="00590AA9">
        <w:trPr>
          <w:trHeight w:val="291"/>
        </w:trPr>
        <w:tc>
          <w:tcPr>
            <w:tcW w:w="1082" w:type="dxa"/>
            <w:tcBorders>
              <w:top w:val="nil"/>
              <w:left w:val="nil"/>
              <w:right w:val="nil"/>
            </w:tcBorders>
            <w:shd w:val="clear" w:color="auto" w:fill="auto"/>
            <w:vAlign w:val="center"/>
            <w:hideMark/>
          </w:tcPr>
          <w:p w:rsidR="00C22A42" w:rsidRPr="00E97784" w:rsidRDefault="00C22A42" w:rsidP="00590AA9">
            <w:pPr>
              <w:rPr>
                <w:color w:val="000000"/>
                <w:sz w:val="18"/>
                <w:szCs w:val="18"/>
                <w:lang w:eastAsia="es-ES"/>
              </w:rPr>
            </w:pPr>
            <w:r>
              <w:rPr>
                <w:color w:val="000000"/>
                <w:sz w:val="18"/>
                <w:szCs w:val="18"/>
                <w:lang w:eastAsia="es-ES"/>
              </w:rPr>
              <w:t>Matemáticas</w:t>
            </w:r>
          </w:p>
        </w:tc>
        <w:tc>
          <w:tcPr>
            <w:tcW w:w="101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18%</w:t>
            </w:r>
          </w:p>
        </w:tc>
        <w:tc>
          <w:tcPr>
            <w:tcW w:w="736"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62%</w:t>
            </w:r>
          </w:p>
        </w:tc>
        <w:tc>
          <w:tcPr>
            <w:tcW w:w="107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19%</w:t>
            </w:r>
          </w:p>
        </w:tc>
        <w:tc>
          <w:tcPr>
            <w:tcW w:w="889"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w:t>
            </w:r>
          </w:p>
        </w:tc>
        <w:tc>
          <w:tcPr>
            <w:tcW w:w="101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19%</w:t>
            </w:r>
          </w:p>
        </w:tc>
        <w:tc>
          <w:tcPr>
            <w:tcW w:w="736"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61%</w:t>
            </w:r>
          </w:p>
        </w:tc>
        <w:tc>
          <w:tcPr>
            <w:tcW w:w="107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18%</w:t>
            </w:r>
          </w:p>
        </w:tc>
        <w:tc>
          <w:tcPr>
            <w:tcW w:w="889"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w:t>
            </w:r>
          </w:p>
        </w:tc>
        <w:tc>
          <w:tcPr>
            <w:tcW w:w="603"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w:t>
            </w:r>
          </w:p>
        </w:tc>
      </w:tr>
      <w:tr w:rsidR="00C22A42" w:rsidRPr="00E97784" w:rsidTr="00590AA9">
        <w:trPr>
          <w:trHeight w:val="291"/>
        </w:trPr>
        <w:tc>
          <w:tcPr>
            <w:tcW w:w="1082" w:type="dxa"/>
            <w:tcBorders>
              <w:top w:val="nil"/>
              <w:left w:val="nil"/>
              <w:bottom w:val="nil"/>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Ciencias N.</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13%</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55%</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28%</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603"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r>
      <w:tr w:rsidR="00C22A42" w:rsidRPr="00E97784" w:rsidTr="00590AA9">
        <w:trPr>
          <w:trHeight w:val="291"/>
        </w:trPr>
        <w:tc>
          <w:tcPr>
            <w:tcW w:w="1082" w:type="dxa"/>
            <w:tcBorders>
              <w:top w:val="nil"/>
              <w:left w:val="nil"/>
              <w:bottom w:val="single" w:sz="4" w:space="0" w:color="auto"/>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Ciudadanas</w:t>
            </w:r>
          </w:p>
        </w:tc>
        <w:tc>
          <w:tcPr>
            <w:tcW w:w="1012" w:type="dxa"/>
            <w:tcBorders>
              <w:top w:val="nil"/>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736" w:type="dxa"/>
            <w:tcBorders>
              <w:top w:val="nil"/>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1072" w:type="dxa"/>
            <w:tcBorders>
              <w:top w:val="nil"/>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889" w:type="dxa"/>
            <w:tcBorders>
              <w:top w:val="nil"/>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1012" w:type="dxa"/>
            <w:tcBorders>
              <w:top w:val="nil"/>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12%</w:t>
            </w:r>
          </w:p>
        </w:tc>
        <w:tc>
          <w:tcPr>
            <w:tcW w:w="736" w:type="dxa"/>
            <w:tcBorders>
              <w:top w:val="nil"/>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31%</w:t>
            </w:r>
          </w:p>
        </w:tc>
        <w:tc>
          <w:tcPr>
            <w:tcW w:w="1072" w:type="dxa"/>
            <w:tcBorders>
              <w:top w:val="nil"/>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49%</w:t>
            </w:r>
          </w:p>
        </w:tc>
        <w:tc>
          <w:tcPr>
            <w:tcW w:w="889" w:type="dxa"/>
            <w:tcBorders>
              <w:top w:val="nil"/>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8%</w:t>
            </w:r>
          </w:p>
        </w:tc>
        <w:tc>
          <w:tcPr>
            <w:tcW w:w="603" w:type="dxa"/>
            <w:tcBorders>
              <w:top w:val="nil"/>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r>
      <w:tr w:rsidR="00C22A42" w:rsidRPr="00E97784" w:rsidTr="00590AA9">
        <w:trPr>
          <w:trHeight w:val="291"/>
        </w:trPr>
        <w:tc>
          <w:tcPr>
            <w:tcW w:w="1082" w:type="dxa"/>
            <w:vMerge w:val="restart"/>
            <w:tcBorders>
              <w:top w:val="single" w:sz="4" w:space="0" w:color="auto"/>
              <w:left w:val="nil"/>
              <w:bottom w:val="nil"/>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Área</w:t>
            </w:r>
          </w:p>
        </w:tc>
        <w:tc>
          <w:tcPr>
            <w:tcW w:w="3711" w:type="dxa"/>
            <w:gridSpan w:val="4"/>
            <w:tcBorders>
              <w:top w:val="single" w:sz="4" w:space="0" w:color="auto"/>
              <w:left w:val="nil"/>
              <w:bottom w:val="single" w:sz="4" w:space="0" w:color="auto"/>
              <w:right w:val="nil"/>
            </w:tcBorders>
            <w:shd w:val="clear" w:color="auto" w:fill="auto"/>
            <w:vAlign w:val="center"/>
            <w:hideMark/>
          </w:tcPr>
          <w:p w:rsidR="00C22A42" w:rsidRPr="00CD6F59" w:rsidRDefault="00CD6F59" w:rsidP="00590AA9">
            <w:pPr>
              <w:jc w:val="center"/>
              <w:rPr>
                <w:b/>
                <w:color w:val="000000"/>
                <w:sz w:val="18"/>
                <w:szCs w:val="18"/>
                <w:lang w:eastAsia="es-ES"/>
              </w:rPr>
            </w:pPr>
            <w:r w:rsidRPr="00CD6F59">
              <w:rPr>
                <w:b/>
                <w:color w:val="000000"/>
                <w:sz w:val="18"/>
                <w:szCs w:val="18"/>
                <w:lang w:eastAsia="es-ES"/>
              </w:rPr>
              <w:t>NIVELES DE DESEMPEÑO 2012</w:t>
            </w:r>
          </w:p>
        </w:tc>
        <w:tc>
          <w:tcPr>
            <w:tcW w:w="3711" w:type="dxa"/>
            <w:gridSpan w:val="4"/>
            <w:tcBorders>
              <w:top w:val="single" w:sz="4" w:space="0" w:color="auto"/>
              <w:left w:val="nil"/>
              <w:bottom w:val="single" w:sz="4" w:space="0" w:color="auto"/>
              <w:right w:val="nil"/>
            </w:tcBorders>
            <w:shd w:val="clear" w:color="auto" w:fill="auto"/>
            <w:vAlign w:val="center"/>
            <w:hideMark/>
          </w:tcPr>
          <w:p w:rsidR="00C22A42" w:rsidRPr="00CD6F59" w:rsidRDefault="00CD6F59" w:rsidP="00590AA9">
            <w:pPr>
              <w:jc w:val="center"/>
              <w:rPr>
                <w:b/>
                <w:color w:val="000000"/>
                <w:sz w:val="18"/>
                <w:szCs w:val="18"/>
                <w:lang w:eastAsia="es-ES"/>
              </w:rPr>
            </w:pPr>
            <w:r w:rsidRPr="00CD6F59">
              <w:rPr>
                <w:b/>
                <w:color w:val="000000"/>
                <w:sz w:val="18"/>
                <w:szCs w:val="18"/>
                <w:lang w:eastAsia="es-ES"/>
              </w:rPr>
              <w:t>NIVELES DE DESEMPEÑO 2013</w:t>
            </w:r>
          </w:p>
        </w:tc>
        <w:tc>
          <w:tcPr>
            <w:tcW w:w="603" w:type="dxa"/>
            <w:vMerge w:val="restart"/>
            <w:tcBorders>
              <w:top w:val="single" w:sz="4" w:space="0" w:color="auto"/>
              <w:left w:val="nil"/>
              <w:bottom w:val="nil"/>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Índice</w:t>
            </w:r>
          </w:p>
        </w:tc>
      </w:tr>
      <w:tr w:rsidR="00C22A42" w:rsidRPr="00E97784" w:rsidTr="00590AA9">
        <w:trPr>
          <w:trHeight w:val="468"/>
        </w:trPr>
        <w:tc>
          <w:tcPr>
            <w:tcW w:w="1082" w:type="dxa"/>
            <w:vMerge/>
            <w:tcBorders>
              <w:top w:val="nil"/>
              <w:left w:val="nil"/>
              <w:bottom w:val="nil"/>
              <w:right w:val="nil"/>
            </w:tcBorders>
            <w:vAlign w:val="center"/>
            <w:hideMark/>
          </w:tcPr>
          <w:p w:rsidR="00C22A42" w:rsidRPr="00E97784" w:rsidRDefault="00C22A42" w:rsidP="00590AA9">
            <w:pPr>
              <w:rPr>
                <w:color w:val="000000"/>
                <w:sz w:val="18"/>
                <w:szCs w:val="18"/>
                <w:lang w:eastAsia="es-ES"/>
              </w:rPr>
            </w:pPr>
          </w:p>
        </w:tc>
        <w:tc>
          <w:tcPr>
            <w:tcW w:w="101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Insuficiente</w:t>
            </w:r>
          </w:p>
        </w:tc>
        <w:tc>
          <w:tcPr>
            <w:tcW w:w="736" w:type="dxa"/>
            <w:tcBorders>
              <w:top w:val="nil"/>
              <w:left w:val="nil"/>
              <w:bottom w:val="single" w:sz="4" w:space="0" w:color="auto"/>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Mínimo</w:t>
            </w:r>
          </w:p>
        </w:tc>
        <w:tc>
          <w:tcPr>
            <w:tcW w:w="107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Satisfactorio</w:t>
            </w:r>
          </w:p>
        </w:tc>
        <w:tc>
          <w:tcPr>
            <w:tcW w:w="889"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Avanzado</w:t>
            </w:r>
          </w:p>
        </w:tc>
        <w:tc>
          <w:tcPr>
            <w:tcW w:w="101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Insuficiente</w:t>
            </w:r>
          </w:p>
        </w:tc>
        <w:tc>
          <w:tcPr>
            <w:tcW w:w="736" w:type="dxa"/>
            <w:tcBorders>
              <w:top w:val="nil"/>
              <w:left w:val="nil"/>
              <w:bottom w:val="single" w:sz="4" w:space="0" w:color="auto"/>
              <w:right w:val="nil"/>
            </w:tcBorders>
            <w:shd w:val="clear" w:color="auto" w:fill="auto"/>
            <w:vAlign w:val="center"/>
            <w:hideMark/>
          </w:tcPr>
          <w:p w:rsidR="00C22A42" w:rsidRPr="00E97784" w:rsidRDefault="00C22A42" w:rsidP="00590AA9">
            <w:pPr>
              <w:jc w:val="center"/>
              <w:rPr>
                <w:color w:val="000000"/>
                <w:sz w:val="18"/>
                <w:szCs w:val="18"/>
                <w:lang w:eastAsia="es-ES"/>
              </w:rPr>
            </w:pPr>
            <w:r w:rsidRPr="00E97784">
              <w:rPr>
                <w:color w:val="000000"/>
                <w:sz w:val="18"/>
                <w:szCs w:val="18"/>
                <w:lang w:eastAsia="es-ES"/>
              </w:rPr>
              <w:t>Mínimo</w:t>
            </w:r>
          </w:p>
        </w:tc>
        <w:tc>
          <w:tcPr>
            <w:tcW w:w="1072"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Satisfactorio</w:t>
            </w:r>
          </w:p>
        </w:tc>
        <w:tc>
          <w:tcPr>
            <w:tcW w:w="889" w:type="dxa"/>
            <w:tcBorders>
              <w:top w:val="nil"/>
              <w:left w:val="nil"/>
              <w:bottom w:val="single" w:sz="4" w:space="0" w:color="auto"/>
              <w:right w:val="nil"/>
            </w:tcBorders>
            <w:shd w:val="clear" w:color="auto" w:fill="auto"/>
            <w:vAlign w:val="center"/>
            <w:hideMark/>
          </w:tcPr>
          <w:p w:rsidR="00C22A42" w:rsidRPr="00E97784" w:rsidRDefault="00C22A42" w:rsidP="00590AA9">
            <w:pPr>
              <w:jc w:val="both"/>
              <w:rPr>
                <w:color w:val="000000"/>
                <w:sz w:val="18"/>
                <w:szCs w:val="18"/>
                <w:lang w:eastAsia="es-ES"/>
              </w:rPr>
            </w:pPr>
            <w:r w:rsidRPr="00E97784">
              <w:rPr>
                <w:color w:val="000000"/>
                <w:sz w:val="18"/>
                <w:szCs w:val="18"/>
                <w:lang w:eastAsia="es-ES"/>
              </w:rPr>
              <w:t>Avanzado</w:t>
            </w:r>
          </w:p>
        </w:tc>
        <w:tc>
          <w:tcPr>
            <w:tcW w:w="603" w:type="dxa"/>
            <w:vMerge/>
            <w:tcBorders>
              <w:top w:val="nil"/>
              <w:left w:val="nil"/>
              <w:bottom w:val="nil"/>
              <w:right w:val="nil"/>
            </w:tcBorders>
            <w:vAlign w:val="center"/>
            <w:hideMark/>
          </w:tcPr>
          <w:p w:rsidR="00C22A42" w:rsidRPr="00E97784" w:rsidRDefault="00C22A42" w:rsidP="00590AA9">
            <w:pPr>
              <w:rPr>
                <w:color w:val="000000"/>
                <w:sz w:val="18"/>
                <w:szCs w:val="18"/>
                <w:lang w:eastAsia="es-ES"/>
              </w:rPr>
            </w:pPr>
          </w:p>
        </w:tc>
      </w:tr>
      <w:tr w:rsidR="00C22A42" w:rsidRPr="00E97784" w:rsidTr="00590AA9">
        <w:trPr>
          <w:trHeight w:val="291"/>
        </w:trPr>
        <w:tc>
          <w:tcPr>
            <w:tcW w:w="1082" w:type="dxa"/>
            <w:tcBorders>
              <w:top w:val="nil"/>
              <w:left w:val="nil"/>
              <w:bottom w:val="nil"/>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Lenguaje</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12%</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43%</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43%</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w:t>
            </w:r>
          </w:p>
        </w:tc>
        <w:tc>
          <w:tcPr>
            <w:tcW w:w="101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15%</w:t>
            </w:r>
          </w:p>
        </w:tc>
        <w:tc>
          <w:tcPr>
            <w:tcW w:w="736"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45%</w:t>
            </w:r>
          </w:p>
        </w:tc>
        <w:tc>
          <w:tcPr>
            <w:tcW w:w="1072"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37%</w:t>
            </w:r>
          </w:p>
        </w:tc>
        <w:tc>
          <w:tcPr>
            <w:tcW w:w="889"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w:t>
            </w:r>
          </w:p>
        </w:tc>
        <w:tc>
          <w:tcPr>
            <w:tcW w:w="603" w:type="dxa"/>
            <w:tcBorders>
              <w:top w:val="nil"/>
              <w:left w:val="nil"/>
              <w:bottom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-7%</w:t>
            </w:r>
          </w:p>
        </w:tc>
      </w:tr>
      <w:tr w:rsidR="00C22A42" w:rsidRPr="00E97784" w:rsidTr="00FA2D4E">
        <w:trPr>
          <w:trHeight w:val="291"/>
        </w:trPr>
        <w:tc>
          <w:tcPr>
            <w:tcW w:w="1082" w:type="dxa"/>
            <w:tcBorders>
              <w:top w:val="nil"/>
              <w:left w:val="nil"/>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Matemáticas</w:t>
            </w:r>
          </w:p>
        </w:tc>
        <w:tc>
          <w:tcPr>
            <w:tcW w:w="101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19%</w:t>
            </w:r>
          </w:p>
        </w:tc>
        <w:tc>
          <w:tcPr>
            <w:tcW w:w="736"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58%</w:t>
            </w:r>
          </w:p>
        </w:tc>
        <w:tc>
          <w:tcPr>
            <w:tcW w:w="107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21%</w:t>
            </w:r>
          </w:p>
        </w:tc>
        <w:tc>
          <w:tcPr>
            <w:tcW w:w="889"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w:t>
            </w:r>
          </w:p>
        </w:tc>
        <w:tc>
          <w:tcPr>
            <w:tcW w:w="101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19%</w:t>
            </w:r>
          </w:p>
        </w:tc>
        <w:tc>
          <w:tcPr>
            <w:tcW w:w="736"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61%</w:t>
            </w:r>
          </w:p>
        </w:tc>
        <w:tc>
          <w:tcPr>
            <w:tcW w:w="107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18%</w:t>
            </w:r>
          </w:p>
        </w:tc>
        <w:tc>
          <w:tcPr>
            <w:tcW w:w="889"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w:t>
            </w:r>
          </w:p>
        </w:tc>
        <w:tc>
          <w:tcPr>
            <w:tcW w:w="603"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w:t>
            </w:r>
          </w:p>
        </w:tc>
      </w:tr>
      <w:tr w:rsidR="00C22A42" w:rsidRPr="00E97784" w:rsidTr="00FA2D4E">
        <w:trPr>
          <w:trHeight w:val="291"/>
        </w:trPr>
        <w:tc>
          <w:tcPr>
            <w:tcW w:w="1082" w:type="dxa"/>
            <w:tcBorders>
              <w:top w:val="nil"/>
              <w:left w:val="nil"/>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Ciencias N.</w:t>
            </w:r>
          </w:p>
        </w:tc>
        <w:tc>
          <w:tcPr>
            <w:tcW w:w="101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12%</w:t>
            </w:r>
          </w:p>
        </w:tc>
        <w:tc>
          <w:tcPr>
            <w:tcW w:w="736"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55%</w:t>
            </w:r>
          </w:p>
        </w:tc>
        <w:tc>
          <w:tcPr>
            <w:tcW w:w="107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28%</w:t>
            </w:r>
          </w:p>
        </w:tc>
        <w:tc>
          <w:tcPr>
            <w:tcW w:w="889"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6%</w:t>
            </w:r>
          </w:p>
        </w:tc>
        <w:tc>
          <w:tcPr>
            <w:tcW w:w="101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736"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1072"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889"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c>
          <w:tcPr>
            <w:tcW w:w="603" w:type="dxa"/>
            <w:tcBorders>
              <w:top w:val="nil"/>
              <w:left w:val="nil"/>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n/a</w:t>
            </w:r>
          </w:p>
        </w:tc>
      </w:tr>
      <w:tr w:rsidR="00C22A42" w:rsidRPr="00E97784" w:rsidTr="00FA2D4E">
        <w:trPr>
          <w:trHeight w:val="291"/>
        </w:trPr>
        <w:tc>
          <w:tcPr>
            <w:tcW w:w="1082" w:type="dxa"/>
            <w:tcBorders>
              <w:left w:val="nil"/>
              <w:bottom w:val="single" w:sz="4" w:space="0" w:color="auto"/>
              <w:right w:val="nil"/>
            </w:tcBorders>
            <w:shd w:val="clear" w:color="auto" w:fill="auto"/>
            <w:vAlign w:val="center"/>
            <w:hideMark/>
          </w:tcPr>
          <w:p w:rsidR="00C22A42" w:rsidRPr="00E97784" w:rsidRDefault="00C22A42" w:rsidP="00590AA9">
            <w:pPr>
              <w:rPr>
                <w:color w:val="000000"/>
                <w:sz w:val="18"/>
                <w:szCs w:val="18"/>
                <w:lang w:eastAsia="es-ES"/>
              </w:rPr>
            </w:pPr>
            <w:r w:rsidRPr="00E97784">
              <w:rPr>
                <w:color w:val="000000"/>
                <w:sz w:val="18"/>
                <w:szCs w:val="18"/>
                <w:lang w:eastAsia="es-ES"/>
              </w:rPr>
              <w:t>Ciudadanas</w:t>
            </w:r>
          </w:p>
        </w:tc>
        <w:tc>
          <w:tcPr>
            <w:tcW w:w="1012" w:type="dxa"/>
            <w:tcBorders>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12%</w:t>
            </w:r>
          </w:p>
        </w:tc>
        <w:tc>
          <w:tcPr>
            <w:tcW w:w="736" w:type="dxa"/>
            <w:tcBorders>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34%</w:t>
            </w:r>
          </w:p>
        </w:tc>
        <w:tc>
          <w:tcPr>
            <w:tcW w:w="1072" w:type="dxa"/>
            <w:tcBorders>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49%</w:t>
            </w:r>
          </w:p>
        </w:tc>
        <w:tc>
          <w:tcPr>
            <w:tcW w:w="889" w:type="dxa"/>
            <w:tcBorders>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6%</w:t>
            </w:r>
          </w:p>
        </w:tc>
        <w:tc>
          <w:tcPr>
            <w:tcW w:w="1012" w:type="dxa"/>
            <w:tcBorders>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12%</w:t>
            </w:r>
          </w:p>
        </w:tc>
        <w:tc>
          <w:tcPr>
            <w:tcW w:w="736" w:type="dxa"/>
            <w:tcBorders>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31%</w:t>
            </w:r>
          </w:p>
        </w:tc>
        <w:tc>
          <w:tcPr>
            <w:tcW w:w="1072" w:type="dxa"/>
            <w:tcBorders>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49%</w:t>
            </w:r>
          </w:p>
        </w:tc>
        <w:tc>
          <w:tcPr>
            <w:tcW w:w="889" w:type="dxa"/>
            <w:tcBorders>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8%</w:t>
            </w:r>
          </w:p>
        </w:tc>
        <w:tc>
          <w:tcPr>
            <w:tcW w:w="603" w:type="dxa"/>
            <w:tcBorders>
              <w:left w:val="nil"/>
              <w:bottom w:val="single" w:sz="4" w:space="0" w:color="auto"/>
              <w:right w:val="nil"/>
            </w:tcBorders>
            <w:shd w:val="clear" w:color="auto" w:fill="auto"/>
            <w:vAlign w:val="center"/>
            <w:hideMark/>
          </w:tcPr>
          <w:p w:rsidR="00C22A42" w:rsidRPr="00FA2D4E" w:rsidRDefault="00C22A42" w:rsidP="00590AA9">
            <w:pPr>
              <w:jc w:val="center"/>
              <w:rPr>
                <w:bCs/>
                <w:color w:val="000000"/>
                <w:sz w:val="18"/>
                <w:szCs w:val="18"/>
                <w:lang w:eastAsia="es-ES"/>
              </w:rPr>
            </w:pPr>
            <w:r w:rsidRPr="00FA2D4E">
              <w:rPr>
                <w:bCs/>
                <w:color w:val="000000"/>
                <w:sz w:val="18"/>
                <w:szCs w:val="18"/>
                <w:lang w:eastAsia="es-ES"/>
              </w:rPr>
              <w:t>3%</w:t>
            </w:r>
          </w:p>
        </w:tc>
      </w:tr>
    </w:tbl>
    <w:p w:rsidR="00C22A42" w:rsidRPr="00220B51" w:rsidRDefault="00C22A42" w:rsidP="00C22A42">
      <w:pPr>
        <w:tabs>
          <w:tab w:val="left" w:pos="5103"/>
        </w:tabs>
        <w:spacing w:line="360" w:lineRule="auto"/>
        <w:jc w:val="both"/>
        <w:rPr>
          <w:sz w:val="18"/>
          <w:szCs w:val="18"/>
        </w:rPr>
      </w:pPr>
      <w:r w:rsidRPr="00220B51">
        <w:rPr>
          <w:sz w:val="18"/>
          <w:szCs w:val="18"/>
        </w:rPr>
        <w:t>Fuente: Ministerio de Educación.</w:t>
      </w:r>
    </w:p>
    <w:p w:rsidR="00C22A42" w:rsidRDefault="00C22A42" w:rsidP="00C22A42">
      <w:pPr>
        <w:tabs>
          <w:tab w:val="left" w:pos="5103"/>
        </w:tabs>
        <w:spacing w:line="360" w:lineRule="auto"/>
        <w:jc w:val="both"/>
      </w:pPr>
      <w:r>
        <w:t xml:space="preserve"> </w:t>
      </w:r>
    </w:p>
    <w:p w:rsidR="00C22A42" w:rsidRPr="00766DEA" w:rsidRDefault="00C22A42" w:rsidP="00CD6F59">
      <w:pPr>
        <w:tabs>
          <w:tab w:val="left" w:pos="5103"/>
        </w:tabs>
        <w:spacing w:line="360" w:lineRule="auto"/>
        <w:ind w:firstLine="284"/>
        <w:jc w:val="both"/>
      </w:pPr>
      <w:r w:rsidRPr="00766DEA">
        <w:lastRenderedPageBreak/>
        <w:t xml:space="preserve">De  acuerdo al área de estudio y a los niveles de desempeño para el grado 9º, al pasar del año 2009 al 2012  en las áreas de  Lenguaje y Ciencias Naturales en el Quindío se logró disminuir el nivel de insuficiencia   del 14% y 13% al 12% respectivamente, no obstante en el año 2013 el área de Lenguaje  aumenta al  15% superando el año inicial (2009), Ciencias no se evaluó en el año 2013, </w:t>
      </w:r>
      <w:r>
        <w:t>mientras que</w:t>
      </w:r>
      <w:r w:rsidRPr="00766DEA">
        <w:t xml:space="preserve"> Competencias Ciudadanas </w:t>
      </w:r>
      <w:r>
        <w:t>no fueron evaluadas en el año 2009. E</w:t>
      </w:r>
      <w:r w:rsidRPr="00766DEA">
        <w:t>l área de matemáticas presenta un comportamiento  estable en los años 2012 y 2013 con el 19% de insuficiencia en el Quindío.</w:t>
      </w:r>
    </w:p>
    <w:p w:rsidR="00C22A42" w:rsidRDefault="00C22A42" w:rsidP="00C22A42">
      <w:pPr>
        <w:tabs>
          <w:tab w:val="left" w:pos="5103"/>
        </w:tabs>
        <w:spacing w:line="360" w:lineRule="auto"/>
        <w:jc w:val="both"/>
      </w:pPr>
    </w:p>
    <w:p w:rsidR="00C22A42" w:rsidRDefault="00C22A42" w:rsidP="00C452A2">
      <w:pPr>
        <w:tabs>
          <w:tab w:val="left" w:pos="5103"/>
        </w:tabs>
        <w:spacing w:line="360" w:lineRule="auto"/>
        <w:ind w:firstLine="284"/>
        <w:jc w:val="both"/>
      </w:pPr>
      <w:r w:rsidRPr="00766DEA">
        <w:t>Con respecto al  nivel de desempeño mínimo, el porcentaje de estudiantes que se movilizaron en este nivel presentaron un aumento en sus conocimientos tanto en el área de Lenguaje como de Matemáticas. El porcentaje de estudiantes  en el ni</w:t>
      </w:r>
      <w:r w:rsidR="002525C7">
        <w:t xml:space="preserve">vel de desempeño satisfactorio </w:t>
      </w:r>
      <w:r w:rsidR="00385E73">
        <w:t>en el año 2012</w:t>
      </w:r>
      <w:r w:rsidRPr="00766DEA">
        <w:t xml:space="preserve"> en el área de Lenguaje fue de 43% y al pasar al año 2013</w:t>
      </w:r>
      <w:r w:rsidR="002525C7">
        <w:t xml:space="preserve"> disminuyo  al 37%, es decir, 6</w:t>
      </w:r>
      <w:r w:rsidRPr="00766DEA">
        <w:t xml:space="preserve"> puntos</w:t>
      </w:r>
      <w:r w:rsidR="00815D6D">
        <w:t xml:space="preserve"> porcentuales</w:t>
      </w:r>
      <w:r w:rsidRPr="00766DEA">
        <w:t xml:space="preserve"> menos en el </w:t>
      </w:r>
      <w:r w:rsidR="00815D6D">
        <w:t>año 2013;</w:t>
      </w:r>
      <w:r w:rsidRPr="00766DEA">
        <w:t xml:space="preserve"> en el área de matemáticas</w:t>
      </w:r>
      <w:r w:rsidR="00815D6D">
        <w:t>,</w:t>
      </w:r>
      <w:r w:rsidRPr="00766DEA">
        <w:t xml:space="preserve"> el porcentaje de desempeñ</w:t>
      </w:r>
      <w:r w:rsidR="00815D6D">
        <w:t>o en el nivel satisfactorio pasó</w:t>
      </w:r>
      <w:r w:rsidR="00385E73">
        <w:t xml:space="preserve"> del 21% (2012</w:t>
      </w:r>
      <w:r w:rsidRPr="00766DEA">
        <w:t xml:space="preserve">) al 18% (2013) y en el área de competencias ciudadanas  el mismo nivel de </w:t>
      </w:r>
      <w:r>
        <w:t>desempeño se mantuvo en el 49%</w:t>
      </w:r>
      <w:r w:rsidRPr="00766DEA">
        <w:t>.</w:t>
      </w:r>
    </w:p>
    <w:p w:rsidR="00C22A42" w:rsidRDefault="00967C8C" w:rsidP="00967C8C">
      <w:pPr>
        <w:pStyle w:val="Ttulo2"/>
        <w:jc w:val="both"/>
        <w:rPr>
          <w:rFonts w:ascii="Times New Roman" w:hAnsi="Times New Roman" w:cs="Times New Roman"/>
          <w:color w:val="auto"/>
          <w:sz w:val="30"/>
          <w:szCs w:val="30"/>
        </w:rPr>
      </w:pPr>
      <w:bookmarkStart w:id="26" w:name="_Toc406754293"/>
      <w:r w:rsidRPr="00967C8C">
        <w:rPr>
          <w:rFonts w:ascii="Times New Roman" w:hAnsi="Times New Roman" w:cs="Times New Roman"/>
          <w:color w:val="auto"/>
          <w:sz w:val="30"/>
          <w:szCs w:val="30"/>
        </w:rPr>
        <w:t>2.4.4</w:t>
      </w:r>
      <w:r w:rsidR="00C22A42" w:rsidRPr="00967C8C">
        <w:rPr>
          <w:rFonts w:ascii="Times New Roman" w:hAnsi="Times New Roman" w:cs="Times New Roman"/>
          <w:color w:val="auto"/>
          <w:sz w:val="30"/>
          <w:szCs w:val="30"/>
        </w:rPr>
        <w:t xml:space="preserve"> Pruebas saber grado 11º año 2013 en el departamento del Quindío</w:t>
      </w:r>
      <w:bookmarkEnd w:id="26"/>
    </w:p>
    <w:p w:rsidR="00967C8C" w:rsidRPr="00967C8C" w:rsidRDefault="00967C8C" w:rsidP="00967C8C"/>
    <w:p w:rsidR="00C22A42" w:rsidRPr="00967C8C" w:rsidRDefault="00D703A3" w:rsidP="00967C8C">
      <w:pPr>
        <w:tabs>
          <w:tab w:val="left" w:pos="5103"/>
        </w:tabs>
      </w:pPr>
      <w:r>
        <w:t>Tabla</w:t>
      </w:r>
      <w:r w:rsidR="00DB02B6">
        <w:t xml:space="preserve"> 2.9</w:t>
      </w:r>
    </w:p>
    <w:p w:rsidR="00C22A42" w:rsidRPr="00967C8C" w:rsidRDefault="00C22A42" w:rsidP="00967C8C">
      <w:pPr>
        <w:tabs>
          <w:tab w:val="left" w:pos="5103"/>
        </w:tabs>
      </w:pPr>
      <w:r w:rsidRPr="00967C8C">
        <w:t>Quindío. – Promedios generales y por sector en las áreas del núcleo común.</w:t>
      </w:r>
    </w:p>
    <w:p w:rsidR="00C22A42" w:rsidRPr="00967C8C" w:rsidRDefault="00C22A42" w:rsidP="00967C8C">
      <w:pPr>
        <w:tabs>
          <w:tab w:val="left" w:pos="5103"/>
        </w:tabs>
      </w:pPr>
      <w:r w:rsidRPr="00967C8C">
        <w:t>Resultados saber grado 11</w:t>
      </w:r>
    </w:p>
    <w:p w:rsidR="00967C8C" w:rsidRPr="00967C8C" w:rsidRDefault="00967C8C" w:rsidP="00967C8C">
      <w:pPr>
        <w:tabs>
          <w:tab w:val="left" w:pos="5103"/>
        </w:tabs>
      </w:pPr>
      <w:r w:rsidRPr="00967C8C">
        <w:t>2013</w:t>
      </w:r>
    </w:p>
    <w:p w:rsidR="00967C8C" w:rsidRPr="00766DEA" w:rsidRDefault="00967C8C" w:rsidP="00C22A42">
      <w:pPr>
        <w:tabs>
          <w:tab w:val="left" w:pos="5103"/>
        </w:tabs>
        <w:jc w:val="center"/>
        <w:rPr>
          <w:b/>
        </w:rPr>
      </w:pPr>
    </w:p>
    <w:tbl>
      <w:tblPr>
        <w:tblW w:w="9092" w:type="dxa"/>
        <w:tblCellMar>
          <w:left w:w="70" w:type="dxa"/>
          <w:right w:w="70" w:type="dxa"/>
        </w:tblCellMar>
        <w:tblLook w:val="04A0" w:firstRow="1" w:lastRow="0" w:firstColumn="1" w:lastColumn="0" w:noHBand="0" w:noVBand="1"/>
      </w:tblPr>
      <w:tblGrid>
        <w:gridCol w:w="1323"/>
        <w:gridCol w:w="977"/>
        <w:gridCol w:w="899"/>
        <w:gridCol w:w="897"/>
        <w:gridCol w:w="1073"/>
        <w:gridCol w:w="931"/>
        <w:gridCol w:w="1182"/>
        <w:gridCol w:w="1055"/>
        <w:gridCol w:w="755"/>
      </w:tblGrid>
      <w:tr w:rsidR="00C22A42" w:rsidRPr="00E97784" w:rsidTr="00334C5E">
        <w:trPr>
          <w:trHeight w:val="297"/>
          <w:tblHeader/>
        </w:trPr>
        <w:tc>
          <w:tcPr>
            <w:tcW w:w="1323" w:type="dxa"/>
            <w:vMerge w:val="restart"/>
            <w:tcBorders>
              <w:top w:val="single" w:sz="4" w:space="0" w:color="auto"/>
              <w:left w:val="nil"/>
              <w:bottom w:val="single" w:sz="4" w:space="0" w:color="000000"/>
              <w:right w:val="nil"/>
            </w:tcBorders>
            <w:shd w:val="clear" w:color="auto" w:fill="auto"/>
            <w:vAlign w:val="center"/>
            <w:hideMark/>
          </w:tcPr>
          <w:p w:rsidR="00C22A42" w:rsidRPr="000F42F1" w:rsidRDefault="00C22A42" w:rsidP="00967C8C">
            <w:pPr>
              <w:jc w:val="center"/>
              <w:rPr>
                <w:b/>
                <w:bCs/>
                <w:iCs/>
                <w:color w:val="000000"/>
                <w:sz w:val="16"/>
                <w:szCs w:val="16"/>
                <w:lang w:eastAsia="es-ES"/>
              </w:rPr>
            </w:pPr>
            <w:r w:rsidRPr="000F42F1">
              <w:rPr>
                <w:b/>
                <w:bCs/>
                <w:iCs/>
                <w:color w:val="000000"/>
                <w:sz w:val="16"/>
                <w:szCs w:val="16"/>
                <w:lang w:eastAsia="es-ES"/>
              </w:rPr>
              <w:t>Áreas</w:t>
            </w:r>
          </w:p>
        </w:tc>
        <w:tc>
          <w:tcPr>
            <w:tcW w:w="977" w:type="dxa"/>
            <w:vMerge w:val="restart"/>
            <w:tcBorders>
              <w:top w:val="single" w:sz="4" w:space="0" w:color="auto"/>
              <w:left w:val="nil"/>
              <w:bottom w:val="single" w:sz="4" w:space="0" w:color="000000"/>
              <w:right w:val="nil"/>
            </w:tcBorders>
            <w:shd w:val="clear" w:color="auto" w:fill="auto"/>
            <w:noWrap/>
            <w:vAlign w:val="center"/>
            <w:hideMark/>
          </w:tcPr>
          <w:p w:rsidR="00C22A42" w:rsidRPr="000F42F1" w:rsidRDefault="00C22A42" w:rsidP="00334C5E">
            <w:pPr>
              <w:jc w:val="center"/>
              <w:rPr>
                <w:b/>
                <w:bCs/>
                <w:iCs/>
                <w:color w:val="000000"/>
                <w:sz w:val="16"/>
                <w:szCs w:val="16"/>
                <w:lang w:eastAsia="es-ES"/>
              </w:rPr>
            </w:pPr>
            <w:r w:rsidRPr="000F42F1">
              <w:rPr>
                <w:b/>
                <w:bCs/>
                <w:iCs/>
                <w:color w:val="000000"/>
                <w:sz w:val="16"/>
                <w:szCs w:val="16"/>
                <w:lang w:eastAsia="es-ES"/>
              </w:rPr>
              <w:t>Territorios</w:t>
            </w:r>
          </w:p>
        </w:tc>
        <w:tc>
          <w:tcPr>
            <w:tcW w:w="899" w:type="dxa"/>
            <w:vMerge w:val="restart"/>
            <w:tcBorders>
              <w:top w:val="single" w:sz="4" w:space="0" w:color="auto"/>
              <w:left w:val="nil"/>
              <w:bottom w:val="single" w:sz="4" w:space="0" w:color="000000"/>
              <w:right w:val="nil"/>
            </w:tcBorders>
            <w:shd w:val="clear" w:color="auto" w:fill="auto"/>
            <w:vAlign w:val="center"/>
            <w:hideMark/>
          </w:tcPr>
          <w:p w:rsidR="00C22A42" w:rsidRPr="000F42F1" w:rsidRDefault="00C22A42" w:rsidP="00334C5E">
            <w:pPr>
              <w:jc w:val="center"/>
              <w:rPr>
                <w:b/>
                <w:color w:val="000000"/>
                <w:sz w:val="16"/>
                <w:szCs w:val="16"/>
                <w:lang w:eastAsia="es-ES"/>
              </w:rPr>
            </w:pPr>
            <w:r w:rsidRPr="000F42F1">
              <w:rPr>
                <w:b/>
                <w:color w:val="000000"/>
                <w:sz w:val="16"/>
                <w:szCs w:val="16"/>
                <w:lang w:eastAsia="es-ES"/>
              </w:rPr>
              <w:t>Puntaje General</w:t>
            </w:r>
          </w:p>
        </w:tc>
        <w:tc>
          <w:tcPr>
            <w:tcW w:w="1970" w:type="dxa"/>
            <w:gridSpan w:val="2"/>
            <w:tcBorders>
              <w:top w:val="single" w:sz="4" w:space="0" w:color="auto"/>
              <w:left w:val="nil"/>
              <w:bottom w:val="single" w:sz="4" w:space="0" w:color="auto"/>
              <w:right w:val="nil"/>
            </w:tcBorders>
            <w:shd w:val="clear" w:color="auto" w:fill="auto"/>
            <w:noWrap/>
            <w:vAlign w:val="center"/>
            <w:hideMark/>
          </w:tcPr>
          <w:p w:rsidR="00C22A42" w:rsidRPr="000F42F1" w:rsidRDefault="00C22A42" w:rsidP="00334C5E">
            <w:pPr>
              <w:jc w:val="center"/>
              <w:rPr>
                <w:b/>
                <w:iCs/>
                <w:color w:val="000000"/>
                <w:sz w:val="16"/>
                <w:szCs w:val="16"/>
                <w:lang w:eastAsia="es-ES"/>
              </w:rPr>
            </w:pPr>
            <w:r w:rsidRPr="000F42F1">
              <w:rPr>
                <w:b/>
                <w:iCs/>
                <w:color w:val="000000"/>
                <w:sz w:val="16"/>
                <w:szCs w:val="16"/>
                <w:lang w:eastAsia="es-ES"/>
              </w:rPr>
              <w:t>Sector Educativo</w:t>
            </w:r>
          </w:p>
        </w:tc>
        <w:tc>
          <w:tcPr>
            <w:tcW w:w="2113" w:type="dxa"/>
            <w:gridSpan w:val="2"/>
            <w:tcBorders>
              <w:top w:val="single" w:sz="4" w:space="0" w:color="auto"/>
              <w:left w:val="nil"/>
              <w:bottom w:val="single" w:sz="4" w:space="0" w:color="auto"/>
              <w:right w:val="nil"/>
            </w:tcBorders>
            <w:shd w:val="clear" w:color="auto" w:fill="auto"/>
            <w:noWrap/>
            <w:vAlign w:val="center"/>
            <w:hideMark/>
          </w:tcPr>
          <w:p w:rsidR="00C22A42" w:rsidRPr="000F42F1" w:rsidRDefault="00C22A42" w:rsidP="00334C5E">
            <w:pPr>
              <w:jc w:val="center"/>
              <w:rPr>
                <w:b/>
                <w:bCs/>
                <w:iCs/>
                <w:color w:val="000000"/>
                <w:sz w:val="16"/>
                <w:szCs w:val="16"/>
                <w:lang w:eastAsia="es-ES"/>
              </w:rPr>
            </w:pPr>
            <w:r w:rsidRPr="000F42F1">
              <w:rPr>
                <w:b/>
                <w:bCs/>
                <w:iCs/>
                <w:color w:val="000000"/>
                <w:sz w:val="16"/>
                <w:szCs w:val="16"/>
                <w:lang w:eastAsia="es-ES"/>
              </w:rPr>
              <w:t>Zona</w:t>
            </w:r>
          </w:p>
        </w:tc>
        <w:tc>
          <w:tcPr>
            <w:tcW w:w="1055" w:type="dxa"/>
            <w:tcBorders>
              <w:top w:val="single" w:sz="4" w:space="0" w:color="auto"/>
              <w:left w:val="nil"/>
              <w:bottom w:val="single" w:sz="4" w:space="0" w:color="auto"/>
              <w:right w:val="nil"/>
            </w:tcBorders>
            <w:shd w:val="clear" w:color="auto" w:fill="auto"/>
            <w:noWrap/>
            <w:vAlign w:val="center"/>
            <w:hideMark/>
          </w:tcPr>
          <w:p w:rsidR="00C22A42" w:rsidRPr="000F42F1" w:rsidRDefault="00C22A42" w:rsidP="00334C5E">
            <w:pPr>
              <w:jc w:val="center"/>
              <w:rPr>
                <w:b/>
                <w:bCs/>
                <w:iCs/>
                <w:color w:val="000000"/>
                <w:sz w:val="16"/>
                <w:szCs w:val="16"/>
                <w:lang w:eastAsia="es-ES"/>
              </w:rPr>
            </w:pPr>
            <w:r w:rsidRPr="000F42F1">
              <w:rPr>
                <w:b/>
                <w:bCs/>
                <w:iCs/>
                <w:color w:val="000000"/>
                <w:sz w:val="16"/>
                <w:szCs w:val="16"/>
                <w:lang w:eastAsia="es-ES"/>
              </w:rPr>
              <w:t>Sector Oficial</w:t>
            </w:r>
          </w:p>
        </w:tc>
        <w:tc>
          <w:tcPr>
            <w:tcW w:w="755" w:type="dxa"/>
            <w:tcBorders>
              <w:top w:val="single" w:sz="4" w:space="0" w:color="auto"/>
              <w:left w:val="nil"/>
              <w:bottom w:val="nil"/>
              <w:right w:val="nil"/>
            </w:tcBorders>
            <w:shd w:val="clear" w:color="auto" w:fill="auto"/>
            <w:vAlign w:val="bottom"/>
            <w:hideMark/>
          </w:tcPr>
          <w:p w:rsidR="00C22A42" w:rsidRPr="000F42F1" w:rsidRDefault="00C22A42" w:rsidP="00334C5E">
            <w:pPr>
              <w:jc w:val="center"/>
              <w:rPr>
                <w:b/>
                <w:bCs/>
                <w:iCs/>
                <w:color w:val="000000"/>
                <w:sz w:val="16"/>
                <w:szCs w:val="16"/>
                <w:lang w:eastAsia="es-ES"/>
              </w:rPr>
            </w:pPr>
          </w:p>
        </w:tc>
      </w:tr>
      <w:tr w:rsidR="00C22A42" w:rsidRPr="00E97784" w:rsidTr="00334C5E">
        <w:trPr>
          <w:trHeight w:val="297"/>
          <w:tblHeader/>
        </w:trPr>
        <w:tc>
          <w:tcPr>
            <w:tcW w:w="1323" w:type="dxa"/>
            <w:vMerge/>
            <w:tcBorders>
              <w:top w:val="nil"/>
              <w:left w:val="nil"/>
              <w:bottom w:val="single" w:sz="4" w:space="0" w:color="000000"/>
              <w:right w:val="nil"/>
            </w:tcBorders>
            <w:vAlign w:val="center"/>
            <w:hideMark/>
          </w:tcPr>
          <w:p w:rsidR="00C22A42" w:rsidRPr="000F42F1" w:rsidRDefault="00C22A42" w:rsidP="00967C8C">
            <w:pPr>
              <w:rPr>
                <w:b/>
                <w:bCs/>
                <w:iCs/>
                <w:color w:val="000000"/>
                <w:sz w:val="16"/>
                <w:szCs w:val="16"/>
                <w:lang w:eastAsia="es-ES"/>
              </w:rPr>
            </w:pPr>
          </w:p>
        </w:tc>
        <w:tc>
          <w:tcPr>
            <w:tcW w:w="977" w:type="dxa"/>
            <w:vMerge/>
            <w:tcBorders>
              <w:top w:val="nil"/>
              <w:left w:val="nil"/>
              <w:bottom w:val="single" w:sz="4" w:space="0" w:color="000000"/>
              <w:right w:val="nil"/>
            </w:tcBorders>
            <w:vAlign w:val="center"/>
            <w:hideMark/>
          </w:tcPr>
          <w:p w:rsidR="00C22A42" w:rsidRPr="000F42F1" w:rsidRDefault="00C22A42" w:rsidP="00334C5E">
            <w:pPr>
              <w:jc w:val="center"/>
              <w:rPr>
                <w:b/>
                <w:bCs/>
                <w:iCs/>
                <w:color w:val="000000"/>
                <w:sz w:val="16"/>
                <w:szCs w:val="16"/>
                <w:lang w:eastAsia="es-ES"/>
              </w:rPr>
            </w:pPr>
          </w:p>
        </w:tc>
        <w:tc>
          <w:tcPr>
            <w:tcW w:w="899" w:type="dxa"/>
            <w:vMerge/>
            <w:tcBorders>
              <w:top w:val="nil"/>
              <w:left w:val="nil"/>
              <w:bottom w:val="single" w:sz="4" w:space="0" w:color="000000"/>
              <w:right w:val="nil"/>
            </w:tcBorders>
            <w:vAlign w:val="center"/>
            <w:hideMark/>
          </w:tcPr>
          <w:p w:rsidR="00C22A42" w:rsidRPr="000F42F1" w:rsidRDefault="00C22A42" w:rsidP="00334C5E">
            <w:pPr>
              <w:jc w:val="center"/>
              <w:rPr>
                <w:b/>
                <w:color w:val="000000"/>
                <w:sz w:val="16"/>
                <w:szCs w:val="16"/>
                <w:lang w:eastAsia="es-ES"/>
              </w:rPr>
            </w:pPr>
          </w:p>
        </w:tc>
        <w:tc>
          <w:tcPr>
            <w:tcW w:w="897" w:type="dxa"/>
            <w:tcBorders>
              <w:top w:val="nil"/>
              <w:left w:val="nil"/>
              <w:bottom w:val="single" w:sz="4" w:space="0" w:color="auto"/>
              <w:right w:val="nil"/>
            </w:tcBorders>
            <w:shd w:val="clear" w:color="auto" w:fill="auto"/>
            <w:vAlign w:val="center"/>
            <w:hideMark/>
          </w:tcPr>
          <w:p w:rsidR="00C22A42" w:rsidRPr="000F42F1" w:rsidRDefault="00C22A42" w:rsidP="00334C5E">
            <w:pPr>
              <w:jc w:val="center"/>
              <w:rPr>
                <w:b/>
                <w:bCs/>
                <w:iCs/>
                <w:color w:val="000000"/>
                <w:sz w:val="16"/>
                <w:szCs w:val="16"/>
                <w:lang w:eastAsia="es-ES"/>
              </w:rPr>
            </w:pPr>
            <w:r w:rsidRPr="000F42F1">
              <w:rPr>
                <w:b/>
                <w:bCs/>
                <w:iCs/>
                <w:color w:val="000000"/>
                <w:sz w:val="16"/>
                <w:szCs w:val="16"/>
                <w:lang w:eastAsia="es-ES"/>
              </w:rPr>
              <w:t>Oficial</w:t>
            </w:r>
          </w:p>
        </w:tc>
        <w:tc>
          <w:tcPr>
            <w:tcW w:w="1073" w:type="dxa"/>
            <w:tcBorders>
              <w:top w:val="nil"/>
              <w:left w:val="nil"/>
              <w:bottom w:val="single" w:sz="4" w:space="0" w:color="auto"/>
              <w:right w:val="nil"/>
            </w:tcBorders>
            <w:shd w:val="clear" w:color="auto" w:fill="auto"/>
            <w:noWrap/>
            <w:vAlign w:val="center"/>
            <w:hideMark/>
          </w:tcPr>
          <w:p w:rsidR="00C22A42" w:rsidRPr="000F42F1" w:rsidRDefault="00C22A42" w:rsidP="00334C5E">
            <w:pPr>
              <w:jc w:val="center"/>
              <w:rPr>
                <w:b/>
                <w:bCs/>
                <w:iCs/>
                <w:color w:val="000000"/>
                <w:sz w:val="16"/>
                <w:szCs w:val="16"/>
                <w:lang w:eastAsia="es-ES"/>
              </w:rPr>
            </w:pPr>
            <w:r w:rsidRPr="000F42F1">
              <w:rPr>
                <w:b/>
                <w:bCs/>
                <w:iCs/>
                <w:color w:val="000000"/>
                <w:sz w:val="16"/>
                <w:szCs w:val="16"/>
                <w:lang w:eastAsia="es-ES"/>
              </w:rPr>
              <w:t>No Oficial</w:t>
            </w:r>
          </w:p>
        </w:tc>
        <w:tc>
          <w:tcPr>
            <w:tcW w:w="931" w:type="dxa"/>
            <w:tcBorders>
              <w:top w:val="nil"/>
              <w:left w:val="nil"/>
              <w:bottom w:val="single" w:sz="4" w:space="0" w:color="auto"/>
              <w:right w:val="nil"/>
            </w:tcBorders>
            <w:shd w:val="clear" w:color="auto" w:fill="auto"/>
            <w:vAlign w:val="center"/>
            <w:hideMark/>
          </w:tcPr>
          <w:p w:rsidR="00C22A42" w:rsidRPr="000F42F1" w:rsidRDefault="00C22A42" w:rsidP="00334C5E">
            <w:pPr>
              <w:jc w:val="center"/>
              <w:rPr>
                <w:b/>
                <w:bCs/>
                <w:iCs/>
                <w:color w:val="000000"/>
                <w:sz w:val="16"/>
                <w:szCs w:val="16"/>
                <w:lang w:eastAsia="es-ES"/>
              </w:rPr>
            </w:pPr>
            <w:r w:rsidRPr="000F42F1">
              <w:rPr>
                <w:b/>
                <w:bCs/>
                <w:iCs/>
                <w:color w:val="000000"/>
                <w:sz w:val="16"/>
                <w:szCs w:val="16"/>
                <w:lang w:eastAsia="es-ES"/>
              </w:rPr>
              <w:t>Urbana</w:t>
            </w:r>
          </w:p>
        </w:tc>
        <w:tc>
          <w:tcPr>
            <w:tcW w:w="1182" w:type="dxa"/>
            <w:tcBorders>
              <w:top w:val="nil"/>
              <w:left w:val="nil"/>
              <w:bottom w:val="single" w:sz="4" w:space="0" w:color="auto"/>
              <w:right w:val="nil"/>
            </w:tcBorders>
            <w:shd w:val="clear" w:color="auto" w:fill="auto"/>
            <w:noWrap/>
            <w:vAlign w:val="center"/>
            <w:hideMark/>
          </w:tcPr>
          <w:p w:rsidR="00C22A42" w:rsidRPr="000F42F1" w:rsidRDefault="00C22A42" w:rsidP="00334C5E">
            <w:pPr>
              <w:jc w:val="center"/>
              <w:rPr>
                <w:b/>
                <w:bCs/>
                <w:iCs/>
                <w:color w:val="000000"/>
                <w:sz w:val="16"/>
                <w:szCs w:val="16"/>
                <w:lang w:eastAsia="es-ES"/>
              </w:rPr>
            </w:pPr>
            <w:r w:rsidRPr="000F42F1">
              <w:rPr>
                <w:b/>
                <w:bCs/>
                <w:iCs/>
                <w:color w:val="000000"/>
                <w:sz w:val="16"/>
                <w:szCs w:val="16"/>
                <w:lang w:eastAsia="es-ES"/>
              </w:rPr>
              <w:t>Rural</w:t>
            </w:r>
          </w:p>
        </w:tc>
        <w:tc>
          <w:tcPr>
            <w:tcW w:w="1055" w:type="dxa"/>
            <w:tcBorders>
              <w:top w:val="nil"/>
              <w:left w:val="nil"/>
              <w:bottom w:val="single" w:sz="4" w:space="0" w:color="auto"/>
              <w:right w:val="nil"/>
            </w:tcBorders>
            <w:shd w:val="clear" w:color="auto" w:fill="auto"/>
            <w:vAlign w:val="center"/>
            <w:hideMark/>
          </w:tcPr>
          <w:p w:rsidR="00C22A42" w:rsidRPr="000F42F1" w:rsidRDefault="00C22A42" w:rsidP="00334C5E">
            <w:pPr>
              <w:jc w:val="center"/>
              <w:rPr>
                <w:b/>
                <w:bCs/>
                <w:iCs/>
                <w:color w:val="000000"/>
                <w:sz w:val="16"/>
                <w:szCs w:val="16"/>
                <w:lang w:eastAsia="es-ES"/>
              </w:rPr>
            </w:pPr>
            <w:r w:rsidRPr="000F42F1">
              <w:rPr>
                <w:b/>
                <w:bCs/>
                <w:iCs/>
                <w:color w:val="000000"/>
                <w:sz w:val="16"/>
                <w:szCs w:val="16"/>
                <w:lang w:eastAsia="es-ES"/>
              </w:rPr>
              <w:t>Urbano</w:t>
            </w:r>
          </w:p>
        </w:tc>
        <w:tc>
          <w:tcPr>
            <w:tcW w:w="755" w:type="dxa"/>
            <w:tcBorders>
              <w:top w:val="single" w:sz="4" w:space="0" w:color="auto"/>
              <w:left w:val="nil"/>
              <w:bottom w:val="single" w:sz="4" w:space="0" w:color="auto"/>
              <w:right w:val="nil"/>
            </w:tcBorders>
            <w:shd w:val="clear" w:color="auto" w:fill="auto"/>
            <w:vAlign w:val="bottom"/>
            <w:hideMark/>
          </w:tcPr>
          <w:p w:rsidR="00C22A42" w:rsidRPr="000F42F1" w:rsidRDefault="00C22A42" w:rsidP="00334C5E">
            <w:pPr>
              <w:jc w:val="center"/>
              <w:rPr>
                <w:b/>
                <w:bCs/>
                <w:iCs/>
                <w:color w:val="000000"/>
                <w:sz w:val="16"/>
                <w:szCs w:val="16"/>
                <w:lang w:eastAsia="es-ES"/>
              </w:rPr>
            </w:pPr>
            <w:r w:rsidRPr="000F42F1">
              <w:rPr>
                <w:b/>
                <w:bCs/>
                <w:iCs/>
                <w:color w:val="000000"/>
                <w:sz w:val="16"/>
                <w:szCs w:val="16"/>
                <w:lang w:eastAsia="es-ES"/>
              </w:rPr>
              <w:t>Rural</w:t>
            </w:r>
          </w:p>
        </w:tc>
      </w:tr>
      <w:tr w:rsidR="00C22A42" w:rsidRPr="00E97784" w:rsidTr="00967C8C">
        <w:trPr>
          <w:trHeight w:val="297"/>
        </w:trPr>
        <w:tc>
          <w:tcPr>
            <w:tcW w:w="1323" w:type="dxa"/>
            <w:vMerge w:val="restart"/>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Lenguaje</w:t>
            </w: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Depto. Quindío</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47,3  (7,3)</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46,9  (7,1)</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51,1  (7,9)</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47,2  (7,2)</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48,2  (7,8)</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vAlign w:val="bottom"/>
            <w:hideMark/>
          </w:tcPr>
          <w:p w:rsidR="00C22A42" w:rsidRPr="00E97784" w:rsidRDefault="00C22A42" w:rsidP="00967C8C">
            <w:pPr>
              <w:rPr>
                <w:color w:val="000000"/>
                <w:sz w:val="16"/>
                <w:szCs w:val="16"/>
                <w:lang w:eastAsia="es-ES"/>
              </w:rPr>
            </w:pPr>
          </w:p>
        </w:tc>
      </w:tr>
      <w:tr w:rsidR="00C22A42" w:rsidRPr="00E97784" w:rsidTr="00967C8C">
        <w:trPr>
          <w:trHeight w:val="297"/>
        </w:trPr>
        <w:tc>
          <w:tcPr>
            <w:tcW w:w="1323" w:type="dxa"/>
            <w:vMerge/>
            <w:tcBorders>
              <w:top w:val="nil"/>
              <w:left w:val="nil"/>
              <w:bottom w:val="nil"/>
              <w:right w:val="nil"/>
            </w:tcBorders>
            <w:vAlign w:val="center"/>
            <w:hideMark/>
          </w:tcPr>
          <w:p w:rsidR="00C22A42" w:rsidRPr="00E97784" w:rsidRDefault="00C22A42" w:rsidP="00967C8C">
            <w:pPr>
              <w:rPr>
                <w:color w:val="000000"/>
                <w:sz w:val="16"/>
                <w:szCs w:val="16"/>
                <w:lang w:eastAsia="es-ES"/>
              </w:rPr>
            </w:pP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Colombia</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47,2  (7,8)</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46,4  (7,2)</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49,4  (8,9)</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47,5  (7,8)</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45,1  (7,4)</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val="restart"/>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Matemáticas</w:t>
            </w: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Depto. Quindío</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44,6  (10,0)</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43,8  (9,2)</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51,9  (12,8)</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44,5  (9,8)</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45,4  (11,3)</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tcBorders>
              <w:top w:val="nil"/>
              <w:left w:val="nil"/>
              <w:bottom w:val="nil"/>
              <w:right w:val="nil"/>
            </w:tcBorders>
            <w:vAlign w:val="center"/>
            <w:hideMark/>
          </w:tcPr>
          <w:p w:rsidR="00C22A42" w:rsidRPr="00E97784" w:rsidRDefault="00C22A42" w:rsidP="00967C8C">
            <w:pPr>
              <w:rPr>
                <w:color w:val="000000"/>
                <w:sz w:val="16"/>
                <w:szCs w:val="16"/>
                <w:lang w:eastAsia="es-ES"/>
              </w:rPr>
            </w:pP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Colombia</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45,0  (10,7)</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43,8  (9,5)</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48,3  (12,8)</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45,3  (10,7)</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42,7  (10,0)</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val="restart"/>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Ciencias Sociales</w:t>
            </w: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Depto. Quindío</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44,1  (7,8)</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43,5  (7,5)</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49,2  (9,1)</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44,0  (7,8)</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45,1  (7,9)</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tcBorders>
              <w:top w:val="nil"/>
              <w:left w:val="nil"/>
              <w:bottom w:val="nil"/>
              <w:right w:val="nil"/>
            </w:tcBorders>
            <w:vAlign w:val="center"/>
            <w:hideMark/>
          </w:tcPr>
          <w:p w:rsidR="00C22A42" w:rsidRPr="00E97784" w:rsidRDefault="00C22A42" w:rsidP="00967C8C">
            <w:pPr>
              <w:rPr>
                <w:color w:val="000000"/>
                <w:sz w:val="16"/>
                <w:szCs w:val="16"/>
                <w:lang w:eastAsia="es-ES"/>
              </w:rPr>
            </w:pP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Colombia</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44,4  (8,2)</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43,6  (7,7)</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46,6  (9,2)</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44,7  (8,3)</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42,6  (7,7)</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val="restart"/>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Filosofía</w:t>
            </w: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Depto. Quindío</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39,7  (8,9)</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39,2  (8,6)</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44,0  (10,3)</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39,6  (8,8)</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40,5  (9,8)</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tcBorders>
              <w:top w:val="nil"/>
              <w:left w:val="nil"/>
              <w:bottom w:val="nil"/>
              <w:right w:val="nil"/>
            </w:tcBorders>
            <w:vAlign w:val="center"/>
            <w:hideMark/>
          </w:tcPr>
          <w:p w:rsidR="00C22A42" w:rsidRPr="00E97784" w:rsidRDefault="00C22A42" w:rsidP="00967C8C">
            <w:pPr>
              <w:rPr>
                <w:color w:val="000000"/>
                <w:sz w:val="16"/>
                <w:szCs w:val="16"/>
                <w:lang w:eastAsia="es-ES"/>
              </w:rPr>
            </w:pP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Colombia</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39,8  (9,5)</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38,9  (8,9)</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42,1  (10,7)</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40,0  (9,5)</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38,0  (9,1)</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val="restart"/>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Biología</w:t>
            </w: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Depto. Quindío</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44,7  (7,6)</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44,2  (7,3)</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49,2  (8,6)</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44,6  (7,6)</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45,3  (7,7)</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tcBorders>
              <w:top w:val="nil"/>
              <w:left w:val="nil"/>
              <w:bottom w:val="nil"/>
              <w:right w:val="nil"/>
            </w:tcBorders>
            <w:vAlign w:val="center"/>
            <w:hideMark/>
          </w:tcPr>
          <w:p w:rsidR="00C22A42" w:rsidRPr="00E97784" w:rsidRDefault="00C22A42" w:rsidP="00967C8C">
            <w:pPr>
              <w:rPr>
                <w:color w:val="000000"/>
                <w:sz w:val="16"/>
                <w:szCs w:val="16"/>
                <w:lang w:eastAsia="es-ES"/>
              </w:rPr>
            </w:pP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Colombia</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44,5  (7,9)</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43,7  (7,4)</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46,7  (8,6)</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44,8  (7,9)</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42,7  (7,6)</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val="restart"/>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Química</w:t>
            </w: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Depto. Quindío</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44,4  (8,6)</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43,8  (8,0)</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50,1  (11,2)</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44,3  (8,6)</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45,3  (8,3)</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tcBorders>
              <w:top w:val="nil"/>
              <w:left w:val="nil"/>
              <w:bottom w:val="nil"/>
              <w:right w:val="nil"/>
            </w:tcBorders>
            <w:vAlign w:val="center"/>
            <w:hideMark/>
          </w:tcPr>
          <w:p w:rsidR="00C22A42" w:rsidRPr="00E97784" w:rsidRDefault="00C22A42" w:rsidP="00967C8C">
            <w:pPr>
              <w:rPr>
                <w:color w:val="000000"/>
                <w:sz w:val="16"/>
                <w:szCs w:val="16"/>
                <w:lang w:eastAsia="es-ES"/>
              </w:rPr>
            </w:pP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Colombia</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45,0  (8,9)</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44,1  (8,0)</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47,3  (10,4)</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45,2  (9,0)</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43,2  (8,1)</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val="restart"/>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Física</w:t>
            </w: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Depto. Quindío</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43,7  (10,7)</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43,0  (10,2)</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49,6  (12,7)</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43,5  (10,7)</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45,1  (11,0)</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tcBorders>
              <w:top w:val="nil"/>
              <w:left w:val="nil"/>
              <w:bottom w:val="nil"/>
              <w:right w:val="nil"/>
            </w:tcBorders>
            <w:vAlign w:val="center"/>
            <w:hideMark/>
          </w:tcPr>
          <w:p w:rsidR="00C22A42" w:rsidRPr="00E97784" w:rsidRDefault="00C22A42" w:rsidP="00967C8C">
            <w:pPr>
              <w:rPr>
                <w:color w:val="000000"/>
                <w:sz w:val="16"/>
                <w:szCs w:val="16"/>
                <w:lang w:eastAsia="es-ES"/>
              </w:rPr>
            </w:pP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Colombia</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44,4  (11,0)</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43,7  (10,4)</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46,4  (12,0)</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44,7  (11,0)</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42,6  (10,4)</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val="restart"/>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Inglés</w:t>
            </w: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Depto. Quindío</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44,5  (10,2)</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43,4  (8,5)</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54,8  (16,3)</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44,2  (9,8)</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47,6  (13,1)</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tcBorders>
              <w:top w:val="nil"/>
              <w:left w:val="nil"/>
              <w:bottom w:val="nil"/>
              <w:right w:val="nil"/>
            </w:tcBorders>
            <w:vAlign w:val="center"/>
            <w:hideMark/>
          </w:tcPr>
          <w:p w:rsidR="00C22A42" w:rsidRPr="00E97784" w:rsidRDefault="00C22A42" w:rsidP="00967C8C">
            <w:pPr>
              <w:rPr>
                <w:color w:val="000000"/>
                <w:sz w:val="16"/>
                <w:szCs w:val="16"/>
                <w:lang w:eastAsia="es-ES"/>
              </w:rPr>
            </w:pPr>
          </w:p>
        </w:tc>
        <w:tc>
          <w:tcPr>
            <w:tcW w:w="97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Colombia</w:t>
            </w:r>
          </w:p>
        </w:tc>
        <w:tc>
          <w:tcPr>
            <w:tcW w:w="899"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44,6  (11,1)</w:t>
            </w:r>
          </w:p>
        </w:tc>
        <w:tc>
          <w:tcPr>
            <w:tcW w:w="897"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42,6  (7,9)</w:t>
            </w:r>
          </w:p>
        </w:tc>
        <w:tc>
          <w:tcPr>
            <w:tcW w:w="1073"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49,8  (15,6)</w:t>
            </w:r>
          </w:p>
        </w:tc>
        <w:tc>
          <w:tcPr>
            <w:tcW w:w="931"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44,9  (11,2)</w:t>
            </w:r>
          </w:p>
        </w:tc>
        <w:tc>
          <w:tcPr>
            <w:tcW w:w="1182"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42,6  (10,3)</w:t>
            </w:r>
          </w:p>
        </w:tc>
        <w:tc>
          <w:tcPr>
            <w:tcW w:w="10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c>
          <w:tcPr>
            <w:tcW w:w="755" w:type="dxa"/>
            <w:tcBorders>
              <w:top w:val="nil"/>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0,0  (0,0)</w:t>
            </w:r>
          </w:p>
        </w:tc>
      </w:tr>
      <w:tr w:rsidR="00C22A42" w:rsidRPr="00E97784" w:rsidTr="00967C8C">
        <w:trPr>
          <w:trHeight w:val="297"/>
        </w:trPr>
        <w:tc>
          <w:tcPr>
            <w:tcW w:w="1323" w:type="dxa"/>
            <w:vMerge w:val="restart"/>
            <w:tcBorders>
              <w:top w:val="single" w:sz="4" w:space="0" w:color="auto"/>
              <w:left w:val="nil"/>
              <w:bottom w:val="single" w:sz="4" w:space="0" w:color="000000"/>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N° de evaluados</w:t>
            </w:r>
          </w:p>
        </w:tc>
        <w:tc>
          <w:tcPr>
            <w:tcW w:w="977" w:type="dxa"/>
            <w:tcBorders>
              <w:top w:val="single" w:sz="4" w:space="0" w:color="auto"/>
              <w:left w:val="nil"/>
              <w:bottom w:val="nil"/>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Depto. Quindío</w:t>
            </w:r>
          </w:p>
        </w:tc>
        <w:tc>
          <w:tcPr>
            <w:tcW w:w="899" w:type="dxa"/>
            <w:tcBorders>
              <w:top w:val="single" w:sz="4" w:space="0" w:color="auto"/>
              <w:left w:val="nil"/>
              <w:bottom w:val="nil"/>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7.370</w:t>
            </w:r>
          </w:p>
        </w:tc>
        <w:tc>
          <w:tcPr>
            <w:tcW w:w="897" w:type="dxa"/>
            <w:tcBorders>
              <w:top w:val="single" w:sz="4" w:space="0" w:color="auto"/>
              <w:left w:val="nil"/>
              <w:bottom w:val="nil"/>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6.634</w:t>
            </w:r>
          </w:p>
        </w:tc>
        <w:tc>
          <w:tcPr>
            <w:tcW w:w="1073" w:type="dxa"/>
            <w:tcBorders>
              <w:top w:val="single" w:sz="4" w:space="0" w:color="auto"/>
              <w:left w:val="nil"/>
              <w:bottom w:val="nil"/>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736</w:t>
            </w:r>
          </w:p>
        </w:tc>
        <w:tc>
          <w:tcPr>
            <w:tcW w:w="931" w:type="dxa"/>
            <w:tcBorders>
              <w:top w:val="single" w:sz="4" w:space="0" w:color="auto"/>
              <w:left w:val="nil"/>
              <w:bottom w:val="nil"/>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6.709</w:t>
            </w:r>
          </w:p>
        </w:tc>
        <w:tc>
          <w:tcPr>
            <w:tcW w:w="1182" w:type="dxa"/>
            <w:tcBorders>
              <w:top w:val="single" w:sz="4" w:space="0" w:color="auto"/>
              <w:left w:val="nil"/>
              <w:bottom w:val="nil"/>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661</w:t>
            </w:r>
          </w:p>
        </w:tc>
        <w:tc>
          <w:tcPr>
            <w:tcW w:w="1055" w:type="dxa"/>
            <w:tcBorders>
              <w:top w:val="single" w:sz="4" w:space="0" w:color="auto"/>
              <w:left w:val="nil"/>
              <w:bottom w:val="nil"/>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0</w:t>
            </w:r>
          </w:p>
        </w:tc>
        <w:tc>
          <w:tcPr>
            <w:tcW w:w="755" w:type="dxa"/>
            <w:tcBorders>
              <w:top w:val="single" w:sz="4" w:space="0" w:color="auto"/>
              <w:left w:val="nil"/>
              <w:bottom w:val="nil"/>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0</w:t>
            </w:r>
          </w:p>
        </w:tc>
      </w:tr>
      <w:tr w:rsidR="00C22A42" w:rsidRPr="00E97784" w:rsidTr="00967C8C">
        <w:trPr>
          <w:trHeight w:val="297"/>
        </w:trPr>
        <w:tc>
          <w:tcPr>
            <w:tcW w:w="1323" w:type="dxa"/>
            <w:vMerge/>
            <w:tcBorders>
              <w:top w:val="single" w:sz="4" w:space="0" w:color="auto"/>
              <w:left w:val="nil"/>
              <w:bottom w:val="single" w:sz="4" w:space="0" w:color="000000"/>
              <w:right w:val="nil"/>
            </w:tcBorders>
            <w:vAlign w:val="center"/>
            <w:hideMark/>
          </w:tcPr>
          <w:p w:rsidR="00C22A42" w:rsidRPr="00E97784" w:rsidRDefault="00C22A42" w:rsidP="00967C8C">
            <w:pPr>
              <w:rPr>
                <w:color w:val="000000"/>
                <w:sz w:val="16"/>
                <w:szCs w:val="16"/>
                <w:lang w:eastAsia="es-ES"/>
              </w:rPr>
            </w:pPr>
          </w:p>
        </w:tc>
        <w:tc>
          <w:tcPr>
            <w:tcW w:w="977" w:type="dxa"/>
            <w:tcBorders>
              <w:top w:val="nil"/>
              <w:left w:val="nil"/>
              <w:bottom w:val="single" w:sz="4" w:space="0" w:color="auto"/>
              <w:right w:val="nil"/>
            </w:tcBorders>
            <w:shd w:val="clear" w:color="auto" w:fill="auto"/>
            <w:noWrap/>
            <w:vAlign w:val="center"/>
            <w:hideMark/>
          </w:tcPr>
          <w:p w:rsidR="00C22A42" w:rsidRPr="00E97784" w:rsidRDefault="00C22A42" w:rsidP="00967C8C">
            <w:pPr>
              <w:rPr>
                <w:color w:val="000000"/>
                <w:sz w:val="16"/>
                <w:szCs w:val="16"/>
                <w:lang w:eastAsia="es-ES"/>
              </w:rPr>
            </w:pPr>
            <w:r w:rsidRPr="00E97784">
              <w:rPr>
                <w:color w:val="000000"/>
                <w:sz w:val="16"/>
                <w:szCs w:val="16"/>
                <w:lang w:eastAsia="es-ES"/>
              </w:rPr>
              <w:t>Colombia</w:t>
            </w:r>
          </w:p>
        </w:tc>
        <w:tc>
          <w:tcPr>
            <w:tcW w:w="899" w:type="dxa"/>
            <w:tcBorders>
              <w:top w:val="nil"/>
              <w:left w:val="nil"/>
              <w:bottom w:val="single" w:sz="4" w:space="0" w:color="auto"/>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575.823</w:t>
            </w:r>
          </w:p>
        </w:tc>
        <w:tc>
          <w:tcPr>
            <w:tcW w:w="897" w:type="dxa"/>
            <w:tcBorders>
              <w:top w:val="nil"/>
              <w:left w:val="nil"/>
              <w:bottom w:val="single" w:sz="4" w:space="0" w:color="auto"/>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417.175</w:t>
            </w:r>
          </w:p>
        </w:tc>
        <w:tc>
          <w:tcPr>
            <w:tcW w:w="1073" w:type="dxa"/>
            <w:tcBorders>
              <w:top w:val="nil"/>
              <w:left w:val="nil"/>
              <w:bottom w:val="single" w:sz="4" w:space="0" w:color="auto"/>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158.648</w:t>
            </w:r>
          </w:p>
        </w:tc>
        <w:tc>
          <w:tcPr>
            <w:tcW w:w="931" w:type="dxa"/>
            <w:tcBorders>
              <w:top w:val="nil"/>
              <w:left w:val="nil"/>
              <w:bottom w:val="single" w:sz="4" w:space="0" w:color="auto"/>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509.886</w:t>
            </w:r>
          </w:p>
        </w:tc>
        <w:tc>
          <w:tcPr>
            <w:tcW w:w="1182" w:type="dxa"/>
            <w:tcBorders>
              <w:top w:val="nil"/>
              <w:left w:val="nil"/>
              <w:bottom w:val="single" w:sz="4" w:space="0" w:color="auto"/>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65.937</w:t>
            </w:r>
          </w:p>
        </w:tc>
        <w:tc>
          <w:tcPr>
            <w:tcW w:w="1055" w:type="dxa"/>
            <w:tcBorders>
              <w:top w:val="nil"/>
              <w:left w:val="nil"/>
              <w:bottom w:val="single" w:sz="4" w:space="0" w:color="auto"/>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0</w:t>
            </w:r>
          </w:p>
        </w:tc>
        <w:tc>
          <w:tcPr>
            <w:tcW w:w="755" w:type="dxa"/>
            <w:tcBorders>
              <w:top w:val="nil"/>
              <w:left w:val="nil"/>
              <w:bottom w:val="single" w:sz="4" w:space="0" w:color="auto"/>
              <w:right w:val="nil"/>
            </w:tcBorders>
            <w:shd w:val="clear" w:color="auto" w:fill="auto"/>
            <w:noWrap/>
            <w:vAlign w:val="center"/>
            <w:hideMark/>
          </w:tcPr>
          <w:p w:rsidR="00C22A42" w:rsidRPr="00E97784" w:rsidRDefault="00C22A42" w:rsidP="00967C8C">
            <w:pPr>
              <w:jc w:val="center"/>
              <w:rPr>
                <w:color w:val="000000"/>
                <w:sz w:val="16"/>
                <w:szCs w:val="16"/>
                <w:lang w:eastAsia="es-ES"/>
              </w:rPr>
            </w:pPr>
            <w:r w:rsidRPr="00E97784">
              <w:rPr>
                <w:color w:val="000000"/>
                <w:sz w:val="16"/>
                <w:szCs w:val="16"/>
                <w:lang w:eastAsia="es-ES"/>
              </w:rPr>
              <w:t>0</w:t>
            </w:r>
          </w:p>
        </w:tc>
      </w:tr>
    </w:tbl>
    <w:p w:rsidR="00C22A42" w:rsidRPr="0044031E" w:rsidRDefault="00C22A42" w:rsidP="00C22A42">
      <w:pPr>
        <w:tabs>
          <w:tab w:val="left" w:pos="5103"/>
        </w:tabs>
        <w:spacing w:line="360" w:lineRule="auto"/>
        <w:jc w:val="both"/>
        <w:rPr>
          <w:sz w:val="18"/>
          <w:szCs w:val="18"/>
        </w:rPr>
      </w:pPr>
      <w:r w:rsidRPr="000F42F1">
        <w:rPr>
          <w:sz w:val="16"/>
          <w:szCs w:val="16"/>
        </w:rPr>
        <w:t>Fuente: Ministerio de Educación</w:t>
      </w:r>
      <w:r w:rsidRPr="0044031E">
        <w:rPr>
          <w:sz w:val="18"/>
          <w:szCs w:val="18"/>
        </w:rPr>
        <w:t>.</w:t>
      </w:r>
    </w:p>
    <w:p w:rsidR="00C22A42" w:rsidRDefault="00C22A42" w:rsidP="00C22A42">
      <w:pPr>
        <w:tabs>
          <w:tab w:val="left" w:pos="5103"/>
        </w:tabs>
        <w:spacing w:line="360" w:lineRule="auto"/>
        <w:jc w:val="both"/>
      </w:pPr>
    </w:p>
    <w:p w:rsidR="00C22A42" w:rsidRPr="00766DEA" w:rsidRDefault="00C22A42" w:rsidP="000F42F1">
      <w:pPr>
        <w:spacing w:line="360" w:lineRule="auto"/>
        <w:ind w:firstLine="284"/>
        <w:jc w:val="both"/>
      </w:pPr>
      <w:r w:rsidRPr="00766DEA">
        <w:t>Según las</w:t>
      </w:r>
      <w:r>
        <w:t xml:space="preserve"> estadísticas generadas por el ministerio de e</w:t>
      </w:r>
      <w:r w:rsidRPr="00766DEA">
        <w:t>ducación y representadas en la tabla anterior, en el país se presentaron un total de 575.823 estudiantes para ser evaluados en las áreas de Lenguaje, Matemáticas, Ciencias Sociales, Filosofía, Biología, Química,  Física e Inglés, de los cuales 7.370 estudiantes se presentaron en el Departamento del Quindío para se</w:t>
      </w:r>
      <w:r>
        <w:t>r evaluados en las pruebas SABER</w:t>
      </w:r>
      <w:r w:rsidRPr="00766DEA">
        <w:t xml:space="preserve"> 11. Año 2013.</w:t>
      </w:r>
    </w:p>
    <w:p w:rsidR="00C22A42" w:rsidRPr="00766DEA" w:rsidRDefault="00C22A42" w:rsidP="00C22A42">
      <w:pPr>
        <w:spacing w:line="360" w:lineRule="auto"/>
        <w:jc w:val="both"/>
      </w:pPr>
    </w:p>
    <w:p w:rsidR="00C22A42" w:rsidRPr="00766DEA" w:rsidRDefault="00C22A42" w:rsidP="000F42F1">
      <w:pPr>
        <w:spacing w:line="360" w:lineRule="auto"/>
        <w:ind w:firstLine="284"/>
        <w:jc w:val="both"/>
      </w:pPr>
      <w:r>
        <w:t>L</w:t>
      </w:r>
      <w:r w:rsidRPr="00766DEA">
        <w:t>os promedi</w:t>
      </w:r>
      <w:r>
        <w:t>os del puntaje general en el d</w:t>
      </w:r>
      <w:r w:rsidRPr="00766DEA">
        <w:t>epartamento del Quindío, son muy similares a los nacionales, donde en Lenguaje</w:t>
      </w:r>
      <w:r>
        <w:t xml:space="preserve"> tenemos el 47,2%</w:t>
      </w:r>
      <w:r w:rsidRPr="00766DEA">
        <w:t xml:space="preserve"> a nivel nacion</w:t>
      </w:r>
      <w:r>
        <w:t>al y el 47,3% en el d</w:t>
      </w:r>
      <w:r w:rsidRPr="00766DEA">
        <w:t>epartamento</w:t>
      </w:r>
      <w:r>
        <w:t xml:space="preserve"> del Quindío,</w:t>
      </w:r>
      <w:r w:rsidRPr="00766DEA">
        <w:t xml:space="preserve"> con una desviación estándar de 7,8% y 7,3% respectivament</w:t>
      </w:r>
      <w:r>
        <w:t xml:space="preserve">e.  En el sector </w:t>
      </w:r>
      <w:r w:rsidRPr="00766DEA">
        <w:t xml:space="preserve">educativo se evaluaron a los estudiantes del sector oficial y no oficial, en el cual se presentaron 6.634 estudiantes del sector oficial y  736 del sector No Oficial,  donde sus puntajes siguen siendo muy similares a los del orden nacional, destacándose  el sector No Oficial por presentar resultados superiores a los </w:t>
      </w:r>
      <w:r>
        <w:t xml:space="preserve"> de la media del paí</w:t>
      </w:r>
      <w:r w:rsidRPr="00766DEA">
        <w:t xml:space="preserve">s.  </w:t>
      </w:r>
    </w:p>
    <w:p w:rsidR="00C22A42" w:rsidRPr="00766DEA" w:rsidRDefault="00C22A42" w:rsidP="00C22A42">
      <w:pPr>
        <w:spacing w:line="360" w:lineRule="auto"/>
        <w:jc w:val="both"/>
      </w:pPr>
    </w:p>
    <w:p w:rsidR="00C22A42" w:rsidRPr="00766DEA" w:rsidRDefault="00C22A42" w:rsidP="000F42F1">
      <w:pPr>
        <w:spacing w:line="360" w:lineRule="auto"/>
        <w:ind w:firstLine="284"/>
        <w:jc w:val="both"/>
      </w:pPr>
      <w:r>
        <w:t>Con respecto a las zonas urbana y r</w:t>
      </w:r>
      <w:r w:rsidRPr="00766DEA">
        <w:t>ural,   fueron evaluados</w:t>
      </w:r>
      <w:r>
        <w:t xml:space="preserve">  509.886 en la Urbana y 65.937</w:t>
      </w:r>
      <w:r w:rsidRPr="00766DEA">
        <w:t xml:space="preserve"> e</w:t>
      </w:r>
      <w:r>
        <w:t xml:space="preserve">studiantes en la zona Rural en </w:t>
      </w:r>
      <w:r w:rsidRPr="00766DEA">
        <w:t xml:space="preserve"> las áreas del núcleo  común del e</w:t>
      </w:r>
      <w:r>
        <w:t>xa</w:t>
      </w:r>
      <w:r w:rsidRPr="00766DEA">
        <w:t>men de PRUEBAS SABER 11  en  Colombia, dentro de los cuales</w:t>
      </w:r>
      <w:r>
        <w:t>, 6.709 corresponden a la zona urbana del d</w:t>
      </w:r>
      <w:r w:rsidRPr="00766DEA">
        <w:t xml:space="preserve">epartamento del Quindío y 661 estudiantes fueron evaluados con las mismas </w:t>
      </w:r>
      <w:r w:rsidRPr="00766DEA">
        <w:lastRenderedPageBreak/>
        <w:t xml:space="preserve">pruebas en la zona rural,  cabe resaltar que en la zona rural  todos los promedios de las pruebas SABER 11 son superiores a los presentados </w:t>
      </w:r>
      <w:r>
        <w:t>en la media nacional para el año 2013.</w:t>
      </w:r>
      <w:r w:rsidRPr="00766DEA">
        <w:fldChar w:fldCharType="begin"/>
      </w:r>
      <w:r w:rsidRPr="00766DEA">
        <w:instrText xml:space="preserve"> LINK Excel.Sheet.12 "C:\\Users\\Elizabeth Pimienta V\\Desktop\\tablas apoyo analisis de Educación.xlsx" Hoja8!F138C1:F161C9 \a \f 4 \h  \* MERGEFORMAT </w:instrText>
      </w:r>
      <w:r w:rsidRPr="00766DEA">
        <w:fldChar w:fldCharType="separate"/>
      </w:r>
    </w:p>
    <w:p w:rsidR="00C22A42" w:rsidRDefault="00C22A42" w:rsidP="00C22A42">
      <w:pPr>
        <w:spacing w:line="360" w:lineRule="auto"/>
        <w:jc w:val="both"/>
      </w:pPr>
      <w:r w:rsidRPr="00766DEA">
        <w:fldChar w:fldCharType="end"/>
      </w:r>
    </w:p>
    <w:p w:rsidR="00C22A42" w:rsidRPr="001E0B4D" w:rsidRDefault="00C22A42" w:rsidP="001E0B4D">
      <w:pPr>
        <w:pStyle w:val="Ttulo2"/>
        <w:rPr>
          <w:rFonts w:ascii="Times New Roman" w:hAnsi="Times New Roman" w:cs="Times New Roman"/>
          <w:color w:val="auto"/>
          <w:sz w:val="30"/>
          <w:szCs w:val="30"/>
        </w:rPr>
      </w:pPr>
      <w:bookmarkStart w:id="27" w:name="_Toc406754294"/>
      <w:r w:rsidRPr="001E0B4D">
        <w:rPr>
          <w:rFonts w:ascii="Times New Roman" w:hAnsi="Times New Roman" w:cs="Times New Roman"/>
          <w:color w:val="auto"/>
          <w:sz w:val="30"/>
          <w:szCs w:val="30"/>
        </w:rPr>
        <w:t>2</w:t>
      </w:r>
      <w:r w:rsidR="001E0B4D" w:rsidRPr="001E0B4D">
        <w:rPr>
          <w:rFonts w:ascii="Times New Roman" w:hAnsi="Times New Roman" w:cs="Times New Roman"/>
          <w:color w:val="auto"/>
          <w:sz w:val="30"/>
          <w:szCs w:val="30"/>
        </w:rPr>
        <w:t>.4.5</w:t>
      </w:r>
      <w:r w:rsidRPr="001E0B4D">
        <w:rPr>
          <w:rFonts w:ascii="Times New Roman" w:hAnsi="Times New Roman" w:cs="Times New Roman"/>
          <w:color w:val="auto"/>
          <w:sz w:val="30"/>
          <w:szCs w:val="30"/>
        </w:rPr>
        <w:t xml:space="preserve"> Pruebas SABER Grado 11º área de inglés.</w:t>
      </w:r>
      <w:bookmarkEnd w:id="27"/>
    </w:p>
    <w:p w:rsidR="00C22A42" w:rsidRPr="00766DEA" w:rsidRDefault="00C22A42" w:rsidP="00C22A42"/>
    <w:p w:rsidR="00C22A42" w:rsidRPr="001E0B4D" w:rsidRDefault="00D703A3" w:rsidP="001E0B4D">
      <w:r>
        <w:t>Tabla</w:t>
      </w:r>
      <w:r w:rsidR="00C22A42" w:rsidRPr="001E0B4D">
        <w:t xml:space="preserve"> 2.14</w:t>
      </w:r>
    </w:p>
    <w:p w:rsidR="00C22A42" w:rsidRPr="001E0B4D" w:rsidRDefault="00A07882" w:rsidP="001E0B4D">
      <w:r>
        <w:t>Primeros y niveles de desempeño en el área de inglés</w:t>
      </w:r>
      <w:r w:rsidR="00C22A42" w:rsidRPr="001E0B4D">
        <w:t>. Saber grado 11</w:t>
      </w:r>
      <w:r>
        <w:t>.</w:t>
      </w:r>
      <w:r w:rsidR="00C22A42" w:rsidRPr="001E0B4D">
        <w:t xml:space="preserve"> Quindío</w:t>
      </w:r>
    </w:p>
    <w:p w:rsidR="00C22A42" w:rsidRDefault="00C22A42" w:rsidP="001E0B4D">
      <w:r w:rsidRPr="001E0B4D">
        <w:t>2008 – 2013</w:t>
      </w:r>
    </w:p>
    <w:p w:rsidR="007E4A31" w:rsidRPr="001E0B4D" w:rsidRDefault="007E4A31" w:rsidP="001E0B4D"/>
    <w:tbl>
      <w:tblPr>
        <w:tblW w:w="8728" w:type="dxa"/>
        <w:tblCellMar>
          <w:left w:w="70" w:type="dxa"/>
          <w:right w:w="70" w:type="dxa"/>
        </w:tblCellMar>
        <w:tblLook w:val="04A0" w:firstRow="1" w:lastRow="0" w:firstColumn="1" w:lastColumn="0" w:noHBand="0" w:noVBand="1"/>
      </w:tblPr>
      <w:tblGrid>
        <w:gridCol w:w="1084"/>
        <w:gridCol w:w="567"/>
        <w:gridCol w:w="1273"/>
        <w:gridCol w:w="1894"/>
        <w:gridCol w:w="1063"/>
        <w:gridCol w:w="601"/>
        <w:gridCol w:w="618"/>
        <w:gridCol w:w="442"/>
        <w:gridCol w:w="618"/>
        <w:gridCol w:w="568"/>
      </w:tblGrid>
      <w:tr w:rsidR="00C22A42" w:rsidRPr="006B5D89" w:rsidTr="007E4A31">
        <w:trPr>
          <w:trHeight w:val="377"/>
        </w:trPr>
        <w:tc>
          <w:tcPr>
            <w:tcW w:w="1084" w:type="dxa"/>
            <w:vMerge w:val="restart"/>
            <w:tcBorders>
              <w:top w:val="nil"/>
              <w:left w:val="nil"/>
              <w:bottom w:val="nil"/>
              <w:right w:val="nil"/>
            </w:tcBorders>
            <w:shd w:val="clear" w:color="auto" w:fill="auto"/>
            <w:textDirection w:val="btLr"/>
            <w:vAlign w:val="center"/>
            <w:hideMark/>
          </w:tcPr>
          <w:p w:rsidR="00C22A42" w:rsidRPr="001E0B4D" w:rsidRDefault="00C22A42" w:rsidP="003D5F04">
            <w:pPr>
              <w:jc w:val="center"/>
              <w:rPr>
                <w:b/>
                <w:bCs/>
                <w:iCs/>
                <w:color w:val="000000"/>
                <w:sz w:val="20"/>
                <w:szCs w:val="20"/>
                <w:lang w:eastAsia="es-ES"/>
              </w:rPr>
            </w:pPr>
            <w:r w:rsidRPr="001E0B4D">
              <w:rPr>
                <w:b/>
                <w:bCs/>
                <w:iCs/>
                <w:color w:val="000000"/>
                <w:sz w:val="20"/>
                <w:szCs w:val="20"/>
                <w:lang w:eastAsia="es-ES"/>
              </w:rPr>
              <w:t>Depto. Quindío</w:t>
            </w:r>
          </w:p>
        </w:tc>
        <w:tc>
          <w:tcPr>
            <w:tcW w:w="567" w:type="dxa"/>
            <w:vMerge w:val="restart"/>
            <w:tcBorders>
              <w:top w:val="nil"/>
              <w:left w:val="nil"/>
              <w:bottom w:val="single" w:sz="4" w:space="0" w:color="000000"/>
              <w:right w:val="nil"/>
            </w:tcBorders>
            <w:shd w:val="clear" w:color="auto" w:fill="auto"/>
            <w:noWrap/>
            <w:vAlign w:val="center"/>
            <w:hideMark/>
          </w:tcPr>
          <w:p w:rsidR="00C22A42" w:rsidRPr="001E0B4D" w:rsidRDefault="00C22A42" w:rsidP="003D5F04">
            <w:pPr>
              <w:jc w:val="center"/>
              <w:rPr>
                <w:b/>
                <w:bCs/>
                <w:iCs/>
                <w:color w:val="000000"/>
                <w:lang w:eastAsia="es-ES"/>
              </w:rPr>
            </w:pPr>
            <w:r w:rsidRPr="001E0B4D">
              <w:rPr>
                <w:b/>
                <w:bCs/>
                <w:iCs/>
                <w:color w:val="000000"/>
                <w:lang w:eastAsia="es-ES"/>
              </w:rPr>
              <w:t>Año</w:t>
            </w:r>
          </w:p>
        </w:tc>
        <w:tc>
          <w:tcPr>
            <w:tcW w:w="1273" w:type="dxa"/>
            <w:vMerge w:val="restart"/>
            <w:tcBorders>
              <w:top w:val="nil"/>
              <w:left w:val="nil"/>
              <w:bottom w:val="single" w:sz="4" w:space="0" w:color="000000"/>
              <w:right w:val="nil"/>
            </w:tcBorders>
            <w:shd w:val="clear" w:color="auto" w:fill="auto"/>
            <w:noWrap/>
            <w:vAlign w:val="center"/>
            <w:hideMark/>
          </w:tcPr>
          <w:p w:rsidR="00C22A42" w:rsidRPr="001E0B4D" w:rsidRDefault="00C22A42" w:rsidP="003D5F04">
            <w:pPr>
              <w:jc w:val="center"/>
              <w:rPr>
                <w:b/>
                <w:bCs/>
                <w:iCs/>
                <w:color w:val="000000"/>
                <w:lang w:eastAsia="es-ES"/>
              </w:rPr>
            </w:pPr>
            <w:r w:rsidRPr="001E0B4D">
              <w:rPr>
                <w:b/>
                <w:bCs/>
                <w:iCs/>
                <w:color w:val="000000"/>
                <w:lang w:eastAsia="es-ES"/>
              </w:rPr>
              <w:t>Territorios</w:t>
            </w:r>
          </w:p>
        </w:tc>
        <w:tc>
          <w:tcPr>
            <w:tcW w:w="2957" w:type="dxa"/>
            <w:gridSpan w:val="2"/>
            <w:tcBorders>
              <w:top w:val="single" w:sz="4" w:space="0" w:color="auto"/>
              <w:left w:val="nil"/>
              <w:bottom w:val="single" w:sz="4" w:space="0" w:color="auto"/>
              <w:right w:val="nil"/>
            </w:tcBorders>
            <w:shd w:val="clear" w:color="auto" w:fill="auto"/>
            <w:vAlign w:val="center"/>
            <w:hideMark/>
          </w:tcPr>
          <w:p w:rsidR="00C22A42" w:rsidRPr="001E0B4D" w:rsidRDefault="00C22A42" w:rsidP="003D5F04">
            <w:pPr>
              <w:jc w:val="center"/>
              <w:rPr>
                <w:b/>
                <w:bCs/>
                <w:iCs/>
                <w:color w:val="000000"/>
                <w:lang w:eastAsia="es-ES"/>
              </w:rPr>
            </w:pPr>
            <w:r w:rsidRPr="001E0B4D">
              <w:rPr>
                <w:b/>
                <w:bCs/>
                <w:iCs/>
                <w:color w:val="000000"/>
                <w:lang w:eastAsia="es-ES"/>
              </w:rPr>
              <w:t>Estadístico</w:t>
            </w:r>
          </w:p>
        </w:tc>
        <w:tc>
          <w:tcPr>
            <w:tcW w:w="2847" w:type="dxa"/>
            <w:gridSpan w:val="5"/>
            <w:tcBorders>
              <w:top w:val="single" w:sz="4" w:space="0" w:color="auto"/>
              <w:left w:val="nil"/>
              <w:bottom w:val="single" w:sz="4" w:space="0" w:color="auto"/>
              <w:right w:val="nil"/>
            </w:tcBorders>
            <w:shd w:val="clear" w:color="auto" w:fill="auto"/>
            <w:noWrap/>
            <w:vAlign w:val="center"/>
            <w:hideMark/>
          </w:tcPr>
          <w:p w:rsidR="00C22A42" w:rsidRPr="001E0B4D" w:rsidRDefault="00C22A42" w:rsidP="003D5F04">
            <w:pPr>
              <w:jc w:val="center"/>
              <w:rPr>
                <w:b/>
                <w:bCs/>
                <w:iCs/>
                <w:lang w:eastAsia="es-ES"/>
              </w:rPr>
            </w:pPr>
            <w:r w:rsidRPr="001E0B4D">
              <w:rPr>
                <w:b/>
                <w:bCs/>
                <w:iCs/>
                <w:lang w:eastAsia="es-ES"/>
              </w:rPr>
              <w:t>Niveles de desempeño</w:t>
            </w:r>
          </w:p>
        </w:tc>
      </w:tr>
      <w:tr w:rsidR="00C22A42" w:rsidRPr="006B5D89" w:rsidTr="007E4A31">
        <w:trPr>
          <w:trHeight w:val="443"/>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tcBorders>
              <w:top w:val="nil"/>
              <w:left w:val="nil"/>
              <w:bottom w:val="single" w:sz="4" w:space="0" w:color="000000"/>
              <w:right w:val="nil"/>
            </w:tcBorders>
            <w:vAlign w:val="center"/>
            <w:hideMark/>
          </w:tcPr>
          <w:p w:rsidR="00C22A42" w:rsidRPr="006B5D89" w:rsidRDefault="00C22A42" w:rsidP="003D5F04">
            <w:pPr>
              <w:rPr>
                <w:b/>
                <w:bCs/>
                <w:i/>
                <w:iCs/>
                <w:color w:val="000000"/>
                <w:sz w:val="20"/>
                <w:szCs w:val="20"/>
                <w:lang w:eastAsia="es-ES"/>
              </w:rPr>
            </w:pPr>
          </w:p>
        </w:tc>
        <w:tc>
          <w:tcPr>
            <w:tcW w:w="1273" w:type="dxa"/>
            <w:vMerge/>
            <w:tcBorders>
              <w:top w:val="nil"/>
              <w:left w:val="nil"/>
              <w:bottom w:val="single" w:sz="4" w:space="0" w:color="000000"/>
              <w:right w:val="nil"/>
            </w:tcBorders>
            <w:vAlign w:val="center"/>
            <w:hideMark/>
          </w:tcPr>
          <w:p w:rsidR="00C22A42" w:rsidRPr="006B5D89" w:rsidRDefault="00C22A42" w:rsidP="003D5F04">
            <w:pPr>
              <w:rPr>
                <w:b/>
                <w:bCs/>
                <w:i/>
                <w:iCs/>
                <w:color w:val="000000"/>
                <w:sz w:val="20"/>
                <w:szCs w:val="20"/>
                <w:lang w:eastAsia="es-ES"/>
              </w:rPr>
            </w:pPr>
          </w:p>
        </w:tc>
        <w:tc>
          <w:tcPr>
            <w:tcW w:w="1894" w:type="dxa"/>
            <w:tcBorders>
              <w:top w:val="nil"/>
              <w:left w:val="nil"/>
              <w:bottom w:val="single" w:sz="4" w:space="0" w:color="auto"/>
              <w:right w:val="nil"/>
            </w:tcBorders>
            <w:shd w:val="clear" w:color="auto" w:fill="auto"/>
            <w:vAlign w:val="center"/>
            <w:hideMark/>
          </w:tcPr>
          <w:p w:rsidR="00C22A42" w:rsidRPr="001E0B4D" w:rsidRDefault="00C22A42" w:rsidP="003D5F04">
            <w:pPr>
              <w:jc w:val="center"/>
              <w:rPr>
                <w:b/>
                <w:bCs/>
                <w:iCs/>
                <w:color w:val="000000"/>
                <w:sz w:val="20"/>
                <w:szCs w:val="20"/>
                <w:lang w:eastAsia="es-ES"/>
              </w:rPr>
            </w:pPr>
            <w:r w:rsidRPr="001E0B4D">
              <w:rPr>
                <w:b/>
                <w:bCs/>
                <w:iCs/>
                <w:color w:val="000000"/>
                <w:sz w:val="20"/>
                <w:szCs w:val="20"/>
                <w:lang w:eastAsia="es-ES"/>
              </w:rPr>
              <w:t>Promedio</w:t>
            </w:r>
          </w:p>
        </w:tc>
        <w:tc>
          <w:tcPr>
            <w:tcW w:w="1063" w:type="dxa"/>
            <w:tcBorders>
              <w:top w:val="nil"/>
              <w:left w:val="nil"/>
              <w:bottom w:val="single" w:sz="4" w:space="0" w:color="auto"/>
              <w:right w:val="nil"/>
            </w:tcBorders>
            <w:shd w:val="clear" w:color="auto" w:fill="auto"/>
            <w:vAlign w:val="center"/>
            <w:hideMark/>
          </w:tcPr>
          <w:p w:rsidR="00C22A42" w:rsidRPr="001E0B4D" w:rsidRDefault="00C22A42" w:rsidP="003D5F04">
            <w:pPr>
              <w:jc w:val="center"/>
              <w:rPr>
                <w:b/>
                <w:bCs/>
                <w:iCs/>
                <w:color w:val="000000"/>
                <w:sz w:val="20"/>
                <w:szCs w:val="20"/>
                <w:lang w:eastAsia="es-ES"/>
              </w:rPr>
            </w:pPr>
            <w:r w:rsidRPr="001E0B4D">
              <w:rPr>
                <w:b/>
                <w:bCs/>
                <w:iCs/>
                <w:color w:val="000000"/>
                <w:sz w:val="20"/>
                <w:szCs w:val="20"/>
                <w:lang w:eastAsia="es-ES"/>
              </w:rPr>
              <w:t>Desviación</w:t>
            </w:r>
          </w:p>
        </w:tc>
        <w:tc>
          <w:tcPr>
            <w:tcW w:w="601" w:type="dxa"/>
            <w:tcBorders>
              <w:top w:val="nil"/>
              <w:left w:val="nil"/>
              <w:bottom w:val="single" w:sz="4" w:space="0" w:color="auto"/>
              <w:right w:val="nil"/>
            </w:tcBorders>
            <w:shd w:val="clear" w:color="auto" w:fill="auto"/>
            <w:vAlign w:val="center"/>
            <w:hideMark/>
          </w:tcPr>
          <w:p w:rsidR="00C22A42" w:rsidRPr="001E0B4D" w:rsidRDefault="00C22A42" w:rsidP="003D5F04">
            <w:pPr>
              <w:jc w:val="center"/>
              <w:rPr>
                <w:b/>
                <w:bCs/>
                <w:iCs/>
                <w:color w:val="000000"/>
                <w:sz w:val="20"/>
                <w:szCs w:val="20"/>
                <w:lang w:eastAsia="es-ES"/>
              </w:rPr>
            </w:pPr>
            <w:r w:rsidRPr="001E0B4D">
              <w:rPr>
                <w:b/>
                <w:bCs/>
                <w:iCs/>
                <w:color w:val="000000"/>
                <w:sz w:val="20"/>
                <w:szCs w:val="20"/>
                <w:lang w:eastAsia="es-ES"/>
              </w:rPr>
              <w:t>-A</w:t>
            </w:r>
          </w:p>
        </w:tc>
        <w:tc>
          <w:tcPr>
            <w:tcW w:w="618" w:type="dxa"/>
            <w:tcBorders>
              <w:top w:val="nil"/>
              <w:left w:val="nil"/>
              <w:bottom w:val="single" w:sz="4" w:space="0" w:color="auto"/>
              <w:right w:val="nil"/>
            </w:tcBorders>
            <w:shd w:val="clear" w:color="auto" w:fill="auto"/>
            <w:vAlign w:val="center"/>
            <w:hideMark/>
          </w:tcPr>
          <w:p w:rsidR="00C22A42" w:rsidRPr="001E0B4D" w:rsidRDefault="00C22A42" w:rsidP="003D5F04">
            <w:pPr>
              <w:jc w:val="center"/>
              <w:rPr>
                <w:b/>
                <w:bCs/>
                <w:iCs/>
                <w:color w:val="000000"/>
                <w:sz w:val="20"/>
                <w:szCs w:val="20"/>
                <w:lang w:eastAsia="es-ES"/>
              </w:rPr>
            </w:pPr>
            <w:r w:rsidRPr="001E0B4D">
              <w:rPr>
                <w:b/>
                <w:bCs/>
                <w:iCs/>
                <w:color w:val="000000"/>
                <w:sz w:val="20"/>
                <w:szCs w:val="20"/>
                <w:lang w:eastAsia="es-ES"/>
              </w:rPr>
              <w:t>A1</w:t>
            </w:r>
          </w:p>
        </w:tc>
        <w:tc>
          <w:tcPr>
            <w:tcW w:w="442" w:type="dxa"/>
            <w:tcBorders>
              <w:top w:val="nil"/>
              <w:left w:val="nil"/>
              <w:bottom w:val="single" w:sz="4" w:space="0" w:color="auto"/>
              <w:right w:val="nil"/>
            </w:tcBorders>
            <w:shd w:val="clear" w:color="auto" w:fill="auto"/>
            <w:vAlign w:val="center"/>
            <w:hideMark/>
          </w:tcPr>
          <w:p w:rsidR="00C22A42" w:rsidRPr="001E0B4D" w:rsidRDefault="00C22A42" w:rsidP="003D5F04">
            <w:pPr>
              <w:jc w:val="center"/>
              <w:rPr>
                <w:b/>
                <w:bCs/>
                <w:iCs/>
                <w:color w:val="000000"/>
                <w:sz w:val="20"/>
                <w:szCs w:val="20"/>
                <w:lang w:eastAsia="es-ES"/>
              </w:rPr>
            </w:pPr>
            <w:r w:rsidRPr="001E0B4D">
              <w:rPr>
                <w:b/>
                <w:bCs/>
                <w:iCs/>
                <w:color w:val="000000"/>
                <w:sz w:val="20"/>
                <w:szCs w:val="20"/>
                <w:lang w:eastAsia="es-ES"/>
              </w:rPr>
              <w:t>A2</w:t>
            </w:r>
          </w:p>
        </w:tc>
        <w:tc>
          <w:tcPr>
            <w:tcW w:w="618" w:type="dxa"/>
            <w:tcBorders>
              <w:top w:val="nil"/>
              <w:left w:val="nil"/>
              <w:bottom w:val="single" w:sz="4" w:space="0" w:color="auto"/>
              <w:right w:val="nil"/>
            </w:tcBorders>
            <w:shd w:val="clear" w:color="auto" w:fill="auto"/>
            <w:vAlign w:val="center"/>
            <w:hideMark/>
          </w:tcPr>
          <w:p w:rsidR="00C22A42" w:rsidRPr="001E0B4D" w:rsidRDefault="00C22A42" w:rsidP="003D5F04">
            <w:pPr>
              <w:jc w:val="center"/>
              <w:rPr>
                <w:b/>
                <w:bCs/>
                <w:iCs/>
                <w:color w:val="000000"/>
                <w:sz w:val="20"/>
                <w:szCs w:val="20"/>
                <w:lang w:eastAsia="es-ES"/>
              </w:rPr>
            </w:pPr>
            <w:r w:rsidRPr="001E0B4D">
              <w:rPr>
                <w:b/>
                <w:bCs/>
                <w:iCs/>
                <w:color w:val="000000"/>
                <w:sz w:val="20"/>
                <w:szCs w:val="20"/>
                <w:lang w:eastAsia="es-ES"/>
              </w:rPr>
              <w:t>B1</w:t>
            </w:r>
          </w:p>
        </w:tc>
        <w:tc>
          <w:tcPr>
            <w:tcW w:w="568" w:type="dxa"/>
            <w:tcBorders>
              <w:top w:val="nil"/>
              <w:left w:val="nil"/>
              <w:bottom w:val="single" w:sz="4" w:space="0" w:color="auto"/>
              <w:right w:val="nil"/>
            </w:tcBorders>
            <w:shd w:val="clear" w:color="auto" w:fill="auto"/>
            <w:vAlign w:val="center"/>
            <w:hideMark/>
          </w:tcPr>
          <w:p w:rsidR="00C22A42" w:rsidRPr="001E0B4D" w:rsidRDefault="00C22A42" w:rsidP="003D5F04">
            <w:pPr>
              <w:jc w:val="center"/>
              <w:rPr>
                <w:b/>
                <w:bCs/>
                <w:iCs/>
                <w:color w:val="000000"/>
                <w:sz w:val="20"/>
                <w:szCs w:val="20"/>
                <w:lang w:eastAsia="es-ES"/>
              </w:rPr>
            </w:pPr>
            <w:r w:rsidRPr="001E0B4D">
              <w:rPr>
                <w:b/>
                <w:bCs/>
                <w:iCs/>
                <w:color w:val="000000"/>
                <w:sz w:val="20"/>
                <w:szCs w:val="20"/>
                <w:lang w:eastAsia="es-ES"/>
              </w:rPr>
              <w:t>B+</w:t>
            </w:r>
          </w:p>
        </w:tc>
      </w:tr>
      <w:tr w:rsidR="00C22A42" w:rsidRPr="006B5D89" w:rsidTr="007E4A31">
        <w:trPr>
          <w:trHeight w:val="361"/>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val="restart"/>
            <w:tcBorders>
              <w:top w:val="nil"/>
              <w:left w:val="nil"/>
              <w:bottom w:val="nil"/>
              <w:right w:val="nil"/>
            </w:tcBorders>
            <w:shd w:val="clear" w:color="auto" w:fill="auto"/>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2008</w:t>
            </w: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Depto. Quindío</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42,0</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10,4</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56%</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31%</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8%</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w:t>
            </w:r>
          </w:p>
        </w:tc>
      </w:tr>
      <w:tr w:rsidR="00C22A42" w:rsidRPr="006B5D89" w:rsidTr="007E4A31">
        <w:trPr>
          <w:trHeight w:val="389"/>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tcBorders>
              <w:top w:val="nil"/>
              <w:left w:val="nil"/>
              <w:bottom w:val="nil"/>
              <w:right w:val="nil"/>
            </w:tcBorders>
            <w:vAlign w:val="center"/>
            <w:hideMark/>
          </w:tcPr>
          <w:p w:rsidR="00C22A42" w:rsidRPr="006B5D89" w:rsidRDefault="00C22A42" w:rsidP="003D5F04">
            <w:pPr>
              <w:rPr>
                <w:color w:val="000000"/>
                <w:sz w:val="20"/>
                <w:szCs w:val="20"/>
                <w:lang w:eastAsia="es-ES"/>
              </w:rPr>
            </w:pP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Colombia</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41,3</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10,4</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61%</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28%</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6%</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w:t>
            </w:r>
          </w:p>
        </w:tc>
      </w:tr>
      <w:tr w:rsidR="00C22A42" w:rsidRPr="006B5D89" w:rsidTr="007E4A31">
        <w:trPr>
          <w:trHeight w:val="417"/>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val="restart"/>
            <w:tcBorders>
              <w:top w:val="nil"/>
              <w:left w:val="nil"/>
              <w:bottom w:val="nil"/>
              <w:right w:val="nil"/>
            </w:tcBorders>
            <w:shd w:val="clear" w:color="auto" w:fill="auto"/>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2009</w:t>
            </w: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Depto. Quindío</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45,0</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9,8</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49%</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37%</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7%</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w:t>
            </w:r>
          </w:p>
        </w:tc>
      </w:tr>
      <w:tr w:rsidR="00C22A42" w:rsidRPr="006B5D89" w:rsidTr="007E4A31">
        <w:trPr>
          <w:trHeight w:val="291"/>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tcBorders>
              <w:top w:val="nil"/>
              <w:left w:val="nil"/>
              <w:bottom w:val="nil"/>
              <w:right w:val="nil"/>
            </w:tcBorders>
            <w:vAlign w:val="center"/>
            <w:hideMark/>
          </w:tcPr>
          <w:p w:rsidR="00C22A42" w:rsidRPr="006B5D89" w:rsidRDefault="00C22A42" w:rsidP="003D5F04">
            <w:pPr>
              <w:rPr>
                <w:color w:val="000000"/>
                <w:sz w:val="20"/>
                <w:szCs w:val="20"/>
                <w:lang w:eastAsia="es-ES"/>
              </w:rPr>
            </w:pP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Colombia</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44,1</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9,7</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54%</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34%</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6%</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w:t>
            </w:r>
          </w:p>
        </w:tc>
      </w:tr>
      <w:tr w:rsidR="00C22A42" w:rsidRPr="006B5D89" w:rsidTr="007E4A31">
        <w:trPr>
          <w:trHeight w:val="389"/>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val="restart"/>
            <w:tcBorders>
              <w:top w:val="nil"/>
              <w:left w:val="nil"/>
              <w:bottom w:val="nil"/>
              <w:right w:val="nil"/>
            </w:tcBorders>
            <w:shd w:val="clear" w:color="auto" w:fill="auto"/>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2010</w:t>
            </w: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Depto. Quindío</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44,5</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10,7</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54%</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33%</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7%</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w:t>
            </w:r>
          </w:p>
        </w:tc>
      </w:tr>
      <w:tr w:rsidR="00C22A42" w:rsidRPr="006B5D89" w:rsidTr="007E4A31">
        <w:trPr>
          <w:trHeight w:val="278"/>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tcBorders>
              <w:top w:val="nil"/>
              <w:left w:val="nil"/>
              <w:bottom w:val="nil"/>
              <w:right w:val="nil"/>
            </w:tcBorders>
            <w:vAlign w:val="center"/>
            <w:hideMark/>
          </w:tcPr>
          <w:p w:rsidR="00C22A42" w:rsidRPr="006B5D89" w:rsidRDefault="00C22A42" w:rsidP="003D5F04">
            <w:pPr>
              <w:rPr>
                <w:color w:val="000000"/>
                <w:sz w:val="20"/>
                <w:szCs w:val="20"/>
                <w:lang w:eastAsia="es-ES"/>
              </w:rPr>
            </w:pP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Colombia</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43,9</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10,9</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57%</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31%</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6%</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w:t>
            </w:r>
          </w:p>
        </w:tc>
      </w:tr>
      <w:tr w:rsidR="00C22A42" w:rsidRPr="006B5D89" w:rsidTr="007E4A31">
        <w:trPr>
          <w:trHeight w:val="403"/>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val="restart"/>
            <w:tcBorders>
              <w:top w:val="nil"/>
              <w:left w:val="nil"/>
              <w:bottom w:val="nil"/>
              <w:right w:val="nil"/>
            </w:tcBorders>
            <w:shd w:val="clear" w:color="auto" w:fill="auto"/>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2011</w:t>
            </w: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Depto. Quindío</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43,0</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8,5</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54%</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37%</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6%</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0%</w:t>
            </w:r>
          </w:p>
        </w:tc>
      </w:tr>
      <w:tr w:rsidR="00C22A42" w:rsidRPr="006B5D89" w:rsidTr="007E4A31">
        <w:trPr>
          <w:trHeight w:val="333"/>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tcBorders>
              <w:top w:val="nil"/>
              <w:left w:val="nil"/>
              <w:bottom w:val="nil"/>
              <w:right w:val="nil"/>
            </w:tcBorders>
            <w:vAlign w:val="center"/>
            <w:hideMark/>
          </w:tcPr>
          <w:p w:rsidR="00C22A42" w:rsidRPr="006B5D89" w:rsidRDefault="00C22A42" w:rsidP="003D5F04">
            <w:pPr>
              <w:rPr>
                <w:color w:val="000000"/>
                <w:sz w:val="20"/>
                <w:szCs w:val="20"/>
                <w:lang w:eastAsia="es-ES"/>
              </w:rPr>
            </w:pP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Colombia</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43,0</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9,0</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56%</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35%</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6%</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w:t>
            </w:r>
          </w:p>
        </w:tc>
      </w:tr>
      <w:tr w:rsidR="00C22A42" w:rsidRPr="006B5D89" w:rsidTr="007E4A31">
        <w:trPr>
          <w:trHeight w:val="389"/>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val="restart"/>
            <w:tcBorders>
              <w:top w:val="nil"/>
              <w:left w:val="nil"/>
              <w:bottom w:val="nil"/>
              <w:right w:val="nil"/>
            </w:tcBorders>
            <w:shd w:val="clear" w:color="auto" w:fill="auto"/>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2012</w:t>
            </w: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Depto. Quindío</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44,7</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10,7</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53%</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32%</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8%</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w:t>
            </w:r>
          </w:p>
        </w:tc>
      </w:tr>
      <w:tr w:rsidR="00C22A42" w:rsidRPr="006B5D89" w:rsidTr="007E4A31">
        <w:trPr>
          <w:trHeight w:val="278"/>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tcBorders>
              <w:top w:val="nil"/>
              <w:left w:val="nil"/>
              <w:bottom w:val="nil"/>
              <w:right w:val="nil"/>
            </w:tcBorders>
            <w:vAlign w:val="center"/>
            <w:hideMark/>
          </w:tcPr>
          <w:p w:rsidR="00C22A42" w:rsidRPr="006B5D89" w:rsidRDefault="00C22A42" w:rsidP="003D5F04">
            <w:pPr>
              <w:rPr>
                <w:color w:val="000000"/>
                <w:sz w:val="20"/>
                <w:szCs w:val="20"/>
                <w:lang w:eastAsia="es-ES"/>
              </w:rPr>
            </w:pP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Colombia</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44,1</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11,1</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56%</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29%</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8%</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w:t>
            </w:r>
          </w:p>
        </w:tc>
      </w:tr>
      <w:tr w:rsidR="00C22A42" w:rsidRPr="006B5D89" w:rsidTr="007E4A31">
        <w:trPr>
          <w:trHeight w:val="458"/>
        </w:trPr>
        <w:tc>
          <w:tcPr>
            <w:tcW w:w="1084" w:type="dxa"/>
            <w:vMerge/>
            <w:tcBorders>
              <w:top w:val="nil"/>
              <w:left w:val="nil"/>
              <w:bottom w:val="nil"/>
              <w:right w:val="nil"/>
            </w:tcBorders>
            <w:vAlign w:val="center"/>
            <w:hideMark/>
          </w:tcPr>
          <w:p w:rsidR="00C22A42" w:rsidRPr="006B5D89" w:rsidRDefault="00C22A42" w:rsidP="003D5F04">
            <w:pPr>
              <w:rPr>
                <w:b/>
                <w:bCs/>
                <w:i/>
                <w:iCs/>
                <w:color w:val="000000"/>
                <w:sz w:val="20"/>
                <w:szCs w:val="20"/>
                <w:lang w:eastAsia="es-ES"/>
              </w:rPr>
            </w:pPr>
          </w:p>
        </w:tc>
        <w:tc>
          <w:tcPr>
            <w:tcW w:w="567" w:type="dxa"/>
            <w:vMerge w:val="restart"/>
            <w:tcBorders>
              <w:top w:val="nil"/>
              <w:left w:val="nil"/>
              <w:bottom w:val="nil"/>
              <w:right w:val="nil"/>
            </w:tcBorders>
            <w:shd w:val="clear" w:color="auto" w:fill="auto"/>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2013</w:t>
            </w:r>
          </w:p>
        </w:tc>
        <w:tc>
          <w:tcPr>
            <w:tcW w:w="1273" w:type="dxa"/>
            <w:tcBorders>
              <w:top w:val="nil"/>
              <w:left w:val="nil"/>
              <w:bottom w:val="nil"/>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Depto. Quindío</w:t>
            </w:r>
          </w:p>
        </w:tc>
        <w:tc>
          <w:tcPr>
            <w:tcW w:w="1894"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44,5</w:t>
            </w:r>
          </w:p>
        </w:tc>
        <w:tc>
          <w:tcPr>
            <w:tcW w:w="1063"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10,2</w:t>
            </w:r>
          </w:p>
        </w:tc>
        <w:tc>
          <w:tcPr>
            <w:tcW w:w="601"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53%</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34%</w:t>
            </w:r>
          </w:p>
        </w:tc>
        <w:tc>
          <w:tcPr>
            <w:tcW w:w="442"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7%</w:t>
            </w:r>
          </w:p>
        </w:tc>
        <w:tc>
          <w:tcPr>
            <w:tcW w:w="61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w:t>
            </w:r>
          </w:p>
        </w:tc>
        <w:tc>
          <w:tcPr>
            <w:tcW w:w="568" w:type="dxa"/>
            <w:tcBorders>
              <w:top w:val="nil"/>
              <w:left w:val="nil"/>
              <w:bottom w:val="nil"/>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w:t>
            </w:r>
          </w:p>
        </w:tc>
      </w:tr>
      <w:tr w:rsidR="00C22A42" w:rsidRPr="006B5D89" w:rsidTr="007E4A31">
        <w:trPr>
          <w:trHeight w:val="333"/>
        </w:trPr>
        <w:tc>
          <w:tcPr>
            <w:tcW w:w="1084" w:type="dxa"/>
            <w:vMerge/>
            <w:tcBorders>
              <w:top w:val="nil"/>
              <w:left w:val="nil"/>
              <w:bottom w:val="single" w:sz="4" w:space="0" w:color="auto"/>
              <w:right w:val="nil"/>
            </w:tcBorders>
            <w:vAlign w:val="center"/>
            <w:hideMark/>
          </w:tcPr>
          <w:p w:rsidR="00C22A42" w:rsidRPr="006B5D89" w:rsidRDefault="00C22A42" w:rsidP="003D5F04">
            <w:pPr>
              <w:rPr>
                <w:b/>
                <w:bCs/>
                <w:i/>
                <w:iCs/>
                <w:color w:val="000000"/>
                <w:sz w:val="20"/>
                <w:szCs w:val="20"/>
                <w:lang w:eastAsia="es-ES"/>
              </w:rPr>
            </w:pPr>
          </w:p>
        </w:tc>
        <w:tc>
          <w:tcPr>
            <w:tcW w:w="567" w:type="dxa"/>
            <w:vMerge/>
            <w:tcBorders>
              <w:top w:val="nil"/>
              <w:left w:val="nil"/>
              <w:bottom w:val="single" w:sz="4" w:space="0" w:color="auto"/>
              <w:right w:val="nil"/>
            </w:tcBorders>
            <w:vAlign w:val="center"/>
            <w:hideMark/>
          </w:tcPr>
          <w:p w:rsidR="00C22A42" w:rsidRPr="006B5D89" w:rsidRDefault="00C22A42" w:rsidP="003D5F04">
            <w:pPr>
              <w:rPr>
                <w:color w:val="000000"/>
                <w:sz w:val="20"/>
                <w:szCs w:val="20"/>
                <w:lang w:eastAsia="es-ES"/>
              </w:rPr>
            </w:pPr>
          </w:p>
        </w:tc>
        <w:tc>
          <w:tcPr>
            <w:tcW w:w="1273" w:type="dxa"/>
            <w:tcBorders>
              <w:top w:val="nil"/>
              <w:left w:val="nil"/>
              <w:bottom w:val="single" w:sz="4" w:space="0" w:color="auto"/>
              <w:right w:val="nil"/>
            </w:tcBorders>
            <w:shd w:val="clear" w:color="auto" w:fill="auto"/>
            <w:vAlign w:val="center"/>
            <w:hideMark/>
          </w:tcPr>
          <w:p w:rsidR="00C22A42" w:rsidRPr="006B5D89" w:rsidRDefault="00C22A42" w:rsidP="003D5F04">
            <w:pPr>
              <w:rPr>
                <w:color w:val="000000"/>
                <w:sz w:val="20"/>
                <w:szCs w:val="20"/>
                <w:lang w:eastAsia="es-ES"/>
              </w:rPr>
            </w:pPr>
            <w:r w:rsidRPr="006B5D89">
              <w:rPr>
                <w:color w:val="000000"/>
                <w:sz w:val="20"/>
                <w:szCs w:val="20"/>
                <w:lang w:eastAsia="es-ES"/>
              </w:rPr>
              <w:t>Colombia</w:t>
            </w:r>
          </w:p>
        </w:tc>
        <w:tc>
          <w:tcPr>
            <w:tcW w:w="1894" w:type="dxa"/>
            <w:tcBorders>
              <w:top w:val="nil"/>
              <w:left w:val="nil"/>
              <w:bottom w:val="single" w:sz="4" w:space="0" w:color="auto"/>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44,6</w:t>
            </w:r>
          </w:p>
        </w:tc>
        <w:tc>
          <w:tcPr>
            <w:tcW w:w="1063" w:type="dxa"/>
            <w:tcBorders>
              <w:top w:val="nil"/>
              <w:left w:val="nil"/>
              <w:bottom w:val="single" w:sz="4" w:space="0" w:color="auto"/>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11,1</w:t>
            </w:r>
          </w:p>
        </w:tc>
        <w:tc>
          <w:tcPr>
            <w:tcW w:w="601" w:type="dxa"/>
            <w:tcBorders>
              <w:top w:val="nil"/>
              <w:left w:val="nil"/>
              <w:bottom w:val="single" w:sz="4" w:space="0" w:color="auto"/>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54%</w:t>
            </w:r>
          </w:p>
        </w:tc>
        <w:tc>
          <w:tcPr>
            <w:tcW w:w="618" w:type="dxa"/>
            <w:tcBorders>
              <w:top w:val="nil"/>
              <w:left w:val="nil"/>
              <w:bottom w:val="single" w:sz="4" w:space="0" w:color="auto"/>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33%</w:t>
            </w:r>
          </w:p>
        </w:tc>
        <w:tc>
          <w:tcPr>
            <w:tcW w:w="442" w:type="dxa"/>
            <w:tcBorders>
              <w:top w:val="nil"/>
              <w:left w:val="nil"/>
              <w:bottom w:val="single" w:sz="4" w:space="0" w:color="auto"/>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7%</w:t>
            </w:r>
          </w:p>
        </w:tc>
        <w:tc>
          <w:tcPr>
            <w:tcW w:w="618" w:type="dxa"/>
            <w:tcBorders>
              <w:top w:val="nil"/>
              <w:left w:val="nil"/>
              <w:bottom w:val="single" w:sz="4" w:space="0" w:color="auto"/>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4%</w:t>
            </w:r>
          </w:p>
        </w:tc>
        <w:tc>
          <w:tcPr>
            <w:tcW w:w="568" w:type="dxa"/>
            <w:tcBorders>
              <w:top w:val="nil"/>
              <w:left w:val="nil"/>
              <w:bottom w:val="single" w:sz="4" w:space="0" w:color="auto"/>
              <w:right w:val="nil"/>
            </w:tcBorders>
            <w:shd w:val="clear" w:color="auto" w:fill="auto"/>
            <w:noWrap/>
            <w:vAlign w:val="center"/>
            <w:hideMark/>
          </w:tcPr>
          <w:p w:rsidR="00C22A42" w:rsidRPr="006B5D89" w:rsidRDefault="00C22A42" w:rsidP="003D5F04">
            <w:pPr>
              <w:jc w:val="center"/>
              <w:rPr>
                <w:color w:val="000000"/>
                <w:sz w:val="20"/>
                <w:szCs w:val="20"/>
                <w:lang w:eastAsia="es-ES"/>
              </w:rPr>
            </w:pPr>
            <w:r w:rsidRPr="006B5D89">
              <w:rPr>
                <w:color w:val="000000"/>
                <w:sz w:val="20"/>
                <w:szCs w:val="20"/>
                <w:lang w:eastAsia="es-ES"/>
              </w:rPr>
              <w:t>2%</w:t>
            </w:r>
          </w:p>
        </w:tc>
      </w:tr>
      <w:tr w:rsidR="00C22A42" w:rsidRPr="00E97784" w:rsidTr="007E4A31">
        <w:trPr>
          <w:trHeight w:val="278"/>
        </w:trPr>
        <w:tc>
          <w:tcPr>
            <w:tcW w:w="4818" w:type="dxa"/>
            <w:gridSpan w:val="4"/>
            <w:tcBorders>
              <w:top w:val="single" w:sz="4" w:space="0" w:color="auto"/>
              <w:left w:val="nil"/>
              <w:right w:val="nil"/>
            </w:tcBorders>
            <w:shd w:val="clear" w:color="auto" w:fill="auto"/>
            <w:noWrap/>
            <w:vAlign w:val="bottom"/>
            <w:hideMark/>
          </w:tcPr>
          <w:p w:rsidR="00C22A42" w:rsidRPr="00E97784" w:rsidRDefault="00C22A42" w:rsidP="003D5F04">
            <w:pPr>
              <w:rPr>
                <w:color w:val="000000"/>
                <w:sz w:val="20"/>
                <w:szCs w:val="20"/>
                <w:lang w:eastAsia="es-ES"/>
              </w:rPr>
            </w:pPr>
            <w:r w:rsidRPr="001E0B4D">
              <w:rPr>
                <w:color w:val="000000"/>
                <w:sz w:val="16"/>
                <w:szCs w:val="20"/>
                <w:lang w:eastAsia="es-ES"/>
              </w:rPr>
              <w:t>Fuente: Ministerio de Educación.</w:t>
            </w:r>
          </w:p>
        </w:tc>
        <w:tc>
          <w:tcPr>
            <w:tcW w:w="1063" w:type="dxa"/>
            <w:tcBorders>
              <w:top w:val="single" w:sz="4" w:space="0" w:color="auto"/>
              <w:left w:val="nil"/>
              <w:right w:val="nil"/>
            </w:tcBorders>
            <w:shd w:val="clear" w:color="auto" w:fill="auto"/>
            <w:noWrap/>
            <w:vAlign w:val="bottom"/>
            <w:hideMark/>
          </w:tcPr>
          <w:p w:rsidR="00C22A42" w:rsidRPr="00E97784" w:rsidRDefault="00C22A42" w:rsidP="003D5F04">
            <w:pPr>
              <w:rPr>
                <w:color w:val="000000"/>
                <w:sz w:val="20"/>
                <w:szCs w:val="20"/>
                <w:lang w:eastAsia="es-ES"/>
              </w:rPr>
            </w:pPr>
            <w:r w:rsidRPr="00E97784">
              <w:rPr>
                <w:color w:val="000000"/>
                <w:sz w:val="20"/>
                <w:szCs w:val="20"/>
                <w:lang w:eastAsia="es-ES"/>
              </w:rPr>
              <w:t> </w:t>
            </w:r>
          </w:p>
        </w:tc>
        <w:tc>
          <w:tcPr>
            <w:tcW w:w="601" w:type="dxa"/>
            <w:tcBorders>
              <w:top w:val="single" w:sz="4" w:space="0" w:color="auto"/>
              <w:left w:val="nil"/>
              <w:right w:val="nil"/>
            </w:tcBorders>
            <w:shd w:val="clear" w:color="auto" w:fill="auto"/>
            <w:noWrap/>
            <w:vAlign w:val="bottom"/>
            <w:hideMark/>
          </w:tcPr>
          <w:p w:rsidR="00C22A42" w:rsidRPr="00E97784" w:rsidRDefault="00C22A42" w:rsidP="003D5F04">
            <w:pPr>
              <w:rPr>
                <w:color w:val="000000"/>
                <w:sz w:val="20"/>
                <w:szCs w:val="20"/>
                <w:lang w:eastAsia="es-ES"/>
              </w:rPr>
            </w:pPr>
            <w:r w:rsidRPr="00E97784">
              <w:rPr>
                <w:color w:val="000000"/>
                <w:sz w:val="20"/>
                <w:szCs w:val="20"/>
                <w:lang w:eastAsia="es-ES"/>
              </w:rPr>
              <w:t> </w:t>
            </w:r>
          </w:p>
        </w:tc>
        <w:tc>
          <w:tcPr>
            <w:tcW w:w="618" w:type="dxa"/>
            <w:tcBorders>
              <w:top w:val="single" w:sz="4" w:space="0" w:color="auto"/>
              <w:left w:val="nil"/>
              <w:right w:val="nil"/>
            </w:tcBorders>
            <w:shd w:val="clear" w:color="auto" w:fill="auto"/>
            <w:noWrap/>
            <w:vAlign w:val="bottom"/>
            <w:hideMark/>
          </w:tcPr>
          <w:p w:rsidR="00C22A42" w:rsidRPr="00E97784" w:rsidRDefault="00C22A42" w:rsidP="003D5F04">
            <w:pPr>
              <w:rPr>
                <w:color w:val="000000"/>
                <w:sz w:val="20"/>
                <w:szCs w:val="20"/>
                <w:lang w:eastAsia="es-ES"/>
              </w:rPr>
            </w:pPr>
            <w:r w:rsidRPr="00E97784">
              <w:rPr>
                <w:color w:val="000000"/>
                <w:sz w:val="20"/>
                <w:szCs w:val="20"/>
                <w:lang w:eastAsia="es-ES"/>
              </w:rPr>
              <w:t> </w:t>
            </w:r>
          </w:p>
        </w:tc>
        <w:tc>
          <w:tcPr>
            <w:tcW w:w="442" w:type="dxa"/>
            <w:tcBorders>
              <w:top w:val="single" w:sz="4" w:space="0" w:color="auto"/>
              <w:left w:val="nil"/>
              <w:right w:val="nil"/>
            </w:tcBorders>
            <w:shd w:val="clear" w:color="auto" w:fill="auto"/>
            <w:noWrap/>
            <w:vAlign w:val="bottom"/>
            <w:hideMark/>
          </w:tcPr>
          <w:p w:rsidR="00C22A42" w:rsidRPr="00E97784" w:rsidRDefault="00C22A42" w:rsidP="003D5F04">
            <w:pPr>
              <w:rPr>
                <w:color w:val="000000"/>
                <w:sz w:val="20"/>
                <w:szCs w:val="20"/>
                <w:lang w:eastAsia="es-ES"/>
              </w:rPr>
            </w:pPr>
            <w:r w:rsidRPr="00E97784">
              <w:rPr>
                <w:color w:val="000000"/>
                <w:sz w:val="20"/>
                <w:szCs w:val="20"/>
                <w:lang w:eastAsia="es-ES"/>
              </w:rPr>
              <w:t> </w:t>
            </w:r>
          </w:p>
        </w:tc>
        <w:tc>
          <w:tcPr>
            <w:tcW w:w="618" w:type="dxa"/>
            <w:tcBorders>
              <w:top w:val="single" w:sz="4" w:space="0" w:color="auto"/>
              <w:left w:val="nil"/>
              <w:right w:val="nil"/>
            </w:tcBorders>
            <w:shd w:val="clear" w:color="auto" w:fill="auto"/>
            <w:noWrap/>
            <w:vAlign w:val="bottom"/>
            <w:hideMark/>
          </w:tcPr>
          <w:p w:rsidR="00C22A42" w:rsidRPr="00E97784" w:rsidRDefault="00C22A42" w:rsidP="003D5F04">
            <w:pPr>
              <w:rPr>
                <w:color w:val="000000"/>
                <w:sz w:val="20"/>
                <w:szCs w:val="20"/>
                <w:lang w:eastAsia="es-ES"/>
              </w:rPr>
            </w:pPr>
            <w:r w:rsidRPr="00E97784">
              <w:rPr>
                <w:color w:val="000000"/>
                <w:sz w:val="20"/>
                <w:szCs w:val="20"/>
                <w:lang w:eastAsia="es-ES"/>
              </w:rPr>
              <w:t> </w:t>
            </w:r>
          </w:p>
        </w:tc>
        <w:tc>
          <w:tcPr>
            <w:tcW w:w="568" w:type="dxa"/>
            <w:tcBorders>
              <w:top w:val="single" w:sz="4" w:space="0" w:color="auto"/>
              <w:left w:val="nil"/>
              <w:right w:val="nil"/>
            </w:tcBorders>
            <w:shd w:val="clear" w:color="auto" w:fill="auto"/>
            <w:noWrap/>
            <w:vAlign w:val="bottom"/>
            <w:hideMark/>
          </w:tcPr>
          <w:p w:rsidR="00C22A42" w:rsidRPr="00E97784" w:rsidRDefault="00C22A42" w:rsidP="003D5F04">
            <w:pPr>
              <w:rPr>
                <w:color w:val="000000"/>
                <w:sz w:val="20"/>
                <w:szCs w:val="20"/>
                <w:lang w:eastAsia="es-ES"/>
              </w:rPr>
            </w:pPr>
            <w:r w:rsidRPr="00E97784">
              <w:rPr>
                <w:color w:val="000000"/>
                <w:sz w:val="20"/>
                <w:szCs w:val="20"/>
                <w:lang w:eastAsia="es-ES"/>
              </w:rPr>
              <w:t> </w:t>
            </w:r>
          </w:p>
        </w:tc>
      </w:tr>
    </w:tbl>
    <w:p w:rsidR="00C22A42" w:rsidRDefault="00C22A42" w:rsidP="00C22A42"/>
    <w:p w:rsidR="007E4A31" w:rsidRDefault="007E4A31" w:rsidP="009C4B54">
      <w:pPr>
        <w:spacing w:line="360" w:lineRule="auto"/>
        <w:ind w:firstLine="284"/>
        <w:jc w:val="both"/>
      </w:pPr>
    </w:p>
    <w:p w:rsidR="00C22A42" w:rsidRDefault="00C22A42" w:rsidP="009C4B54">
      <w:pPr>
        <w:spacing w:line="360" w:lineRule="auto"/>
        <w:ind w:firstLine="284"/>
        <w:jc w:val="both"/>
      </w:pPr>
      <w:r>
        <w:t>En las pruebas de inglés practicadas a los estudiantes de grado 11º en el Departamento</w:t>
      </w:r>
      <w:r w:rsidRPr="00766DEA">
        <w:t xml:space="preserve"> del Quindío, </w:t>
      </w:r>
      <w:r>
        <w:t>se evidenció un conocimiento en los estudiantes del Quindío, muy similar a los estudiantes de la media nacional.</w:t>
      </w:r>
      <w:r w:rsidRPr="00766DEA">
        <w:t xml:space="preserve">  Con relación  a los niveles de desempeño  en el área de inglés en el 2013, el territorio presenta  un porcentaje similar (53%) de estudiantes que no alcanzaron el nivel  básico en comparación con el país (54%).  En el nivel básico A1, se ubica en un 34%, este porcentaje es muy similar al nacional el cual es de 33%.  Igualmente, el nivel A2 (7%), B1 (4%), B + (1%)  presentan porcentajes iguales al promedio nacional.</w:t>
      </w:r>
    </w:p>
    <w:p w:rsidR="00C22A42" w:rsidRPr="00766DEA" w:rsidRDefault="006379C3" w:rsidP="00C22A42">
      <w:pPr>
        <w:spacing w:line="360" w:lineRule="auto"/>
        <w:jc w:val="both"/>
      </w:pPr>
      <w:r>
        <w:rPr>
          <w:noProof/>
          <w:sz w:val="42"/>
          <w:szCs w:val="42"/>
        </w:rPr>
        <w:lastRenderedPageBreak/>
        <w:drawing>
          <wp:anchor distT="0" distB="0" distL="114300" distR="114300" simplePos="0" relativeHeight="251699200" behindDoc="0" locked="0" layoutInCell="1" allowOverlap="1" wp14:anchorId="5DEDB0C4" wp14:editId="02A33017">
            <wp:simplePos x="0" y="0"/>
            <wp:positionH relativeFrom="column">
              <wp:posOffset>-1080135</wp:posOffset>
            </wp:positionH>
            <wp:positionV relativeFrom="paragraph">
              <wp:posOffset>-1080135</wp:posOffset>
            </wp:positionV>
            <wp:extent cx="7772400" cy="10065385"/>
            <wp:effectExtent l="0" t="0" r="0" b="0"/>
            <wp:wrapNone/>
            <wp:docPr id="37" name="Imagen 37" descr="C:\Users\AUXPLANEACION08\Desktop\INFORME FINAL\DISEÑO\3.  Servicios Púb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UXPLANEACION08\Desktop\INFORME FINAL\DISEÑO\3.  Servicios Público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72400" cy="1006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A42" w:rsidRDefault="00C22A42" w:rsidP="00C22A42">
      <w:pPr>
        <w:spacing w:line="360" w:lineRule="auto"/>
        <w:rPr>
          <w:sz w:val="42"/>
          <w:szCs w:val="42"/>
        </w:rPr>
      </w:pPr>
    </w:p>
    <w:p w:rsidR="00041E90" w:rsidRDefault="00041E90" w:rsidP="00041E90">
      <w:pPr>
        <w:rPr>
          <w:lang w:val="es-ES"/>
        </w:rPr>
      </w:pPr>
    </w:p>
    <w:p w:rsidR="004561B8" w:rsidRDefault="004561B8" w:rsidP="00041E90">
      <w:pPr>
        <w:rPr>
          <w:lang w:val="es-ES"/>
        </w:rPr>
      </w:pPr>
    </w:p>
    <w:p w:rsidR="00682E2F" w:rsidRDefault="00682E2F" w:rsidP="00041E90">
      <w:pPr>
        <w:rPr>
          <w:lang w:val="es-ES"/>
        </w:rPr>
      </w:pPr>
    </w:p>
    <w:p w:rsidR="00682E2F" w:rsidRDefault="00682E2F" w:rsidP="00041E90">
      <w:pPr>
        <w:rPr>
          <w:lang w:val="es-ES"/>
        </w:rPr>
      </w:pPr>
    </w:p>
    <w:p w:rsidR="00682E2F" w:rsidRDefault="00682E2F" w:rsidP="00041E90">
      <w:pPr>
        <w:rPr>
          <w:lang w:val="es-ES"/>
        </w:rPr>
      </w:pPr>
    </w:p>
    <w:p w:rsidR="00682E2F" w:rsidRDefault="00682E2F" w:rsidP="00041E90">
      <w:pPr>
        <w:rPr>
          <w:lang w:val="es-ES"/>
        </w:rPr>
      </w:pPr>
    </w:p>
    <w:p w:rsidR="00682E2F" w:rsidRDefault="00682E2F" w:rsidP="00041E90">
      <w:pPr>
        <w:rPr>
          <w:lang w:val="es-ES"/>
        </w:rPr>
      </w:pPr>
    </w:p>
    <w:p w:rsidR="00682E2F" w:rsidRDefault="00682E2F" w:rsidP="00041E90">
      <w:pPr>
        <w:rPr>
          <w:lang w:val="es-ES"/>
        </w:rPr>
      </w:pPr>
    </w:p>
    <w:p w:rsidR="00682E2F" w:rsidRDefault="00682E2F" w:rsidP="00041E90">
      <w:pPr>
        <w:rPr>
          <w:lang w:val="es-ES"/>
        </w:rPr>
      </w:pPr>
    </w:p>
    <w:p w:rsidR="00682E2F" w:rsidRDefault="00682E2F" w:rsidP="00041E90">
      <w:pPr>
        <w:rPr>
          <w:lang w:val="es-ES"/>
        </w:rPr>
      </w:pPr>
    </w:p>
    <w:p w:rsidR="0046724C" w:rsidRDefault="0046724C" w:rsidP="00041E90">
      <w:pPr>
        <w:rPr>
          <w:lang w:val="es-ES"/>
        </w:rPr>
      </w:pPr>
    </w:p>
    <w:p w:rsidR="00682E2F" w:rsidRDefault="00682E2F" w:rsidP="00041E90">
      <w:pPr>
        <w:rPr>
          <w:lang w:val="es-ES"/>
        </w:rPr>
      </w:pPr>
    </w:p>
    <w:p w:rsidR="00682E2F" w:rsidRDefault="00682E2F" w:rsidP="00041E90">
      <w:pPr>
        <w:rPr>
          <w:lang w:val="es-ES"/>
        </w:rPr>
      </w:pPr>
    </w:p>
    <w:p w:rsidR="00682E2F" w:rsidRDefault="00682E2F" w:rsidP="00041E90">
      <w:pPr>
        <w:rPr>
          <w:lang w:val="es-ES"/>
        </w:rPr>
      </w:pPr>
    </w:p>
    <w:p w:rsidR="00682E2F" w:rsidRPr="00682E2F" w:rsidRDefault="00682E2F" w:rsidP="00682E2F">
      <w:pPr>
        <w:pStyle w:val="Ttulo1"/>
        <w:ind w:left="1416"/>
        <w:rPr>
          <w:rFonts w:ascii="Times New Roman" w:hAnsi="Times New Roman"/>
        </w:rPr>
      </w:pPr>
      <w:bookmarkStart w:id="28" w:name="_Toc406754295"/>
      <w:r w:rsidRPr="00682E2F">
        <w:rPr>
          <w:rFonts w:ascii="Times New Roman" w:hAnsi="Times New Roman"/>
        </w:rPr>
        <w:t>3.  Servicios Públicos</w:t>
      </w:r>
      <w:bookmarkEnd w:id="28"/>
    </w:p>
    <w:p w:rsidR="004561B8" w:rsidRDefault="004561B8" w:rsidP="00041E90">
      <w:pPr>
        <w:rPr>
          <w:lang w:val="es-ES"/>
        </w:rPr>
      </w:pPr>
    </w:p>
    <w:p w:rsidR="004561B8" w:rsidRDefault="004561B8" w:rsidP="00041E90">
      <w:pPr>
        <w:rPr>
          <w:lang w:val="es-ES"/>
        </w:rPr>
      </w:pPr>
    </w:p>
    <w:p w:rsidR="004561B8" w:rsidRDefault="004561B8" w:rsidP="00041E90">
      <w:pPr>
        <w:rPr>
          <w:lang w:val="es-ES"/>
        </w:rPr>
      </w:pPr>
    </w:p>
    <w:p w:rsidR="004561B8" w:rsidRDefault="004561B8" w:rsidP="00041E90">
      <w:pPr>
        <w:rPr>
          <w:lang w:val="es-ES"/>
        </w:rPr>
      </w:pPr>
    </w:p>
    <w:p w:rsidR="004561B8" w:rsidRDefault="004561B8" w:rsidP="00041E90">
      <w:pPr>
        <w:rPr>
          <w:lang w:val="es-ES"/>
        </w:rPr>
      </w:pPr>
    </w:p>
    <w:p w:rsidR="004561B8" w:rsidRDefault="004561B8" w:rsidP="00041E90">
      <w:pPr>
        <w:rPr>
          <w:lang w:val="es-ES"/>
        </w:rPr>
      </w:pPr>
    </w:p>
    <w:p w:rsidR="004561B8" w:rsidRDefault="004561B8" w:rsidP="00041E90">
      <w:pPr>
        <w:rPr>
          <w:lang w:val="es-ES"/>
        </w:rPr>
      </w:pPr>
    </w:p>
    <w:p w:rsidR="004561B8" w:rsidRDefault="004561B8" w:rsidP="00041E90">
      <w:pPr>
        <w:rPr>
          <w:lang w:val="es-ES"/>
        </w:rPr>
      </w:pPr>
    </w:p>
    <w:p w:rsidR="004561B8" w:rsidRDefault="004561B8"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C42817" w:rsidRDefault="00C42817" w:rsidP="00041E90">
      <w:pPr>
        <w:rPr>
          <w:lang w:val="es-ES"/>
        </w:rPr>
      </w:pPr>
    </w:p>
    <w:p w:rsidR="00EA3F6B" w:rsidRPr="002279C3" w:rsidRDefault="00EA3F6B" w:rsidP="00EA3F6B">
      <w:pPr>
        <w:spacing w:line="360" w:lineRule="auto"/>
        <w:ind w:firstLine="284"/>
        <w:jc w:val="both"/>
      </w:pPr>
      <w:r w:rsidRPr="002279C3">
        <w:lastRenderedPageBreak/>
        <w:t xml:space="preserve">Colombia cuenta con un buen modelo de servicios públicos y de comunicaciones, el cual se consolida como un referente en un entorno internacional. A nivel del </w:t>
      </w:r>
      <w:r>
        <w:t>Departamental</w:t>
      </w:r>
      <w:r w:rsidRPr="002279C3">
        <w:t>, de estos servicio</w:t>
      </w:r>
      <w:r>
        <w:t>s,</w:t>
      </w:r>
      <w:r w:rsidRPr="002279C3">
        <w:t xml:space="preserve"> se destaca el </w:t>
      </w:r>
      <w:r w:rsidR="00D07068">
        <w:t>servicio y cobertura del sector eléctrico;</w:t>
      </w:r>
      <w:r>
        <w:t xml:space="preserve"> </w:t>
      </w:r>
      <w:r w:rsidR="00D07068">
        <w:t xml:space="preserve"> a</w:t>
      </w:r>
      <w:r>
        <w:t xml:space="preserve">sí mismo, </w:t>
      </w:r>
      <w:r w:rsidRPr="002279C3">
        <w:t xml:space="preserve"> el</w:t>
      </w:r>
      <w:r>
        <w:t xml:space="preserve"> servicio del </w:t>
      </w:r>
      <w:r w:rsidRPr="002279C3">
        <w:t>Ga</w:t>
      </w:r>
      <w:r>
        <w:t>s domiciliario</w:t>
      </w:r>
      <w:r w:rsidRPr="002279C3">
        <w:t xml:space="preserve"> </w:t>
      </w:r>
      <w:r w:rsidR="00D07068">
        <w:t>c</w:t>
      </w:r>
      <w:r w:rsidRPr="002279C3">
        <w:t>on la puesta en marcha de mejores condiciones para su transporte</w:t>
      </w:r>
      <w:r w:rsidR="00D07068">
        <w:t>,</w:t>
      </w:r>
      <w:r w:rsidRPr="002279C3">
        <w:t xml:space="preserve"> ha permitido tener mayor garantía de suministro, esto se refleja el gran porcentaje de viviendas que cuentan con el Servicio en sus hogares.</w:t>
      </w:r>
    </w:p>
    <w:p w:rsidR="00EA3F6B" w:rsidRPr="002279C3" w:rsidRDefault="00EA3F6B" w:rsidP="00EA3F6B">
      <w:pPr>
        <w:spacing w:line="360" w:lineRule="auto"/>
        <w:jc w:val="both"/>
      </w:pPr>
    </w:p>
    <w:p w:rsidR="00EA3F6B" w:rsidRPr="002279C3" w:rsidRDefault="00EA3F6B" w:rsidP="00EA3F6B">
      <w:pPr>
        <w:spacing w:line="360" w:lineRule="auto"/>
        <w:jc w:val="both"/>
      </w:pPr>
      <w:r w:rsidRPr="002279C3">
        <w:t xml:space="preserve">     El sector de acueducto, alcantarillado y aseo en Colombia, está reglamentado por la Constitución Política de </w:t>
      </w:r>
      <w:r w:rsidR="00F939D7">
        <w:t>1991, la Ley 142 de 1994  y el D</w:t>
      </w:r>
      <w:r w:rsidRPr="002279C3">
        <w:t xml:space="preserve">ecreto 1713 de 2002 quien hace referencia a la prestación de servicios de aseo. No obstante, el Gobierno Nacional </w:t>
      </w:r>
      <w:r>
        <w:t xml:space="preserve">verificó la necesidad de </w:t>
      </w:r>
      <w:r w:rsidRPr="002279C3">
        <w:t xml:space="preserve">brindar un apoyo adicional a los municipios con el fin de </w:t>
      </w:r>
      <w:r>
        <w:t xml:space="preserve">permitir que los mismos pudieran </w:t>
      </w:r>
      <w:r w:rsidRPr="002279C3">
        <w:t xml:space="preserve"> dar cabal cumplimiento a las</w:t>
      </w:r>
      <w:r w:rsidR="00F939D7">
        <w:t xml:space="preserve"> obligaciones impuestas por la L</w:t>
      </w:r>
      <w:r w:rsidRPr="002279C3">
        <w:t>ey, razón por la cual el Ministerio de Desarrollo Económico en conjunto con el Departamento Nacional de Planeación, pusieron en marcha el Programa de Modernización Empresarial – PME (año 1998).</w:t>
      </w:r>
      <w:r w:rsidR="00C820B2">
        <w:t xml:space="preserve"> </w:t>
      </w:r>
      <w:r>
        <w:t>(PAP-PDA Quindío, 2014).</w:t>
      </w:r>
      <w:r w:rsidRPr="002279C3">
        <w:rPr>
          <w:rStyle w:val="Refdenotaalpie"/>
          <w:b/>
        </w:rPr>
        <w:footnoteReference w:id="20"/>
      </w:r>
    </w:p>
    <w:p w:rsidR="00EA3F6B" w:rsidRPr="002279C3" w:rsidRDefault="00EA3F6B" w:rsidP="00EA3F6B">
      <w:pPr>
        <w:spacing w:line="360" w:lineRule="auto"/>
        <w:jc w:val="both"/>
      </w:pPr>
    </w:p>
    <w:p w:rsidR="00EA3F6B" w:rsidRPr="002279C3" w:rsidRDefault="00EA3F6B" w:rsidP="004612A0">
      <w:pPr>
        <w:tabs>
          <w:tab w:val="left" w:pos="1260"/>
        </w:tabs>
        <w:spacing w:line="360" w:lineRule="auto"/>
        <w:ind w:firstLine="284"/>
        <w:jc w:val="both"/>
      </w:pPr>
      <w:r w:rsidRPr="002279C3">
        <w:t>En desarrollo de esta iniciat</w:t>
      </w:r>
      <w:r w:rsidR="004612A0">
        <w:t>iva, el Gobierno Nacional brindó</w:t>
      </w:r>
      <w:r w:rsidRPr="002279C3">
        <w:t xml:space="preserve"> apoyo, asistencia técnica y recursos para la financiación de planes de obras e inversiones integrales</w:t>
      </w:r>
      <w:r w:rsidR="004612A0">
        <w:t>,</w:t>
      </w:r>
      <w:r w:rsidRPr="002279C3">
        <w:t xml:space="preserve"> así como la estructuración técnica, legal y financiera de esquemas de prestación de los servicios públicos domiciliarios. A su turno, los municipios comprometieron los recursos del Sistema General de Participaciones destinados a agua potable y saneamiento básico tanto al desarrollo del plan de inversiones como al otorgamiento de subsidios a la demanda. </w:t>
      </w:r>
    </w:p>
    <w:p w:rsidR="00EA3F6B" w:rsidRPr="002279C3" w:rsidRDefault="00EA3F6B" w:rsidP="00EA3F6B">
      <w:pPr>
        <w:tabs>
          <w:tab w:val="left" w:pos="1260"/>
        </w:tabs>
        <w:spacing w:line="360" w:lineRule="auto"/>
        <w:jc w:val="both"/>
      </w:pPr>
    </w:p>
    <w:p w:rsidR="00EA3F6B" w:rsidRPr="002279C3" w:rsidRDefault="00EA3F6B" w:rsidP="004612A0">
      <w:pPr>
        <w:tabs>
          <w:tab w:val="left" w:pos="1260"/>
        </w:tabs>
        <w:spacing w:line="360" w:lineRule="auto"/>
        <w:ind w:firstLine="284"/>
        <w:jc w:val="both"/>
      </w:pPr>
      <w:r w:rsidRPr="002279C3">
        <w:t>De la conjunción de estos esfuerzos ha resultado la vinculación de un operador especializado, vehículo para permitir al municipio atender su obligación de garantizar la prestación de los servicios de agua potable y saneamiento básico.</w:t>
      </w:r>
      <w:r w:rsidRPr="00C5620A">
        <w:t xml:space="preserve"> </w:t>
      </w:r>
      <w:r>
        <w:t>(PAP-PDA Quindío, 2014).</w:t>
      </w:r>
      <w:r w:rsidRPr="002279C3">
        <w:rPr>
          <w:rStyle w:val="Refdenotaalpie"/>
        </w:rPr>
        <w:footnoteReference w:id="21"/>
      </w:r>
      <w:r w:rsidRPr="002279C3">
        <w:t xml:space="preserve"> </w:t>
      </w:r>
    </w:p>
    <w:p w:rsidR="00EA3F6B" w:rsidRPr="002279C3" w:rsidRDefault="00EA3F6B" w:rsidP="00EA3F6B">
      <w:pPr>
        <w:tabs>
          <w:tab w:val="left" w:pos="1260"/>
        </w:tabs>
        <w:spacing w:line="360" w:lineRule="auto"/>
        <w:jc w:val="both"/>
      </w:pPr>
    </w:p>
    <w:p w:rsidR="00EA3F6B" w:rsidRPr="002279C3" w:rsidRDefault="00EA3F6B" w:rsidP="00EA3F6B">
      <w:pPr>
        <w:tabs>
          <w:tab w:val="left" w:pos="1260"/>
        </w:tabs>
        <w:spacing w:line="360" w:lineRule="auto"/>
        <w:jc w:val="both"/>
      </w:pPr>
      <w:r w:rsidRPr="002279C3">
        <w:lastRenderedPageBreak/>
        <w:t xml:space="preserve">     Por esta razón el Gobierno Nacional consideró que era necesario diseñar una nueva estructura de </w:t>
      </w:r>
      <w:r w:rsidR="00541A4F" w:rsidRPr="00541A4F">
        <w:rPr>
          <w:i/>
        </w:rPr>
        <w:t>apoyo a la gestión municipal</w:t>
      </w:r>
      <w:r w:rsidR="00541A4F" w:rsidRPr="002279C3">
        <w:t xml:space="preserve"> </w:t>
      </w:r>
      <w:r w:rsidRPr="002279C3">
        <w:t>que permitiera lograr los objetivos planteados por el PME a mayor escala, buscando alianza con los Departamentos, en desarrollo de las func</w:t>
      </w:r>
      <w:r w:rsidR="00541A4F">
        <w:t>iones que la Constitución y la L</w:t>
      </w:r>
      <w:r w:rsidRPr="002279C3">
        <w:t>ey les otorga como nivel de articulación entre los municipios y la Nación. De allí</w:t>
      </w:r>
      <w:r w:rsidR="00541A4F">
        <w:t>,</w:t>
      </w:r>
      <w:r w:rsidRPr="002279C3">
        <w:t xml:space="preserve"> surgen los Planes Departamentales para el Manejo Empresarial de los Servicios de Agu</w:t>
      </w:r>
      <w:r w:rsidR="00541A4F">
        <w:t xml:space="preserve">a Potable y Saneamiento Básico </w:t>
      </w:r>
      <w:r w:rsidRPr="002279C3">
        <w:t>PDA, siempre teniendo en cuenta que el objetivo prioritario del desarrollo de esta política es fortalecer al Municipio como responsable directo de garantizar la prestación de los servicios públicos de agua potable y saneamiento.</w:t>
      </w:r>
      <w:r w:rsidRPr="00C5620A">
        <w:t xml:space="preserve"> </w:t>
      </w:r>
      <w:r>
        <w:t>(PAP-PDA Quindío, 2014).</w:t>
      </w:r>
      <w:r w:rsidR="00541A4F">
        <w:rPr>
          <w:rStyle w:val="Refdenotaalpie"/>
        </w:rPr>
        <w:footnoteReference w:id="22"/>
      </w:r>
    </w:p>
    <w:p w:rsidR="00EA3F6B" w:rsidRPr="002279C3" w:rsidRDefault="00EA3F6B" w:rsidP="00EA3F6B">
      <w:pPr>
        <w:tabs>
          <w:tab w:val="left" w:pos="1260"/>
        </w:tabs>
        <w:spacing w:line="360" w:lineRule="auto"/>
        <w:jc w:val="both"/>
      </w:pPr>
    </w:p>
    <w:p w:rsidR="0057781E" w:rsidRDefault="00EA3F6B" w:rsidP="007E4A31">
      <w:pPr>
        <w:pStyle w:val="NormalWeb"/>
        <w:spacing w:before="0" w:beforeAutospacing="0" w:after="0" w:afterAutospacing="0" w:line="360" w:lineRule="auto"/>
        <w:ind w:firstLine="284"/>
        <w:jc w:val="both"/>
      </w:pPr>
      <w:r w:rsidRPr="002279C3">
        <w:rPr>
          <w:rFonts w:eastAsia="Arial Unicode MS"/>
        </w:rPr>
        <w:t xml:space="preserve">Con fundamento en el artículo 21 de la Ley 1450 de 2011, el Gobierno Nacional expidió el Decreto 2246 de 2012 derogatorio del Decreto 3200 de 2008, con el objeto de ajustar los Planes Departamentales para el manejo empresarial de los servicios de agua y saneamiento a partir del análisis de sus avances y desarrollo, atendiendo a las necesidades propias y teniendo en cuenta las capacidades institucionales de cada región y reformuló entro otros asuntos, el nombre del plan </w:t>
      </w:r>
      <w:r w:rsidRPr="00C5620A">
        <w:rPr>
          <w:rFonts w:eastAsia="Arial Unicode MS"/>
        </w:rPr>
        <w:t>a “Programas de Agua y Saneamiento para la Prosperidad  - Planes Departamentales para el manejo empresarial de los servicios de agua y saneamiento PAP - PDA.</w:t>
      </w:r>
      <w:r>
        <w:rPr>
          <w:rFonts w:eastAsia="Arial Unicode MS"/>
        </w:rPr>
        <w:t xml:space="preserve"> (</w:t>
      </w:r>
      <w:r>
        <w:t>MINVIVIENDA, 2014).</w:t>
      </w:r>
    </w:p>
    <w:p w:rsidR="005C3005" w:rsidRDefault="005C3005" w:rsidP="007E4A31">
      <w:pPr>
        <w:pStyle w:val="NormalWeb"/>
        <w:spacing w:before="0" w:beforeAutospacing="0" w:after="0" w:afterAutospacing="0" w:line="360" w:lineRule="auto"/>
        <w:ind w:firstLine="284"/>
        <w:jc w:val="both"/>
      </w:pPr>
    </w:p>
    <w:p w:rsidR="00EA3F6B" w:rsidRPr="008F5379" w:rsidRDefault="00EA3F6B" w:rsidP="008F5379">
      <w:pPr>
        <w:pStyle w:val="Ttulo2"/>
        <w:rPr>
          <w:rFonts w:ascii="Times New Roman" w:hAnsi="Times New Roman" w:cs="Times New Roman"/>
          <w:color w:val="auto"/>
          <w:sz w:val="30"/>
          <w:szCs w:val="30"/>
        </w:rPr>
      </w:pPr>
      <w:bookmarkStart w:id="29" w:name="_Toc406754296"/>
      <w:r w:rsidRPr="008F5379">
        <w:rPr>
          <w:rFonts w:ascii="Times New Roman" w:hAnsi="Times New Roman" w:cs="Times New Roman"/>
          <w:color w:val="auto"/>
          <w:sz w:val="30"/>
          <w:szCs w:val="30"/>
        </w:rPr>
        <w:t>3.1 Energía Eléctrica</w:t>
      </w:r>
      <w:bookmarkEnd w:id="29"/>
    </w:p>
    <w:p w:rsidR="00EA3F6B" w:rsidRDefault="00EA3F6B" w:rsidP="00EA3F6B">
      <w:pPr>
        <w:jc w:val="center"/>
        <w:rPr>
          <w:bCs/>
        </w:rPr>
      </w:pPr>
    </w:p>
    <w:p w:rsidR="005E7D1E" w:rsidRDefault="005E7D1E" w:rsidP="000612CD">
      <w:pPr>
        <w:rPr>
          <w:bCs/>
        </w:rPr>
      </w:pPr>
    </w:p>
    <w:p w:rsidR="005E7D1E" w:rsidRPr="002279C3" w:rsidRDefault="005E7D1E" w:rsidP="005E7D1E">
      <w:pPr>
        <w:spacing w:line="360" w:lineRule="auto"/>
        <w:ind w:firstLine="284"/>
        <w:jc w:val="both"/>
        <w:rPr>
          <w:b/>
          <w:lang w:val="es-ES"/>
        </w:rPr>
      </w:pPr>
      <w:r w:rsidRPr="002279C3">
        <w:rPr>
          <w:lang w:val="es-ES"/>
        </w:rPr>
        <w:t>En el Departamento del Quindío, la Empresa que presta el Servicio de Energía Eléctrica es la EDEQ (Empresa de Energía del Quindío S.A. ESP); empresa colombiana de servicios públicos, de naturaleza mixta que se rige por las Leyes 142 y 143 de 1994 y provee soluciones integrales en Distribución y Comercialización de energía eléctrica en el departamento del Quindío.</w:t>
      </w:r>
      <w:r w:rsidRPr="002279C3">
        <w:rPr>
          <w:rStyle w:val="Refdenotaalpie"/>
          <w:b/>
          <w:lang w:val="es-ES"/>
        </w:rPr>
        <w:footnoteReference w:id="23"/>
      </w:r>
    </w:p>
    <w:p w:rsidR="005E7D1E" w:rsidRPr="005E7D1E" w:rsidRDefault="005E7D1E" w:rsidP="000612CD">
      <w:pPr>
        <w:rPr>
          <w:bCs/>
          <w:lang w:val="es-ES"/>
        </w:rPr>
      </w:pPr>
    </w:p>
    <w:p w:rsidR="005E7D1E" w:rsidRDefault="005E7D1E" w:rsidP="000612CD">
      <w:pPr>
        <w:rPr>
          <w:bCs/>
        </w:rPr>
      </w:pPr>
    </w:p>
    <w:p w:rsidR="00EA3F6B" w:rsidRPr="00482833" w:rsidRDefault="00EA3F6B" w:rsidP="000612CD">
      <w:pPr>
        <w:rPr>
          <w:bCs/>
        </w:rPr>
      </w:pPr>
      <w:r w:rsidRPr="00482833">
        <w:rPr>
          <w:bCs/>
        </w:rPr>
        <w:lastRenderedPageBreak/>
        <w:t>Gráfico. 3.1</w:t>
      </w:r>
    </w:p>
    <w:p w:rsidR="00EA3F6B" w:rsidRPr="00482833" w:rsidRDefault="00EA3F6B" w:rsidP="000612CD">
      <w:pPr>
        <w:rPr>
          <w:bCs/>
        </w:rPr>
      </w:pPr>
      <w:r w:rsidRPr="00482833">
        <w:rPr>
          <w:bCs/>
        </w:rPr>
        <w:t>Cobertura del servicio de energía eléctrica</w:t>
      </w:r>
    </w:p>
    <w:p w:rsidR="00EA3F6B" w:rsidRPr="00482833" w:rsidRDefault="00EA3F6B" w:rsidP="000612CD">
      <w:pPr>
        <w:rPr>
          <w:sz w:val="25"/>
          <w:szCs w:val="25"/>
          <w:lang w:val="es-ES"/>
        </w:rPr>
      </w:pPr>
      <w:r w:rsidRPr="00482833">
        <w:rPr>
          <w:sz w:val="25"/>
          <w:szCs w:val="25"/>
          <w:lang w:val="es-ES"/>
        </w:rPr>
        <w:t>2013</w:t>
      </w:r>
    </w:p>
    <w:p w:rsidR="00EA3F6B" w:rsidRPr="00805702" w:rsidRDefault="00EA3F6B" w:rsidP="00EA3F6B">
      <w:pPr>
        <w:jc w:val="center"/>
        <w:rPr>
          <w:sz w:val="25"/>
          <w:szCs w:val="25"/>
          <w:lang w:val="es-ES"/>
        </w:rPr>
      </w:pPr>
    </w:p>
    <w:p w:rsidR="00EA3F6B" w:rsidRPr="002279C3" w:rsidRDefault="00EA3F6B" w:rsidP="000612CD">
      <w:pPr>
        <w:spacing w:line="360" w:lineRule="auto"/>
        <w:rPr>
          <w:sz w:val="25"/>
          <w:szCs w:val="25"/>
          <w:lang w:val="es-ES"/>
        </w:rPr>
      </w:pPr>
      <w:r w:rsidRPr="002279C3">
        <w:rPr>
          <w:noProof/>
          <w:sz w:val="25"/>
          <w:szCs w:val="25"/>
        </w:rPr>
        <w:drawing>
          <wp:inline distT="0" distB="0" distL="0" distR="0" wp14:anchorId="3415F4E5" wp14:editId="4960D613">
            <wp:extent cx="6045958" cy="2784143"/>
            <wp:effectExtent l="0" t="0" r="12065" b="16510"/>
            <wp:docPr id="3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A3F6B" w:rsidRPr="002279C3" w:rsidRDefault="00EA3F6B" w:rsidP="000F1787">
      <w:pPr>
        <w:jc w:val="both"/>
        <w:rPr>
          <w:sz w:val="25"/>
          <w:szCs w:val="25"/>
          <w:lang w:val="es-ES"/>
        </w:rPr>
      </w:pPr>
      <w:r w:rsidRPr="002279C3">
        <w:rPr>
          <w:sz w:val="16"/>
          <w:szCs w:val="16"/>
          <w:lang w:val="es-ES"/>
        </w:rPr>
        <w:t xml:space="preserve">      </w:t>
      </w:r>
      <w:r>
        <w:rPr>
          <w:sz w:val="16"/>
          <w:szCs w:val="16"/>
          <w:lang w:val="es-ES"/>
        </w:rPr>
        <w:t xml:space="preserve">           </w:t>
      </w:r>
      <w:r w:rsidRPr="002279C3">
        <w:rPr>
          <w:sz w:val="16"/>
          <w:szCs w:val="16"/>
          <w:lang w:val="es-ES"/>
        </w:rPr>
        <w:t xml:space="preserve"> Fuente: Empresa de Energía del Quindío EDEQ</w:t>
      </w:r>
    </w:p>
    <w:p w:rsidR="0057781E" w:rsidRDefault="0057781E" w:rsidP="000F1787">
      <w:pPr>
        <w:spacing w:line="360" w:lineRule="auto"/>
        <w:ind w:firstLine="284"/>
        <w:jc w:val="both"/>
        <w:rPr>
          <w:lang w:val="es-ES"/>
        </w:rPr>
      </w:pPr>
    </w:p>
    <w:p w:rsidR="0057781E" w:rsidRDefault="0057781E" w:rsidP="000F1787">
      <w:pPr>
        <w:spacing w:line="360" w:lineRule="auto"/>
        <w:ind w:firstLine="284"/>
        <w:jc w:val="both"/>
        <w:rPr>
          <w:lang w:val="es-ES"/>
        </w:rPr>
      </w:pPr>
    </w:p>
    <w:p w:rsidR="00EA3F6B" w:rsidRPr="002279C3" w:rsidRDefault="00EA3F6B" w:rsidP="00EA3F6B">
      <w:pPr>
        <w:spacing w:line="360" w:lineRule="auto"/>
        <w:jc w:val="both"/>
        <w:rPr>
          <w:sz w:val="25"/>
          <w:szCs w:val="25"/>
          <w:lang w:val="es-ES"/>
        </w:rPr>
      </w:pPr>
    </w:p>
    <w:p w:rsidR="00EA3F6B" w:rsidRPr="002279C3" w:rsidRDefault="00EA3F6B" w:rsidP="00EA3F6B">
      <w:pPr>
        <w:autoSpaceDE w:val="0"/>
        <w:autoSpaceDN w:val="0"/>
        <w:adjustRightInd w:val="0"/>
        <w:spacing w:line="360" w:lineRule="auto"/>
        <w:jc w:val="both"/>
        <w:rPr>
          <w:lang w:val="es-ES"/>
        </w:rPr>
      </w:pPr>
      <w:r w:rsidRPr="002279C3">
        <w:rPr>
          <w:lang w:val="es-ES"/>
        </w:rPr>
        <w:t xml:space="preserve">     El mercado atendido por EDEQ S.A. ESP está compuesto por 164,552 clientes a diciembre de 2013, distribuido entre sectores residenciales en los estratos socioeconómicos </w:t>
      </w:r>
      <w:r w:rsidR="003A496F">
        <w:rPr>
          <w:lang w:val="es-ES"/>
        </w:rPr>
        <w:t>del 1 al 6</w:t>
      </w:r>
      <w:r w:rsidRPr="002279C3">
        <w:rPr>
          <w:lang w:val="es-ES"/>
        </w:rPr>
        <w:t>, sectores comercial,</w:t>
      </w:r>
      <w:r w:rsidR="003A496F">
        <w:rPr>
          <w:lang w:val="es-ES"/>
        </w:rPr>
        <w:t xml:space="preserve"> industrial y oficial; con una c</w:t>
      </w:r>
      <w:r w:rsidRPr="002279C3">
        <w:rPr>
          <w:lang w:val="es-ES"/>
        </w:rPr>
        <w:t>obertura en todo el Departamento del (99.85</w:t>
      </w:r>
      <w:r w:rsidR="00BA3076">
        <w:rPr>
          <w:lang w:val="es-ES"/>
        </w:rPr>
        <w:t>%</w:t>
      </w:r>
      <w:r w:rsidRPr="002279C3">
        <w:rPr>
          <w:lang w:val="es-ES"/>
        </w:rPr>
        <w:t xml:space="preserve">), que corresponde según el Operador a un 100% de cobertura en área Urbana y 97,7% en </w:t>
      </w:r>
      <w:r w:rsidR="00F939D7">
        <w:rPr>
          <w:lang w:val="es-ES"/>
        </w:rPr>
        <w:t>el área rural</w:t>
      </w:r>
      <w:r w:rsidRPr="002279C3">
        <w:rPr>
          <w:lang w:val="es-ES"/>
        </w:rPr>
        <w:t xml:space="preserve">. De acuerdo a las perspectivas de la </w:t>
      </w:r>
      <w:r>
        <w:rPr>
          <w:lang w:val="es-ES"/>
        </w:rPr>
        <w:t>Empresa, ésta tiene proyectado au</w:t>
      </w:r>
      <w:r w:rsidRPr="002279C3">
        <w:rPr>
          <w:lang w:val="es-ES"/>
        </w:rPr>
        <w:t>mentar la cobertura del sector rural a un 97,9% cumpliendo al plan de expansión de la cobertura del Operador de red.</w:t>
      </w:r>
      <w:r w:rsidR="00BA3076">
        <w:rPr>
          <w:lang w:val="es-ES"/>
        </w:rPr>
        <w:t xml:space="preserve"> (</w:t>
      </w:r>
      <w:r>
        <w:rPr>
          <w:lang w:val="es-ES"/>
        </w:rPr>
        <w:t>EDEQ, 2014).</w:t>
      </w:r>
      <w:r w:rsidRPr="002279C3">
        <w:rPr>
          <w:rStyle w:val="Refdenotaalpie"/>
          <w:b/>
          <w:lang w:val="es-ES"/>
        </w:rPr>
        <w:footnoteReference w:id="24"/>
      </w:r>
    </w:p>
    <w:p w:rsidR="00EA3F6B" w:rsidRPr="002279C3" w:rsidRDefault="00EA3F6B" w:rsidP="00EA3F6B">
      <w:pPr>
        <w:spacing w:line="360" w:lineRule="auto"/>
        <w:jc w:val="both"/>
        <w:rPr>
          <w:lang w:val="es-ES"/>
        </w:rPr>
      </w:pPr>
    </w:p>
    <w:p w:rsidR="00EA3F6B" w:rsidRPr="002279C3" w:rsidRDefault="00EA3F6B" w:rsidP="00EA3F6B">
      <w:pPr>
        <w:spacing w:line="360" w:lineRule="auto"/>
        <w:jc w:val="both"/>
        <w:rPr>
          <w:b/>
          <w:lang w:val="es-ES"/>
        </w:rPr>
        <w:sectPr w:rsidR="00EA3F6B" w:rsidRPr="002279C3" w:rsidSect="004C555B">
          <w:headerReference w:type="default" r:id="rId43"/>
          <w:footerReference w:type="default" r:id="rId44"/>
          <w:pgSz w:w="12242" w:h="15842" w:code="1"/>
          <w:pgMar w:top="1701" w:right="1701" w:bottom="1701" w:left="1701" w:header="709" w:footer="709" w:gutter="0"/>
          <w:cols w:space="708"/>
          <w:docGrid w:linePitch="360"/>
        </w:sectPr>
      </w:pPr>
    </w:p>
    <w:p w:rsidR="00EA3F6B" w:rsidRPr="00482833" w:rsidRDefault="00EA3F6B" w:rsidP="00EA3F6B">
      <w:pPr>
        <w:jc w:val="both"/>
      </w:pPr>
      <w:r w:rsidRPr="00482833">
        <w:lastRenderedPageBreak/>
        <w:t>Gráfico. 3.2</w:t>
      </w:r>
    </w:p>
    <w:p w:rsidR="00EA3F6B" w:rsidRPr="00482833" w:rsidRDefault="00EA3F6B" w:rsidP="00EA3F6B">
      <w:pPr>
        <w:jc w:val="both"/>
      </w:pPr>
      <w:r w:rsidRPr="00482833">
        <w:t xml:space="preserve">Consumo de energía en </w:t>
      </w:r>
      <w:proofErr w:type="spellStart"/>
      <w:r w:rsidRPr="00482833">
        <w:t>Kwh</w:t>
      </w:r>
      <w:proofErr w:type="spellEnd"/>
      <w:r w:rsidRPr="00482833">
        <w:t>, en la zona urbana y rural, según clase de  servicio mensual.</w:t>
      </w:r>
    </w:p>
    <w:p w:rsidR="00EA3F6B" w:rsidRPr="00482833" w:rsidRDefault="00EA3F6B" w:rsidP="00EA3F6B">
      <w:pPr>
        <w:jc w:val="both"/>
      </w:pPr>
      <w:r w:rsidRPr="00482833">
        <w:t>Año 2013</w:t>
      </w:r>
    </w:p>
    <w:p w:rsidR="00EA3F6B" w:rsidRPr="00D439FF" w:rsidRDefault="00EA3F6B" w:rsidP="00EA3F6B">
      <w:pPr>
        <w:jc w:val="center"/>
      </w:pPr>
    </w:p>
    <w:p w:rsidR="00EA3F6B" w:rsidRPr="002279C3" w:rsidRDefault="00BE1CD2" w:rsidP="00EA3F6B">
      <w:pPr>
        <w:spacing w:line="360" w:lineRule="auto"/>
        <w:jc w:val="both"/>
        <w:rPr>
          <w:b/>
          <w:lang w:val="es-ES"/>
        </w:rPr>
      </w:pPr>
      <w:r>
        <w:rPr>
          <w:noProof/>
        </w:rPr>
        <w:drawing>
          <wp:inline distT="0" distB="0" distL="0" distR="0" wp14:anchorId="37DCD086" wp14:editId="43AE81A6">
            <wp:extent cx="8420986" cy="4572000"/>
            <wp:effectExtent l="0" t="0" r="18415"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A3F6B" w:rsidRPr="002279C3" w:rsidRDefault="00EA3F6B" w:rsidP="00BE1CD2">
      <w:pPr>
        <w:autoSpaceDE w:val="0"/>
        <w:autoSpaceDN w:val="0"/>
        <w:adjustRightInd w:val="0"/>
        <w:spacing w:line="360" w:lineRule="auto"/>
        <w:jc w:val="both"/>
        <w:rPr>
          <w:b/>
          <w:lang w:val="es-ES"/>
        </w:rPr>
      </w:pPr>
      <w:r w:rsidRPr="002279C3">
        <w:rPr>
          <w:rFonts w:eastAsiaTheme="minorHAnsi"/>
          <w:sz w:val="16"/>
          <w:szCs w:val="16"/>
          <w:lang w:val="es-ES" w:eastAsia="en-US"/>
        </w:rPr>
        <w:t>Fuente: EFIGAS</w:t>
      </w:r>
    </w:p>
    <w:p w:rsidR="00EA3F6B" w:rsidRPr="002279C3" w:rsidRDefault="00EA3F6B" w:rsidP="00EA3F6B">
      <w:pPr>
        <w:spacing w:line="360" w:lineRule="auto"/>
        <w:jc w:val="both"/>
        <w:rPr>
          <w:b/>
          <w:lang w:val="es-ES"/>
        </w:rPr>
        <w:sectPr w:rsidR="00EA3F6B" w:rsidRPr="002279C3" w:rsidSect="00E46E7E">
          <w:pgSz w:w="15842" w:h="12242" w:orient="landscape" w:code="1"/>
          <w:pgMar w:top="1701" w:right="1701" w:bottom="1701" w:left="1701" w:header="709" w:footer="709" w:gutter="0"/>
          <w:cols w:space="708"/>
          <w:docGrid w:linePitch="360"/>
        </w:sectPr>
      </w:pPr>
    </w:p>
    <w:p w:rsidR="00EA3F6B" w:rsidRPr="002279C3" w:rsidRDefault="00EA3F6B" w:rsidP="00BB5AF2">
      <w:pPr>
        <w:autoSpaceDE w:val="0"/>
        <w:autoSpaceDN w:val="0"/>
        <w:adjustRightInd w:val="0"/>
        <w:spacing w:line="360" w:lineRule="auto"/>
        <w:ind w:firstLine="284"/>
        <w:jc w:val="both"/>
        <w:rPr>
          <w:lang w:val="es-ES"/>
        </w:rPr>
      </w:pPr>
      <w:r w:rsidRPr="00BB1CBC">
        <w:rPr>
          <w:lang w:val="es-ES"/>
        </w:rPr>
        <w:lastRenderedPageBreak/>
        <w:t>El mayor consumo  de energía se presenta</w:t>
      </w:r>
      <w:r>
        <w:rPr>
          <w:lang w:val="es-ES"/>
        </w:rPr>
        <w:t xml:space="preserve"> en el área urbana, principalmente</w:t>
      </w:r>
      <w:r w:rsidR="00C43F49">
        <w:rPr>
          <w:lang w:val="es-ES"/>
        </w:rPr>
        <w:t xml:space="preserve">  en el sector r</w:t>
      </w:r>
      <w:r w:rsidRPr="00BB1CBC">
        <w:rPr>
          <w:lang w:val="es-ES"/>
        </w:rPr>
        <w:t>esidencial, seguido</w:t>
      </w:r>
      <w:r>
        <w:rPr>
          <w:lang w:val="es-ES"/>
        </w:rPr>
        <w:t xml:space="preserve"> de</w:t>
      </w:r>
      <w:r w:rsidRPr="002279C3">
        <w:rPr>
          <w:lang w:val="es-ES"/>
        </w:rPr>
        <w:t xml:space="preserve"> la zona </w:t>
      </w:r>
      <w:r w:rsidR="00C43F49">
        <w:rPr>
          <w:lang w:val="es-ES"/>
        </w:rPr>
        <w:t xml:space="preserve">comercial y la zona industrial; </w:t>
      </w:r>
      <w:r>
        <w:rPr>
          <w:lang w:val="es-ES"/>
        </w:rPr>
        <w:t>e</w:t>
      </w:r>
      <w:r w:rsidRPr="002279C3">
        <w:rPr>
          <w:lang w:val="es-ES"/>
        </w:rPr>
        <w:t xml:space="preserve">l </w:t>
      </w:r>
      <w:r>
        <w:rPr>
          <w:lang w:val="es-ES"/>
        </w:rPr>
        <w:t>área r</w:t>
      </w:r>
      <w:r w:rsidRPr="002279C3">
        <w:rPr>
          <w:lang w:val="es-ES"/>
        </w:rPr>
        <w:t>ural</w:t>
      </w:r>
      <w:r w:rsidR="00C43F49">
        <w:rPr>
          <w:lang w:val="es-ES"/>
        </w:rPr>
        <w:t>,</w:t>
      </w:r>
      <w:r w:rsidRPr="002279C3">
        <w:rPr>
          <w:lang w:val="es-ES"/>
        </w:rPr>
        <w:t xml:space="preserve"> presenta el mismo comportamiento que el </w:t>
      </w:r>
      <w:r>
        <w:rPr>
          <w:lang w:val="es-ES"/>
        </w:rPr>
        <w:t>área urbana</w:t>
      </w:r>
      <w:r w:rsidRPr="002279C3">
        <w:rPr>
          <w:lang w:val="es-ES"/>
        </w:rPr>
        <w:t xml:space="preserve"> a excepción del Municipio de Montenegro el cual presenta su mayor consumo de energía en la zona com</w:t>
      </w:r>
      <w:r w:rsidR="00C43F49">
        <w:rPr>
          <w:lang w:val="es-ES"/>
        </w:rPr>
        <w:t>ercial. E</w:t>
      </w:r>
      <w:r w:rsidRPr="002279C3">
        <w:rPr>
          <w:lang w:val="es-ES"/>
        </w:rPr>
        <w:t xml:space="preserve">s importante resaltar que el </w:t>
      </w:r>
      <w:r w:rsidR="00C43F49">
        <w:rPr>
          <w:lang w:val="es-ES"/>
        </w:rPr>
        <w:t>consumo de energía en  la zona i</w:t>
      </w:r>
      <w:r w:rsidRPr="002279C3">
        <w:rPr>
          <w:lang w:val="es-ES"/>
        </w:rPr>
        <w:t xml:space="preserve">ndustrial  para el sector </w:t>
      </w:r>
      <w:r w:rsidR="00C43F49">
        <w:rPr>
          <w:lang w:val="es-ES"/>
        </w:rPr>
        <w:t>r</w:t>
      </w:r>
      <w:r w:rsidRPr="002279C3">
        <w:rPr>
          <w:lang w:val="es-ES"/>
        </w:rPr>
        <w:t xml:space="preserve">ural es mayor </w:t>
      </w:r>
      <w:r w:rsidR="00C43F49">
        <w:rPr>
          <w:lang w:val="es-ES"/>
        </w:rPr>
        <w:t>que el presentado en el sector urbano en 9 de sus 12 m</w:t>
      </w:r>
      <w:r w:rsidRPr="002279C3">
        <w:rPr>
          <w:lang w:val="es-ES"/>
        </w:rPr>
        <w:t>unicipios.</w:t>
      </w:r>
    </w:p>
    <w:p w:rsidR="00EA3F6B" w:rsidRPr="002279C3" w:rsidRDefault="00EA3F6B" w:rsidP="00EA3F6B">
      <w:pPr>
        <w:autoSpaceDE w:val="0"/>
        <w:autoSpaceDN w:val="0"/>
        <w:adjustRightInd w:val="0"/>
        <w:spacing w:line="360" w:lineRule="auto"/>
        <w:jc w:val="both"/>
        <w:rPr>
          <w:lang w:val="es-ES"/>
        </w:rPr>
      </w:pPr>
    </w:p>
    <w:p w:rsidR="00EA3F6B" w:rsidRDefault="00A478B6" w:rsidP="00BB5AF2">
      <w:pPr>
        <w:autoSpaceDE w:val="0"/>
        <w:autoSpaceDN w:val="0"/>
        <w:adjustRightInd w:val="0"/>
        <w:spacing w:line="360" w:lineRule="auto"/>
        <w:ind w:firstLine="284"/>
        <w:jc w:val="both"/>
        <w:rPr>
          <w:lang w:val="es-ES"/>
        </w:rPr>
      </w:pPr>
      <w:r>
        <w:rPr>
          <w:lang w:val="es-ES"/>
        </w:rPr>
        <w:t>De acuerdo con</w:t>
      </w:r>
      <w:r w:rsidR="00BB5AF2">
        <w:rPr>
          <w:lang w:val="es-ES"/>
        </w:rPr>
        <w:t xml:space="preserve"> </w:t>
      </w:r>
      <w:r w:rsidR="00EA3F6B" w:rsidRPr="002279C3">
        <w:rPr>
          <w:lang w:val="es-ES"/>
        </w:rPr>
        <w:t>el inform</w:t>
      </w:r>
      <w:r w:rsidR="00BB5AF2">
        <w:rPr>
          <w:lang w:val="es-ES"/>
        </w:rPr>
        <w:t xml:space="preserve">e </w:t>
      </w:r>
      <w:r w:rsidR="00EA3F6B" w:rsidRPr="002279C3">
        <w:rPr>
          <w:lang w:val="es-ES"/>
        </w:rPr>
        <w:t>de sos</w:t>
      </w:r>
      <w:r w:rsidR="00C608E9">
        <w:rPr>
          <w:lang w:val="es-ES"/>
        </w:rPr>
        <w:t xml:space="preserve">tenibilidad 2013 </w:t>
      </w:r>
      <w:r>
        <w:rPr>
          <w:lang w:val="es-ES"/>
        </w:rPr>
        <w:t>de la</w:t>
      </w:r>
      <w:r w:rsidR="00BB5AF2">
        <w:rPr>
          <w:lang w:val="es-ES"/>
        </w:rPr>
        <w:t xml:space="preserve"> </w:t>
      </w:r>
      <w:r w:rsidR="00EA3F6B" w:rsidRPr="002279C3">
        <w:rPr>
          <w:lang w:val="es-ES"/>
        </w:rPr>
        <w:t>EDEQ S.A. ESP</w:t>
      </w:r>
      <w:r w:rsidR="00EA3F6B">
        <w:rPr>
          <w:lang w:val="es-ES"/>
        </w:rPr>
        <w:t xml:space="preserve">, </w:t>
      </w:r>
      <w:r w:rsidR="00EA3F6B" w:rsidRPr="002279C3">
        <w:rPr>
          <w:lang w:val="es-ES"/>
        </w:rPr>
        <w:t xml:space="preserve">los clientes </w:t>
      </w:r>
      <w:r w:rsidR="00EA3F6B">
        <w:rPr>
          <w:lang w:val="es-ES"/>
        </w:rPr>
        <w:t xml:space="preserve"> se concentran</w:t>
      </w:r>
      <w:r>
        <w:rPr>
          <w:lang w:val="es-ES"/>
        </w:rPr>
        <w:t xml:space="preserve"> en el sector residencial en un 89%  y no residencial 11%</w:t>
      </w:r>
      <w:r w:rsidR="00EA3F6B">
        <w:rPr>
          <w:lang w:val="es-ES"/>
        </w:rPr>
        <w:t xml:space="preserve">;  teniendo en cuenta que de ese 89% residencial,  </w:t>
      </w:r>
      <w:r w:rsidR="00EA3F6B" w:rsidRPr="002279C3">
        <w:rPr>
          <w:lang w:val="es-ES"/>
        </w:rPr>
        <w:t>los estratos 1, 2 y 3</w:t>
      </w:r>
      <w:r w:rsidR="00EA3F6B">
        <w:rPr>
          <w:lang w:val="es-ES"/>
        </w:rPr>
        <w:t>, concentran una participación del</w:t>
      </w:r>
      <w:r w:rsidR="00EA3F6B" w:rsidRPr="002279C3">
        <w:rPr>
          <w:lang w:val="es-ES"/>
        </w:rPr>
        <w:t xml:space="preserve"> 76.6% </w:t>
      </w:r>
      <w:r w:rsidR="00EA3F6B">
        <w:rPr>
          <w:lang w:val="es-ES"/>
        </w:rPr>
        <w:t>.</w:t>
      </w:r>
    </w:p>
    <w:p w:rsidR="00EA3F6B" w:rsidRDefault="00EA3F6B" w:rsidP="00245F10">
      <w:pPr>
        <w:autoSpaceDE w:val="0"/>
        <w:autoSpaceDN w:val="0"/>
        <w:adjustRightInd w:val="0"/>
        <w:spacing w:line="360" w:lineRule="auto"/>
        <w:jc w:val="both"/>
        <w:rPr>
          <w:b/>
          <w:bCs/>
          <w:lang w:val="es-ES"/>
        </w:rPr>
      </w:pPr>
      <w:r>
        <w:rPr>
          <w:lang w:val="es-ES"/>
        </w:rPr>
        <w:t xml:space="preserve"> </w:t>
      </w:r>
    </w:p>
    <w:p w:rsidR="00A933E9" w:rsidRDefault="00A933E9" w:rsidP="00EA3F6B">
      <w:pPr>
        <w:autoSpaceDE w:val="0"/>
        <w:autoSpaceDN w:val="0"/>
        <w:adjustRightInd w:val="0"/>
        <w:jc w:val="center"/>
        <w:rPr>
          <w:bCs/>
        </w:rPr>
      </w:pPr>
    </w:p>
    <w:p w:rsidR="00EA3F6B" w:rsidRPr="00DE2A59" w:rsidRDefault="005E7D1E" w:rsidP="00EA3F6B">
      <w:pPr>
        <w:jc w:val="both"/>
        <w:rPr>
          <w:bCs/>
        </w:rPr>
      </w:pPr>
      <w:r>
        <w:rPr>
          <w:bCs/>
        </w:rPr>
        <w:t>Gráfico 3.3</w:t>
      </w:r>
    </w:p>
    <w:p w:rsidR="00EA3F6B" w:rsidRPr="00DE2A59" w:rsidRDefault="00EA3F6B" w:rsidP="00EA3F6B">
      <w:pPr>
        <w:jc w:val="both"/>
        <w:rPr>
          <w:bCs/>
        </w:rPr>
      </w:pPr>
      <w:r w:rsidRPr="00DE2A59">
        <w:rPr>
          <w:bCs/>
        </w:rPr>
        <w:t>Valores facturados  de energía en KWH, según clase de servicio</w:t>
      </w:r>
    </w:p>
    <w:p w:rsidR="00EA3F6B" w:rsidRPr="00DE2A59" w:rsidRDefault="00EA3F6B" w:rsidP="00EA3F6B">
      <w:pPr>
        <w:jc w:val="both"/>
        <w:rPr>
          <w:bCs/>
        </w:rPr>
      </w:pPr>
      <w:r w:rsidRPr="00DE2A59">
        <w:rPr>
          <w:bCs/>
        </w:rPr>
        <w:t>2013</w:t>
      </w:r>
    </w:p>
    <w:p w:rsidR="00EA3F6B" w:rsidRPr="002279C3" w:rsidRDefault="00EA3F6B" w:rsidP="00EA3F6B">
      <w:pPr>
        <w:spacing w:line="360" w:lineRule="auto"/>
        <w:jc w:val="both"/>
        <w:rPr>
          <w:b/>
          <w:bCs/>
          <w:sz w:val="10"/>
          <w:szCs w:val="10"/>
        </w:rPr>
      </w:pPr>
    </w:p>
    <w:p w:rsidR="00EA3F6B" w:rsidRPr="002279C3" w:rsidRDefault="00EA3F6B" w:rsidP="00EA3F6B">
      <w:pPr>
        <w:spacing w:line="360" w:lineRule="auto"/>
        <w:jc w:val="both"/>
        <w:rPr>
          <w:lang w:val="es-ES"/>
        </w:rPr>
      </w:pPr>
      <w:r w:rsidRPr="002279C3">
        <w:rPr>
          <w:noProof/>
        </w:rPr>
        <w:drawing>
          <wp:inline distT="0" distB="0" distL="0" distR="0" wp14:anchorId="2D6FBFB4" wp14:editId="331A1D21">
            <wp:extent cx="5016652" cy="2347415"/>
            <wp:effectExtent l="19050" t="0" r="12548" b="0"/>
            <wp:docPr id="4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A3F6B" w:rsidRPr="002279C3" w:rsidRDefault="00EA3F6B" w:rsidP="00EA3F6B">
      <w:pPr>
        <w:autoSpaceDE w:val="0"/>
        <w:autoSpaceDN w:val="0"/>
        <w:adjustRightInd w:val="0"/>
        <w:spacing w:line="360" w:lineRule="auto"/>
        <w:jc w:val="both"/>
        <w:rPr>
          <w:rFonts w:eastAsiaTheme="minorHAnsi"/>
          <w:sz w:val="16"/>
          <w:szCs w:val="16"/>
          <w:lang w:val="es-ES" w:eastAsia="en-US"/>
        </w:rPr>
      </w:pPr>
      <w:r w:rsidRPr="002279C3">
        <w:rPr>
          <w:rFonts w:eastAsiaTheme="minorHAnsi"/>
          <w:sz w:val="16"/>
          <w:szCs w:val="16"/>
          <w:lang w:val="es-ES" w:eastAsia="en-US"/>
        </w:rPr>
        <w:t xml:space="preserve">   </w:t>
      </w:r>
      <w:r w:rsidRPr="002279C3">
        <w:rPr>
          <w:sz w:val="16"/>
          <w:szCs w:val="16"/>
          <w:lang w:val="es-ES"/>
        </w:rPr>
        <w:t>Fuente: Empresa de Energía del Quindío EDEQ</w:t>
      </w:r>
    </w:p>
    <w:p w:rsidR="00EA3F6B" w:rsidRDefault="00EA3F6B" w:rsidP="00EA3F6B">
      <w:pPr>
        <w:spacing w:line="360" w:lineRule="auto"/>
        <w:jc w:val="both"/>
        <w:rPr>
          <w:lang w:val="es-ES"/>
        </w:rPr>
      </w:pPr>
      <w:r w:rsidRPr="002279C3">
        <w:rPr>
          <w:lang w:val="es-ES"/>
        </w:rPr>
        <w:t xml:space="preserve">  </w:t>
      </w:r>
    </w:p>
    <w:p w:rsidR="00EA3F6B" w:rsidRPr="002279C3" w:rsidRDefault="00EA3F6B" w:rsidP="00EA3F6B">
      <w:pPr>
        <w:spacing w:line="360" w:lineRule="auto"/>
        <w:jc w:val="both"/>
        <w:rPr>
          <w:lang w:val="es-ES"/>
        </w:rPr>
      </w:pPr>
      <w:r w:rsidRPr="002279C3">
        <w:rPr>
          <w:lang w:val="es-ES"/>
        </w:rPr>
        <w:t xml:space="preserve">   </w:t>
      </w:r>
      <w:r>
        <w:rPr>
          <w:lang w:val="es-ES"/>
        </w:rPr>
        <w:t>En la</w:t>
      </w:r>
      <w:r w:rsidRPr="002279C3">
        <w:rPr>
          <w:lang w:val="es-ES"/>
        </w:rPr>
        <w:t xml:space="preserve"> vigencia 2013, el mayor valor facturado de energía, se presenta en la zona </w:t>
      </w:r>
      <w:r w:rsidR="00124B25">
        <w:rPr>
          <w:lang w:val="es-ES"/>
        </w:rPr>
        <w:t>r</w:t>
      </w:r>
      <w:r w:rsidRPr="002279C3">
        <w:rPr>
          <w:lang w:val="es-ES"/>
        </w:rPr>
        <w:t>esidencial que represent</w:t>
      </w:r>
      <w:r w:rsidR="00124B25">
        <w:rPr>
          <w:lang w:val="es-ES"/>
        </w:rPr>
        <w:t>a el 60%, seguidamente la zona c</w:t>
      </w:r>
      <w:r w:rsidRPr="002279C3">
        <w:rPr>
          <w:lang w:val="es-ES"/>
        </w:rPr>
        <w:t>om</w:t>
      </w:r>
      <w:r w:rsidR="00124B25">
        <w:rPr>
          <w:lang w:val="es-ES"/>
        </w:rPr>
        <w:t>ercial con un 25% y la i</w:t>
      </w:r>
      <w:r w:rsidRPr="002279C3">
        <w:rPr>
          <w:lang w:val="es-ES"/>
        </w:rPr>
        <w:t>ndustrial con un 8%.</w:t>
      </w:r>
    </w:p>
    <w:p w:rsidR="00EA3F6B" w:rsidRPr="002279C3" w:rsidRDefault="00EA3F6B" w:rsidP="00124B25">
      <w:pPr>
        <w:spacing w:line="360" w:lineRule="auto"/>
        <w:ind w:firstLine="284"/>
        <w:jc w:val="both"/>
        <w:rPr>
          <w:lang w:val="es-ES"/>
        </w:rPr>
      </w:pPr>
      <w:r w:rsidRPr="002279C3">
        <w:rPr>
          <w:lang w:val="es-ES"/>
        </w:rPr>
        <w:t>Cabe mencionar que en el año 2013</w:t>
      </w:r>
      <w:r w:rsidR="00B95267">
        <w:rPr>
          <w:lang w:val="es-ES"/>
        </w:rPr>
        <w:t>,</w:t>
      </w:r>
      <w:r w:rsidRPr="002279C3">
        <w:rPr>
          <w:lang w:val="es-ES"/>
        </w:rPr>
        <w:t xml:space="preserve"> la Empresa EDEQ amplió el portafolio de sus productos para que los clientes</w:t>
      </w:r>
      <w:r w:rsidR="0032715B">
        <w:rPr>
          <w:lang w:val="es-ES"/>
        </w:rPr>
        <w:t xml:space="preserve"> pudieran adquirir participando </w:t>
      </w:r>
      <w:r w:rsidRPr="002279C3">
        <w:rPr>
          <w:lang w:val="es-ES"/>
        </w:rPr>
        <w:t xml:space="preserve">en el programa de </w:t>
      </w:r>
      <w:r w:rsidRPr="002279C3">
        <w:rPr>
          <w:lang w:val="es-ES"/>
        </w:rPr>
        <w:lastRenderedPageBreak/>
        <w:t>financiación Social a través de la tarjeta EDEQ Grupo EPM para adquisición de artículos; lo anterior puede también tener incidencia en que le mayor consumo fac</w:t>
      </w:r>
      <w:r w:rsidR="00932B84">
        <w:rPr>
          <w:lang w:val="es-ES"/>
        </w:rPr>
        <w:t>turado se encuentre en la zona r</w:t>
      </w:r>
      <w:r w:rsidRPr="002279C3">
        <w:rPr>
          <w:lang w:val="es-ES"/>
        </w:rPr>
        <w:t xml:space="preserve">esidencial, ya que son en los hogares donde se hace mayor uso de este programa. </w:t>
      </w:r>
      <w:r>
        <w:rPr>
          <w:lang w:val="es-ES"/>
        </w:rPr>
        <w:t>(EDEQ, 2014).</w:t>
      </w:r>
      <w:r w:rsidRPr="002279C3">
        <w:rPr>
          <w:rStyle w:val="Refdenotaalpie"/>
          <w:b/>
          <w:lang w:val="es-ES"/>
        </w:rPr>
        <w:footnoteReference w:id="25"/>
      </w:r>
    </w:p>
    <w:p w:rsidR="00EA3F6B" w:rsidRPr="00125123" w:rsidRDefault="00EA3F6B" w:rsidP="00EA3F6B">
      <w:pPr>
        <w:pStyle w:val="Sinespaciado"/>
        <w:spacing w:line="360" w:lineRule="auto"/>
        <w:rPr>
          <w:rFonts w:ascii="Times New Roman" w:hAnsi="Times New Roman"/>
          <w:szCs w:val="24"/>
        </w:rPr>
      </w:pPr>
    </w:p>
    <w:p w:rsidR="00EA3F6B" w:rsidRPr="00932B84" w:rsidRDefault="00932B84" w:rsidP="00932B84">
      <w:pPr>
        <w:pStyle w:val="Ttulo2"/>
        <w:rPr>
          <w:rFonts w:ascii="Times New Roman" w:hAnsi="Times New Roman" w:cs="Times New Roman"/>
          <w:color w:val="auto"/>
          <w:sz w:val="30"/>
          <w:szCs w:val="30"/>
        </w:rPr>
      </w:pPr>
      <w:bookmarkStart w:id="30" w:name="_Toc406754297"/>
      <w:r w:rsidRPr="00932B84">
        <w:rPr>
          <w:rFonts w:ascii="Times New Roman" w:hAnsi="Times New Roman" w:cs="Times New Roman"/>
          <w:color w:val="auto"/>
          <w:sz w:val="30"/>
          <w:szCs w:val="30"/>
        </w:rPr>
        <w:t xml:space="preserve">3.2 </w:t>
      </w:r>
      <w:r w:rsidR="00EA3F6B" w:rsidRPr="00932B84">
        <w:rPr>
          <w:rFonts w:ascii="Times New Roman" w:hAnsi="Times New Roman" w:cs="Times New Roman"/>
          <w:color w:val="auto"/>
          <w:sz w:val="30"/>
          <w:szCs w:val="30"/>
        </w:rPr>
        <w:t>Gas Domiciliario</w:t>
      </w:r>
      <w:bookmarkEnd w:id="30"/>
    </w:p>
    <w:p w:rsidR="00611BAE" w:rsidRDefault="00611BAE" w:rsidP="00EA3F6B">
      <w:pPr>
        <w:pStyle w:val="Sinespaciado"/>
        <w:spacing w:line="360" w:lineRule="auto"/>
        <w:rPr>
          <w:rFonts w:ascii="Times New Roman" w:hAnsi="Times New Roman"/>
          <w:szCs w:val="24"/>
          <w:lang w:val="es-CO"/>
        </w:rPr>
      </w:pPr>
    </w:p>
    <w:p w:rsidR="00EA3F6B" w:rsidRPr="00932B84" w:rsidRDefault="00EA3F6B" w:rsidP="00EA3F6B">
      <w:pPr>
        <w:pStyle w:val="Sinespaciado"/>
        <w:spacing w:line="360" w:lineRule="auto"/>
        <w:rPr>
          <w:rFonts w:ascii="Times New Roman" w:hAnsi="Times New Roman"/>
          <w:sz w:val="24"/>
          <w:szCs w:val="24"/>
        </w:rPr>
      </w:pPr>
      <w:r w:rsidRPr="00932B84">
        <w:rPr>
          <w:rFonts w:ascii="Times New Roman" w:hAnsi="Times New Roman"/>
          <w:sz w:val="24"/>
          <w:szCs w:val="24"/>
        </w:rPr>
        <w:t xml:space="preserve">Actualmente el Gas es utilizado  en  Colombia </w:t>
      </w:r>
      <w:r w:rsidR="00E35B2C">
        <w:rPr>
          <w:rFonts w:ascii="Times New Roman" w:hAnsi="Times New Roman"/>
          <w:sz w:val="24"/>
          <w:szCs w:val="24"/>
        </w:rPr>
        <w:t xml:space="preserve">por  algo más de </w:t>
      </w:r>
      <w:r w:rsidRPr="00932B84">
        <w:rPr>
          <w:rFonts w:ascii="Times New Roman" w:hAnsi="Times New Roman"/>
          <w:sz w:val="24"/>
          <w:szCs w:val="24"/>
        </w:rPr>
        <w:t xml:space="preserve">7 Millones de usuarios residenciales, en 710 municipios, conectados a gas natural, el equivalente al 64% de los hogares Colombianos. (MINMINAS, 2014). </w:t>
      </w:r>
      <w:r w:rsidRPr="00932B84">
        <w:rPr>
          <w:rFonts w:ascii="Times New Roman" w:hAnsi="Times New Roman"/>
          <w:b/>
          <w:sz w:val="24"/>
          <w:szCs w:val="24"/>
          <w:vertAlign w:val="superscript"/>
        </w:rPr>
        <w:footnoteReference w:id="26"/>
      </w:r>
      <w:r w:rsidR="000E3EA5">
        <w:rPr>
          <w:rFonts w:ascii="Times New Roman" w:hAnsi="Times New Roman"/>
          <w:sz w:val="24"/>
          <w:szCs w:val="24"/>
        </w:rPr>
        <w:t xml:space="preserve"> Este servicio</w:t>
      </w:r>
      <w:r w:rsidRPr="00932B84">
        <w:rPr>
          <w:rFonts w:ascii="Times New Roman" w:hAnsi="Times New Roman"/>
          <w:sz w:val="24"/>
          <w:szCs w:val="24"/>
        </w:rPr>
        <w:t xml:space="preserve"> ha tenido gran aceptación en los hogares</w:t>
      </w:r>
      <w:r w:rsidR="000E3EA5">
        <w:rPr>
          <w:rFonts w:ascii="Times New Roman" w:hAnsi="Times New Roman"/>
          <w:sz w:val="24"/>
          <w:szCs w:val="24"/>
        </w:rPr>
        <w:t xml:space="preserve">,  evidenciando un incremento </w:t>
      </w:r>
      <w:r w:rsidRPr="00932B84">
        <w:rPr>
          <w:rFonts w:ascii="Times New Roman" w:hAnsi="Times New Roman"/>
          <w:sz w:val="24"/>
          <w:szCs w:val="24"/>
        </w:rPr>
        <w:t>de</w:t>
      </w:r>
      <w:r w:rsidR="000E3EA5">
        <w:rPr>
          <w:rFonts w:ascii="Times New Roman" w:hAnsi="Times New Roman"/>
          <w:sz w:val="24"/>
          <w:szCs w:val="24"/>
        </w:rPr>
        <w:t xml:space="preserve"> su</w:t>
      </w:r>
      <w:r w:rsidRPr="00932B84">
        <w:rPr>
          <w:rFonts w:ascii="Times New Roman" w:hAnsi="Times New Roman"/>
          <w:sz w:val="24"/>
          <w:szCs w:val="24"/>
        </w:rPr>
        <w:t xml:space="preserve"> uso dentro de las tareas cotidianas. </w:t>
      </w:r>
    </w:p>
    <w:p w:rsidR="000E3EA5" w:rsidRDefault="000E3EA5" w:rsidP="00EA3F6B">
      <w:pPr>
        <w:autoSpaceDE w:val="0"/>
        <w:autoSpaceDN w:val="0"/>
        <w:adjustRightInd w:val="0"/>
        <w:rPr>
          <w:rFonts w:eastAsiaTheme="minorHAnsi"/>
          <w:lang w:val="es-ES" w:eastAsia="en-US"/>
        </w:rPr>
      </w:pPr>
    </w:p>
    <w:p w:rsidR="000E3EA5" w:rsidRDefault="000E3EA5" w:rsidP="00EA3F6B">
      <w:pPr>
        <w:autoSpaceDE w:val="0"/>
        <w:autoSpaceDN w:val="0"/>
        <w:adjustRightInd w:val="0"/>
        <w:rPr>
          <w:rFonts w:eastAsiaTheme="minorHAnsi"/>
          <w:lang w:val="es-ES" w:eastAsia="en-US"/>
        </w:rPr>
      </w:pPr>
    </w:p>
    <w:p w:rsidR="00EA3F6B" w:rsidRPr="006F253E" w:rsidRDefault="002B4302" w:rsidP="00EA3F6B">
      <w:pPr>
        <w:autoSpaceDE w:val="0"/>
        <w:autoSpaceDN w:val="0"/>
        <w:adjustRightInd w:val="0"/>
        <w:rPr>
          <w:rFonts w:eastAsiaTheme="minorHAnsi"/>
          <w:lang w:val="es-ES" w:eastAsia="en-US"/>
        </w:rPr>
      </w:pPr>
      <w:r>
        <w:rPr>
          <w:rFonts w:eastAsiaTheme="minorHAnsi"/>
          <w:lang w:val="es-ES" w:eastAsia="en-US"/>
        </w:rPr>
        <w:t>Gráfico 3.4</w:t>
      </w:r>
    </w:p>
    <w:p w:rsidR="00EA3F6B" w:rsidRPr="006F253E" w:rsidRDefault="00EA3F6B" w:rsidP="00EA3F6B">
      <w:pPr>
        <w:autoSpaceDE w:val="0"/>
        <w:autoSpaceDN w:val="0"/>
        <w:adjustRightInd w:val="0"/>
        <w:rPr>
          <w:rFonts w:eastAsiaTheme="minorHAnsi"/>
          <w:lang w:val="es-ES" w:eastAsia="en-US"/>
        </w:rPr>
      </w:pPr>
      <w:r w:rsidRPr="006F253E">
        <w:rPr>
          <w:rFonts w:eastAsiaTheme="minorHAnsi"/>
          <w:lang w:val="es-ES" w:eastAsia="en-US"/>
        </w:rPr>
        <w:t>Número de Suscriptores según estrato socio económico y rangos de consumo</w:t>
      </w:r>
    </w:p>
    <w:p w:rsidR="00EA3F6B" w:rsidRPr="006F253E" w:rsidRDefault="00EA3F6B" w:rsidP="00EA3F6B">
      <w:pPr>
        <w:autoSpaceDE w:val="0"/>
        <w:autoSpaceDN w:val="0"/>
        <w:adjustRightInd w:val="0"/>
        <w:rPr>
          <w:rFonts w:eastAsiaTheme="minorHAnsi"/>
          <w:lang w:val="es-ES" w:eastAsia="en-US"/>
        </w:rPr>
      </w:pPr>
      <w:r w:rsidRPr="006F253E">
        <w:rPr>
          <w:rFonts w:eastAsiaTheme="minorHAnsi"/>
          <w:lang w:val="es-ES" w:eastAsia="en-US"/>
        </w:rPr>
        <w:t>Año 2013</w:t>
      </w:r>
    </w:p>
    <w:p w:rsidR="00EA3F6B" w:rsidRPr="00125123" w:rsidRDefault="00EA3F6B" w:rsidP="00EA3F6B">
      <w:pPr>
        <w:autoSpaceDE w:val="0"/>
        <w:autoSpaceDN w:val="0"/>
        <w:adjustRightInd w:val="0"/>
        <w:jc w:val="center"/>
        <w:rPr>
          <w:rFonts w:eastAsiaTheme="minorHAnsi"/>
          <w:lang w:val="es-ES" w:eastAsia="en-US"/>
        </w:rPr>
      </w:pPr>
    </w:p>
    <w:p w:rsidR="00EA3F6B" w:rsidRPr="002279C3" w:rsidRDefault="00EA3F6B" w:rsidP="00EA3F6B">
      <w:pPr>
        <w:autoSpaceDE w:val="0"/>
        <w:autoSpaceDN w:val="0"/>
        <w:adjustRightInd w:val="0"/>
        <w:spacing w:line="360" w:lineRule="auto"/>
        <w:jc w:val="both"/>
        <w:rPr>
          <w:rFonts w:eastAsiaTheme="minorHAnsi"/>
          <w:lang w:val="es-ES" w:eastAsia="en-US"/>
        </w:rPr>
      </w:pPr>
      <w:r w:rsidRPr="002279C3">
        <w:rPr>
          <w:rFonts w:eastAsiaTheme="minorHAnsi"/>
          <w:noProof/>
        </w:rPr>
        <w:drawing>
          <wp:inline distT="0" distB="0" distL="0" distR="0" wp14:anchorId="0BDC526F" wp14:editId="1E531ED4">
            <wp:extent cx="4572000" cy="2714625"/>
            <wp:effectExtent l="0" t="0" r="19050" b="9525"/>
            <wp:docPr id="4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A3F6B" w:rsidRPr="002279C3" w:rsidRDefault="00EA3F6B" w:rsidP="00EA3F6B">
      <w:pPr>
        <w:autoSpaceDE w:val="0"/>
        <w:autoSpaceDN w:val="0"/>
        <w:adjustRightInd w:val="0"/>
        <w:spacing w:line="360" w:lineRule="auto"/>
        <w:jc w:val="both"/>
        <w:rPr>
          <w:rFonts w:eastAsiaTheme="minorHAnsi"/>
          <w:sz w:val="16"/>
          <w:szCs w:val="16"/>
          <w:lang w:val="es-ES" w:eastAsia="en-US"/>
        </w:rPr>
      </w:pPr>
      <w:r>
        <w:rPr>
          <w:rFonts w:eastAsiaTheme="minorHAnsi"/>
          <w:sz w:val="16"/>
          <w:szCs w:val="16"/>
          <w:lang w:val="es-ES" w:eastAsia="en-US"/>
        </w:rPr>
        <w:t xml:space="preserve"> </w:t>
      </w:r>
      <w:r w:rsidRPr="002279C3">
        <w:rPr>
          <w:rFonts w:eastAsiaTheme="minorHAnsi"/>
          <w:sz w:val="16"/>
          <w:szCs w:val="16"/>
          <w:lang w:val="es-ES" w:eastAsia="en-US"/>
        </w:rPr>
        <w:t>Fuente: EFIGAS</w:t>
      </w:r>
    </w:p>
    <w:p w:rsidR="00EA3F6B" w:rsidRPr="002279C3" w:rsidRDefault="00EA3F6B" w:rsidP="00EA3F6B">
      <w:pPr>
        <w:autoSpaceDE w:val="0"/>
        <w:autoSpaceDN w:val="0"/>
        <w:adjustRightInd w:val="0"/>
        <w:spacing w:line="360" w:lineRule="auto"/>
        <w:jc w:val="both"/>
        <w:rPr>
          <w:rFonts w:eastAsiaTheme="minorHAnsi"/>
          <w:lang w:val="es-ES" w:eastAsia="en-US"/>
        </w:rPr>
      </w:pPr>
    </w:p>
    <w:p w:rsidR="00EA3F6B" w:rsidRPr="002279C3" w:rsidRDefault="00EA3F6B" w:rsidP="00EA3F6B">
      <w:pPr>
        <w:autoSpaceDE w:val="0"/>
        <w:autoSpaceDN w:val="0"/>
        <w:adjustRightInd w:val="0"/>
        <w:spacing w:line="360" w:lineRule="auto"/>
        <w:jc w:val="both"/>
        <w:rPr>
          <w:rFonts w:eastAsiaTheme="minorHAnsi"/>
          <w:lang w:val="es-ES" w:eastAsia="en-US"/>
        </w:rPr>
      </w:pPr>
      <w:r w:rsidRPr="002279C3">
        <w:rPr>
          <w:rFonts w:eastAsiaTheme="minorHAnsi"/>
          <w:lang w:val="es-ES" w:eastAsia="en-US"/>
        </w:rPr>
        <w:lastRenderedPageBreak/>
        <w:t xml:space="preserve">     </w:t>
      </w:r>
      <w:r>
        <w:rPr>
          <w:rFonts w:eastAsiaTheme="minorHAnsi"/>
          <w:lang w:val="es-ES" w:eastAsia="en-US"/>
        </w:rPr>
        <w:t>E</w:t>
      </w:r>
      <w:r w:rsidRPr="002279C3">
        <w:rPr>
          <w:rFonts w:eastAsiaTheme="minorHAnsi"/>
          <w:lang w:val="es-ES" w:eastAsia="en-US"/>
        </w:rPr>
        <w:t>l mayor número de usuarios se encuentra en e</w:t>
      </w:r>
      <w:r w:rsidR="002005F6">
        <w:rPr>
          <w:rFonts w:eastAsiaTheme="minorHAnsi"/>
          <w:lang w:val="es-ES" w:eastAsia="en-US"/>
        </w:rPr>
        <w:t>l e</w:t>
      </w:r>
      <w:r w:rsidRPr="002279C3">
        <w:rPr>
          <w:rFonts w:eastAsiaTheme="minorHAnsi"/>
          <w:lang w:val="es-ES" w:eastAsia="en-US"/>
        </w:rPr>
        <w:t xml:space="preserve">strato 2  equivalente al </w:t>
      </w:r>
      <w:r w:rsidRPr="002005F6">
        <w:rPr>
          <w:rFonts w:eastAsiaTheme="minorHAnsi"/>
          <w:lang w:val="es-ES" w:eastAsia="en-US"/>
        </w:rPr>
        <w:t>43%</w:t>
      </w:r>
      <w:r w:rsidRPr="002279C3">
        <w:rPr>
          <w:rFonts w:eastAsiaTheme="minorHAnsi"/>
          <w:lang w:val="es-ES" w:eastAsia="en-US"/>
        </w:rPr>
        <w:t xml:space="preserve"> del tota</w:t>
      </w:r>
      <w:r w:rsidR="002005F6">
        <w:rPr>
          <w:rFonts w:eastAsiaTheme="minorHAnsi"/>
          <w:lang w:val="es-ES" w:eastAsia="en-US"/>
        </w:rPr>
        <w:t>l de usuarios, seguidamente el e</w:t>
      </w:r>
      <w:r w:rsidRPr="002279C3">
        <w:rPr>
          <w:rFonts w:eastAsiaTheme="minorHAnsi"/>
          <w:lang w:val="es-ES" w:eastAsia="en-US"/>
        </w:rPr>
        <w:t xml:space="preserve">strato 1 </w:t>
      </w:r>
      <w:r w:rsidR="002005F6">
        <w:rPr>
          <w:rFonts w:eastAsiaTheme="minorHAnsi"/>
          <w:lang w:val="es-ES" w:eastAsia="en-US"/>
        </w:rPr>
        <w:t xml:space="preserve">con un </w:t>
      </w:r>
      <w:r w:rsidRPr="002005F6">
        <w:rPr>
          <w:rFonts w:eastAsiaTheme="minorHAnsi"/>
          <w:lang w:val="es-ES" w:eastAsia="en-US"/>
        </w:rPr>
        <w:t>23,2</w:t>
      </w:r>
      <w:r w:rsidR="002005F6">
        <w:rPr>
          <w:rFonts w:eastAsiaTheme="minorHAnsi"/>
          <w:lang w:val="es-ES" w:eastAsia="en-US"/>
        </w:rPr>
        <w:t>% y el e</w:t>
      </w:r>
      <w:r w:rsidRPr="002279C3">
        <w:rPr>
          <w:rFonts w:eastAsiaTheme="minorHAnsi"/>
          <w:lang w:val="es-ES" w:eastAsia="en-US"/>
        </w:rPr>
        <w:t xml:space="preserve">strato 3 el cual representa el </w:t>
      </w:r>
      <w:r w:rsidRPr="002005F6">
        <w:rPr>
          <w:rFonts w:eastAsiaTheme="minorHAnsi"/>
          <w:lang w:val="es-ES" w:eastAsia="en-US"/>
        </w:rPr>
        <w:t>22,3%;</w:t>
      </w:r>
      <w:r w:rsidR="002005F6">
        <w:rPr>
          <w:rFonts w:eastAsiaTheme="minorHAnsi"/>
          <w:lang w:val="es-ES" w:eastAsia="en-US"/>
        </w:rPr>
        <w:t xml:space="preserve"> los e</w:t>
      </w:r>
      <w:r w:rsidRPr="002279C3">
        <w:rPr>
          <w:rFonts w:eastAsiaTheme="minorHAnsi"/>
          <w:lang w:val="es-ES" w:eastAsia="en-US"/>
        </w:rPr>
        <w:t xml:space="preserve">stratos 4,5 y 6  representan el </w:t>
      </w:r>
      <w:r w:rsidRPr="002005F6">
        <w:rPr>
          <w:rFonts w:eastAsiaTheme="minorHAnsi"/>
          <w:lang w:val="es-ES" w:eastAsia="en-US"/>
        </w:rPr>
        <w:t>11,6%</w:t>
      </w:r>
      <w:r w:rsidRPr="002279C3">
        <w:rPr>
          <w:rFonts w:eastAsiaTheme="minorHAnsi"/>
          <w:lang w:val="es-ES" w:eastAsia="en-US"/>
        </w:rPr>
        <w:t xml:space="preserve"> restante. Cabe mencionar que a pesar de ser el Estrato 6 donde se presenta menos usuarios</w:t>
      </w:r>
      <w:r>
        <w:rPr>
          <w:rFonts w:eastAsiaTheme="minorHAnsi"/>
          <w:lang w:val="es-ES" w:eastAsia="en-US"/>
        </w:rPr>
        <w:t>,</w:t>
      </w:r>
      <w:r w:rsidRPr="002279C3">
        <w:rPr>
          <w:rFonts w:eastAsiaTheme="minorHAnsi"/>
          <w:lang w:val="es-ES" w:eastAsia="en-US"/>
        </w:rPr>
        <w:t xml:space="preserve"> el rango de consumo es mayor comparado al resto de los estratos. Evidentemente, a medida que aumenta el estrato las tarifas tienden a cubrir el costo de prestación del servicio.</w:t>
      </w:r>
    </w:p>
    <w:p w:rsidR="00EA3F6B" w:rsidRPr="002279C3" w:rsidRDefault="00EA3F6B" w:rsidP="00EA3F6B">
      <w:pPr>
        <w:pStyle w:val="NormalWeb"/>
        <w:spacing w:line="360" w:lineRule="auto"/>
        <w:jc w:val="both"/>
      </w:pPr>
      <w:r w:rsidRPr="002279C3">
        <w:t xml:space="preserve">    </w:t>
      </w:r>
      <w:r>
        <w:t>P</w:t>
      </w:r>
      <w:r w:rsidRPr="002279C3">
        <w:t>ara el año 2013</w:t>
      </w:r>
      <w:r w:rsidR="002005F6">
        <w:t>,</w:t>
      </w:r>
      <w:r w:rsidRPr="002279C3">
        <w:t xml:space="preserve"> el </w:t>
      </w:r>
      <w:r w:rsidR="002005F6">
        <w:t>servicio de gas natural se presta en 8 m</w:t>
      </w:r>
      <w:r w:rsidRPr="002279C3">
        <w:t>unicipios y tiene cerca de 114.340 usuarios residenciales. Ade</w:t>
      </w:r>
      <w:r w:rsidR="00424EF3">
        <w:t>más, cuenta con 1.870 usuarios c</w:t>
      </w:r>
      <w:r w:rsidRPr="002279C3">
        <w:t>omerciales y 41 usuarios industriales</w:t>
      </w:r>
      <w:r w:rsidR="00424EF3">
        <w:t>,</w:t>
      </w:r>
      <w:r w:rsidRPr="002279C3">
        <w:t xml:space="preserve"> para un total de aproximadamente 116.251 usuarios.</w:t>
      </w:r>
    </w:p>
    <w:p w:rsidR="00EA3F6B" w:rsidRPr="006F253E" w:rsidRDefault="002B4302" w:rsidP="00EA3F6B">
      <w:pPr>
        <w:autoSpaceDE w:val="0"/>
        <w:autoSpaceDN w:val="0"/>
        <w:adjustRightInd w:val="0"/>
        <w:jc w:val="both"/>
        <w:rPr>
          <w:rFonts w:eastAsiaTheme="minorHAnsi"/>
          <w:lang w:val="es-ES" w:eastAsia="en-US"/>
        </w:rPr>
      </w:pPr>
      <w:r>
        <w:rPr>
          <w:rFonts w:eastAsiaTheme="minorHAnsi"/>
          <w:lang w:val="es-ES" w:eastAsia="en-US"/>
        </w:rPr>
        <w:t>Gráfico 3.5</w:t>
      </w:r>
    </w:p>
    <w:p w:rsidR="00EA3F6B" w:rsidRPr="006F253E" w:rsidRDefault="00EA3F6B" w:rsidP="00EA3F6B">
      <w:pPr>
        <w:autoSpaceDE w:val="0"/>
        <w:autoSpaceDN w:val="0"/>
        <w:adjustRightInd w:val="0"/>
        <w:jc w:val="both"/>
        <w:rPr>
          <w:rFonts w:eastAsiaTheme="minorHAnsi"/>
          <w:lang w:val="es-ES" w:eastAsia="en-US"/>
        </w:rPr>
      </w:pPr>
      <w:r w:rsidRPr="006F253E">
        <w:rPr>
          <w:rFonts w:eastAsiaTheme="minorHAnsi"/>
          <w:lang w:val="es-ES" w:eastAsia="en-US"/>
        </w:rPr>
        <w:t>Número de suscriptores totales, por sectores, por municipio</w:t>
      </w:r>
    </w:p>
    <w:p w:rsidR="00EA3F6B" w:rsidRPr="006F253E" w:rsidRDefault="00EA3F6B" w:rsidP="00EA3F6B">
      <w:pPr>
        <w:autoSpaceDE w:val="0"/>
        <w:autoSpaceDN w:val="0"/>
        <w:adjustRightInd w:val="0"/>
        <w:jc w:val="both"/>
        <w:rPr>
          <w:rFonts w:eastAsiaTheme="minorHAnsi"/>
          <w:lang w:val="es-ES" w:eastAsia="en-US"/>
        </w:rPr>
      </w:pPr>
      <w:r w:rsidRPr="006F253E">
        <w:rPr>
          <w:rFonts w:eastAsiaTheme="minorHAnsi"/>
          <w:lang w:val="es-ES" w:eastAsia="en-US"/>
        </w:rPr>
        <w:t>Año 2013</w:t>
      </w:r>
    </w:p>
    <w:p w:rsidR="00EA3F6B" w:rsidRDefault="00EA3F6B" w:rsidP="00EA3F6B">
      <w:pPr>
        <w:autoSpaceDE w:val="0"/>
        <w:autoSpaceDN w:val="0"/>
        <w:adjustRightInd w:val="0"/>
        <w:jc w:val="center"/>
        <w:rPr>
          <w:rFonts w:eastAsiaTheme="minorHAnsi"/>
          <w:lang w:val="es-ES" w:eastAsia="en-US"/>
        </w:rPr>
      </w:pPr>
    </w:p>
    <w:p w:rsidR="00EA3F6B" w:rsidRPr="002279C3" w:rsidRDefault="00EA3F6B" w:rsidP="00EA3F6B">
      <w:pPr>
        <w:autoSpaceDE w:val="0"/>
        <w:autoSpaceDN w:val="0"/>
        <w:adjustRightInd w:val="0"/>
        <w:spacing w:line="360" w:lineRule="auto"/>
        <w:jc w:val="both"/>
        <w:rPr>
          <w:rFonts w:eastAsiaTheme="minorHAnsi"/>
          <w:b/>
          <w:lang w:val="es-ES" w:eastAsia="en-US"/>
        </w:rPr>
      </w:pPr>
      <w:r w:rsidRPr="002279C3">
        <w:rPr>
          <w:rFonts w:eastAsiaTheme="minorHAnsi"/>
          <w:b/>
          <w:noProof/>
        </w:rPr>
        <w:drawing>
          <wp:inline distT="0" distB="0" distL="0" distR="0" wp14:anchorId="75D26ED3" wp14:editId="24F27D41">
            <wp:extent cx="5505450" cy="2486025"/>
            <wp:effectExtent l="0" t="0" r="19050" b="9525"/>
            <wp:docPr id="4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A3F6B" w:rsidRPr="002279C3" w:rsidRDefault="00EA3F6B" w:rsidP="00EA3F6B">
      <w:pPr>
        <w:autoSpaceDE w:val="0"/>
        <w:autoSpaceDN w:val="0"/>
        <w:adjustRightInd w:val="0"/>
        <w:spacing w:line="360" w:lineRule="auto"/>
        <w:jc w:val="both"/>
        <w:rPr>
          <w:rFonts w:eastAsiaTheme="minorHAnsi"/>
          <w:sz w:val="16"/>
          <w:szCs w:val="16"/>
          <w:lang w:val="es-ES" w:eastAsia="en-US"/>
        </w:rPr>
      </w:pPr>
      <w:r w:rsidRPr="002279C3">
        <w:rPr>
          <w:rFonts w:eastAsiaTheme="minorHAnsi"/>
          <w:sz w:val="16"/>
          <w:szCs w:val="16"/>
          <w:lang w:val="es-ES" w:eastAsia="en-US"/>
        </w:rPr>
        <w:t>Fuente: EFIGAS</w:t>
      </w:r>
    </w:p>
    <w:p w:rsidR="00EA3F6B" w:rsidRPr="002279C3" w:rsidRDefault="00EA3F6B" w:rsidP="00EA3F6B">
      <w:pPr>
        <w:autoSpaceDE w:val="0"/>
        <w:autoSpaceDN w:val="0"/>
        <w:adjustRightInd w:val="0"/>
        <w:spacing w:line="360" w:lineRule="auto"/>
        <w:jc w:val="both"/>
        <w:rPr>
          <w:rFonts w:eastAsiaTheme="minorHAnsi"/>
          <w:lang w:val="es-ES" w:eastAsia="en-US"/>
        </w:rPr>
      </w:pPr>
    </w:p>
    <w:p w:rsidR="00EA3F6B" w:rsidRPr="002279C3" w:rsidRDefault="00EA3F6B" w:rsidP="009F7760">
      <w:pPr>
        <w:spacing w:line="360" w:lineRule="auto"/>
        <w:ind w:firstLine="284"/>
        <w:jc w:val="both"/>
        <w:rPr>
          <w:lang w:val="es-ES"/>
        </w:rPr>
      </w:pPr>
      <w:r w:rsidRPr="002279C3">
        <w:rPr>
          <w:lang w:val="es-ES"/>
        </w:rPr>
        <w:t>En 2013, los suscriptores</w:t>
      </w:r>
      <w:r w:rsidR="009F7760">
        <w:rPr>
          <w:lang w:val="es-ES"/>
        </w:rPr>
        <w:t xml:space="preserve"> del servicio de gas</w:t>
      </w:r>
      <w:r w:rsidRPr="002279C3">
        <w:rPr>
          <w:lang w:val="es-ES"/>
        </w:rPr>
        <w:t xml:space="preserve"> para el Departamento del Quindío</w:t>
      </w:r>
      <w:r w:rsidR="009F7760">
        <w:rPr>
          <w:lang w:val="es-ES"/>
        </w:rPr>
        <w:t>,</w:t>
      </w:r>
      <w:r w:rsidRPr="002279C3">
        <w:rPr>
          <w:lang w:val="es-ES"/>
        </w:rPr>
        <w:t xml:space="preserve"> están concentrados en el </w:t>
      </w:r>
      <w:r w:rsidR="009F7760">
        <w:rPr>
          <w:lang w:val="es-ES"/>
        </w:rPr>
        <w:t xml:space="preserve">sector </w:t>
      </w:r>
      <w:r w:rsidRPr="002279C3">
        <w:rPr>
          <w:lang w:val="es-ES"/>
        </w:rPr>
        <w:t xml:space="preserve">residencial, </w:t>
      </w:r>
      <w:r w:rsidR="009F7760">
        <w:rPr>
          <w:lang w:val="es-ES"/>
        </w:rPr>
        <w:t>le sigue</w:t>
      </w:r>
      <w:r w:rsidRPr="002279C3">
        <w:rPr>
          <w:lang w:val="es-ES"/>
        </w:rPr>
        <w:t xml:space="preserve"> en número de suscriptores el</w:t>
      </w:r>
      <w:r w:rsidR="009F7760">
        <w:rPr>
          <w:lang w:val="es-ES"/>
        </w:rPr>
        <w:t xml:space="preserve"> sector</w:t>
      </w:r>
      <w:r w:rsidRPr="002279C3">
        <w:rPr>
          <w:lang w:val="es-ES"/>
        </w:rPr>
        <w:t xml:space="preserve"> comercial y finalmente </w:t>
      </w:r>
      <w:r w:rsidR="009F7760">
        <w:rPr>
          <w:lang w:val="es-ES"/>
        </w:rPr>
        <w:t>se encuentra</w:t>
      </w:r>
      <w:r w:rsidRPr="002279C3">
        <w:rPr>
          <w:lang w:val="es-ES"/>
        </w:rPr>
        <w:t xml:space="preserve"> el industrial.</w:t>
      </w:r>
    </w:p>
    <w:p w:rsidR="00EA3F6B" w:rsidRDefault="00EA3F6B" w:rsidP="00EA3F6B">
      <w:pPr>
        <w:jc w:val="both"/>
        <w:rPr>
          <w:rFonts w:eastAsiaTheme="minorHAnsi"/>
          <w:lang w:val="es-ES" w:eastAsia="en-US"/>
        </w:rPr>
      </w:pPr>
    </w:p>
    <w:p w:rsidR="00424EF3" w:rsidRDefault="00424EF3" w:rsidP="00EA3F6B">
      <w:pPr>
        <w:jc w:val="both"/>
        <w:rPr>
          <w:rFonts w:eastAsiaTheme="minorHAnsi"/>
          <w:lang w:val="es-ES" w:eastAsia="en-US"/>
        </w:rPr>
      </w:pPr>
    </w:p>
    <w:p w:rsidR="00424EF3" w:rsidRDefault="00424EF3" w:rsidP="00EA3F6B">
      <w:pPr>
        <w:jc w:val="both"/>
        <w:rPr>
          <w:rFonts w:eastAsiaTheme="minorHAnsi"/>
          <w:lang w:val="es-ES" w:eastAsia="en-US"/>
        </w:rPr>
      </w:pPr>
    </w:p>
    <w:p w:rsidR="00EA3F6B" w:rsidRPr="006F253E" w:rsidRDefault="00EA3F6B" w:rsidP="00EA3F6B">
      <w:pPr>
        <w:autoSpaceDE w:val="0"/>
        <w:autoSpaceDN w:val="0"/>
        <w:adjustRightInd w:val="0"/>
        <w:jc w:val="both"/>
        <w:rPr>
          <w:rFonts w:eastAsiaTheme="minorHAnsi"/>
          <w:lang w:val="es-ES" w:eastAsia="en-US"/>
        </w:rPr>
      </w:pPr>
      <w:r w:rsidRPr="006F253E">
        <w:rPr>
          <w:rFonts w:eastAsiaTheme="minorHAnsi"/>
          <w:lang w:val="es-ES" w:eastAsia="en-US"/>
        </w:rPr>
        <w:lastRenderedPageBreak/>
        <w:t>Gráfico</w:t>
      </w:r>
      <w:r w:rsidR="00BD703D">
        <w:rPr>
          <w:rFonts w:eastAsiaTheme="minorHAnsi"/>
          <w:lang w:val="es-ES" w:eastAsia="en-US"/>
        </w:rPr>
        <w:t xml:space="preserve"> 3.6</w:t>
      </w:r>
    </w:p>
    <w:p w:rsidR="00EA3F6B" w:rsidRPr="006F253E" w:rsidRDefault="00EA3F6B" w:rsidP="00EA3F6B">
      <w:pPr>
        <w:autoSpaceDE w:val="0"/>
        <w:autoSpaceDN w:val="0"/>
        <w:adjustRightInd w:val="0"/>
        <w:jc w:val="both"/>
        <w:rPr>
          <w:rFonts w:eastAsiaTheme="minorHAnsi"/>
          <w:lang w:val="es-ES" w:eastAsia="en-US"/>
        </w:rPr>
      </w:pPr>
      <w:r w:rsidRPr="006F253E">
        <w:rPr>
          <w:rFonts w:eastAsiaTheme="minorHAnsi"/>
          <w:lang w:val="es-ES" w:eastAsia="en-US"/>
        </w:rPr>
        <w:t>Suscriptores según estrato socio económico</w:t>
      </w:r>
    </w:p>
    <w:p w:rsidR="008E1BA0" w:rsidRDefault="00EA3F6B" w:rsidP="008E1BA0">
      <w:pPr>
        <w:autoSpaceDE w:val="0"/>
        <w:autoSpaceDN w:val="0"/>
        <w:adjustRightInd w:val="0"/>
        <w:jc w:val="both"/>
        <w:rPr>
          <w:rFonts w:eastAsiaTheme="minorHAnsi"/>
          <w:lang w:val="es-ES" w:eastAsia="en-US"/>
        </w:rPr>
      </w:pPr>
      <w:r w:rsidRPr="006F253E">
        <w:rPr>
          <w:rFonts w:eastAsiaTheme="minorHAnsi"/>
          <w:lang w:val="es-ES" w:eastAsia="en-US"/>
        </w:rPr>
        <w:t xml:space="preserve">Año 2012 </w:t>
      </w:r>
      <w:r w:rsidR="008E1BA0">
        <w:rPr>
          <w:rFonts w:eastAsiaTheme="minorHAnsi"/>
          <w:lang w:val="es-ES" w:eastAsia="en-US"/>
        </w:rPr>
        <w:t>–</w:t>
      </w:r>
      <w:r w:rsidRPr="006F253E">
        <w:rPr>
          <w:rFonts w:eastAsiaTheme="minorHAnsi"/>
          <w:lang w:val="es-ES" w:eastAsia="en-US"/>
        </w:rPr>
        <w:t xml:space="preserve"> 2013</w:t>
      </w:r>
    </w:p>
    <w:p w:rsidR="008E1BA0" w:rsidRPr="002B4302" w:rsidRDefault="008E1BA0" w:rsidP="008E1BA0">
      <w:pPr>
        <w:autoSpaceDE w:val="0"/>
        <w:autoSpaceDN w:val="0"/>
        <w:adjustRightInd w:val="0"/>
        <w:jc w:val="both"/>
        <w:rPr>
          <w:rFonts w:eastAsiaTheme="minorHAnsi"/>
          <w:sz w:val="2"/>
          <w:lang w:val="es-ES" w:eastAsia="en-US"/>
        </w:rPr>
      </w:pPr>
    </w:p>
    <w:p w:rsidR="008E1BA0" w:rsidRPr="008E1BA0" w:rsidRDefault="008E1BA0" w:rsidP="008E1BA0">
      <w:pPr>
        <w:autoSpaceDE w:val="0"/>
        <w:autoSpaceDN w:val="0"/>
        <w:adjustRightInd w:val="0"/>
        <w:jc w:val="both"/>
        <w:rPr>
          <w:rFonts w:eastAsiaTheme="minorHAnsi"/>
          <w:sz w:val="16"/>
          <w:lang w:val="es-ES" w:eastAsia="en-US"/>
        </w:rPr>
      </w:pPr>
    </w:p>
    <w:p w:rsidR="00EA3F6B" w:rsidRPr="002279C3" w:rsidRDefault="00EA3F6B" w:rsidP="00EA3F6B">
      <w:pPr>
        <w:spacing w:line="360" w:lineRule="auto"/>
        <w:jc w:val="both"/>
        <w:rPr>
          <w:rFonts w:eastAsiaTheme="minorHAnsi"/>
          <w:lang w:val="es-ES" w:eastAsia="en-US"/>
        </w:rPr>
      </w:pPr>
      <w:r w:rsidRPr="002279C3">
        <w:rPr>
          <w:rFonts w:eastAsiaTheme="minorHAnsi"/>
          <w:noProof/>
        </w:rPr>
        <w:drawing>
          <wp:inline distT="0" distB="0" distL="0" distR="0" wp14:anchorId="05BBEFF9" wp14:editId="15F1D044">
            <wp:extent cx="4258102" cy="2129051"/>
            <wp:effectExtent l="0" t="0" r="9525" b="24130"/>
            <wp:docPr id="4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A3F6B" w:rsidRDefault="00EA3F6B" w:rsidP="00EA3F6B">
      <w:pPr>
        <w:spacing w:line="360" w:lineRule="auto"/>
        <w:jc w:val="both"/>
        <w:rPr>
          <w:rFonts w:eastAsiaTheme="minorHAnsi"/>
          <w:sz w:val="16"/>
          <w:szCs w:val="16"/>
          <w:lang w:val="es-ES" w:eastAsia="en-US"/>
        </w:rPr>
      </w:pPr>
      <w:r w:rsidRPr="002279C3">
        <w:rPr>
          <w:rFonts w:eastAsiaTheme="minorHAnsi"/>
          <w:sz w:val="16"/>
          <w:szCs w:val="16"/>
          <w:lang w:val="es-ES" w:eastAsia="en-US"/>
        </w:rPr>
        <w:t>Fuente: EFIGAS</w:t>
      </w:r>
    </w:p>
    <w:p w:rsidR="000D688E" w:rsidRPr="002B4302" w:rsidRDefault="000D688E" w:rsidP="00EA3F6B">
      <w:pPr>
        <w:spacing w:line="360" w:lineRule="auto"/>
        <w:jc w:val="both"/>
        <w:rPr>
          <w:rFonts w:eastAsiaTheme="minorHAnsi"/>
          <w:b/>
          <w:sz w:val="18"/>
          <w:lang w:val="es-ES" w:eastAsia="en-US"/>
        </w:rPr>
      </w:pPr>
    </w:p>
    <w:p w:rsidR="00EA3F6B" w:rsidRPr="002279C3" w:rsidRDefault="00EA3F6B" w:rsidP="000703A6">
      <w:pPr>
        <w:pStyle w:val="Default"/>
        <w:spacing w:line="360" w:lineRule="auto"/>
        <w:jc w:val="both"/>
        <w:rPr>
          <w:rFonts w:ascii="Times New Roman" w:hAnsi="Times New Roman" w:cs="Times New Roman"/>
        </w:rPr>
      </w:pPr>
      <w:r w:rsidRPr="002279C3">
        <w:rPr>
          <w:rFonts w:ascii="Times New Roman" w:hAnsi="Times New Roman" w:cs="Times New Roman"/>
        </w:rPr>
        <w:t xml:space="preserve">     El Quindío, </w:t>
      </w:r>
      <w:r>
        <w:rPr>
          <w:rFonts w:ascii="Times New Roman" w:hAnsi="Times New Roman" w:cs="Times New Roman"/>
        </w:rPr>
        <w:t xml:space="preserve"> presentó</w:t>
      </w:r>
      <w:r w:rsidRPr="002279C3">
        <w:rPr>
          <w:rFonts w:ascii="Times New Roman" w:hAnsi="Times New Roman" w:cs="Times New Roman"/>
        </w:rPr>
        <w:t xml:space="preserve"> un</w:t>
      </w:r>
      <w:r>
        <w:rPr>
          <w:rFonts w:ascii="Times New Roman" w:hAnsi="Times New Roman" w:cs="Times New Roman"/>
        </w:rPr>
        <w:t>a tendencia moderada</w:t>
      </w:r>
      <w:r w:rsidRPr="002279C3">
        <w:rPr>
          <w:rFonts w:ascii="Times New Roman" w:hAnsi="Times New Roman" w:cs="Times New Roman"/>
        </w:rPr>
        <w:t xml:space="preserve"> de crecimiento en el sector de gas n</w:t>
      </w:r>
      <w:r>
        <w:rPr>
          <w:rFonts w:ascii="Times New Roman" w:hAnsi="Times New Roman" w:cs="Times New Roman"/>
        </w:rPr>
        <w:t>atural</w:t>
      </w:r>
      <w:r w:rsidRPr="002279C3">
        <w:rPr>
          <w:rFonts w:ascii="Times New Roman" w:hAnsi="Times New Roman" w:cs="Times New Roman"/>
        </w:rPr>
        <w:t xml:space="preserve">.  </w:t>
      </w:r>
      <w:r>
        <w:rPr>
          <w:rFonts w:ascii="Times New Roman" w:hAnsi="Times New Roman" w:cs="Times New Roman"/>
        </w:rPr>
        <w:t xml:space="preserve">Durante las vigencias 2012 y </w:t>
      </w:r>
      <w:r w:rsidRPr="002279C3">
        <w:rPr>
          <w:rFonts w:ascii="Times New Roman" w:hAnsi="Times New Roman" w:cs="Times New Roman"/>
        </w:rPr>
        <w:t>2013</w:t>
      </w:r>
      <w:r w:rsidR="00140117">
        <w:rPr>
          <w:rFonts w:ascii="Times New Roman" w:hAnsi="Times New Roman" w:cs="Times New Roman"/>
        </w:rPr>
        <w:t>,</w:t>
      </w:r>
      <w:r w:rsidRPr="002279C3">
        <w:rPr>
          <w:rFonts w:ascii="Times New Roman" w:hAnsi="Times New Roman" w:cs="Times New Roman"/>
        </w:rPr>
        <w:t xml:space="preserve"> se </w:t>
      </w:r>
      <w:r>
        <w:rPr>
          <w:rFonts w:ascii="Times New Roman" w:hAnsi="Times New Roman" w:cs="Times New Roman"/>
        </w:rPr>
        <w:t>evidenció u</w:t>
      </w:r>
      <w:r w:rsidR="00140117">
        <w:rPr>
          <w:rFonts w:ascii="Times New Roman" w:hAnsi="Times New Roman" w:cs="Times New Roman"/>
        </w:rPr>
        <w:t>n aumento del n</w:t>
      </w:r>
      <w:r w:rsidRPr="002279C3">
        <w:rPr>
          <w:rFonts w:ascii="Times New Roman" w:hAnsi="Times New Roman" w:cs="Times New Roman"/>
        </w:rPr>
        <w:t>úmero de usuarios de gas natural e</w:t>
      </w:r>
      <w:r w:rsidR="00140117">
        <w:rPr>
          <w:rFonts w:ascii="Times New Roman" w:hAnsi="Times New Roman" w:cs="Times New Roman"/>
        </w:rPr>
        <w:t xml:space="preserve">n un 5,66%. </w:t>
      </w:r>
      <w:r w:rsidRPr="002279C3">
        <w:rPr>
          <w:rFonts w:ascii="Times New Roman" w:hAnsi="Times New Roman" w:cs="Times New Roman"/>
        </w:rPr>
        <w:t>Entre el año 2012 al 2013</w:t>
      </w:r>
      <w:r>
        <w:rPr>
          <w:rFonts w:ascii="Times New Roman" w:hAnsi="Times New Roman" w:cs="Times New Roman"/>
        </w:rPr>
        <w:t>, la</w:t>
      </w:r>
      <w:r w:rsidRPr="002279C3">
        <w:rPr>
          <w:rFonts w:ascii="Times New Roman" w:hAnsi="Times New Roman" w:cs="Times New Roman"/>
        </w:rPr>
        <w:t xml:space="preserve">  mayor canti</w:t>
      </w:r>
      <w:r w:rsidR="00031D8F">
        <w:rPr>
          <w:rFonts w:ascii="Times New Roman" w:hAnsi="Times New Roman" w:cs="Times New Roman"/>
        </w:rPr>
        <w:t>dad de usuarios registrado por estrato en el m</w:t>
      </w:r>
      <w:r w:rsidRPr="002279C3">
        <w:rPr>
          <w:rFonts w:ascii="Times New Roman" w:hAnsi="Times New Roman" w:cs="Times New Roman"/>
        </w:rPr>
        <w:t xml:space="preserve">unicipio de Armenia, </w:t>
      </w:r>
      <w:r>
        <w:rPr>
          <w:rFonts w:ascii="Times New Roman" w:hAnsi="Times New Roman" w:cs="Times New Roman"/>
        </w:rPr>
        <w:t xml:space="preserve"> se reflejó </w:t>
      </w:r>
      <w:r w:rsidRPr="002279C3">
        <w:rPr>
          <w:rFonts w:ascii="Times New Roman" w:hAnsi="Times New Roman" w:cs="Times New Roman"/>
        </w:rPr>
        <w:t xml:space="preserve"> en el estrato 5  con un  porcentaje de usuarios nuevos  </w:t>
      </w:r>
      <w:r w:rsidR="00031D8F">
        <w:rPr>
          <w:rFonts w:ascii="Times New Roman" w:hAnsi="Times New Roman" w:cs="Times New Roman"/>
        </w:rPr>
        <w:t>del 13,3%, seguidamente por el e</w:t>
      </w:r>
      <w:r w:rsidRPr="002279C3">
        <w:rPr>
          <w:rFonts w:ascii="Times New Roman" w:hAnsi="Times New Roman" w:cs="Times New Roman"/>
        </w:rPr>
        <w:t>strato 4 con un 11,9%.</w:t>
      </w:r>
    </w:p>
    <w:p w:rsidR="00EA3F6B" w:rsidRPr="007352B6" w:rsidRDefault="00EA3F6B" w:rsidP="00EA3F6B">
      <w:pPr>
        <w:pStyle w:val="Default"/>
        <w:jc w:val="center"/>
        <w:rPr>
          <w:rFonts w:ascii="Times New Roman" w:hAnsi="Times New Roman" w:cs="Times New Roman"/>
          <w:b/>
        </w:rPr>
      </w:pPr>
    </w:p>
    <w:p w:rsidR="00EA3F6B" w:rsidRPr="00324BCB" w:rsidRDefault="00EA3F6B" w:rsidP="00EA3F6B">
      <w:pPr>
        <w:pStyle w:val="Default"/>
        <w:jc w:val="both"/>
        <w:rPr>
          <w:rFonts w:ascii="Times New Roman" w:hAnsi="Times New Roman" w:cs="Times New Roman"/>
        </w:rPr>
      </w:pPr>
      <w:r w:rsidRPr="00324BCB">
        <w:rPr>
          <w:rFonts w:ascii="Times New Roman" w:hAnsi="Times New Roman" w:cs="Times New Roman"/>
        </w:rPr>
        <w:t>Gráfic</w:t>
      </w:r>
      <w:r w:rsidR="00BD703D">
        <w:rPr>
          <w:rFonts w:ascii="Times New Roman" w:hAnsi="Times New Roman" w:cs="Times New Roman"/>
        </w:rPr>
        <w:t>o 3.7</w:t>
      </w:r>
      <w:r w:rsidRPr="00324BCB">
        <w:rPr>
          <w:rFonts w:ascii="Times New Roman" w:hAnsi="Times New Roman" w:cs="Times New Roman"/>
        </w:rPr>
        <w:t xml:space="preserve"> </w:t>
      </w:r>
    </w:p>
    <w:p w:rsidR="00EA3F6B" w:rsidRPr="00324BCB" w:rsidRDefault="00EA3F6B" w:rsidP="00EA3F6B">
      <w:pPr>
        <w:pStyle w:val="Default"/>
        <w:jc w:val="both"/>
        <w:rPr>
          <w:rFonts w:ascii="Times New Roman" w:hAnsi="Times New Roman" w:cs="Times New Roman"/>
        </w:rPr>
      </w:pPr>
      <w:r w:rsidRPr="00324BCB">
        <w:rPr>
          <w:rFonts w:ascii="Times New Roman" w:hAnsi="Times New Roman" w:cs="Times New Roman"/>
        </w:rPr>
        <w:t>Cobertura  efectiva del Servicio,  por municipio (%)</w:t>
      </w:r>
    </w:p>
    <w:p w:rsidR="00EA3F6B" w:rsidRPr="00324BCB" w:rsidRDefault="00EA3F6B" w:rsidP="00EA3F6B">
      <w:pPr>
        <w:pStyle w:val="Default"/>
        <w:jc w:val="both"/>
        <w:rPr>
          <w:rFonts w:ascii="Times New Roman" w:hAnsi="Times New Roman" w:cs="Times New Roman"/>
        </w:rPr>
      </w:pPr>
      <w:r w:rsidRPr="00324BCB">
        <w:rPr>
          <w:rFonts w:ascii="Times New Roman" w:hAnsi="Times New Roman" w:cs="Times New Roman"/>
        </w:rPr>
        <w:t>Año 2013</w:t>
      </w:r>
    </w:p>
    <w:p w:rsidR="00EA3F6B" w:rsidRPr="002279C3" w:rsidRDefault="00EA3F6B" w:rsidP="00EA3F6B">
      <w:pPr>
        <w:pStyle w:val="Default"/>
        <w:spacing w:line="360" w:lineRule="auto"/>
        <w:jc w:val="both"/>
        <w:rPr>
          <w:rFonts w:ascii="Times New Roman" w:hAnsi="Times New Roman" w:cs="Times New Roman"/>
          <w:b/>
          <w:sz w:val="10"/>
          <w:szCs w:val="10"/>
        </w:rPr>
      </w:pPr>
    </w:p>
    <w:p w:rsidR="00EA3F6B" w:rsidRPr="002279C3" w:rsidRDefault="00EA3F6B" w:rsidP="000D688E">
      <w:pPr>
        <w:pStyle w:val="Default"/>
        <w:spacing w:line="360" w:lineRule="auto"/>
        <w:rPr>
          <w:rFonts w:ascii="Times New Roman" w:hAnsi="Times New Roman" w:cs="Times New Roman"/>
        </w:rPr>
      </w:pPr>
      <w:r w:rsidRPr="002279C3">
        <w:rPr>
          <w:rFonts w:ascii="Times New Roman" w:hAnsi="Times New Roman" w:cs="Times New Roman"/>
          <w:noProof/>
          <w:lang w:val="es-CO" w:eastAsia="es-CO"/>
        </w:rPr>
        <w:drawing>
          <wp:inline distT="0" distB="0" distL="0" distR="0" wp14:anchorId="78CF8C01" wp14:editId="4D3AF142">
            <wp:extent cx="4954138" cy="2169994"/>
            <wp:effectExtent l="0" t="0" r="18415" b="20955"/>
            <wp:docPr id="4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A3F6B" w:rsidRPr="002279C3" w:rsidRDefault="00EA3F6B" w:rsidP="00EA3F6B">
      <w:pPr>
        <w:pStyle w:val="Default"/>
        <w:spacing w:line="360" w:lineRule="auto"/>
        <w:jc w:val="both"/>
        <w:rPr>
          <w:rFonts w:ascii="Times New Roman" w:hAnsi="Times New Roman" w:cs="Times New Roman"/>
          <w:sz w:val="16"/>
          <w:szCs w:val="16"/>
        </w:rPr>
      </w:pPr>
      <w:r w:rsidRPr="002279C3">
        <w:rPr>
          <w:rFonts w:ascii="Times New Roman" w:hAnsi="Times New Roman" w:cs="Times New Roman"/>
          <w:sz w:val="16"/>
          <w:szCs w:val="16"/>
        </w:rPr>
        <w:t xml:space="preserve">        Fuente: EFIGAS</w:t>
      </w:r>
    </w:p>
    <w:p w:rsidR="00EA3F6B" w:rsidRDefault="000C7B5F" w:rsidP="0024627E">
      <w:pPr>
        <w:pStyle w:val="Sinespaciado"/>
        <w:spacing w:line="360" w:lineRule="auto"/>
        <w:ind w:firstLine="284"/>
        <w:rPr>
          <w:rFonts w:ascii="Times New Roman" w:hAnsi="Times New Roman"/>
          <w:sz w:val="24"/>
          <w:szCs w:val="24"/>
        </w:rPr>
      </w:pPr>
      <w:r>
        <w:rPr>
          <w:rFonts w:ascii="Times New Roman" w:hAnsi="Times New Roman"/>
          <w:sz w:val="24"/>
          <w:szCs w:val="24"/>
        </w:rPr>
        <w:lastRenderedPageBreak/>
        <w:t>P</w:t>
      </w:r>
      <w:r w:rsidR="00EA3F6B" w:rsidRPr="0024627E">
        <w:rPr>
          <w:rFonts w:ascii="Times New Roman" w:hAnsi="Times New Roman"/>
          <w:sz w:val="24"/>
          <w:szCs w:val="24"/>
        </w:rPr>
        <w:t xml:space="preserve">ara el año 2013 </w:t>
      </w:r>
      <w:r>
        <w:rPr>
          <w:rFonts w:ascii="Times New Roman" w:hAnsi="Times New Roman"/>
          <w:sz w:val="24"/>
          <w:szCs w:val="24"/>
        </w:rPr>
        <w:t>la cobertura de gas domiciliario</w:t>
      </w:r>
      <w:r>
        <w:rPr>
          <w:rStyle w:val="Refdenotaalpie"/>
          <w:rFonts w:ascii="Times New Roman" w:hAnsi="Times New Roman"/>
          <w:sz w:val="24"/>
          <w:szCs w:val="24"/>
        </w:rPr>
        <w:footnoteReference w:id="27"/>
      </w:r>
      <w:r>
        <w:rPr>
          <w:rFonts w:ascii="Times New Roman" w:hAnsi="Times New Roman"/>
          <w:sz w:val="24"/>
          <w:szCs w:val="24"/>
        </w:rPr>
        <w:t xml:space="preserve"> </w:t>
      </w:r>
      <w:r w:rsidR="00EA3F6B" w:rsidRPr="0024627E">
        <w:rPr>
          <w:rFonts w:ascii="Times New Roman" w:hAnsi="Times New Roman"/>
          <w:sz w:val="24"/>
          <w:szCs w:val="24"/>
        </w:rPr>
        <w:t>fue de</w:t>
      </w:r>
      <w:r w:rsidR="008F2CDD">
        <w:rPr>
          <w:rFonts w:ascii="Times New Roman" w:hAnsi="Times New Roman"/>
          <w:sz w:val="24"/>
          <w:szCs w:val="24"/>
        </w:rPr>
        <w:t>l</w:t>
      </w:r>
      <w:r w:rsidR="00EA3F6B" w:rsidRPr="0024627E">
        <w:rPr>
          <w:rFonts w:ascii="Times New Roman" w:hAnsi="Times New Roman"/>
          <w:sz w:val="24"/>
          <w:szCs w:val="24"/>
        </w:rPr>
        <w:t xml:space="preserve"> 83% </w:t>
      </w:r>
      <w:r w:rsidR="008F2CDD">
        <w:rPr>
          <w:rFonts w:ascii="Times New Roman" w:hAnsi="Times New Roman"/>
          <w:sz w:val="24"/>
          <w:szCs w:val="24"/>
        </w:rPr>
        <w:t xml:space="preserve">en el Departamento, cifra que se encuentra </w:t>
      </w:r>
      <w:r w:rsidR="00EA3F6B" w:rsidRPr="0024627E">
        <w:rPr>
          <w:rFonts w:ascii="Times New Roman" w:hAnsi="Times New Roman"/>
          <w:sz w:val="24"/>
          <w:szCs w:val="24"/>
        </w:rPr>
        <w:t>por encima del promedio Nacional, el cual, según datos del  Ministerio de Minas y Energía</w:t>
      </w:r>
      <w:r w:rsidR="008F2CDD">
        <w:rPr>
          <w:rFonts w:ascii="Times New Roman" w:hAnsi="Times New Roman"/>
          <w:sz w:val="24"/>
          <w:szCs w:val="24"/>
        </w:rPr>
        <w:t>,</w:t>
      </w:r>
      <w:r w:rsidR="00EA3F6B" w:rsidRPr="0024627E">
        <w:rPr>
          <w:rFonts w:ascii="Times New Roman" w:hAnsi="Times New Roman"/>
          <w:sz w:val="24"/>
          <w:szCs w:val="24"/>
        </w:rPr>
        <w:t xml:space="preserve"> fue del 79.2%. </w:t>
      </w:r>
    </w:p>
    <w:p w:rsidR="005F3B75" w:rsidRDefault="005F3B75" w:rsidP="0024627E">
      <w:pPr>
        <w:pStyle w:val="Sinespaciado"/>
        <w:spacing w:line="360" w:lineRule="auto"/>
        <w:ind w:firstLine="284"/>
        <w:rPr>
          <w:rFonts w:ascii="Times New Roman" w:hAnsi="Times New Roman"/>
          <w:sz w:val="24"/>
          <w:szCs w:val="24"/>
        </w:rPr>
      </w:pPr>
    </w:p>
    <w:p w:rsidR="00A03528" w:rsidRPr="0024627E" w:rsidRDefault="00A03528" w:rsidP="0024627E">
      <w:pPr>
        <w:pStyle w:val="Sinespaciado"/>
        <w:spacing w:line="360" w:lineRule="auto"/>
        <w:ind w:firstLine="284"/>
        <w:rPr>
          <w:rFonts w:ascii="Times New Roman" w:hAnsi="Times New Roman"/>
          <w:sz w:val="24"/>
          <w:szCs w:val="24"/>
        </w:rPr>
      </w:pPr>
    </w:p>
    <w:p w:rsidR="00EA3F6B" w:rsidRPr="00F12519" w:rsidRDefault="00F12519" w:rsidP="00F12519">
      <w:pPr>
        <w:pStyle w:val="Ttulo2"/>
        <w:rPr>
          <w:rFonts w:ascii="Times New Roman" w:hAnsi="Times New Roman" w:cs="Times New Roman"/>
          <w:color w:val="auto"/>
          <w:sz w:val="30"/>
          <w:szCs w:val="30"/>
        </w:rPr>
      </w:pPr>
      <w:bookmarkStart w:id="31" w:name="_Toc406754298"/>
      <w:r w:rsidRPr="00F12519">
        <w:rPr>
          <w:rFonts w:ascii="Times New Roman" w:hAnsi="Times New Roman" w:cs="Times New Roman"/>
          <w:color w:val="auto"/>
          <w:sz w:val="30"/>
          <w:szCs w:val="30"/>
        </w:rPr>
        <w:t xml:space="preserve">3.3 </w:t>
      </w:r>
      <w:r w:rsidR="00EA3F6B" w:rsidRPr="00F12519">
        <w:rPr>
          <w:rFonts w:ascii="Times New Roman" w:hAnsi="Times New Roman" w:cs="Times New Roman"/>
          <w:color w:val="auto"/>
          <w:sz w:val="30"/>
          <w:szCs w:val="30"/>
        </w:rPr>
        <w:t>Acueducto, Alcantarillado y  Aseo</w:t>
      </w:r>
      <w:bookmarkEnd w:id="31"/>
      <w:r w:rsidR="00EA3F6B" w:rsidRPr="00F12519">
        <w:rPr>
          <w:rFonts w:ascii="Times New Roman" w:hAnsi="Times New Roman" w:cs="Times New Roman"/>
          <w:color w:val="auto"/>
          <w:sz w:val="30"/>
          <w:szCs w:val="30"/>
        </w:rPr>
        <w:t xml:space="preserve"> </w:t>
      </w:r>
    </w:p>
    <w:p w:rsidR="005F3B75" w:rsidRDefault="005F3B75" w:rsidP="00F12519">
      <w:pPr>
        <w:pStyle w:val="Ttulo2"/>
        <w:jc w:val="both"/>
        <w:rPr>
          <w:rFonts w:ascii="Times New Roman" w:hAnsi="Times New Roman" w:cs="Times New Roman"/>
          <w:color w:val="auto"/>
          <w:sz w:val="24"/>
          <w:szCs w:val="24"/>
        </w:rPr>
      </w:pPr>
    </w:p>
    <w:p w:rsidR="00EA3F6B" w:rsidRPr="00F12519" w:rsidRDefault="00F12519" w:rsidP="00F12519">
      <w:pPr>
        <w:pStyle w:val="Ttulo2"/>
        <w:jc w:val="both"/>
        <w:rPr>
          <w:rFonts w:ascii="Times New Roman" w:hAnsi="Times New Roman" w:cs="Times New Roman"/>
          <w:color w:val="auto"/>
          <w:sz w:val="24"/>
          <w:szCs w:val="24"/>
        </w:rPr>
      </w:pPr>
      <w:bookmarkStart w:id="32" w:name="_Toc406754299"/>
      <w:r w:rsidRPr="00F12519">
        <w:rPr>
          <w:rFonts w:ascii="Times New Roman" w:hAnsi="Times New Roman" w:cs="Times New Roman"/>
          <w:color w:val="auto"/>
          <w:sz w:val="24"/>
          <w:szCs w:val="24"/>
        </w:rPr>
        <w:t xml:space="preserve">3.3.1 </w:t>
      </w:r>
      <w:r w:rsidR="00EA3F6B" w:rsidRPr="00F12519">
        <w:rPr>
          <w:rFonts w:ascii="Times New Roman" w:hAnsi="Times New Roman" w:cs="Times New Roman"/>
          <w:color w:val="auto"/>
          <w:sz w:val="24"/>
          <w:szCs w:val="24"/>
        </w:rPr>
        <w:t>Programa Agua y Saneamiento Para La Prosperidad – Plan Departamental de Aguas PAP-PDA</w:t>
      </w:r>
      <w:bookmarkEnd w:id="32"/>
    </w:p>
    <w:p w:rsidR="005F3B75" w:rsidRPr="00025E9F" w:rsidRDefault="005F3B75" w:rsidP="00EA3F6B">
      <w:pPr>
        <w:pStyle w:val="Sinespaciado"/>
        <w:spacing w:line="360" w:lineRule="auto"/>
        <w:rPr>
          <w:rFonts w:ascii="Times New Roman" w:hAnsi="Times New Roman"/>
          <w:szCs w:val="24"/>
        </w:rPr>
      </w:pPr>
    </w:p>
    <w:p w:rsidR="00EA3F6B" w:rsidRPr="00EA518C" w:rsidRDefault="00EA3F6B" w:rsidP="00FA6723">
      <w:pPr>
        <w:pStyle w:val="Sinespaciado"/>
        <w:spacing w:line="360" w:lineRule="auto"/>
        <w:ind w:firstLine="284"/>
        <w:rPr>
          <w:rFonts w:ascii="Times New Roman" w:hAnsi="Times New Roman"/>
          <w:sz w:val="24"/>
          <w:szCs w:val="24"/>
        </w:rPr>
      </w:pPr>
      <w:r w:rsidRPr="00EA518C">
        <w:rPr>
          <w:rFonts w:ascii="Times New Roman" w:hAnsi="Times New Roman"/>
          <w:sz w:val="24"/>
          <w:szCs w:val="24"/>
        </w:rPr>
        <w:t>De acuerdo con los objetivos planteados en Pl</w:t>
      </w:r>
      <w:r w:rsidR="00790261">
        <w:rPr>
          <w:rFonts w:ascii="Times New Roman" w:hAnsi="Times New Roman"/>
          <w:sz w:val="24"/>
          <w:szCs w:val="24"/>
        </w:rPr>
        <w:t xml:space="preserve">an de Desarrollo Departamental: </w:t>
      </w:r>
      <w:r w:rsidRPr="00EA518C">
        <w:rPr>
          <w:rFonts w:ascii="Times New Roman" w:hAnsi="Times New Roman"/>
          <w:sz w:val="24"/>
          <w:szCs w:val="24"/>
        </w:rPr>
        <w:t xml:space="preserve">Gobierno </w:t>
      </w:r>
      <w:r w:rsidR="00790261">
        <w:rPr>
          <w:rFonts w:ascii="Times New Roman" w:hAnsi="Times New Roman"/>
          <w:sz w:val="24"/>
          <w:szCs w:val="24"/>
        </w:rPr>
        <w:t>Firme por un Quindío más Humano</w:t>
      </w:r>
      <w:r w:rsidRPr="00EA518C">
        <w:rPr>
          <w:rFonts w:ascii="Times New Roman" w:hAnsi="Times New Roman"/>
          <w:sz w:val="24"/>
          <w:szCs w:val="24"/>
        </w:rPr>
        <w:t>, se plantearon las metas del Plan Anual Estratégico de Inversión (PAEI 2013) y basado en ello</w:t>
      </w:r>
      <w:r w:rsidR="00790261">
        <w:rPr>
          <w:rFonts w:ascii="Times New Roman" w:hAnsi="Times New Roman"/>
          <w:sz w:val="24"/>
          <w:szCs w:val="24"/>
        </w:rPr>
        <w:t>,</w:t>
      </w:r>
      <w:r w:rsidRPr="00EA518C">
        <w:rPr>
          <w:rFonts w:ascii="Times New Roman" w:hAnsi="Times New Roman"/>
          <w:sz w:val="24"/>
          <w:szCs w:val="24"/>
        </w:rPr>
        <w:t xml:space="preserve"> se realizó la distribución de recursos para la vigencia 2013.</w:t>
      </w:r>
      <w:r w:rsidR="00790261">
        <w:rPr>
          <w:rFonts w:ascii="Times New Roman" w:hAnsi="Times New Roman"/>
          <w:sz w:val="24"/>
          <w:szCs w:val="24"/>
        </w:rPr>
        <w:t xml:space="preserve"> </w:t>
      </w:r>
      <w:r w:rsidRPr="00EA518C">
        <w:rPr>
          <w:rFonts w:ascii="Times New Roman" w:hAnsi="Times New Roman"/>
          <w:sz w:val="24"/>
          <w:szCs w:val="24"/>
        </w:rPr>
        <w:t>Debido al lento desarrollo qu</w:t>
      </w:r>
      <w:r w:rsidR="00790261">
        <w:rPr>
          <w:rFonts w:ascii="Times New Roman" w:hAnsi="Times New Roman"/>
          <w:sz w:val="24"/>
          <w:szCs w:val="24"/>
        </w:rPr>
        <w:t>e han tenido los PAP- PDA, no só</w:t>
      </w:r>
      <w:r w:rsidRPr="00EA518C">
        <w:rPr>
          <w:rFonts w:ascii="Times New Roman" w:hAnsi="Times New Roman"/>
          <w:sz w:val="24"/>
          <w:szCs w:val="24"/>
        </w:rPr>
        <w:t>lo en el Departa</w:t>
      </w:r>
      <w:r w:rsidR="00790261">
        <w:rPr>
          <w:rFonts w:ascii="Times New Roman" w:hAnsi="Times New Roman"/>
          <w:sz w:val="24"/>
          <w:szCs w:val="24"/>
        </w:rPr>
        <w:t>mento del Quindío sino a nivel n</w:t>
      </w:r>
      <w:r w:rsidRPr="00EA518C">
        <w:rPr>
          <w:rFonts w:ascii="Times New Roman" w:hAnsi="Times New Roman"/>
          <w:sz w:val="24"/>
          <w:szCs w:val="24"/>
        </w:rPr>
        <w:t>acional, las metas propuestas en el Plan Anual Estratégico de inversiones año 2012 no se ejecutaron en la misma vigencia, razón por la cual en la vigencia 2013 el PAP-PDA intentó dar cumplimiento total a la proyección de metas propuestas para el año 2012 y 2013 en los PAEI.</w:t>
      </w:r>
    </w:p>
    <w:p w:rsidR="00EA3F6B" w:rsidRPr="002279C3" w:rsidRDefault="00EA3F6B" w:rsidP="00FA6723">
      <w:pPr>
        <w:spacing w:line="360" w:lineRule="auto"/>
        <w:ind w:firstLine="284"/>
        <w:jc w:val="both"/>
      </w:pPr>
    </w:p>
    <w:p w:rsidR="00EA3F6B" w:rsidRPr="002279C3" w:rsidRDefault="00EA3F6B" w:rsidP="00790261">
      <w:pPr>
        <w:spacing w:line="360" w:lineRule="auto"/>
        <w:ind w:firstLine="284"/>
        <w:jc w:val="both"/>
        <w:rPr>
          <w:lang w:val="es-ES"/>
        </w:rPr>
      </w:pPr>
      <w:r w:rsidRPr="002279C3">
        <w:rPr>
          <w:lang w:val="es-ES"/>
        </w:rPr>
        <w:t>Respecto a las Inversiones expuestas en el PAEI 2013 se establecieron los siguientes rubros por cada Componente:</w:t>
      </w:r>
      <w:r w:rsidRPr="00F7678C">
        <w:t xml:space="preserve"> </w:t>
      </w:r>
      <w:r>
        <w:t>(PAP-PDA Quindío, 2014).</w:t>
      </w:r>
      <w:r w:rsidRPr="002279C3">
        <w:rPr>
          <w:rStyle w:val="Refdenotaalpie"/>
          <w:b/>
          <w:lang w:val="es-ES"/>
        </w:rPr>
        <w:footnoteReference w:id="28"/>
      </w:r>
    </w:p>
    <w:p w:rsidR="00EA3F6B" w:rsidRDefault="00EA3F6B" w:rsidP="00EA3F6B">
      <w:pPr>
        <w:spacing w:line="360" w:lineRule="auto"/>
        <w:jc w:val="both"/>
        <w:rPr>
          <w:lang w:val="es-ES"/>
        </w:rPr>
      </w:pPr>
    </w:p>
    <w:p w:rsidR="005F3B75" w:rsidRDefault="005F3B75" w:rsidP="00EA3F6B">
      <w:pPr>
        <w:pStyle w:val="Default"/>
        <w:jc w:val="both"/>
        <w:rPr>
          <w:rFonts w:ascii="Times New Roman" w:hAnsi="Times New Roman" w:cs="Times New Roman"/>
        </w:rPr>
      </w:pPr>
    </w:p>
    <w:p w:rsidR="005F3B75" w:rsidRDefault="005F3B75" w:rsidP="00EA3F6B">
      <w:pPr>
        <w:pStyle w:val="Default"/>
        <w:jc w:val="both"/>
        <w:rPr>
          <w:rFonts w:ascii="Times New Roman" w:hAnsi="Times New Roman" w:cs="Times New Roman"/>
        </w:rPr>
      </w:pPr>
    </w:p>
    <w:p w:rsidR="005F3B75" w:rsidRDefault="005F3B75" w:rsidP="00EA3F6B">
      <w:pPr>
        <w:pStyle w:val="Default"/>
        <w:jc w:val="both"/>
        <w:rPr>
          <w:rFonts w:ascii="Times New Roman" w:hAnsi="Times New Roman" w:cs="Times New Roman"/>
        </w:rPr>
      </w:pPr>
    </w:p>
    <w:p w:rsidR="005F3B75" w:rsidRDefault="005F3B75" w:rsidP="00EA3F6B">
      <w:pPr>
        <w:pStyle w:val="Default"/>
        <w:jc w:val="both"/>
        <w:rPr>
          <w:rFonts w:ascii="Times New Roman" w:hAnsi="Times New Roman" w:cs="Times New Roman"/>
        </w:rPr>
      </w:pPr>
    </w:p>
    <w:p w:rsidR="005F3B75" w:rsidRDefault="005F3B75" w:rsidP="00EA3F6B">
      <w:pPr>
        <w:pStyle w:val="Default"/>
        <w:jc w:val="both"/>
        <w:rPr>
          <w:rFonts w:ascii="Times New Roman" w:hAnsi="Times New Roman" w:cs="Times New Roman"/>
        </w:rPr>
      </w:pPr>
    </w:p>
    <w:p w:rsidR="005F3B75" w:rsidRDefault="005F3B75" w:rsidP="00EA3F6B">
      <w:pPr>
        <w:pStyle w:val="Default"/>
        <w:jc w:val="both"/>
        <w:rPr>
          <w:rFonts w:ascii="Times New Roman" w:hAnsi="Times New Roman" w:cs="Times New Roman"/>
        </w:rPr>
      </w:pPr>
    </w:p>
    <w:p w:rsidR="005F3B75" w:rsidRDefault="005F3B75" w:rsidP="00EA3F6B">
      <w:pPr>
        <w:pStyle w:val="Default"/>
        <w:jc w:val="both"/>
        <w:rPr>
          <w:rFonts w:ascii="Times New Roman" w:hAnsi="Times New Roman" w:cs="Times New Roman"/>
        </w:rPr>
      </w:pPr>
    </w:p>
    <w:p w:rsidR="005F3B75" w:rsidRDefault="005F3B75" w:rsidP="00EA3F6B">
      <w:pPr>
        <w:pStyle w:val="Default"/>
        <w:jc w:val="both"/>
        <w:rPr>
          <w:rFonts w:ascii="Times New Roman" w:hAnsi="Times New Roman" w:cs="Times New Roman"/>
        </w:rPr>
      </w:pPr>
    </w:p>
    <w:p w:rsidR="00EA3F6B" w:rsidRPr="00604F02" w:rsidRDefault="003775A3" w:rsidP="00EA3F6B">
      <w:pPr>
        <w:pStyle w:val="Default"/>
        <w:jc w:val="both"/>
        <w:rPr>
          <w:rFonts w:ascii="Times New Roman" w:hAnsi="Times New Roman" w:cs="Times New Roman"/>
        </w:rPr>
      </w:pPr>
      <w:r>
        <w:rPr>
          <w:rFonts w:ascii="Times New Roman" w:hAnsi="Times New Roman" w:cs="Times New Roman"/>
        </w:rPr>
        <w:lastRenderedPageBreak/>
        <w:t>Tabla 3.1</w:t>
      </w:r>
    </w:p>
    <w:p w:rsidR="00EA3F6B" w:rsidRPr="00604F02" w:rsidRDefault="00EA3F6B" w:rsidP="00EA3F6B">
      <w:pPr>
        <w:pStyle w:val="Default"/>
        <w:jc w:val="both"/>
        <w:rPr>
          <w:rFonts w:ascii="Times New Roman" w:hAnsi="Times New Roman" w:cs="Times New Roman"/>
        </w:rPr>
      </w:pPr>
      <w:r w:rsidRPr="00604F02">
        <w:rPr>
          <w:rFonts w:ascii="Times New Roman" w:hAnsi="Times New Roman" w:cs="Times New Roman"/>
        </w:rPr>
        <w:t>Fuentes de Financiación - PAEI</w:t>
      </w:r>
    </w:p>
    <w:p w:rsidR="00EA3F6B" w:rsidRPr="00604F02" w:rsidRDefault="00EA3F6B" w:rsidP="00EA3F6B">
      <w:pPr>
        <w:pStyle w:val="Default"/>
        <w:jc w:val="both"/>
        <w:rPr>
          <w:rFonts w:ascii="Times New Roman" w:hAnsi="Times New Roman" w:cs="Times New Roman"/>
        </w:rPr>
      </w:pPr>
      <w:r w:rsidRPr="00604F02">
        <w:rPr>
          <w:rFonts w:ascii="Times New Roman" w:hAnsi="Times New Roman" w:cs="Times New Roman"/>
        </w:rPr>
        <w:t>Año 2013</w:t>
      </w:r>
    </w:p>
    <w:p w:rsidR="00EA3F6B" w:rsidRPr="00790261" w:rsidRDefault="00EA3F6B" w:rsidP="00790261">
      <w:pPr>
        <w:spacing w:line="360" w:lineRule="auto"/>
        <w:jc w:val="right"/>
        <w:rPr>
          <w:sz w:val="16"/>
          <w:lang w:val="es-ES"/>
        </w:rPr>
      </w:pPr>
      <w:r w:rsidRPr="002279C3">
        <w:rPr>
          <w:lang w:val="es-ES"/>
        </w:rPr>
        <w:t xml:space="preserve">                                                                                                          </w:t>
      </w:r>
      <w:r w:rsidRPr="00790261">
        <w:rPr>
          <w:sz w:val="16"/>
          <w:lang w:val="es-ES"/>
        </w:rPr>
        <w:t>Valor en miles</w:t>
      </w:r>
    </w:p>
    <w:tbl>
      <w:tblPr>
        <w:tblW w:w="8650" w:type="dxa"/>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277"/>
        <w:gridCol w:w="1227"/>
        <w:gridCol w:w="1065"/>
        <w:gridCol w:w="1065"/>
        <w:gridCol w:w="935"/>
        <w:gridCol w:w="1081"/>
      </w:tblGrid>
      <w:tr w:rsidR="00EA3F6B" w:rsidRPr="00790261" w:rsidTr="00AC2DCB">
        <w:trPr>
          <w:trHeight w:val="221"/>
          <w:tblHeader/>
          <w:jc w:val="center"/>
        </w:trPr>
        <w:tc>
          <w:tcPr>
            <w:tcW w:w="3277" w:type="dxa"/>
            <w:vMerge w:val="restart"/>
            <w:tcBorders>
              <w:top w:val="single" w:sz="4" w:space="0" w:color="auto"/>
              <w:bottom w:val="nil"/>
            </w:tcBorders>
            <w:shd w:val="clear" w:color="auto" w:fill="auto"/>
            <w:noWrap/>
            <w:vAlign w:val="center"/>
          </w:tcPr>
          <w:p w:rsidR="00EA3F6B" w:rsidRPr="00790261" w:rsidRDefault="00EA3F6B" w:rsidP="005F3B75">
            <w:pPr>
              <w:jc w:val="both"/>
              <w:rPr>
                <w:b/>
                <w:bCs/>
                <w:sz w:val="20"/>
                <w:szCs w:val="20"/>
              </w:rPr>
            </w:pPr>
            <w:r w:rsidRPr="00790261">
              <w:rPr>
                <w:b/>
                <w:bCs/>
                <w:sz w:val="20"/>
                <w:szCs w:val="20"/>
              </w:rPr>
              <w:t>COMPONENTE</w:t>
            </w:r>
          </w:p>
        </w:tc>
        <w:tc>
          <w:tcPr>
            <w:tcW w:w="5373" w:type="dxa"/>
            <w:gridSpan w:val="5"/>
            <w:tcBorders>
              <w:top w:val="single" w:sz="4" w:space="0" w:color="auto"/>
              <w:bottom w:val="nil"/>
            </w:tcBorders>
            <w:shd w:val="clear" w:color="auto" w:fill="auto"/>
            <w:vAlign w:val="center"/>
          </w:tcPr>
          <w:p w:rsidR="00EA3F6B" w:rsidRPr="00790261" w:rsidRDefault="00EA3F6B" w:rsidP="005F3B75">
            <w:pPr>
              <w:jc w:val="center"/>
              <w:rPr>
                <w:b/>
                <w:bCs/>
                <w:sz w:val="20"/>
                <w:szCs w:val="20"/>
              </w:rPr>
            </w:pPr>
            <w:r w:rsidRPr="00790261">
              <w:rPr>
                <w:b/>
                <w:bCs/>
                <w:sz w:val="20"/>
                <w:szCs w:val="20"/>
              </w:rPr>
              <w:t>FUENTE DE FINANCIACIÓN</w:t>
            </w:r>
          </w:p>
        </w:tc>
      </w:tr>
      <w:tr w:rsidR="00EA3F6B" w:rsidRPr="00790261" w:rsidTr="00AC2DCB">
        <w:trPr>
          <w:trHeight w:val="470"/>
          <w:tblHeader/>
          <w:jc w:val="center"/>
        </w:trPr>
        <w:tc>
          <w:tcPr>
            <w:tcW w:w="3277" w:type="dxa"/>
            <w:vMerge/>
            <w:tcBorders>
              <w:top w:val="nil"/>
              <w:bottom w:val="single" w:sz="4" w:space="0" w:color="auto"/>
            </w:tcBorders>
            <w:shd w:val="clear" w:color="auto" w:fill="auto"/>
            <w:vAlign w:val="center"/>
          </w:tcPr>
          <w:p w:rsidR="00EA3F6B" w:rsidRPr="00790261" w:rsidRDefault="00EA3F6B" w:rsidP="005F3B75">
            <w:pPr>
              <w:jc w:val="both"/>
              <w:rPr>
                <w:b/>
                <w:bCs/>
                <w:sz w:val="20"/>
                <w:szCs w:val="20"/>
              </w:rPr>
            </w:pPr>
          </w:p>
        </w:tc>
        <w:tc>
          <w:tcPr>
            <w:tcW w:w="1227" w:type="dxa"/>
            <w:tcBorders>
              <w:top w:val="nil"/>
              <w:bottom w:val="single" w:sz="4" w:space="0" w:color="auto"/>
            </w:tcBorders>
            <w:shd w:val="clear" w:color="auto" w:fill="auto"/>
            <w:vAlign w:val="center"/>
          </w:tcPr>
          <w:p w:rsidR="00EA3F6B" w:rsidRPr="00790261" w:rsidRDefault="00790261" w:rsidP="005F3B75">
            <w:pPr>
              <w:jc w:val="center"/>
              <w:rPr>
                <w:b/>
                <w:bCs/>
                <w:sz w:val="20"/>
                <w:szCs w:val="20"/>
              </w:rPr>
            </w:pPr>
            <w:r>
              <w:rPr>
                <w:b/>
                <w:bCs/>
                <w:sz w:val="20"/>
                <w:szCs w:val="20"/>
              </w:rPr>
              <w:t>A.P NACIÓ</w:t>
            </w:r>
            <w:r w:rsidR="00EA3F6B" w:rsidRPr="00790261">
              <w:rPr>
                <w:b/>
                <w:bCs/>
                <w:sz w:val="20"/>
                <w:szCs w:val="20"/>
              </w:rPr>
              <w:t>N</w:t>
            </w:r>
          </w:p>
        </w:tc>
        <w:tc>
          <w:tcPr>
            <w:tcW w:w="1065" w:type="dxa"/>
            <w:tcBorders>
              <w:top w:val="nil"/>
              <w:bottom w:val="single" w:sz="4" w:space="0" w:color="auto"/>
            </w:tcBorders>
            <w:shd w:val="clear" w:color="auto" w:fill="auto"/>
            <w:vAlign w:val="center"/>
          </w:tcPr>
          <w:p w:rsidR="00EA3F6B" w:rsidRPr="00790261" w:rsidRDefault="00EA3F6B" w:rsidP="005F3B75">
            <w:pPr>
              <w:jc w:val="center"/>
              <w:rPr>
                <w:b/>
                <w:bCs/>
                <w:sz w:val="20"/>
                <w:szCs w:val="20"/>
              </w:rPr>
            </w:pPr>
            <w:r w:rsidRPr="00790261">
              <w:rPr>
                <w:b/>
                <w:bCs/>
                <w:sz w:val="20"/>
                <w:szCs w:val="20"/>
              </w:rPr>
              <w:t>SGP DEPTO</w:t>
            </w:r>
          </w:p>
        </w:tc>
        <w:tc>
          <w:tcPr>
            <w:tcW w:w="1065" w:type="dxa"/>
            <w:tcBorders>
              <w:top w:val="nil"/>
              <w:bottom w:val="single" w:sz="4" w:space="0" w:color="auto"/>
            </w:tcBorders>
            <w:shd w:val="clear" w:color="auto" w:fill="auto"/>
            <w:vAlign w:val="center"/>
          </w:tcPr>
          <w:p w:rsidR="00EA3F6B" w:rsidRPr="00790261" w:rsidRDefault="00EA3F6B" w:rsidP="005F3B75">
            <w:pPr>
              <w:jc w:val="center"/>
              <w:rPr>
                <w:b/>
                <w:bCs/>
                <w:sz w:val="20"/>
                <w:szCs w:val="20"/>
              </w:rPr>
            </w:pPr>
            <w:r w:rsidRPr="00790261">
              <w:rPr>
                <w:b/>
                <w:bCs/>
                <w:sz w:val="20"/>
                <w:szCs w:val="20"/>
              </w:rPr>
              <w:t>SGP MCPIO</w:t>
            </w:r>
          </w:p>
        </w:tc>
        <w:tc>
          <w:tcPr>
            <w:tcW w:w="935" w:type="dxa"/>
            <w:tcBorders>
              <w:top w:val="nil"/>
              <w:bottom w:val="single" w:sz="4" w:space="0" w:color="auto"/>
            </w:tcBorders>
            <w:shd w:val="clear" w:color="auto" w:fill="auto"/>
            <w:vAlign w:val="center"/>
          </w:tcPr>
          <w:p w:rsidR="00EA3F6B" w:rsidRPr="00790261" w:rsidRDefault="00EA3F6B" w:rsidP="005F3B75">
            <w:pPr>
              <w:jc w:val="center"/>
              <w:rPr>
                <w:b/>
                <w:bCs/>
                <w:sz w:val="20"/>
                <w:szCs w:val="20"/>
              </w:rPr>
            </w:pPr>
            <w:r w:rsidRPr="00790261">
              <w:rPr>
                <w:b/>
                <w:bCs/>
                <w:sz w:val="20"/>
                <w:szCs w:val="20"/>
              </w:rPr>
              <w:t>EPD</w:t>
            </w:r>
          </w:p>
        </w:tc>
        <w:tc>
          <w:tcPr>
            <w:tcW w:w="1081" w:type="dxa"/>
            <w:tcBorders>
              <w:top w:val="nil"/>
              <w:bottom w:val="single" w:sz="4" w:space="0" w:color="auto"/>
            </w:tcBorders>
            <w:shd w:val="clear" w:color="auto" w:fill="auto"/>
            <w:vAlign w:val="center"/>
          </w:tcPr>
          <w:p w:rsidR="00EA3F6B" w:rsidRPr="00790261" w:rsidRDefault="00EA3F6B" w:rsidP="005F3B75">
            <w:pPr>
              <w:jc w:val="center"/>
              <w:rPr>
                <w:b/>
                <w:bCs/>
                <w:sz w:val="20"/>
                <w:szCs w:val="20"/>
              </w:rPr>
            </w:pPr>
            <w:r w:rsidRPr="00790261">
              <w:rPr>
                <w:b/>
                <w:bCs/>
                <w:sz w:val="20"/>
                <w:szCs w:val="20"/>
              </w:rPr>
              <w:t>TOTAL</w:t>
            </w:r>
          </w:p>
        </w:tc>
      </w:tr>
      <w:tr w:rsidR="00AC2DCB" w:rsidRPr="00790261" w:rsidTr="00AC2DCB">
        <w:trPr>
          <w:trHeight w:val="294"/>
          <w:jc w:val="center"/>
        </w:trPr>
        <w:tc>
          <w:tcPr>
            <w:tcW w:w="3277" w:type="dxa"/>
            <w:tcBorders>
              <w:top w:val="single" w:sz="4" w:space="0" w:color="auto"/>
            </w:tcBorders>
            <w:shd w:val="clear" w:color="auto" w:fill="auto"/>
            <w:noWrap/>
            <w:vAlign w:val="center"/>
          </w:tcPr>
          <w:p w:rsidR="00EA3F6B" w:rsidRPr="00276674" w:rsidRDefault="00276674" w:rsidP="005F3B75">
            <w:pPr>
              <w:rPr>
                <w:bCs/>
                <w:iCs/>
                <w:color w:val="000000"/>
                <w:sz w:val="20"/>
                <w:szCs w:val="20"/>
              </w:rPr>
            </w:pPr>
            <w:r w:rsidRPr="00276674">
              <w:rPr>
                <w:bCs/>
                <w:iCs/>
                <w:color w:val="000000"/>
                <w:sz w:val="20"/>
                <w:szCs w:val="20"/>
              </w:rPr>
              <w:t>Infraestructura</w:t>
            </w:r>
          </w:p>
        </w:tc>
        <w:tc>
          <w:tcPr>
            <w:tcW w:w="1227" w:type="dxa"/>
            <w:tcBorders>
              <w:top w:val="single" w:sz="4" w:space="0" w:color="auto"/>
            </w:tcBorders>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662.62</w:t>
            </w:r>
          </w:p>
        </w:tc>
        <w:tc>
          <w:tcPr>
            <w:tcW w:w="1065" w:type="dxa"/>
            <w:tcBorders>
              <w:top w:val="single" w:sz="4" w:space="0" w:color="auto"/>
            </w:tcBorders>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329</w:t>
            </w:r>
          </w:p>
        </w:tc>
        <w:tc>
          <w:tcPr>
            <w:tcW w:w="1065" w:type="dxa"/>
            <w:tcBorders>
              <w:top w:val="single" w:sz="4" w:space="0" w:color="auto"/>
            </w:tcBorders>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1130</w:t>
            </w:r>
          </w:p>
        </w:tc>
        <w:tc>
          <w:tcPr>
            <w:tcW w:w="935" w:type="dxa"/>
            <w:tcBorders>
              <w:top w:val="single" w:sz="4" w:space="0" w:color="auto"/>
            </w:tcBorders>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6</w:t>
            </w:r>
          </w:p>
        </w:tc>
        <w:tc>
          <w:tcPr>
            <w:tcW w:w="1081" w:type="dxa"/>
            <w:tcBorders>
              <w:top w:val="single" w:sz="4" w:space="0" w:color="auto"/>
            </w:tcBorders>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2127.62</w:t>
            </w:r>
          </w:p>
        </w:tc>
      </w:tr>
      <w:tr w:rsidR="00AC2DCB" w:rsidRPr="00790261" w:rsidTr="00AC2DCB">
        <w:trPr>
          <w:trHeight w:val="541"/>
          <w:jc w:val="center"/>
        </w:trPr>
        <w:tc>
          <w:tcPr>
            <w:tcW w:w="3277" w:type="dxa"/>
            <w:shd w:val="clear" w:color="auto" w:fill="auto"/>
            <w:noWrap/>
            <w:vAlign w:val="center"/>
          </w:tcPr>
          <w:p w:rsidR="00EA3F6B" w:rsidRPr="00276674" w:rsidRDefault="00276674" w:rsidP="005F3B75">
            <w:pPr>
              <w:rPr>
                <w:bCs/>
                <w:iCs/>
                <w:color w:val="000000"/>
                <w:sz w:val="20"/>
                <w:szCs w:val="20"/>
              </w:rPr>
            </w:pPr>
            <w:r w:rsidRPr="00276674">
              <w:rPr>
                <w:bCs/>
                <w:iCs/>
                <w:color w:val="000000"/>
                <w:sz w:val="20"/>
                <w:szCs w:val="20"/>
              </w:rPr>
              <w:t>Proyectos radicados en el MVCT</w:t>
            </w:r>
          </w:p>
        </w:tc>
        <w:tc>
          <w:tcPr>
            <w:tcW w:w="1227"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5383.38</w:t>
            </w:r>
          </w:p>
        </w:tc>
        <w:tc>
          <w:tcPr>
            <w:tcW w:w="1065"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1242</w:t>
            </w:r>
          </w:p>
        </w:tc>
        <w:tc>
          <w:tcPr>
            <w:tcW w:w="1065"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2093</w:t>
            </w:r>
          </w:p>
        </w:tc>
        <w:tc>
          <w:tcPr>
            <w:tcW w:w="935"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292</w:t>
            </w:r>
          </w:p>
        </w:tc>
        <w:tc>
          <w:tcPr>
            <w:tcW w:w="1081"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9010.38</w:t>
            </w:r>
          </w:p>
        </w:tc>
      </w:tr>
      <w:tr w:rsidR="00AC2DCB" w:rsidRPr="00790261" w:rsidTr="00AC2DCB">
        <w:trPr>
          <w:trHeight w:val="180"/>
          <w:jc w:val="center"/>
        </w:trPr>
        <w:tc>
          <w:tcPr>
            <w:tcW w:w="3277" w:type="dxa"/>
            <w:shd w:val="clear" w:color="auto" w:fill="auto"/>
            <w:noWrap/>
            <w:vAlign w:val="center"/>
          </w:tcPr>
          <w:p w:rsidR="00EA3F6B" w:rsidRPr="00276674" w:rsidRDefault="00276674" w:rsidP="005F3B75">
            <w:pPr>
              <w:rPr>
                <w:bCs/>
                <w:iCs/>
                <w:color w:val="000000"/>
                <w:sz w:val="20"/>
                <w:szCs w:val="20"/>
              </w:rPr>
            </w:pPr>
            <w:proofErr w:type="spellStart"/>
            <w:r w:rsidRPr="00276674">
              <w:rPr>
                <w:bCs/>
                <w:iCs/>
                <w:color w:val="000000"/>
                <w:sz w:val="20"/>
                <w:szCs w:val="20"/>
              </w:rPr>
              <w:t>Preinversion</w:t>
            </w:r>
            <w:proofErr w:type="spellEnd"/>
          </w:p>
        </w:tc>
        <w:tc>
          <w:tcPr>
            <w:tcW w:w="1227"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2607</w:t>
            </w:r>
          </w:p>
        </w:tc>
        <w:tc>
          <w:tcPr>
            <w:tcW w:w="1065"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1815</w:t>
            </w:r>
          </w:p>
        </w:tc>
        <w:tc>
          <w:tcPr>
            <w:tcW w:w="1065"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375</w:t>
            </w:r>
          </w:p>
        </w:tc>
        <w:tc>
          <w:tcPr>
            <w:tcW w:w="935" w:type="dxa"/>
            <w:shd w:val="clear" w:color="auto" w:fill="auto"/>
            <w:noWrap/>
            <w:vAlign w:val="center"/>
          </w:tcPr>
          <w:p w:rsidR="00EA3F6B" w:rsidRPr="00790261" w:rsidRDefault="00EA3F6B" w:rsidP="005F3B75">
            <w:pPr>
              <w:jc w:val="center"/>
              <w:rPr>
                <w:color w:val="000000"/>
                <w:sz w:val="20"/>
                <w:szCs w:val="20"/>
              </w:rPr>
            </w:pPr>
          </w:p>
        </w:tc>
        <w:tc>
          <w:tcPr>
            <w:tcW w:w="1081"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4797</w:t>
            </w:r>
          </w:p>
        </w:tc>
      </w:tr>
      <w:tr w:rsidR="00AC2DCB" w:rsidRPr="00790261" w:rsidTr="00AC2DCB">
        <w:trPr>
          <w:trHeight w:val="287"/>
          <w:jc w:val="center"/>
        </w:trPr>
        <w:tc>
          <w:tcPr>
            <w:tcW w:w="3277" w:type="dxa"/>
            <w:shd w:val="clear" w:color="auto" w:fill="auto"/>
            <w:noWrap/>
            <w:vAlign w:val="center"/>
          </w:tcPr>
          <w:p w:rsidR="00EA3F6B" w:rsidRPr="00276674" w:rsidRDefault="00276674" w:rsidP="005F3B75">
            <w:pPr>
              <w:rPr>
                <w:bCs/>
                <w:iCs/>
                <w:color w:val="000000"/>
                <w:sz w:val="20"/>
                <w:szCs w:val="20"/>
              </w:rPr>
            </w:pPr>
            <w:r w:rsidRPr="00276674">
              <w:rPr>
                <w:bCs/>
                <w:iCs/>
                <w:color w:val="000000"/>
                <w:sz w:val="20"/>
                <w:szCs w:val="20"/>
              </w:rPr>
              <w:t>Aseo</w:t>
            </w:r>
          </w:p>
        </w:tc>
        <w:tc>
          <w:tcPr>
            <w:tcW w:w="1227" w:type="dxa"/>
            <w:shd w:val="clear" w:color="auto" w:fill="auto"/>
            <w:noWrap/>
            <w:vAlign w:val="center"/>
          </w:tcPr>
          <w:p w:rsidR="00EA3F6B" w:rsidRPr="00790261" w:rsidRDefault="00EA3F6B" w:rsidP="005F3B75">
            <w:pPr>
              <w:jc w:val="center"/>
              <w:rPr>
                <w:color w:val="000000"/>
                <w:sz w:val="20"/>
                <w:szCs w:val="20"/>
              </w:rPr>
            </w:pPr>
          </w:p>
        </w:tc>
        <w:tc>
          <w:tcPr>
            <w:tcW w:w="1065"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662</w:t>
            </w:r>
          </w:p>
        </w:tc>
        <w:tc>
          <w:tcPr>
            <w:tcW w:w="1065" w:type="dxa"/>
            <w:shd w:val="clear" w:color="auto" w:fill="auto"/>
            <w:noWrap/>
            <w:vAlign w:val="center"/>
          </w:tcPr>
          <w:p w:rsidR="00EA3F6B" w:rsidRPr="00790261" w:rsidRDefault="00EA3F6B" w:rsidP="005F3B75">
            <w:pPr>
              <w:jc w:val="center"/>
              <w:rPr>
                <w:color w:val="000000"/>
                <w:sz w:val="20"/>
                <w:szCs w:val="20"/>
              </w:rPr>
            </w:pPr>
          </w:p>
        </w:tc>
        <w:tc>
          <w:tcPr>
            <w:tcW w:w="935" w:type="dxa"/>
            <w:shd w:val="clear" w:color="auto" w:fill="auto"/>
            <w:noWrap/>
            <w:vAlign w:val="center"/>
          </w:tcPr>
          <w:p w:rsidR="00EA3F6B" w:rsidRPr="00790261" w:rsidRDefault="00EA3F6B" w:rsidP="005F3B75">
            <w:pPr>
              <w:jc w:val="center"/>
              <w:rPr>
                <w:color w:val="000000"/>
                <w:sz w:val="20"/>
                <w:szCs w:val="20"/>
              </w:rPr>
            </w:pPr>
          </w:p>
        </w:tc>
        <w:tc>
          <w:tcPr>
            <w:tcW w:w="1081"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662</w:t>
            </w:r>
          </w:p>
        </w:tc>
      </w:tr>
      <w:tr w:rsidR="00AC2DCB" w:rsidRPr="00790261" w:rsidTr="00AC2DCB">
        <w:trPr>
          <w:trHeight w:val="353"/>
          <w:jc w:val="center"/>
        </w:trPr>
        <w:tc>
          <w:tcPr>
            <w:tcW w:w="3277" w:type="dxa"/>
            <w:shd w:val="clear" w:color="auto" w:fill="auto"/>
            <w:vAlign w:val="center"/>
          </w:tcPr>
          <w:p w:rsidR="00EA3F6B" w:rsidRPr="00276674" w:rsidRDefault="00276674" w:rsidP="005F3B75">
            <w:pPr>
              <w:rPr>
                <w:bCs/>
                <w:iCs/>
                <w:color w:val="000000"/>
                <w:sz w:val="20"/>
                <w:szCs w:val="20"/>
              </w:rPr>
            </w:pPr>
            <w:r w:rsidRPr="00276674">
              <w:rPr>
                <w:bCs/>
                <w:iCs/>
                <w:color w:val="000000"/>
                <w:sz w:val="20"/>
                <w:szCs w:val="20"/>
              </w:rPr>
              <w:t xml:space="preserve">Ambiental </w:t>
            </w:r>
          </w:p>
        </w:tc>
        <w:tc>
          <w:tcPr>
            <w:tcW w:w="1227" w:type="dxa"/>
            <w:shd w:val="clear" w:color="auto" w:fill="auto"/>
            <w:noWrap/>
            <w:vAlign w:val="center"/>
          </w:tcPr>
          <w:p w:rsidR="00EA3F6B" w:rsidRPr="00790261" w:rsidRDefault="00EA3F6B" w:rsidP="005F3B75">
            <w:pPr>
              <w:jc w:val="center"/>
              <w:rPr>
                <w:color w:val="000000"/>
                <w:sz w:val="20"/>
                <w:szCs w:val="20"/>
              </w:rPr>
            </w:pPr>
          </w:p>
        </w:tc>
        <w:tc>
          <w:tcPr>
            <w:tcW w:w="1065" w:type="dxa"/>
            <w:shd w:val="clear" w:color="auto" w:fill="auto"/>
            <w:noWrap/>
            <w:vAlign w:val="center"/>
          </w:tcPr>
          <w:p w:rsidR="00EA3F6B" w:rsidRPr="00790261" w:rsidRDefault="00EA3F6B" w:rsidP="005F3B75">
            <w:pPr>
              <w:jc w:val="center"/>
              <w:rPr>
                <w:color w:val="000000"/>
                <w:sz w:val="20"/>
                <w:szCs w:val="20"/>
              </w:rPr>
            </w:pPr>
          </w:p>
        </w:tc>
        <w:tc>
          <w:tcPr>
            <w:tcW w:w="1065"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255</w:t>
            </w:r>
          </w:p>
        </w:tc>
        <w:tc>
          <w:tcPr>
            <w:tcW w:w="935" w:type="dxa"/>
            <w:shd w:val="clear" w:color="auto" w:fill="auto"/>
            <w:noWrap/>
            <w:vAlign w:val="center"/>
          </w:tcPr>
          <w:p w:rsidR="00EA3F6B" w:rsidRPr="00790261" w:rsidRDefault="00EA3F6B" w:rsidP="005F3B75">
            <w:pPr>
              <w:jc w:val="center"/>
              <w:rPr>
                <w:color w:val="000000"/>
                <w:sz w:val="20"/>
                <w:szCs w:val="20"/>
              </w:rPr>
            </w:pPr>
          </w:p>
        </w:tc>
        <w:tc>
          <w:tcPr>
            <w:tcW w:w="1081"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255</w:t>
            </w:r>
          </w:p>
        </w:tc>
      </w:tr>
      <w:tr w:rsidR="00AC2DCB" w:rsidRPr="00790261" w:rsidTr="00AC2DCB">
        <w:trPr>
          <w:trHeight w:val="484"/>
          <w:jc w:val="center"/>
        </w:trPr>
        <w:tc>
          <w:tcPr>
            <w:tcW w:w="3277" w:type="dxa"/>
            <w:shd w:val="clear" w:color="auto" w:fill="auto"/>
            <w:vAlign w:val="center"/>
          </w:tcPr>
          <w:p w:rsidR="00EA3F6B" w:rsidRPr="00276674" w:rsidRDefault="00276674" w:rsidP="005F3B75">
            <w:pPr>
              <w:rPr>
                <w:bCs/>
                <w:iCs/>
                <w:color w:val="000000"/>
                <w:sz w:val="20"/>
                <w:szCs w:val="20"/>
              </w:rPr>
            </w:pPr>
            <w:r w:rsidRPr="00276674">
              <w:rPr>
                <w:bCs/>
                <w:iCs/>
                <w:color w:val="000000"/>
                <w:sz w:val="20"/>
                <w:szCs w:val="20"/>
              </w:rPr>
              <w:t>Gestión social</w:t>
            </w:r>
          </w:p>
        </w:tc>
        <w:tc>
          <w:tcPr>
            <w:tcW w:w="1227" w:type="dxa"/>
            <w:shd w:val="clear" w:color="auto" w:fill="auto"/>
            <w:noWrap/>
            <w:vAlign w:val="center"/>
          </w:tcPr>
          <w:p w:rsidR="00EA3F6B" w:rsidRPr="00790261" w:rsidRDefault="00EA3F6B" w:rsidP="005F3B75">
            <w:pPr>
              <w:jc w:val="center"/>
              <w:rPr>
                <w:color w:val="000000"/>
                <w:sz w:val="20"/>
                <w:szCs w:val="20"/>
              </w:rPr>
            </w:pPr>
          </w:p>
        </w:tc>
        <w:tc>
          <w:tcPr>
            <w:tcW w:w="1065"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40</w:t>
            </w:r>
          </w:p>
        </w:tc>
        <w:tc>
          <w:tcPr>
            <w:tcW w:w="1065" w:type="dxa"/>
            <w:shd w:val="clear" w:color="auto" w:fill="auto"/>
            <w:noWrap/>
            <w:vAlign w:val="center"/>
          </w:tcPr>
          <w:p w:rsidR="00EA3F6B" w:rsidRPr="00790261" w:rsidRDefault="00EA3F6B" w:rsidP="005F3B75">
            <w:pPr>
              <w:jc w:val="center"/>
              <w:rPr>
                <w:color w:val="000000"/>
                <w:sz w:val="20"/>
                <w:szCs w:val="20"/>
              </w:rPr>
            </w:pPr>
          </w:p>
        </w:tc>
        <w:tc>
          <w:tcPr>
            <w:tcW w:w="935" w:type="dxa"/>
            <w:shd w:val="clear" w:color="auto" w:fill="auto"/>
            <w:noWrap/>
            <w:vAlign w:val="center"/>
          </w:tcPr>
          <w:p w:rsidR="00EA3F6B" w:rsidRPr="00790261" w:rsidRDefault="00EA3F6B" w:rsidP="005F3B75">
            <w:pPr>
              <w:jc w:val="center"/>
              <w:rPr>
                <w:color w:val="000000"/>
                <w:sz w:val="20"/>
                <w:szCs w:val="20"/>
              </w:rPr>
            </w:pPr>
          </w:p>
        </w:tc>
        <w:tc>
          <w:tcPr>
            <w:tcW w:w="1081"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40</w:t>
            </w:r>
          </w:p>
        </w:tc>
      </w:tr>
      <w:tr w:rsidR="00AC2DCB" w:rsidRPr="00790261" w:rsidTr="00AC2DCB">
        <w:trPr>
          <w:trHeight w:val="510"/>
          <w:jc w:val="center"/>
        </w:trPr>
        <w:tc>
          <w:tcPr>
            <w:tcW w:w="3277" w:type="dxa"/>
            <w:shd w:val="clear" w:color="auto" w:fill="auto"/>
            <w:vAlign w:val="center"/>
          </w:tcPr>
          <w:p w:rsidR="00EA3F6B" w:rsidRPr="00276674" w:rsidRDefault="00276674" w:rsidP="005F3B75">
            <w:pPr>
              <w:rPr>
                <w:bCs/>
                <w:iCs/>
                <w:color w:val="000000"/>
                <w:sz w:val="20"/>
                <w:szCs w:val="20"/>
              </w:rPr>
            </w:pPr>
            <w:r w:rsidRPr="00276674">
              <w:rPr>
                <w:bCs/>
                <w:iCs/>
                <w:color w:val="000000"/>
                <w:sz w:val="20"/>
                <w:szCs w:val="20"/>
              </w:rPr>
              <w:t>Gestoría</w:t>
            </w:r>
          </w:p>
        </w:tc>
        <w:tc>
          <w:tcPr>
            <w:tcW w:w="1227" w:type="dxa"/>
            <w:shd w:val="clear" w:color="auto" w:fill="auto"/>
            <w:noWrap/>
            <w:vAlign w:val="center"/>
          </w:tcPr>
          <w:p w:rsidR="00EA3F6B" w:rsidRPr="00790261" w:rsidRDefault="00EA3F6B" w:rsidP="005F3B75">
            <w:pPr>
              <w:jc w:val="center"/>
              <w:rPr>
                <w:color w:val="000000"/>
                <w:sz w:val="20"/>
                <w:szCs w:val="20"/>
              </w:rPr>
            </w:pPr>
          </w:p>
        </w:tc>
        <w:tc>
          <w:tcPr>
            <w:tcW w:w="1065"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550</w:t>
            </w:r>
          </w:p>
        </w:tc>
        <w:tc>
          <w:tcPr>
            <w:tcW w:w="1065" w:type="dxa"/>
            <w:shd w:val="clear" w:color="auto" w:fill="auto"/>
            <w:noWrap/>
            <w:vAlign w:val="center"/>
          </w:tcPr>
          <w:p w:rsidR="00EA3F6B" w:rsidRPr="00790261" w:rsidRDefault="00EA3F6B" w:rsidP="005F3B75">
            <w:pPr>
              <w:jc w:val="center"/>
              <w:rPr>
                <w:color w:val="000000"/>
                <w:sz w:val="20"/>
                <w:szCs w:val="20"/>
              </w:rPr>
            </w:pPr>
          </w:p>
        </w:tc>
        <w:tc>
          <w:tcPr>
            <w:tcW w:w="935" w:type="dxa"/>
            <w:shd w:val="clear" w:color="auto" w:fill="auto"/>
            <w:noWrap/>
            <w:vAlign w:val="center"/>
          </w:tcPr>
          <w:p w:rsidR="00EA3F6B" w:rsidRPr="00790261" w:rsidRDefault="00EA3F6B" w:rsidP="005F3B75">
            <w:pPr>
              <w:jc w:val="center"/>
              <w:rPr>
                <w:color w:val="000000"/>
                <w:sz w:val="20"/>
                <w:szCs w:val="20"/>
              </w:rPr>
            </w:pPr>
          </w:p>
        </w:tc>
        <w:tc>
          <w:tcPr>
            <w:tcW w:w="1081" w:type="dxa"/>
            <w:shd w:val="clear" w:color="auto" w:fill="auto"/>
            <w:noWrap/>
            <w:vAlign w:val="center"/>
          </w:tcPr>
          <w:p w:rsidR="00EA3F6B" w:rsidRPr="00790261" w:rsidRDefault="00EA3F6B" w:rsidP="005F3B75">
            <w:pPr>
              <w:jc w:val="center"/>
              <w:rPr>
                <w:color w:val="000000"/>
                <w:sz w:val="20"/>
                <w:szCs w:val="20"/>
              </w:rPr>
            </w:pPr>
            <w:r w:rsidRPr="00790261">
              <w:rPr>
                <w:color w:val="000000"/>
                <w:sz w:val="20"/>
                <w:szCs w:val="20"/>
              </w:rPr>
              <w:t>550</w:t>
            </w:r>
          </w:p>
        </w:tc>
      </w:tr>
      <w:tr w:rsidR="00AC2DCB" w:rsidRPr="00790261" w:rsidTr="00AC2DCB">
        <w:trPr>
          <w:trHeight w:val="500"/>
          <w:jc w:val="center"/>
        </w:trPr>
        <w:tc>
          <w:tcPr>
            <w:tcW w:w="3277" w:type="dxa"/>
            <w:shd w:val="clear" w:color="auto" w:fill="auto"/>
            <w:noWrap/>
            <w:vAlign w:val="center"/>
          </w:tcPr>
          <w:p w:rsidR="00EA3F6B" w:rsidRPr="00790261" w:rsidRDefault="00EA3F6B" w:rsidP="005F3B75">
            <w:pPr>
              <w:rPr>
                <w:b/>
                <w:bCs/>
                <w:color w:val="000000"/>
                <w:sz w:val="20"/>
                <w:szCs w:val="20"/>
              </w:rPr>
            </w:pPr>
            <w:r w:rsidRPr="00790261">
              <w:rPr>
                <w:b/>
                <w:bCs/>
                <w:color w:val="000000"/>
                <w:sz w:val="20"/>
                <w:szCs w:val="20"/>
              </w:rPr>
              <w:t>TOTALES</w:t>
            </w:r>
          </w:p>
        </w:tc>
        <w:tc>
          <w:tcPr>
            <w:tcW w:w="1227" w:type="dxa"/>
            <w:shd w:val="clear" w:color="auto" w:fill="auto"/>
            <w:noWrap/>
            <w:vAlign w:val="center"/>
          </w:tcPr>
          <w:p w:rsidR="00EA3F6B" w:rsidRPr="00790261" w:rsidRDefault="00EA3F6B" w:rsidP="005F3B75">
            <w:pPr>
              <w:jc w:val="center"/>
              <w:rPr>
                <w:b/>
                <w:bCs/>
                <w:color w:val="000000"/>
                <w:sz w:val="20"/>
                <w:szCs w:val="20"/>
              </w:rPr>
            </w:pPr>
            <w:r w:rsidRPr="00790261">
              <w:rPr>
                <w:b/>
                <w:bCs/>
                <w:color w:val="000000"/>
                <w:sz w:val="20"/>
                <w:szCs w:val="20"/>
              </w:rPr>
              <w:t>8653</w:t>
            </w:r>
          </w:p>
        </w:tc>
        <w:tc>
          <w:tcPr>
            <w:tcW w:w="1065" w:type="dxa"/>
            <w:shd w:val="clear" w:color="auto" w:fill="auto"/>
            <w:noWrap/>
            <w:vAlign w:val="center"/>
          </w:tcPr>
          <w:p w:rsidR="00EA3F6B" w:rsidRPr="00790261" w:rsidRDefault="00EA3F6B" w:rsidP="005F3B75">
            <w:pPr>
              <w:jc w:val="center"/>
              <w:rPr>
                <w:b/>
                <w:bCs/>
                <w:color w:val="000000"/>
                <w:sz w:val="20"/>
                <w:szCs w:val="20"/>
              </w:rPr>
            </w:pPr>
            <w:r w:rsidRPr="00790261">
              <w:rPr>
                <w:b/>
                <w:bCs/>
                <w:color w:val="000000"/>
                <w:sz w:val="20"/>
                <w:szCs w:val="20"/>
              </w:rPr>
              <w:t>4638</w:t>
            </w:r>
          </w:p>
        </w:tc>
        <w:tc>
          <w:tcPr>
            <w:tcW w:w="1065" w:type="dxa"/>
            <w:shd w:val="clear" w:color="auto" w:fill="auto"/>
            <w:noWrap/>
            <w:vAlign w:val="center"/>
          </w:tcPr>
          <w:p w:rsidR="00EA3F6B" w:rsidRPr="00790261" w:rsidRDefault="00EA3F6B" w:rsidP="005F3B75">
            <w:pPr>
              <w:jc w:val="center"/>
              <w:rPr>
                <w:b/>
                <w:bCs/>
                <w:color w:val="000000"/>
                <w:sz w:val="20"/>
                <w:szCs w:val="20"/>
              </w:rPr>
            </w:pPr>
            <w:r w:rsidRPr="00790261">
              <w:rPr>
                <w:b/>
                <w:bCs/>
                <w:color w:val="000000"/>
                <w:sz w:val="20"/>
                <w:szCs w:val="20"/>
              </w:rPr>
              <w:t>3853</w:t>
            </w:r>
          </w:p>
        </w:tc>
        <w:tc>
          <w:tcPr>
            <w:tcW w:w="935" w:type="dxa"/>
            <w:shd w:val="clear" w:color="auto" w:fill="auto"/>
            <w:noWrap/>
            <w:vAlign w:val="center"/>
          </w:tcPr>
          <w:p w:rsidR="00EA3F6B" w:rsidRPr="00790261" w:rsidRDefault="00EA3F6B" w:rsidP="005F3B75">
            <w:pPr>
              <w:jc w:val="center"/>
              <w:rPr>
                <w:b/>
                <w:bCs/>
                <w:color w:val="000000"/>
                <w:sz w:val="20"/>
                <w:szCs w:val="20"/>
              </w:rPr>
            </w:pPr>
            <w:r w:rsidRPr="00790261">
              <w:rPr>
                <w:b/>
                <w:bCs/>
                <w:color w:val="000000"/>
                <w:sz w:val="20"/>
                <w:szCs w:val="20"/>
              </w:rPr>
              <w:t>298</w:t>
            </w:r>
          </w:p>
        </w:tc>
        <w:tc>
          <w:tcPr>
            <w:tcW w:w="1081" w:type="dxa"/>
            <w:shd w:val="clear" w:color="auto" w:fill="auto"/>
            <w:noWrap/>
            <w:vAlign w:val="center"/>
          </w:tcPr>
          <w:p w:rsidR="00EA3F6B" w:rsidRPr="00790261" w:rsidRDefault="00EA3F6B" w:rsidP="005F3B75">
            <w:pPr>
              <w:jc w:val="center"/>
              <w:rPr>
                <w:b/>
                <w:bCs/>
                <w:color w:val="000000"/>
                <w:sz w:val="20"/>
                <w:szCs w:val="20"/>
              </w:rPr>
            </w:pPr>
            <w:r w:rsidRPr="00790261">
              <w:rPr>
                <w:b/>
                <w:bCs/>
                <w:color w:val="000000"/>
                <w:sz w:val="20"/>
                <w:szCs w:val="20"/>
              </w:rPr>
              <w:t>17442</w:t>
            </w:r>
          </w:p>
        </w:tc>
      </w:tr>
    </w:tbl>
    <w:p w:rsidR="00EA3F6B" w:rsidRPr="004A2904" w:rsidRDefault="00EA3F6B" w:rsidP="00EA3F6B">
      <w:pPr>
        <w:pStyle w:val="Sinespaciado"/>
        <w:spacing w:line="360" w:lineRule="auto"/>
        <w:rPr>
          <w:rFonts w:ascii="Times New Roman" w:hAnsi="Times New Roman"/>
          <w:sz w:val="16"/>
          <w:szCs w:val="16"/>
          <w:lang w:eastAsia="es-CO"/>
        </w:rPr>
      </w:pPr>
      <w:r w:rsidRPr="004A2904">
        <w:rPr>
          <w:rFonts w:ascii="Times New Roman" w:hAnsi="Times New Roman"/>
          <w:lang w:eastAsia="es-CO"/>
        </w:rPr>
        <w:t xml:space="preserve">       </w:t>
      </w:r>
      <w:r w:rsidRPr="004A2904">
        <w:rPr>
          <w:rFonts w:ascii="Times New Roman" w:hAnsi="Times New Roman"/>
          <w:sz w:val="16"/>
          <w:szCs w:val="16"/>
          <w:lang w:eastAsia="es-CO"/>
        </w:rPr>
        <w:t xml:space="preserve">       Fuente: Informe CUR 2013- PDA Quindío</w:t>
      </w:r>
      <w:r w:rsidR="00276674">
        <w:rPr>
          <w:rFonts w:ascii="Times New Roman" w:hAnsi="Times New Roman"/>
          <w:sz w:val="16"/>
          <w:szCs w:val="16"/>
          <w:lang w:eastAsia="es-CO"/>
        </w:rPr>
        <w:t xml:space="preserve"> - </w:t>
      </w:r>
      <w:r w:rsidRPr="004A2904">
        <w:rPr>
          <w:rFonts w:ascii="Times New Roman" w:hAnsi="Times New Roman"/>
          <w:sz w:val="16"/>
          <w:szCs w:val="16"/>
          <w:lang w:eastAsia="es-CO"/>
        </w:rPr>
        <w:t xml:space="preserve">     MVCT: Ministerio de Vivienda Ciudad y territorio </w:t>
      </w:r>
    </w:p>
    <w:p w:rsidR="00EA3F6B" w:rsidRPr="004A2904" w:rsidRDefault="00EA3F6B" w:rsidP="00EA3F6B">
      <w:pPr>
        <w:pStyle w:val="Sinespaciado"/>
        <w:spacing w:line="360" w:lineRule="auto"/>
        <w:rPr>
          <w:rFonts w:ascii="Times New Roman" w:hAnsi="Times New Roman"/>
          <w:lang w:eastAsia="es-CO"/>
        </w:rPr>
      </w:pPr>
    </w:p>
    <w:p w:rsidR="00EA3F6B" w:rsidRDefault="00EA3F6B" w:rsidP="00CE1D3E">
      <w:pPr>
        <w:pStyle w:val="Sinespaciado"/>
        <w:spacing w:line="360" w:lineRule="auto"/>
        <w:ind w:firstLine="284"/>
        <w:rPr>
          <w:lang w:eastAsia="es-CO"/>
        </w:rPr>
      </w:pPr>
      <w:r w:rsidRPr="004A2904">
        <w:rPr>
          <w:rFonts w:ascii="Times New Roman" w:hAnsi="Times New Roman"/>
          <w:lang w:eastAsia="es-CO"/>
        </w:rPr>
        <w:t>Las líneas de acción que orientaron esta inversión</w:t>
      </w:r>
      <w:r w:rsidR="00CE1D3E">
        <w:rPr>
          <w:rFonts w:ascii="Times New Roman" w:hAnsi="Times New Roman"/>
          <w:lang w:eastAsia="es-CO"/>
        </w:rPr>
        <w:t>,</w:t>
      </w:r>
      <w:r w:rsidRPr="004A2904">
        <w:rPr>
          <w:rFonts w:ascii="Times New Roman" w:hAnsi="Times New Roman"/>
          <w:lang w:eastAsia="es-CO"/>
        </w:rPr>
        <w:t xml:space="preserve"> se </w:t>
      </w:r>
      <w:r>
        <w:rPr>
          <w:rFonts w:ascii="Times New Roman" w:hAnsi="Times New Roman"/>
          <w:lang w:eastAsia="es-CO"/>
        </w:rPr>
        <w:t>estructuraron</w:t>
      </w:r>
      <w:r w:rsidRPr="004A2904">
        <w:rPr>
          <w:rFonts w:ascii="Times New Roman" w:hAnsi="Times New Roman"/>
          <w:lang w:eastAsia="es-CO"/>
        </w:rPr>
        <w:t xml:space="preserve"> con base en los proyectos identificados y priorizados en los Planes de Obras e Inversiones de cada uno de los municipios vinculados al PDA.</w:t>
      </w:r>
      <w:r w:rsidR="00CE1D3E">
        <w:rPr>
          <w:rFonts w:ascii="Times New Roman" w:hAnsi="Times New Roman"/>
          <w:lang w:eastAsia="es-CO"/>
        </w:rPr>
        <w:t xml:space="preserve"> </w:t>
      </w:r>
      <w:r w:rsidRPr="004A2904">
        <w:rPr>
          <w:rFonts w:ascii="Times New Roman" w:hAnsi="Times New Roman"/>
          <w:lang w:eastAsia="es-CO"/>
        </w:rPr>
        <w:t>En cumplimiento al PAEI 2013, el PAP-PDA Quindío realizó la siguiente inversión en diferentes municipios del departamento del Quindío</w:t>
      </w:r>
      <w:r w:rsidRPr="002279C3">
        <w:rPr>
          <w:lang w:eastAsia="es-CO"/>
        </w:rPr>
        <w:t>:</w:t>
      </w:r>
    </w:p>
    <w:p w:rsidR="00EA3F6B" w:rsidRDefault="00EA3F6B" w:rsidP="00EA3F6B">
      <w:pPr>
        <w:pStyle w:val="NormalWeb"/>
        <w:spacing w:line="360" w:lineRule="auto"/>
        <w:jc w:val="both"/>
        <w:rPr>
          <w:lang w:eastAsia="es-CO"/>
        </w:rPr>
      </w:pPr>
      <w:r>
        <w:rPr>
          <w:lang w:eastAsia="es-CO"/>
        </w:rPr>
        <w:t xml:space="preserve">     </w:t>
      </w:r>
      <w:r w:rsidRPr="002279C3">
        <w:rPr>
          <w:color w:val="000000"/>
          <w:lang w:eastAsia="es-CO"/>
        </w:rPr>
        <w:t xml:space="preserve">Los proyectos contratados a fin de </w:t>
      </w:r>
      <w:r>
        <w:rPr>
          <w:color w:val="000000"/>
          <w:lang w:eastAsia="es-CO"/>
        </w:rPr>
        <w:t>cumpli</w:t>
      </w:r>
      <w:r w:rsidRPr="002279C3">
        <w:rPr>
          <w:color w:val="000000"/>
          <w:lang w:eastAsia="es-CO"/>
        </w:rPr>
        <w:t>r las metas del Plan de Desarrollo Departamental 2012-2015, para el sector de alcantarillado, se elaboraron teniendo en cuenta los planes de saneamiento y manejo de vertimientos (PMSMV), articulados con la disposición de recursos que se tuvieron para el año 2013, teniendo en cuenta que los municipios vinculados al PDA Quindío cuentan con los PSMV ajustados. E</w:t>
      </w:r>
      <w:r w:rsidR="009209A8">
        <w:rPr>
          <w:lang w:eastAsia="es-CO"/>
        </w:rPr>
        <w:t>n el sector de a</w:t>
      </w:r>
      <w:r w:rsidRPr="002279C3">
        <w:rPr>
          <w:lang w:eastAsia="es-CO"/>
        </w:rPr>
        <w:t>cueducto, los proyectos contratados se realizaron con el fin de optimizar y ampliar redes de los sistemas de acueducto de los diferentes municipios del Departamento, que permitan la eficiente utilización y puesta en funcionamiento de la infraestructura en agua potable existente.</w:t>
      </w:r>
      <w:r w:rsidR="009209A8">
        <w:rPr>
          <w:lang w:eastAsia="es-CO"/>
        </w:rPr>
        <w:t xml:space="preserve"> (PDA-PDAP, 2013).</w:t>
      </w:r>
    </w:p>
    <w:p w:rsidR="00BC77DD" w:rsidRDefault="00BC77DD" w:rsidP="00EA3F6B">
      <w:pPr>
        <w:pStyle w:val="NormalWeb"/>
        <w:spacing w:line="360" w:lineRule="auto"/>
        <w:jc w:val="both"/>
        <w:rPr>
          <w:lang w:eastAsia="es-CO"/>
        </w:rPr>
      </w:pPr>
    </w:p>
    <w:p w:rsidR="00EA3F6B" w:rsidRPr="00BC77DD" w:rsidRDefault="005162F2" w:rsidP="005162F2">
      <w:pPr>
        <w:pStyle w:val="Ttulo2"/>
        <w:rPr>
          <w:rStyle w:val="Textoennegrita"/>
          <w:rFonts w:ascii="Times New Roman" w:hAnsi="Times New Roman" w:cs="Times New Roman"/>
          <w:b/>
          <w:color w:val="auto"/>
          <w:sz w:val="30"/>
          <w:szCs w:val="30"/>
        </w:rPr>
      </w:pPr>
      <w:bookmarkStart w:id="33" w:name="_Toc406754300"/>
      <w:r w:rsidRPr="00BC77DD">
        <w:rPr>
          <w:rStyle w:val="Textoennegrita"/>
          <w:rFonts w:ascii="Times New Roman" w:hAnsi="Times New Roman" w:cs="Times New Roman"/>
          <w:b/>
          <w:color w:val="auto"/>
          <w:sz w:val="30"/>
          <w:szCs w:val="30"/>
        </w:rPr>
        <w:lastRenderedPageBreak/>
        <w:t xml:space="preserve">3.3.2 </w:t>
      </w:r>
      <w:r w:rsidR="00EA3F6B" w:rsidRPr="00BC77DD">
        <w:rPr>
          <w:rStyle w:val="Textoennegrita"/>
          <w:rFonts w:ascii="Times New Roman" w:hAnsi="Times New Roman" w:cs="Times New Roman"/>
          <w:b/>
          <w:color w:val="auto"/>
          <w:sz w:val="30"/>
          <w:szCs w:val="30"/>
        </w:rPr>
        <w:t>Acueducto y Alcantarillado</w:t>
      </w:r>
      <w:bookmarkEnd w:id="33"/>
      <w:r w:rsidR="00EA3F6B" w:rsidRPr="00BC77DD">
        <w:rPr>
          <w:rStyle w:val="Textoennegrita"/>
          <w:rFonts w:ascii="Times New Roman" w:hAnsi="Times New Roman" w:cs="Times New Roman"/>
          <w:b/>
          <w:color w:val="auto"/>
          <w:sz w:val="30"/>
          <w:szCs w:val="30"/>
        </w:rPr>
        <w:t xml:space="preserve"> </w:t>
      </w:r>
    </w:p>
    <w:p w:rsidR="005162F2" w:rsidRDefault="005162F2" w:rsidP="00EA3F6B">
      <w:pPr>
        <w:pStyle w:val="Sinespaciado"/>
        <w:rPr>
          <w:rStyle w:val="Textoennegrita"/>
          <w:rFonts w:ascii="Times New Roman" w:hAnsi="Times New Roman"/>
        </w:rPr>
      </w:pPr>
    </w:p>
    <w:p w:rsidR="00BC77DD" w:rsidRDefault="00BC77DD" w:rsidP="00EA3F6B">
      <w:pPr>
        <w:pStyle w:val="Sinespaciado"/>
        <w:rPr>
          <w:rStyle w:val="Textoennegrita"/>
          <w:rFonts w:ascii="Times New Roman" w:hAnsi="Times New Roman"/>
        </w:rPr>
      </w:pPr>
    </w:p>
    <w:p w:rsidR="00EA3F6B" w:rsidRPr="00DF0B8D" w:rsidRDefault="00BD703D" w:rsidP="00EA3F6B">
      <w:pPr>
        <w:pStyle w:val="Sinespaciado"/>
        <w:rPr>
          <w:rStyle w:val="Textoennegrita"/>
          <w:rFonts w:ascii="Times New Roman" w:hAnsi="Times New Roman"/>
          <w:b w:val="0"/>
          <w:sz w:val="24"/>
        </w:rPr>
      </w:pPr>
      <w:r>
        <w:rPr>
          <w:rStyle w:val="Textoennegrita"/>
          <w:rFonts w:ascii="Times New Roman" w:hAnsi="Times New Roman"/>
          <w:b w:val="0"/>
          <w:sz w:val="24"/>
        </w:rPr>
        <w:t>Gráfico 3.8</w:t>
      </w:r>
    </w:p>
    <w:p w:rsidR="00EA3F6B" w:rsidRPr="00DF0B8D" w:rsidRDefault="00EA3F6B" w:rsidP="00EA3F6B">
      <w:pPr>
        <w:pStyle w:val="Sinespaciado"/>
        <w:rPr>
          <w:rStyle w:val="Textoennegrita"/>
          <w:rFonts w:ascii="Times New Roman" w:hAnsi="Times New Roman"/>
          <w:b w:val="0"/>
          <w:sz w:val="24"/>
        </w:rPr>
      </w:pPr>
      <w:r w:rsidRPr="00DF0B8D">
        <w:rPr>
          <w:rStyle w:val="Textoennegrita"/>
          <w:rFonts w:ascii="Times New Roman" w:hAnsi="Times New Roman"/>
          <w:b w:val="0"/>
          <w:sz w:val="24"/>
        </w:rPr>
        <w:t>Coberturas en Acueducto y Alcantarillado</w:t>
      </w:r>
    </w:p>
    <w:p w:rsidR="00EA3F6B" w:rsidRPr="00DF0B8D" w:rsidRDefault="00EA3F6B" w:rsidP="00EA3F6B">
      <w:pPr>
        <w:pStyle w:val="Sinespaciado"/>
        <w:rPr>
          <w:rFonts w:ascii="Times New Roman" w:hAnsi="Times New Roman"/>
          <w:b/>
          <w:sz w:val="24"/>
        </w:rPr>
      </w:pPr>
      <w:r w:rsidRPr="00DF0B8D">
        <w:rPr>
          <w:rStyle w:val="Textoennegrita"/>
          <w:rFonts w:ascii="Times New Roman" w:hAnsi="Times New Roman"/>
          <w:b w:val="0"/>
          <w:sz w:val="24"/>
        </w:rPr>
        <w:t>Año 2013</w:t>
      </w:r>
    </w:p>
    <w:p w:rsidR="00EA3F6B" w:rsidRPr="002279C3" w:rsidRDefault="00EA3F6B" w:rsidP="00DF0B8D">
      <w:pPr>
        <w:pStyle w:val="NormalWeb"/>
        <w:jc w:val="both"/>
        <w:rPr>
          <w:noProof/>
        </w:rPr>
      </w:pPr>
      <w:r w:rsidRPr="002279C3">
        <w:rPr>
          <w:noProof/>
          <w:lang w:val="es-CO" w:eastAsia="es-CO"/>
        </w:rPr>
        <w:drawing>
          <wp:inline distT="0" distB="0" distL="0" distR="0" wp14:anchorId="3A0904AE" wp14:editId="070555E4">
            <wp:extent cx="2676443" cy="2210463"/>
            <wp:effectExtent l="19050" t="0" r="9607"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2279C3">
        <w:rPr>
          <w:noProof/>
        </w:rPr>
        <w:t xml:space="preserve">      </w:t>
      </w:r>
      <w:r w:rsidRPr="002279C3">
        <w:rPr>
          <w:noProof/>
          <w:lang w:val="es-CO" w:eastAsia="es-CO"/>
        </w:rPr>
        <w:drawing>
          <wp:inline distT="0" distB="0" distL="0" distR="0" wp14:anchorId="72BCB4A9" wp14:editId="4C6BB75F">
            <wp:extent cx="2605239" cy="2201573"/>
            <wp:effectExtent l="19050" t="0" r="23661" b="8227"/>
            <wp:docPr id="4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A3F6B" w:rsidRPr="00DF0B8D" w:rsidRDefault="00EA3F6B" w:rsidP="00DF0B8D">
      <w:pPr>
        <w:pStyle w:val="NormalWeb"/>
        <w:spacing w:before="0" w:beforeAutospacing="0" w:after="0" w:afterAutospacing="0"/>
        <w:jc w:val="both"/>
        <w:rPr>
          <w:rStyle w:val="Textoennegrita"/>
          <w:sz w:val="16"/>
          <w:szCs w:val="16"/>
        </w:rPr>
      </w:pPr>
      <w:r w:rsidRPr="00DF0B8D">
        <w:rPr>
          <w:sz w:val="16"/>
          <w:szCs w:val="16"/>
        </w:rPr>
        <w:t>F</w:t>
      </w:r>
      <w:r w:rsidR="00DF0B8D" w:rsidRPr="00DF0B8D">
        <w:rPr>
          <w:sz w:val="16"/>
          <w:szCs w:val="16"/>
        </w:rPr>
        <w:t>uente</w:t>
      </w:r>
      <w:r w:rsidRPr="00DF0B8D">
        <w:rPr>
          <w:sz w:val="16"/>
          <w:szCs w:val="16"/>
        </w:rPr>
        <w:t>: Empresa Sanitaria del Quindío, ESAQUIN - Empresas Públicas de Armenia - Empresa Multipropósito de Calarcá S.A ESP – ESACOR - Alcaldía de Pijao</w:t>
      </w:r>
    </w:p>
    <w:p w:rsidR="00EA3F6B" w:rsidRPr="00DF0B8D" w:rsidRDefault="00EA3F6B" w:rsidP="00EA3F6B">
      <w:pPr>
        <w:autoSpaceDE w:val="0"/>
        <w:autoSpaceDN w:val="0"/>
        <w:adjustRightInd w:val="0"/>
        <w:spacing w:line="360" w:lineRule="auto"/>
        <w:jc w:val="both"/>
        <w:rPr>
          <w:rFonts w:eastAsiaTheme="minorHAnsi"/>
          <w:lang w:val="es-ES" w:eastAsia="en-US"/>
        </w:rPr>
      </w:pPr>
      <w:r w:rsidRPr="00DF0B8D">
        <w:rPr>
          <w:rFonts w:eastAsiaTheme="minorHAnsi"/>
          <w:lang w:val="es-ES" w:eastAsia="en-US"/>
        </w:rPr>
        <w:t xml:space="preserve">     </w:t>
      </w:r>
    </w:p>
    <w:p w:rsidR="00EA3F6B" w:rsidRDefault="005D4AF5" w:rsidP="00574678">
      <w:pPr>
        <w:autoSpaceDE w:val="0"/>
        <w:autoSpaceDN w:val="0"/>
        <w:adjustRightInd w:val="0"/>
        <w:spacing w:line="360" w:lineRule="auto"/>
        <w:ind w:firstLine="284"/>
        <w:jc w:val="both"/>
        <w:rPr>
          <w:rFonts w:eastAsiaTheme="minorHAnsi"/>
          <w:lang w:val="es-ES" w:eastAsia="en-US"/>
        </w:rPr>
      </w:pPr>
      <w:r>
        <w:rPr>
          <w:rFonts w:eastAsiaTheme="minorHAnsi"/>
          <w:lang w:val="es-ES" w:eastAsia="en-US"/>
        </w:rPr>
        <w:t>A nivel general para los municipios del Quindío, l</w:t>
      </w:r>
      <w:r w:rsidR="00EA3F6B">
        <w:rPr>
          <w:rFonts w:eastAsiaTheme="minorHAnsi"/>
          <w:lang w:val="es-ES" w:eastAsia="en-US"/>
        </w:rPr>
        <w:t>a</w:t>
      </w:r>
      <w:r w:rsidR="00EA3F6B" w:rsidRPr="002279C3">
        <w:rPr>
          <w:rFonts w:eastAsiaTheme="minorHAnsi"/>
          <w:lang w:val="es-ES" w:eastAsia="en-US"/>
        </w:rPr>
        <w:t xml:space="preserve"> cobertura en </w:t>
      </w:r>
      <w:r w:rsidR="00EA3F6B">
        <w:rPr>
          <w:rFonts w:eastAsiaTheme="minorHAnsi"/>
          <w:lang w:val="es-ES" w:eastAsia="en-US"/>
        </w:rPr>
        <w:t xml:space="preserve"> acueducto </w:t>
      </w:r>
      <w:r w:rsidR="00F52C5D">
        <w:rPr>
          <w:rFonts w:eastAsiaTheme="minorHAnsi"/>
          <w:lang w:val="es-ES" w:eastAsia="en-US"/>
        </w:rPr>
        <w:t>se en</w:t>
      </w:r>
      <w:r>
        <w:rPr>
          <w:rFonts w:eastAsiaTheme="minorHAnsi"/>
          <w:lang w:val="es-ES" w:eastAsia="en-US"/>
        </w:rPr>
        <w:t xml:space="preserve">cuentra </w:t>
      </w:r>
      <w:r w:rsidR="00EA3F6B" w:rsidRPr="002279C3">
        <w:rPr>
          <w:rFonts w:eastAsiaTheme="minorHAnsi"/>
          <w:lang w:val="es-ES" w:eastAsia="en-US"/>
        </w:rPr>
        <w:t xml:space="preserve">por </w:t>
      </w:r>
      <w:r>
        <w:rPr>
          <w:rFonts w:eastAsiaTheme="minorHAnsi"/>
          <w:lang w:val="es-ES" w:eastAsia="en-US"/>
        </w:rPr>
        <w:t xml:space="preserve">encima del 90%; </w:t>
      </w:r>
      <w:r w:rsidR="00EA3F6B" w:rsidRPr="002279C3">
        <w:rPr>
          <w:rFonts w:eastAsiaTheme="minorHAnsi"/>
          <w:lang w:val="es-ES" w:eastAsia="en-US"/>
        </w:rPr>
        <w:t>a excepción del Municipio de Pijao</w:t>
      </w:r>
      <w:r>
        <w:rPr>
          <w:rFonts w:eastAsiaTheme="minorHAnsi"/>
          <w:lang w:val="es-ES" w:eastAsia="en-US"/>
        </w:rPr>
        <w:t>,</w:t>
      </w:r>
      <w:r w:rsidR="00EA3F6B" w:rsidRPr="002279C3">
        <w:rPr>
          <w:rFonts w:eastAsiaTheme="minorHAnsi"/>
          <w:lang w:val="es-ES" w:eastAsia="en-US"/>
        </w:rPr>
        <w:t xml:space="preserve"> el cual tiene</w:t>
      </w:r>
      <w:r w:rsidR="00574678">
        <w:rPr>
          <w:rFonts w:eastAsiaTheme="minorHAnsi"/>
          <w:lang w:val="es-ES" w:eastAsia="en-US"/>
        </w:rPr>
        <w:t xml:space="preserve"> la más baja cobertura (66,58%),</w:t>
      </w:r>
      <w:r w:rsidR="00EA3F6B" w:rsidRPr="002279C3">
        <w:rPr>
          <w:rFonts w:eastAsiaTheme="minorHAnsi"/>
          <w:lang w:val="es-ES" w:eastAsia="en-US"/>
        </w:rPr>
        <w:t xml:space="preserve"> esto se debe a que una cantidad considerable de la población es abastecida  por dos acueductos comunitarios, la  Empresa Sanitaria del Quindío  ESAQUIN  tan solo cuenta en el Municipio de Pijao  con 732 usuarios a quienes prestan el Servicio.</w:t>
      </w:r>
      <w:r w:rsidR="00EA3F6B">
        <w:rPr>
          <w:rFonts w:eastAsiaTheme="minorHAnsi"/>
          <w:lang w:val="es-ES" w:eastAsia="en-US"/>
        </w:rPr>
        <w:t xml:space="preserve"> </w:t>
      </w:r>
    </w:p>
    <w:p w:rsidR="00EA3F6B" w:rsidRDefault="00EA3F6B" w:rsidP="00EA3F6B">
      <w:pPr>
        <w:autoSpaceDE w:val="0"/>
        <w:autoSpaceDN w:val="0"/>
        <w:adjustRightInd w:val="0"/>
        <w:spacing w:line="360" w:lineRule="auto"/>
        <w:jc w:val="both"/>
        <w:rPr>
          <w:rFonts w:eastAsiaTheme="minorHAnsi"/>
          <w:lang w:val="es-ES" w:eastAsia="en-US"/>
        </w:rPr>
      </w:pPr>
    </w:p>
    <w:p w:rsidR="00EA3F6B" w:rsidRPr="002279C3" w:rsidRDefault="00480573" w:rsidP="00480573">
      <w:pPr>
        <w:autoSpaceDE w:val="0"/>
        <w:autoSpaceDN w:val="0"/>
        <w:adjustRightInd w:val="0"/>
        <w:spacing w:line="360" w:lineRule="auto"/>
        <w:ind w:firstLine="284"/>
        <w:jc w:val="both"/>
        <w:rPr>
          <w:rFonts w:eastAsiaTheme="minorHAnsi"/>
          <w:lang w:val="es-ES" w:eastAsia="en-US"/>
        </w:rPr>
      </w:pPr>
      <w:r>
        <w:rPr>
          <w:rFonts w:eastAsiaTheme="minorHAnsi"/>
          <w:lang w:val="es-ES" w:eastAsia="en-US"/>
        </w:rPr>
        <w:t xml:space="preserve">No </w:t>
      </w:r>
      <w:r w:rsidR="00EA3F6B">
        <w:rPr>
          <w:rFonts w:eastAsiaTheme="minorHAnsi"/>
          <w:lang w:val="es-ES" w:eastAsia="en-US"/>
        </w:rPr>
        <w:t>obstante, las coberturas certificadas por la S</w:t>
      </w:r>
      <w:r>
        <w:rPr>
          <w:rFonts w:eastAsiaTheme="minorHAnsi"/>
          <w:lang w:val="es-ES" w:eastAsia="en-US"/>
        </w:rPr>
        <w:t>uperintendencia de Servicios Públicos –</w:t>
      </w:r>
      <w:proofErr w:type="spellStart"/>
      <w:r>
        <w:rPr>
          <w:rFonts w:eastAsiaTheme="minorHAnsi"/>
          <w:lang w:val="es-ES" w:eastAsia="en-US"/>
        </w:rPr>
        <w:t>Superservicios</w:t>
      </w:r>
      <w:proofErr w:type="spellEnd"/>
      <w:r>
        <w:rPr>
          <w:rFonts w:eastAsiaTheme="minorHAnsi"/>
          <w:lang w:val="es-ES" w:eastAsia="en-US"/>
        </w:rPr>
        <w:t xml:space="preserve">-, </w:t>
      </w:r>
      <w:r w:rsidR="00EA3F6B">
        <w:rPr>
          <w:rFonts w:eastAsiaTheme="minorHAnsi"/>
          <w:lang w:val="es-ES" w:eastAsia="en-US"/>
        </w:rPr>
        <w:t xml:space="preserve"> pa</w:t>
      </w:r>
      <w:r>
        <w:rPr>
          <w:rFonts w:eastAsiaTheme="minorHAnsi"/>
          <w:lang w:val="es-ES" w:eastAsia="en-US"/>
        </w:rPr>
        <w:t>ra el  departamento del Quindío,</w:t>
      </w:r>
      <w:r w:rsidR="00EA3F6B">
        <w:rPr>
          <w:rFonts w:eastAsiaTheme="minorHAnsi"/>
          <w:lang w:val="es-ES" w:eastAsia="en-US"/>
        </w:rPr>
        <w:t xml:space="preserve"> en acueducto y alcantarillado en el área urbana y rural se encuentran por encima del promedio nacional;  las cuales</w:t>
      </w:r>
      <w:r>
        <w:rPr>
          <w:rFonts w:eastAsiaTheme="minorHAnsi"/>
          <w:lang w:val="es-ES" w:eastAsia="en-US"/>
        </w:rPr>
        <w:t xml:space="preserve"> se registraron para la nación </w:t>
      </w:r>
      <w:r w:rsidR="00EA3F6B">
        <w:rPr>
          <w:rFonts w:eastAsiaTheme="minorHAnsi"/>
          <w:lang w:val="es-ES" w:eastAsia="en-US"/>
        </w:rPr>
        <w:t>en acueducto urbano del 94,3% y alcantarillado urbano del 89.7% y</w:t>
      </w:r>
      <w:r>
        <w:rPr>
          <w:rFonts w:eastAsiaTheme="minorHAnsi"/>
          <w:lang w:val="es-ES" w:eastAsia="en-US"/>
        </w:rPr>
        <w:t>,</w:t>
      </w:r>
      <w:r w:rsidR="00EA3F6B">
        <w:rPr>
          <w:rFonts w:eastAsiaTheme="minorHAnsi"/>
          <w:lang w:val="es-ES" w:eastAsia="en-US"/>
        </w:rPr>
        <w:t xml:space="preserve"> para el Quindío </w:t>
      </w:r>
      <w:r>
        <w:rPr>
          <w:rFonts w:eastAsiaTheme="minorHAnsi"/>
          <w:lang w:val="es-ES" w:eastAsia="en-US"/>
        </w:rPr>
        <w:t xml:space="preserve">del </w:t>
      </w:r>
      <w:r w:rsidR="00EA3F6B">
        <w:rPr>
          <w:rFonts w:eastAsiaTheme="minorHAnsi"/>
          <w:lang w:val="es-ES" w:eastAsia="en-US"/>
        </w:rPr>
        <w:t xml:space="preserve">98,7% en acueducto y 98,3% </w:t>
      </w:r>
      <w:r>
        <w:rPr>
          <w:rFonts w:eastAsiaTheme="minorHAnsi"/>
          <w:lang w:val="es-ES" w:eastAsia="en-US"/>
        </w:rPr>
        <w:t xml:space="preserve">en </w:t>
      </w:r>
      <w:r w:rsidR="00EA3F6B">
        <w:rPr>
          <w:rFonts w:eastAsiaTheme="minorHAnsi"/>
          <w:lang w:val="es-ES" w:eastAsia="en-US"/>
        </w:rPr>
        <w:t>alcantarillado.  Por su parte</w:t>
      </w:r>
      <w:r>
        <w:rPr>
          <w:rFonts w:eastAsiaTheme="minorHAnsi"/>
          <w:lang w:val="es-ES" w:eastAsia="en-US"/>
        </w:rPr>
        <w:t>,</w:t>
      </w:r>
      <w:r w:rsidR="00EA3F6B">
        <w:rPr>
          <w:rFonts w:eastAsiaTheme="minorHAnsi"/>
          <w:lang w:val="es-ES" w:eastAsia="en-US"/>
        </w:rPr>
        <w:t xml:space="preserve"> el área  rural registra cobertura</w:t>
      </w:r>
      <w:r>
        <w:rPr>
          <w:rFonts w:eastAsiaTheme="minorHAnsi"/>
          <w:lang w:val="es-ES" w:eastAsia="en-US"/>
        </w:rPr>
        <w:t>s a nivel nacional en acueducto</w:t>
      </w:r>
      <w:r w:rsidR="00EA3F6B">
        <w:rPr>
          <w:rFonts w:eastAsiaTheme="minorHAnsi"/>
          <w:lang w:val="es-ES" w:eastAsia="en-US"/>
        </w:rPr>
        <w:t xml:space="preserve"> del 47</w:t>
      </w:r>
      <w:r>
        <w:rPr>
          <w:rFonts w:eastAsiaTheme="minorHAnsi"/>
          <w:lang w:val="es-ES" w:eastAsia="en-US"/>
        </w:rPr>
        <w:t>,1% y en alcantarillado del 17,8%, e</w:t>
      </w:r>
      <w:r w:rsidR="00EA3F6B">
        <w:rPr>
          <w:rFonts w:eastAsiaTheme="minorHAnsi"/>
          <w:lang w:val="es-ES" w:eastAsia="en-US"/>
        </w:rPr>
        <w:t>n contraste con las coberturas presentadas para el Quindío cuyas cifras se ubicaron en acueducto del 82,7% y alcantarillado en el 51,5%.</w:t>
      </w:r>
    </w:p>
    <w:p w:rsidR="00EA3F6B" w:rsidRPr="002279C3" w:rsidRDefault="0089030D" w:rsidP="005B1E38">
      <w:pPr>
        <w:autoSpaceDE w:val="0"/>
        <w:autoSpaceDN w:val="0"/>
        <w:adjustRightInd w:val="0"/>
        <w:spacing w:line="360" w:lineRule="auto"/>
        <w:ind w:firstLine="284"/>
        <w:jc w:val="both"/>
        <w:rPr>
          <w:rFonts w:eastAsiaTheme="minorHAnsi"/>
          <w:b/>
          <w:lang w:val="es-ES" w:eastAsia="en-US"/>
        </w:rPr>
      </w:pPr>
      <w:r>
        <w:rPr>
          <w:rFonts w:eastAsiaTheme="minorHAnsi"/>
          <w:lang w:val="es-ES" w:eastAsia="en-US"/>
        </w:rPr>
        <w:lastRenderedPageBreak/>
        <w:t>En el sector de a</w:t>
      </w:r>
      <w:r w:rsidR="00EA3F6B">
        <w:rPr>
          <w:rFonts w:eastAsiaTheme="minorHAnsi"/>
          <w:lang w:val="es-ES" w:eastAsia="en-US"/>
        </w:rPr>
        <w:t>lcantarillado</w:t>
      </w:r>
      <w:r w:rsidR="00A4063A">
        <w:rPr>
          <w:rFonts w:eastAsiaTheme="minorHAnsi"/>
          <w:lang w:val="es-ES" w:eastAsia="en-US"/>
        </w:rPr>
        <w:t>,</w:t>
      </w:r>
      <w:r w:rsidR="00EA3F6B">
        <w:rPr>
          <w:rFonts w:eastAsiaTheme="minorHAnsi"/>
          <w:lang w:val="es-ES" w:eastAsia="en-US"/>
        </w:rPr>
        <w:t xml:space="preserve"> el indicador de c</w:t>
      </w:r>
      <w:r w:rsidR="00EA3F6B" w:rsidRPr="002279C3">
        <w:rPr>
          <w:rFonts w:eastAsiaTheme="minorHAnsi"/>
          <w:lang w:val="es-ES" w:eastAsia="en-US"/>
        </w:rPr>
        <w:t>obertura</w:t>
      </w:r>
      <w:r w:rsidR="00EA3F6B">
        <w:rPr>
          <w:rFonts w:eastAsiaTheme="minorHAnsi"/>
          <w:lang w:val="es-ES" w:eastAsia="en-US"/>
        </w:rPr>
        <w:t xml:space="preserve"> para el Quindío</w:t>
      </w:r>
      <w:r w:rsidR="00EA3F6B" w:rsidRPr="002279C3">
        <w:rPr>
          <w:rFonts w:eastAsiaTheme="minorHAnsi"/>
          <w:lang w:val="es-ES" w:eastAsia="en-US"/>
        </w:rPr>
        <w:t xml:space="preserve"> muestra u</w:t>
      </w:r>
      <w:r>
        <w:rPr>
          <w:rFonts w:eastAsiaTheme="minorHAnsi"/>
          <w:lang w:val="es-ES" w:eastAsia="en-US"/>
        </w:rPr>
        <w:t>n comportamiento similar al de a</w:t>
      </w:r>
      <w:r w:rsidR="005528B3">
        <w:rPr>
          <w:rFonts w:eastAsiaTheme="minorHAnsi"/>
          <w:lang w:val="es-ES" w:eastAsia="en-US"/>
        </w:rPr>
        <w:t>cueducto,</w:t>
      </w:r>
      <w:r w:rsidR="00EA3F6B" w:rsidRPr="002279C3">
        <w:rPr>
          <w:rFonts w:eastAsiaTheme="minorHAnsi"/>
          <w:lang w:val="es-ES" w:eastAsia="en-US"/>
        </w:rPr>
        <w:t xml:space="preserve"> d</w:t>
      </w:r>
      <w:r>
        <w:rPr>
          <w:rFonts w:eastAsiaTheme="minorHAnsi"/>
          <w:lang w:val="es-ES" w:eastAsia="en-US"/>
        </w:rPr>
        <w:t xml:space="preserve">onde 10 de los doce municipios </w:t>
      </w:r>
      <w:r w:rsidR="00EA3F6B" w:rsidRPr="002279C3">
        <w:rPr>
          <w:rFonts w:eastAsiaTheme="minorHAnsi"/>
          <w:lang w:val="es-ES" w:eastAsia="en-US"/>
        </w:rPr>
        <w:t>del Departamento cuentan con una cobertura por encima del 90%; caso contrario</w:t>
      </w:r>
      <w:r>
        <w:rPr>
          <w:rFonts w:eastAsiaTheme="minorHAnsi"/>
          <w:lang w:val="es-ES" w:eastAsia="en-US"/>
        </w:rPr>
        <w:t>,</w:t>
      </w:r>
      <w:r w:rsidR="008F38B0">
        <w:rPr>
          <w:rFonts w:eastAsiaTheme="minorHAnsi"/>
          <w:lang w:val="es-ES" w:eastAsia="en-US"/>
        </w:rPr>
        <w:t xml:space="preserve"> se presenta en los m</w:t>
      </w:r>
      <w:r w:rsidR="00EA3F6B" w:rsidRPr="002279C3">
        <w:rPr>
          <w:rFonts w:eastAsiaTheme="minorHAnsi"/>
          <w:lang w:val="es-ES" w:eastAsia="en-US"/>
        </w:rPr>
        <w:t>unicipios de Génova, donde el PAP- PDA está realizando obras para la ampliación y optimización PTAR (Planta de Tr</w:t>
      </w:r>
      <w:r w:rsidR="008F38B0">
        <w:rPr>
          <w:rFonts w:eastAsiaTheme="minorHAnsi"/>
          <w:lang w:val="es-ES" w:eastAsia="en-US"/>
        </w:rPr>
        <w:t>atamiento de Aguas Residuales)</w:t>
      </w:r>
      <w:r w:rsidR="00EA3F6B" w:rsidRPr="002279C3">
        <w:rPr>
          <w:rFonts w:eastAsiaTheme="minorHAnsi"/>
          <w:lang w:val="es-ES" w:eastAsia="en-US"/>
        </w:rPr>
        <w:t xml:space="preserve"> y Pijao</w:t>
      </w:r>
      <w:r>
        <w:rPr>
          <w:rFonts w:eastAsiaTheme="minorHAnsi"/>
          <w:lang w:val="es-ES" w:eastAsia="en-US"/>
        </w:rPr>
        <w:t>,</w:t>
      </w:r>
      <w:r w:rsidR="00EA3F6B" w:rsidRPr="002279C3">
        <w:rPr>
          <w:rFonts w:eastAsiaTheme="minorHAnsi"/>
          <w:lang w:val="es-ES" w:eastAsia="en-US"/>
        </w:rPr>
        <w:t xml:space="preserve"> donde </w:t>
      </w:r>
      <w:r w:rsidR="00EA3F6B">
        <w:rPr>
          <w:rFonts w:eastAsiaTheme="minorHAnsi"/>
          <w:lang w:val="es-ES" w:eastAsia="en-US"/>
        </w:rPr>
        <w:t xml:space="preserve">se </w:t>
      </w:r>
      <w:r w:rsidR="00EA3F6B" w:rsidRPr="002279C3">
        <w:rPr>
          <w:rFonts w:eastAsiaTheme="minorHAnsi"/>
          <w:lang w:val="es-ES" w:eastAsia="en-US"/>
        </w:rPr>
        <w:t xml:space="preserve">presenta una situación especial, </w:t>
      </w:r>
      <w:r>
        <w:rPr>
          <w:rFonts w:eastAsiaTheme="minorHAnsi"/>
          <w:lang w:val="es-ES" w:eastAsia="en-US"/>
        </w:rPr>
        <w:t>ya que dada la cercanía de la q</w:t>
      </w:r>
      <w:r w:rsidR="00EA3F6B">
        <w:rPr>
          <w:rFonts w:eastAsiaTheme="minorHAnsi"/>
          <w:lang w:val="es-ES" w:eastAsia="en-US"/>
        </w:rPr>
        <w:t>uebrada al</w:t>
      </w:r>
      <w:r w:rsidR="00EA3F6B" w:rsidRPr="002279C3">
        <w:rPr>
          <w:rFonts w:eastAsiaTheme="minorHAnsi"/>
          <w:lang w:val="es-ES" w:eastAsia="en-US"/>
        </w:rPr>
        <w:t xml:space="preserve"> </w:t>
      </w:r>
      <w:r>
        <w:rPr>
          <w:rFonts w:eastAsiaTheme="minorHAnsi"/>
          <w:lang w:val="es-ES" w:eastAsia="en-US"/>
        </w:rPr>
        <w:t>p</w:t>
      </w:r>
      <w:r w:rsidR="00EA3F6B" w:rsidRPr="002279C3">
        <w:rPr>
          <w:rFonts w:eastAsiaTheme="minorHAnsi"/>
          <w:lang w:val="es-ES" w:eastAsia="en-US"/>
        </w:rPr>
        <w:t>arque principal</w:t>
      </w:r>
      <w:r>
        <w:rPr>
          <w:rFonts w:eastAsiaTheme="minorHAnsi"/>
          <w:lang w:val="es-ES" w:eastAsia="en-US"/>
        </w:rPr>
        <w:t>, se presenta una inadecuada</w:t>
      </w:r>
      <w:r w:rsidR="00EA3F6B" w:rsidRPr="002279C3">
        <w:rPr>
          <w:rFonts w:eastAsiaTheme="minorHAnsi"/>
          <w:lang w:val="es-ES" w:eastAsia="en-US"/>
        </w:rPr>
        <w:t xml:space="preserve"> </w:t>
      </w:r>
      <w:r w:rsidR="00EA3F6B">
        <w:rPr>
          <w:rFonts w:eastAsiaTheme="minorHAnsi"/>
          <w:lang w:val="es-ES" w:eastAsia="en-US"/>
        </w:rPr>
        <w:t>disposición de las aguas residuales</w:t>
      </w:r>
      <w:r>
        <w:rPr>
          <w:rFonts w:eastAsiaTheme="minorHAnsi"/>
          <w:lang w:val="es-ES" w:eastAsia="en-US"/>
        </w:rPr>
        <w:t xml:space="preserve"> por parte de las viviendas</w:t>
      </w:r>
      <w:r w:rsidR="00EA3F6B" w:rsidRPr="002279C3">
        <w:rPr>
          <w:rFonts w:eastAsiaTheme="minorHAnsi"/>
          <w:lang w:val="es-ES" w:eastAsia="en-US"/>
        </w:rPr>
        <w:t>; hecho que no permite a la e</w:t>
      </w:r>
      <w:r w:rsidR="000B6170">
        <w:rPr>
          <w:rFonts w:eastAsiaTheme="minorHAnsi"/>
          <w:lang w:val="es-ES" w:eastAsia="en-US"/>
        </w:rPr>
        <w:t xml:space="preserve">mpresa ESAQUIN llevar control de la </w:t>
      </w:r>
      <w:r w:rsidR="00EA3F6B" w:rsidRPr="002279C3">
        <w:rPr>
          <w:rFonts w:eastAsiaTheme="minorHAnsi"/>
          <w:lang w:val="es-ES" w:eastAsia="en-US"/>
        </w:rPr>
        <w:t xml:space="preserve">cobertura, ni realizar cobros, puesto que </w:t>
      </w:r>
      <w:r>
        <w:rPr>
          <w:rFonts w:eastAsiaTheme="minorHAnsi"/>
          <w:lang w:val="es-ES" w:eastAsia="en-US"/>
        </w:rPr>
        <w:t>dichas</w:t>
      </w:r>
      <w:r w:rsidR="00EA3F6B" w:rsidRPr="002279C3">
        <w:rPr>
          <w:rFonts w:eastAsiaTheme="minorHAnsi"/>
          <w:lang w:val="es-ES" w:eastAsia="en-US"/>
        </w:rPr>
        <w:t xml:space="preserve"> vivienda no </w:t>
      </w:r>
      <w:r>
        <w:rPr>
          <w:rFonts w:eastAsiaTheme="minorHAnsi"/>
          <w:lang w:val="es-ES" w:eastAsia="en-US"/>
        </w:rPr>
        <w:t xml:space="preserve">se encuentran </w:t>
      </w:r>
      <w:r w:rsidR="00EA3F6B" w:rsidRPr="002279C3">
        <w:rPr>
          <w:rFonts w:eastAsiaTheme="minorHAnsi"/>
          <w:lang w:val="es-ES" w:eastAsia="en-US"/>
        </w:rPr>
        <w:t>conectadas a la Red.</w:t>
      </w:r>
      <w:r w:rsidR="005B1E38">
        <w:rPr>
          <w:rFonts w:eastAsiaTheme="minorHAnsi"/>
          <w:lang w:val="es-ES" w:eastAsia="en-US"/>
        </w:rPr>
        <w:t xml:space="preserve">  </w:t>
      </w:r>
    </w:p>
    <w:p w:rsidR="00EA3F6B" w:rsidRPr="002279C3" w:rsidRDefault="00EA3F6B" w:rsidP="00EA3F6B">
      <w:pPr>
        <w:autoSpaceDE w:val="0"/>
        <w:autoSpaceDN w:val="0"/>
        <w:adjustRightInd w:val="0"/>
        <w:spacing w:line="360" w:lineRule="auto"/>
        <w:jc w:val="both"/>
        <w:rPr>
          <w:rFonts w:eastAsiaTheme="minorHAnsi"/>
          <w:lang w:val="es-ES" w:eastAsia="en-US"/>
        </w:rPr>
      </w:pPr>
    </w:p>
    <w:p w:rsidR="00EA3F6B" w:rsidRPr="002279C3" w:rsidRDefault="00EA3F6B" w:rsidP="00EA3F6B">
      <w:pPr>
        <w:autoSpaceDE w:val="0"/>
        <w:autoSpaceDN w:val="0"/>
        <w:adjustRightInd w:val="0"/>
        <w:spacing w:line="360" w:lineRule="auto"/>
        <w:jc w:val="both"/>
        <w:rPr>
          <w:rFonts w:eastAsiaTheme="minorHAnsi"/>
          <w:lang w:val="es-ES" w:eastAsia="en-US"/>
        </w:rPr>
      </w:pPr>
      <w:r w:rsidRPr="002279C3">
        <w:rPr>
          <w:rFonts w:eastAsiaTheme="minorHAnsi"/>
          <w:lang w:val="es-ES" w:eastAsia="en-US"/>
        </w:rPr>
        <w:t xml:space="preserve">     </w:t>
      </w:r>
      <w:r w:rsidR="00D63FC6">
        <w:rPr>
          <w:rFonts w:eastAsiaTheme="minorHAnsi"/>
          <w:lang w:val="es-ES" w:eastAsia="en-US"/>
        </w:rPr>
        <w:t>En general, l</w:t>
      </w:r>
      <w:r w:rsidRPr="002279C3">
        <w:rPr>
          <w:rFonts w:eastAsiaTheme="minorHAnsi"/>
          <w:lang w:val="es-ES" w:eastAsia="en-US"/>
        </w:rPr>
        <w:t xml:space="preserve">as inversiones </w:t>
      </w:r>
      <w:r w:rsidR="00F215B4">
        <w:rPr>
          <w:rFonts w:eastAsiaTheme="minorHAnsi"/>
          <w:lang w:val="es-ES" w:eastAsia="en-US"/>
        </w:rPr>
        <w:t>realizadas</w:t>
      </w:r>
      <w:r w:rsidRPr="002279C3">
        <w:rPr>
          <w:rFonts w:eastAsiaTheme="minorHAnsi"/>
          <w:lang w:val="es-ES" w:eastAsia="en-US"/>
        </w:rPr>
        <w:t xml:space="preserve"> en el sector de Acueducto y Alcantarillado para el Quindío, han permitido aumentar la cobertura de los servicios de acueducto y alcantarillado. </w:t>
      </w:r>
    </w:p>
    <w:p w:rsidR="00EA3F6B" w:rsidRPr="002279C3" w:rsidRDefault="00EA3F6B" w:rsidP="00EA3F6B">
      <w:pPr>
        <w:pStyle w:val="Sinespaciado"/>
        <w:spacing w:line="360" w:lineRule="auto"/>
        <w:rPr>
          <w:rFonts w:ascii="Times New Roman" w:hAnsi="Times New Roman"/>
        </w:rPr>
      </w:pPr>
    </w:p>
    <w:p w:rsidR="00EA3F6B" w:rsidRPr="00811CF6" w:rsidRDefault="00BD703D" w:rsidP="00EA3F6B">
      <w:pPr>
        <w:pStyle w:val="Sinespaciado"/>
        <w:rPr>
          <w:rFonts w:ascii="Times New Roman" w:hAnsi="Times New Roman"/>
        </w:rPr>
      </w:pPr>
      <w:r>
        <w:rPr>
          <w:rFonts w:ascii="Times New Roman" w:hAnsi="Times New Roman"/>
        </w:rPr>
        <w:t>Gráfico 3.9</w:t>
      </w:r>
    </w:p>
    <w:p w:rsidR="00EA3F6B" w:rsidRPr="00E776DD" w:rsidRDefault="00EA3F6B" w:rsidP="00EA3F6B">
      <w:pPr>
        <w:pStyle w:val="Sinespaciado"/>
        <w:rPr>
          <w:rFonts w:ascii="Times New Roman" w:hAnsi="Times New Roman"/>
        </w:rPr>
      </w:pPr>
      <w:r w:rsidRPr="00E776DD">
        <w:rPr>
          <w:rFonts w:ascii="Times New Roman" w:hAnsi="Times New Roman"/>
        </w:rPr>
        <w:t>Consumo facturado del servicio de acueducto, según sectores</w:t>
      </w:r>
    </w:p>
    <w:p w:rsidR="00EA3F6B" w:rsidRPr="00E776DD" w:rsidRDefault="00EA3F6B" w:rsidP="00EA3F6B">
      <w:pPr>
        <w:pStyle w:val="Sinespaciado"/>
        <w:rPr>
          <w:rFonts w:ascii="Times New Roman" w:hAnsi="Times New Roman"/>
          <w:szCs w:val="24"/>
        </w:rPr>
      </w:pPr>
      <w:r w:rsidRPr="00E776DD">
        <w:rPr>
          <w:rFonts w:ascii="Times New Roman" w:hAnsi="Times New Roman"/>
        </w:rPr>
        <w:t>Año 2013</w:t>
      </w:r>
    </w:p>
    <w:p w:rsidR="00EA3F6B" w:rsidRPr="002279C3" w:rsidRDefault="00EA3F6B" w:rsidP="00EA3F6B">
      <w:pPr>
        <w:pStyle w:val="NormalWeb"/>
        <w:spacing w:line="360" w:lineRule="auto"/>
        <w:jc w:val="both"/>
      </w:pPr>
      <w:r w:rsidRPr="002279C3">
        <w:rPr>
          <w:noProof/>
          <w:lang w:val="es-CO" w:eastAsia="es-CO"/>
        </w:rPr>
        <w:drawing>
          <wp:inline distT="0" distB="0" distL="0" distR="0" wp14:anchorId="5B669AA4" wp14:editId="0A476B56">
            <wp:extent cx="5732060" cy="2647666"/>
            <wp:effectExtent l="0" t="0" r="21590" b="19685"/>
            <wp:docPr id="4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A3F6B" w:rsidRPr="00E776DD" w:rsidRDefault="00EA3F6B" w:rsidP="00EA3F6B">
      <w:pPr>
        <w:pStyle w:val="Sinespaciado"/>
        <w:rPr>
          <w:rFonts w:ascii="Times New Roman" w:hAnsi="Times New Roman"/>
          <w:sz w:val="16"/>
          <w:szCs w:val="16"/>
        </w:rPr>
      </w:pPr>
      <w:r w:rsidRPr="00E776DD">
        <w:rPr>
          <w:rFonts w:ascii="Times New Roman" w:hAnsi="Times New Roman"/>
          <w:sz w:val="16"/>
          <w:szCs w:val="16"/>
        </w:rPr>
        <w:t>FUENTE: Empresa Sanitaria del Quindío, ESAQUIN - Empresas Públicas de Armenia - Empresa Multipropósito de Calarcá</w:t>
      </w:r>
    </w:p>
    <w:p w:rsidR="00EA3F6B" w:rsidRPr="00E776DD" w:rsidRDefault="00EA3F6B" w:rsidP="00EA3F6B">
      <w:pPr>
        <w:pStyle w:val="Sinespaciado"/>
        <w:rPr>
          <w:rFonts w:ascii="Times New Roman" w:hAnsi="Times New Roman"/>
          <w:sz w:val="16"/>
          <w:szCs w:val="16"/>
        </w:rPr>
      </w:pPr>
      <w:r w:rsidRPr="00E776DD">
        <w:rPr>
          <w:rFonts w:ascii="Times New Roman" w:hAnsi="Times New Roman"/>
          <w:sz w:val="16"/>
          <w:szCs w:val="16"/>
        </w:rPr>
        <w:t xml:space="preserve"> S.A ESP – ESACOR</w:t>
      </w:r>
    </w:p>
    <w:p w:rsidR="00EA3F6B" w:rsidRDefault="00EA3F6B" w:rsidP="00EA3F6B">
      <w:pPr>
        <w:pStyle w:val="Sinespaciado"/>
        <w:spacing w:line="360" w:lineRule="auto"/>
        <w:rPr>
          <w:rFonts w:ascii="Times New Roman" w:hAnsi="Times New Roman"/>
          <w:sz w:val="10"/>
          <w:szCs w:val="10"/>
        </w:rPr>
      </w:pPr>
    </w:p>
    <w:p w:rsidR="00EA3F6B" w:rsidRDefault="00EA3F6B" w:rsidP="00EA3F6B">
      <w:pPr>
        <w:pStyle w:val="Sinespaciado"/>
        <w:spacing w:line="360" w:lineRule="auto"/>
        <w:rPr>
          <w:rFonts w:ascii="Times New Roman" w:hAnsi="Times New Roman"/>
          <w:sz w:val="10"/>
          <w:szCs w:val="10"/>
        </w:rPr>
      </w:pPr>
    </w:p>
    <w:p w:rsidR="00EA3F6B" w:rsidRDefault="00EA3F6B" w:rsidP="00EA3F6B">
      <w:pPr>
        <w:pStyle w:val="Sinespaciado"/>
        <w:spacing w:line="360" w:lineRule="auto"/>
        <w:rPr>
          <w:rFonts w:ascii="Times New Roman" w:hAnsi="Times New Roman"/>
          <w:sz w:val="10"/>
          <w:szCs w:val="10"/>
        </w:rPr>
      </w:pPr>
    </w:p>
    <w:p w:rsidR="000169ED" w:rsidRDefault="000169ED" w:rsidP="00EA3F6B">
      <w:pPr>
        <w:pStyle w:val="Sinespaciado"/>
        <w:spacing w:line="360" w:lineRule="auto"/>
        <w:rPr>
          <w:rFonts w:ascii="Times New Roman" w:hAnsi="Times New Roman"/>
          <w:sz w:val="10"/>
          <w:szCs w:val="10"/>
        </w:rPr>
      </w:pPr>
    </w:p>
    <w:p w:rsidR="000169ED" w:rsidRPr="002279C3" w:rsidRDefault="000169ED" w:rsidP="00EA3F6B">
      <w:pPr>
        <w:pStyle w:val="Sinespaciado"/>
        <w:spacing w:line="360" w:lineRule="auto"/>
        <w:rPr>
          <w:rFonts w:ascii="Times New Roman" w:hAnsi="Times New Roman"/>
          <w:sz w:val="10"/>
          <w:szCs w:val="10"/>
        </w:rPr>
      </w:pPr>
    </w:p>
    <w:p w:rsidR="00EA3F6B" w:rsidRPr="00E776DD" w:rsidRDefault="00BD703D" w:rsidP="00EA3F6B">
      <w:pPr>
        <w:pStyle w:val="Sinespaciado"/>
        <w:rPr>
          <w:rFonts w:ascii="Times New Roman" w:hAnsi="Times New Roman"/>
        </w:rPr>
      </w:pPr>
      <w:r>
        <w:rPr>
          <w:rFonts w:ascii="Times New Roman" w:hAnsi="Times New Roman"/>
        </w:rPr>
        <w:t>Gráfico 3.10</w:t>
      </w:r>
    </w:p>
    <w:p w:rsidR="00EA3F6B" w:rsidRPr="00E776DD" w:rsidRDefault="00EA3F6B" w:rsidP="00EA3F6B">
      <w:pPr>
        <w:pStyle w:val="Sinespaciado"/>
        <w:rPr>
          <w:rFonts w:ascii="Times New Roman" w:hAnsi="Times New Roman"/>
        </w:rPr>
      </w:pPr>
      <w:r w:rsidRPr="00E776DD">
        <w:rPr>
          <w:rFonts w:ascii="Times New Roman" w:hAnsi="Times New Roman"/>
        </w:rPr>
        <w:t xml:space="preserve">Valor facturado (Mts3)  del servicio de acueducto, según sectores </w:t>
      </w:r>
    </w:p>
    <w:p w:rsidR="00EA3F6B" w:rsidRPr="00E776DD" w:rsidRDefault="00EA3F6B" w:rsidP="00EA3F6B">
      <w:pPr>
        <w:pStyle w:val="Sinespaciado"/>
        <w:rPr>
          <w:rFonts w:ascii="Times New Roman" w:hAnsi="Times New Roman"/>
        </w:rPr>
      </w:pPr>
      <w:r w:rsidRPr="00E776DD">
        <w:rPr>
          <w:rFonts w:ascii="Times New Roman" w:hAnsi="Times New Roman"/>
        </w:rPr>
        <w:t>Año 2013</w:t>
      </w:r>
    </w:p>
    <w:p w:rsidR="00EA3F6B" w:rsidRPr="002279C3" w:rsidRDefault="00EA3F6B" w:rsidP="00EA3F6B">
      <w:pPr>
        <w:pStyle w:val="NormalWeb"/>
        <w:spacing w:line="360" w:lineRule="auto"/>
        <w:jc w:val="both"/>
      </w:pPr>
      <w:r w:rsidRPr="002279C3">
        <w:rPr>
          <w:noProof/>
          <w:lang w:val="es-CO" w:eastAsia="es-CO"/>
        </w:rPr>
        <w:drawing>
          <wp:inline distT="0" distB="0" distL="0" distR="0" wp14:anchorId="70ED68FA" wp14:editId="5EE13B80">
            <wp:extent cx="5568287" cy="2442949"/>
            <wp:effectExtent l="0" t="0" r="13970" b="14605"/>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A3F6B" w:rsidRDefault="00EA3F6B" w:rsidP="00EA3F6B">
      <w:pPr>
        <w:pStyle w:val="NormalWeb"/>
        <w:spacing w:line="360" w:lineRule="auto"/>
        <w:jc w:val="both"/>
        <w:rPr>
          <w:sz w:val="16"/>
          <w:szCs w:val="16"/>
        </w:rPr>
      </w:pPr>
      <w:r w:rsidRPr="00A3473A">
        <w:rPr>
          <w:sz w:val="16"/>
          <w:szCs w:val="16"/>
        </w:rPr>
        <w:t>F</w:t>
      </w:r>
      <w:r w:rsidR="00937F4E" w:rsidRPr="00A3473A">
        <w:rPr>
          <w:sz w:val="16"/>
          <w:szCs w:val="16"/>
        </w:rPr>
        <w:t>uente</w:t>
      </w:r>
      <w:r w:rsidRPr="00A3473A">
        <w:rPr>
          <w:sz w:val="16"/>
          <w:szCs w:val="16"/>
        </w:rPr>
        <w:t>: Empresa Sanitaria del Quindío, ESAQUIN - Empresas Públicas de Armenia - Empresa Multipropósito de Calarcá S.A ESP – ESACOR</w:t>
      </w:r>
    </w:p>
    <w:p w:rsidR="00EA3F6B" w:rsidRDefault="00EA3F6B" w:rsidP="00EA3F6B">
      <w:pPr>
        <w:spacing w:line="360" w:lineRule="auto"/>
        <w:jc w:val="both"/>
        <w:rPr>
          <w:lang w:val="es-MX"/>
        </w:rPr>
      </w:pPr>
      <w:r w:rsidRPr="002279C3">
        <w:rPr>
          <w:lang w:val="es-ES"/>
        </w:rPr>
        <w:t xml:space="preserve">     </w:t>
      </w:r>
      <w:r>
        <w:rPr>
          <w:lang w:val="es-ES"/>
        </w:rPr>
        <w:t>El</w:t>
      </w:r>
      <w:r w:rsidRPr="002279C3">
        <w:rPr>
          <w:lang w:val="es-ES"/>
        </w:rPr>
        <w:t xml:space="preserve"> </w:t>
      </w:r>
      <w:r w:rsidR="000F3C51">
        <w:rPr>
          <w:lang w:val="es-ES"/>
        </w:rPr>
        <w:t>residencial constituye el sector</w:t>
      </w:r>
      <w:r w:rsidRPr="002279C3">
        <w:rPr>
          <w:lang w:val="es-ES"/>
        </w:rPr>
        <w:t xml:space="preserve"> donde se consume y fac</w:t>
      </w:r>
      <w:r w:rsidR="000F3C51">
        <w:rPr>
          <w:lang w:val="es-ES"/>
        </w:rPr>
        <w:t>tura el mayor valor</w:t>
      </w:r>
      <w:r w:rsidRPr="002279C3">
        <w:rPr>
          <w:lang w:val="es-ES"/>
        </w:rPr>
        <w:t xml:space="preserve">, </w:t>
      </w:r>
      <w:r w:rsidR="00E032D0">
        <w:rPr>
          <w:lang w:val="es-ES"/>
        </w:rPr>
        <w:t>y a su vez</w:t>
      </w:r>
      <w:r w:rsidRPr="002279C3">
        <w:rPr>
          <w:lang w:val="es-ES"/>
        </w:rPr>
        <w:t xml:space="preserve"> </w:t>
      </w:r>
      <w:r w:rsidR="00E032D0">
        <w:rPr>
          <w:lang w:val="es-ES"/>
        </w:rPr>
        <w:t>cuenta con el</w:t>
      </w:r>
      <w:r w:rsidRPr="002279C3">
        <w:rPr>
          <w:lang w:val="es-ES"/>
        </w:rPr>
        <w:t xml:space="preserve"> mayor </w:t>
      </w:r>
      <w:r w:rsidR="007B4303">
        <w:rPr>
          <w:lang w:val="es-ES"/>
        </w:rPr>
        <w:t xml:space="preserve">número de suscriptores de las </w:t>
      </w:r>
      <w:r w:rsidR="003029AD">
        <w:rPr>
          <w:lang w:val="es-ES"/>
        </w:rPr>
        <w:t>empresas o</w:t>
      </w:r>
      <w:r w:rsidRPr="002279C3">
        <w:rPr>
          <w:lang w:val="es-ES"/>
        </w:rPr>
        <w:t xml:space="preserve">peradoras, seguido </w:t>
      </w:r>
      <w:r w:rsidR="007B4303">
        <w:rPr>
          <w:lang w:val="es-ES"/>
        </w:rPr>
        <w:t>los sectores</w:t>
      </w:r>
      <w:r w:rsidRPr="002279C3">
        <w:rPr>
          <w:lang w:val="es-ES"/>
        </w:rPr>
        <w:t xml:space="preserve"> comercial </w:t>
      </w:r>
      <w:r w:rsidR="007B4303">
        <w:rPr>
          <w:lang w:val="es-ES"/>
        </w:rPr>
        <w:t>e</w:t>
      </w:r>
      <w:r w:rsidRPr="002279C3">
        <w:rPr>
          <w:lang w:val="es-ES"/>
        </w:rPr>
        <w:t xml:space="preserve"> industrial. Cabe mencionar, que las</w:t>
      </w:r>
      <w:r w:rsidRPr="002279C3">
        <w:rPr>
          <w:lang w:val="es-MX"/>
        </w:rPr>
        <w:t xml:space="preserve"> tarifas de los servicios de acueducto y alcantarillado parten de un cargo fijo y un consumo básico</w:t>
      </w:r>
      <w:r w:rsidR="00E032D0">
        <w:rPr>
          <w:lang w:val="es-MX"/>
        </w:rPr>
        <w:t>; a</w:t>
      </w:r>
      <w:r w:rsidRPr="002279C3">
        <w:rPr>
          <w:lang w:val="es-MX"/>
        </w:rPr>
        <w:t xml:space="preserve"> esto se suma el consumo no básico, que varía de acue</w:t>
      </w:r>
      <w:r w:rsidR="007B4303">
        <w:rPr>
          <w:lang w:val="es-MX"/>
        </w:rPr>
        <w:t xml:space="preserve">rdo al ritmo de su consumo. Los </w:t>
      </w:r>
      <w:r w:rsidRPr="002279C3">
        <w:rPr>
          <w:lang w:val="es-MX"/>
        </w:rPr>
        <w:t xml:space="preserve">valores de consumo y valor facturado están  relacionados a la segmentación del mercado según las necesidades de los usuarios y al inmueble donde el servicio es suministrado, bien sean de tipo residencial, comercial, industrial, oficial u otros. </w:t>
      </w:r>
    </w:p>
    <w:p w:rsidR="00D7568F" w:rsidRDefault="00D7568F" w:rsidP="00EA3F6B">
      <w:pPr>
        <w:spacing w:line="360" w:lineRule="auto"/>
        <w:jc w:val="both"/>
        <w:rPr>
          <w:lang w:val="es-MX"/>
        </w:rPr>
      </w:pPr>
    </w:p>
    <w:p w:rsidR="00D7568F" w:rsidRPr="002279C3" w:rsidRDefault="00D7568F" w:rsidP="00D7568F">
      <w:pPr>
        <w:spacing w:line="360" w:lineRule="auto"/>
        <w:ind w:firstLine="284"/>
        <w:jc w:val="both"/>
        <w:rPr>
          <w:lang w:val="es-ES"/>
        </w:rPr>
      </w:pPr>
      <w:r>
        <w:rPr>
          <w:lang w:val="es-ES"/>
        </w:rPr>
        <w:t xml:space="preserve">Los índices evidencian niveles significativos </w:t>
      </w:r>
      <w:r w:rsidRPr="002279C3">
        <w:rPr>
          <w:lang w:val="es-ES"/>
        </w:rPr>
        <w:t>de pérdidas de agua en el Departamento del Quindío para el año 2013</w:t>
      </w:r>
      <w:r>
        <w:rPr>
          <w:lang w:val="es-ES"/>
        </w:rPr>
        <w:t>.  El m</w:t>
      </w:r>
      <w:r w:rsidRPr="002279C3">
        <w:rPr>
          <w:lang w:val="es-ES"/>
        </w:rPr>
        <w:t>unicipio de la Tebaida, presen</w:t>
      </w:r>
      <w:r>
        <w:rPr>
          <w:lang w:val="es-ES"/>
        </w:rPr>
        <w:t>ta la mayor pérdida de agua con un 38%, seguidamente de los m</w:t>
      </w:r>
      <w:r w:rsidRPr="002279C3">
        <w:rPr>
          <w:lang w:val="es-ES"/>
        </w:rPr>
        <w:t>unicipios de B</w:t>
      </w:r>
      <w:r>
        <w:rPr>
          <w:lang w:val="es-ES"/>
        </w:rPr>
        <w:t>uenavista (37%), Circasia (37%)</w:t>
      </w:r>
      <w:r w:rsidRPr="002279C3">
        <w:rPr>
          <w:lang w:val="es-ES"/>
        </w:rPr>
        <w:t>, Montenegro (36%), Armenia (34,7%) y Salento (34%); en total, el Departamento presentó un índice de pérdida de agua</w:t>
      </w:r>
      <w:r>
        <w:rPr>
          <w:lang w:val="es-ES"/>
        </w:rPr>
        <w:t xml:space="preserve"> para el 2013 superior al 30%; </w:t>
      </w:r>
      <w:r w:rsidRPr="002279C3">
        <w:rPr>
          <w:lang w:val="es-ES"/>
        </w:rPr>
        <w:t xml:space="preserve">el cual aumentó para cada municipio con respecto al 2012. </w:t>
      </w:r>
    </w:p>
    <w:p w:rsidR="00EA3F6B" w:rsidRPr="00E776DD" w:rsidRDefault="00BD703D" w:rsidP="00EA3F6B">
      <w:pPr>
        <w:pStyle w:val="Sinespaciado"/>
        <w:rPr>
          <w:rFonts w:ascii="Times New Roman" w:hAnsi="Times New Roman"/>
        </w:rPr>
      </w:pPr>
      <w:r>
        <w:rPr>
          <w:rFonts w:ascii="Times New Roman" w:hAnsi="Times New Roman"/>
        </w:rPr>
        <w:lastRenderedPageBreak/>
        <w:t>Gráfico 3.11</w:t>
      </w:r>
    </w:p>
    <w:p w:rsidR="00EA3F6B" w:rsidRPr="00E776DD" w:rsidRDefault="00EA3F6B" w:rsidP="00EA3F6B">
      <w:pPr>
        <w:pStyle w:val="Sinespaciado"/>
        <w:rPr>
          <w:rFonts w:ascii="Times New Roman" w:hAnsi="Times New Roman"/>
        </w:rPr>
      </w:pPr>
      <w:r w:rsidRPr="00E776DD">
        <w:rPr>
          <w:rFonts w:ascii="Times New Roman" w:hAnsi="Times New Roman"/>
        </w:rPr>
        <w:t>Índice de pérdidas de agua tratada por Municipio</w:t>
      </w:r>
    </w:p>
    <w:p w:rsidR="00EA3F6B" w:rsidRPr="00E776DD" w:rsidRDefault="00EA3F6B" w:rsidP="00EA3F6B">
      <w:pPr>
        <w:pStyle w:val="Sinespaciado"/>
        <w:rPr>
          <w:rFonts w:ascii="Times New Roman" w:hAnsi="Times New Roman"/>
        </w:rPr>
      </w:pPr>
      <w:r w:rsidRPr="00E776DD">
        <w:rPr>
          <w:rFonts w:ascii="Times New Roman" w:hAnsi="Times New Roman"/>
        </w:rPr>
        <w:t>Año 2012- 2013</w:t>
      </w:r>
    </w:p>
    <w:p w:rsidR="00EA3F6B" w:rsidRPr="00811CF6" w:rsidRDefault="00EA3F6B" w:rsidP="00EA3F6B">
      <w:pPr>
        <w:pStyle w:val="Sinespaciado"/>
        <w:jc w:val="center"/>
        <w:rPr>
          <w:rFonts w:ascii="Times New Roman" w:hAnsi="Times New Roman"/>
        </w:rPr>
      </w:pPr>
    </w:p>
    <w:p w:rsidR="00EA3F6B" w:rsidRPr="002279C3" w:rsidRDefault="00EA3F6B" w:rsidP="00EA3F6B">
      <w:pPr>
        <w:spacing w:line="360" w:lineRule="auto"/>
        <w:jc w:val="both"/>
      </w:pPr>
      <w:r w:rsidRPr="002279C3">
        <w:rPr>
          <w:noProof/>
        </w:rPr>
        <w:drawing>
          <wp:inline distT="0" distB="0" distL="0" distR="0" wp14:anchorId="01B480EF" wp14:editId="04C305BA">
            <wp:extent cx="5594570" cy="2425148"/>
            <wp:effectExtent l="19050" t="0" r="25180" b="0"/>
            <wp:docPr id="4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A3F6B" w:rsidRPr="002279C3" w:rsidRDefault="00EA3F6B" w:rsidP="000E1CFC">
      <w:pPr>
        <w:spacing w:line="360" w:lineRule="auto"/>
        <w:ind w:firstLine="284"/>
        <w:jc w:val="both"/>
        <w:rPr>
          <w:sz w:val="25"/>
          <w:szCs w:val="25"/>
          <w:lang w:val="es-MX"/>
        </w:rPr>
      </w:pPr>
      <w:r w:rsidRPr="002279C3">
        <w:rPr>
          <w:sz w:val="16"/>
          <w:szCs w:val="16"/>
        </w:rPr>
        <w:t>F</w:t>
      </w:r>
      <w:r w:rsidR="003F4FD9" w:rsidRPr="002279C3">
        <w:rPr>
          <w:sz w:val="16"/>
          <w:szCs w:val="16"/>
        </w:rPr>
        <w:t>uente</w:t>
      </w:r>
      <w:r w:rsidRPr="002279C3">
        <w:rPr>
          <w:sz w:val="16"/>
          <w:szCs w:val="16"/>
        </w:rPr>
        <w:t>: Anuario Estadístico 2013 –</w:t>
      </w:r>
      <w:r>
        <w:rPr>
          <w:sz w:val="16"/>
          <w:szCs w:val="16"/>
        </w:rPr>
        <w:t>Tabla</w:t>
      </w:r>
      <w:r w:rsidRPr="002279C3">
        <w:rPr>
          <w:sz w:val="16"/>
          <w:szCs w:val="16"/>
        </w:rPr>
        <w:t xml:space="preserve"> 5.3.2</w:t>
      </w:r>
    </w:p>
    <w:p w:rsidR="00EA3F6B" w:rsidRDefault="00EA3F6B" w:rsidP="00EA3F6B">
      <w:pPr>
        <w:spacing w:line="360" w:lineRule="auto"/>
        <w:jc w:val="both"/>
        <w:rPr>
          <w:lang w:val="es-ES"/>
        </w:rPr>
      </w:pPr>
      <w:r w:rsidRPr="002279C3">
        <w:rPr>
          <w:lang w:val="es-ES"/>
        </w:rPr>
        <w:t xml:space="preserve">   </w:t>
      </w:r>
    </w:p>
    <w:p w:rsidR="00EA3F6B" w:rsidRPr="002279C3" w:rsidRDefault="00EA3F6B" w:rsidP="00EA3F6B">
      <w:pPr>
        <w:spacing w:line="360" w:lineRule="auto"/>
        <w:jc w:val="both"/>
        <w:rPr>
          <w:lang w:val="es-ES"/>
        </w:rPr>
      </w:pPr>
    </w:p>
    <w:p w:rsidR="00EA3F6B" w:rsidRPr="002279C3" w:rsidRDefault="00EA3F6B" w:rsidP="006C27CA">
      <w:pPr>
        <w:spacing w:line="360" w:lineRule="auto"/>
        <w:ind w:firstLine="284"/>
        <w:jc w:val="both"/>
        <w:rPr>
          <w:lang w:val="es-ES"/>
        </w:rPr>
      </w:pPr>
      <w:r w:rsidRPr="002279C3">
        <w:rPr>
          <w:lang w:val="es-ES"/>
        </w:rPr>
        <w:t xml:space="preserve">Estos índices son el reflejo de dificultades financieras y problemas en la prestación del servicio público domiciliario de agua potable, </w:t>
      </w:r>
      <w:r w:rsidR="006C27CA">
        <w:rPr>
          <w:lang w:val="es-ES"/>
        </w:rPr>
        <w:t xml:space="preserve">y </w:t>
      </w:r>
      <w:r w:rsidRPr="002279C3">
        <w:rPr>
          <w:lang w:val="es-ES"/>
        </w:rPr>
        <w:t>a una gestión técnica, operativa y comercial de las empresas prestadoras de servicios públicos. Las pérdidas comerciales hacen referencia básicamente con posibles fraudes y mal estado del sistema de micro medición que dificulta a las empresas la cuantificación real de lo que consume cada usuario.</w:t>
      </w:r>
      <w:r w:rsidR="00453B94">
        <w:rPr>
          <w:lang w:val="es-ES"/>
        </w:rPr>
        <w:t xml:space="preserve"> (</w:t>
      </w:r>
      <w:r>
        <w:rPr>
          <w:lang w:val="es-ES"/>
        </w:rPr>
        <w:t>ESAQUIN, 2013)</w:t>
      </w:r>
      <w:r w:rsidR="000039E0">
        <w:rPr>
          <w:b/>
          <w:lang w:val="es-ES"/>
        </w:rPr>
        <w:t>.</w:t>
      </w:r>
    </w:p>
    <w:p w:rsidR="00EA3F6B" w:rsidRDefault="00EA3F6B" w:rsidP="00EA3F6B">
      <w:pPr>
        <w:spacing w:line="360" w:lineRule="auto"/>
        <w:jc w:val="both"/>
        <w:rPr>
          <w:lang w:val="es-ES"/>
        </w:rPr>
      </w:pPr>
    </w:p>
    <w:p w:rsidR="00EA3F6B" w:rsidRPr="00486068" w:rsidRDefault="00EA3F6B" w:rsidP="00B54C1B">
      <w:pPr>
        <w:pStyle w:val="Sinespaciado"/>
        <w:spacing w:line="360" w:lineRule="auto"/>
        <w:ind w:firstLine="284"/>
        <w:rPr>
          <w:rFonts w:ascii="Times New Roman" w:hAnsi="Times New Roman"/>
          <w:sz w:val="24"/>
          <w:szCs w:val="24"/>
        </w:rPr>
      </w:pPr>
      <w:r w:rsidRPr="00486068">
        <w:rPr>
          <w:rFonts w:ascii="Times New Roman" w:hAnsi="Times New Roman"/>
          <w:sz w:val="24"/>
          <w:szCs w:val="24"/>
        </w:rPr>
        <w:t xml:space="preserve">La disminución de los niveles de pérdidas en agua tratada puede aumentar de manera considerable  los índices de calidad, igualmente la rentabilidad de la prestación del servicio público de agua potable.  Por lo tanto, es necesario seguir realizando inversiones de recursos en el Departamento del Quindío para la ejecución de obras  que permitan la reparación, optimización  y </w:t>
      </w:r>
      <w:r w:rsidR="00EF7624" w:rsidRPr="00486068">
        <w:rPr>
          <w:rFonts w:ascii="Times New Roman" w:hAnsi="Times New Roman"/>
          <w:sz w:val="24"/>
          <w:szCs w:val="24"/>
        </w:rPr>
        <w:t xml:space="preserve">disminución </w:t>
      </w:r>
      <w:r w:rsidRPr="00486068">
        <w:rPr>
          <w:rFonts w:ascii="Times New Roman" w:hAnsi="Times New Roman"/>
          <w:sz w:val="24"/>
          <w:szCs w:val="24"/>
        </w:rPr>
        <w:t>de daños en la infraestructura de red de los acueductos y reducir los niveles de pérdidas mejorando el recaudo y aumento en tarifas resultado de inversiones posteriores que no afecten económicamente al usuario.</w:t>
      </w:r>
    </w:p>
    <w:p w:rsidR="00EA3F6B" w:rsidRPr="00D355F9" w:rsidRDefault="00EA3F6B" w:rsidP="00EA3F6B">
      <w:pPr>
        <w:pStyle w:val="Sinespaciado"/>
        <w:spacing w:line="360" w:lineRule="auto"/>
        <w:rPr>
          <w:rFonts w:ascii="Times New Roman" w:hAnsi="Times New Roman"/>
          <w:szCs w:val="24"/>
        </w:rPr>
      </w:pPr>
    </w:p>
    <w:p w:rsidR="00EA3F6B" w:rsidRPr="00044D31" w:rsidRDefault="00044D31" w:rsidP="00044D31">
      <w:pPr>
        <w:pStyle w:val="Ttulo2"/>
        <w:rPr>
          <w:rStyle w:val="Textoennegrita"/>
          <w:rFonts w:ascii="Times New Roman" w:hAnsi="Times New Roman"/>
          <w:b/>
          <w:color w:val="auto"/>
          <w:sz w:val="30"/>
          <w:szCs w:val="30"/>
        </w:rPr>
      </w:pPr>
      <w:bookmarkStart w:id="34" w:name="_Toc406754301"/>
      <w:r w:rsidRPr="00044D31">
        <w:rPr>
          <w:rStyle w:val="Textoennegrita"/>
          <w:rFonts w:ascii="Times New Roman" w:hAnsi="Times New Roman"/>
          <w:b/>
          <w:color w:val="auto"/>
          <w:sz w:val="30"/>
          <w:szCs w:val="30"/>
        </w:rPr>
        <w:lastRenderedPageBreak/>
        <w:t xml:space="preserve">3.4 </w:t>
      </w:r>
      <w:r w:rsidR="00EA3F6B" w:rsidRPr="00044D31">
        <w:rPr>
          <w:rStyle w:val="Textoennegrita"/>
          <w:rFonts w:ascii="Times New Roman" w:hAnsi="Times New Roman"/>
          <w:b/>
          <w:color w:val="auto"/>
          <w:sz w:val="30"/>
          <w:szCs w:val="30"/>
        </w:rPr>
        <w:t>Aseo</w:t>
      </w:r>
      <w:bookmarkEnd w:id="34"/>
      <w:r w:rsidR="00EA3F6B" w:rsidRPr="00044D31">
        <w:rPr>
          <w:rStyle w:val="Textoennegrita"/>
          <w:rFonts w:ascii="Times New Roman" w:hAnsi="Times New Roman"/>
          <w:b/>
          <w:color w:val="auto"/>
          <w:sz w:val="30"/>
          <w:szCs w:val="30"/>
        </w:rPr>
        <w:t xml:space="preserve"> </w:t>
      </w:r>
    </w:p>
    <w:p w:rsidR="00EA3F6B" w:rsidRPr="00D355F9" w:rsidRDefault="00EA3F6B" w:rsidP="00EA3F6B">
      <w:pPr>
        <w:pStyle w:val="Sinespaciado"/>
        <w:spacing w:line="360" w:lineRule="auto"/>
        <w:rPr>
          <w:rFonts w:ascii="Times New Roman" w:hAnsi="Times New Roman"/>
          <w:szCs w:val="24"/>
        </w:rPr>
      </w:pPr>
    </w:p>
    <w:p w:rsidR="00EA3F6B" w:rsidRPr="00486068" w:rsidRDefault="00EA3F6B" w:rsidP="00EA3F6B">
      <w:pPr>
        <w:pStyle w:val="Sinespaciado"/>
        <w:spacing w:line="360" w:lineRule="auto"/>
        <w:rPr>
          <w:rFonts w:ascii="Times New Roman" w:hAnsi="Times New Roman"/>
          <w:sz w:val="24"/>
          <w:szCs w:val="24"/>
        </w:rPr>
      </w:pPr>
      <w:r w:rsidRPr="00486068">
        <w:rPr>
          <w:rFonts w:ascii="Times New Roman" w:hAnsi="Times New Roman"/>
          <w:sz w:val="24"/>
          <w:szCs w:val="24"/>
        </w:rPr>
        <w:t xml:space="preserve">De acuerdo a la Comisión  de Regulación de </w:t>
      </w:r>
      <w:r w:rsidR="000E6943" w:rsidRPr="00486068">
        <w:rPr>
          <w:rFonts w:ascii="Times New Roman" w:hAnsi="Times New Roman"/>
          <w:sz w:val="24"/>
          <w:szCs w:val="24"/>
        </w:rPr>
        <w:t>agua potable y saneamiento</w:t>
      </w:r>
      <w:r w:rsidRPr="00486068">
        <w:rPr>
          <w:rFonts w:ascii="Times New Roman" w:hAnsi="Times New Roman"/>
          <w:sz w:val="24"/>
          <w:szCs w:val="24"/>
        </w:rPr>
        <w:t xml:space="preserve"> básico la cobertura en el sector de aseo debe tratarse como un bien de carácter público. </w:t>
      </w:r>
      <w:r w:rsidR="000E6943" w:rsidRPr="00486068">
        <w:rPr>
          <w:rFonts w:ascii="Times New Roman" w:hAnsi="Times New Roman"/>
          <w:sz w:val="24"/>
          <w:szCs w:val="24"/>
        </w:rPr>
        <w:t>Incluso</w:t>
      </w:r>
      <w:r w:rsidRPr="00486068">
        <w:rPr>
          <w:rFonts w:ascii="Times New Roman" w:hAnsi="Times New Roman"/>
          <w:sz w:val="24"/>
          <w:szCs w:val="24"/>
        </w:rPr>
        <w:t>, la última reglamentación sobre multiusuario. (SUPERSERVICIOS, 2014)</w:t>
      </w:r>
      <w:r w:rsidRPr="00486068">
        <w:rPr>
          <w:rStyle w:val="Refdenotaalpie"/>
          <w:rFonts w:ascii="Times New Roman" w:hAnsi="Times New Roman"/>
          <w:b/>
          <w:sz w:val="24"/>
          <w:szCs w:val="24"/>
        </w:rPr>
        <w:footnoteReference w:id="29"/>
      </w:r>
      <w:r w:rsidRPr="00486068">
        <w:rPr>
          <w:rFonts w:ascii="Times New Roman" w:hAnsi="Times New Roman"/>
          <w:sz w:val="24"/>
          <w:szCs w:val="24"/>
        </w:rPr>
        <w:t xml:space="preserve">, no permite definir el aumento o disminución de las coberturas en Aseo, ya que un solo usuario puede envolver varios hogares;  por lo tanto, el contrato de servicios públicos se utiliza como consecuencia de la prestación del servicio el cual se factura. </w:t>
      </w:r>
    </w:p>
    <w:p w:rsidR="00EA3F6B" w:rsidRPr="00D355F9" w:rsidRDefault="00EA3F6B" w:rsidP="00EA3F6B">
      <w:pPr>
        <w:pStyle w:val="Sinespaciado"/>
        <w:spacing w:line="360" w:lineRule="auto"/>
        <w:rPr>
          <w:rFonts w:ascii="Times New Roman" w:hAnsi="Times New Roman"/>
          <w:szCs w:val="24"/>
        </w:rPr>
      </w:pPr>
    </w:p>
    <w:p w:rsidR="00EA3F6B" w:rsidRPr="00F53B05" w:rsidRDefault="00BD703D" w:rsidP="00EA3F6B">
      <w:pPr>
        <w:pStyle w:val="Sinespaciado"/>
        <w:rPr>
          <w:rFonts w:ascii="Times New Roman" w:hAnsi="Times New Roman"/>
          <w:sz w:val="24"/>
          <w:szCs w:val="24"/>
        </w:rPr>
      </w:pPr>
      <w:r>
        <w:rPr>
          <w:rFonts w:ascii="Times New Roman" w:hAnsi="Times New Roman"/>
          <w:sz w:val="24"/>
          <w:szCs w:val="24"/>
        </w:rPr>
        <w:t>Gráfico 3.12</w:t>
      </w:r>
    </w:p>
    <w:p w:rsidR="00EA3F6B" w:rsidRPr="00F53B05" w:rsidRDefault="00EA3F6B" w:rsidP="00EA3F6B">
      <w:pPr>
        <w:pStyle w:val="Sinespaciado"/>
        <w:rPr>
          <w:rFonts w:ascii="Times New Roman" w:hAnsi="Times New Roman"/>
          <w:sz w:val="24"/>
          <w:szCs w:val="24"/>
        </w:rPr>
      </w:pPr>
      <w:r w:rsidRPr="00F53B05">
        <w:rPr>
          <w:rFonts w:ascii="Times New Roman" w:hAnsi="Times New Roman"/>
          <w:sz w:val="24"/>
          <w:szCs w:val="24"/>
        </w:rPr>
        <w:t>Cobertura del servicio  de aseo en</w:t>
      </w:r>
      <w:r w:rsidR="000E0376">
        <w:rPr>
          <w:rFonts w:ascii="Times New Roman" w:hAnsi="Times New Roman"/>
          <w:sz w:val="24"/>
          <w:szCs w:val="24"/>
        </w:rPr>
        <w:t xml:space="preserve"> el departamento del Quindío</w:t>
      </w:r>
    </w:p>
    <w:p w:rsidR="00EA3F6B" w:rsidRPr="00F53B05" w:rsidRDefault="00EA3F6B" w:rsidP="00EA3F6B">
      <w:pPr>
        <w:pStyle w:val="Sinespaciado"/>
        <w:rPr>
          <w:rFonts w:ascii="Times New Roman" w:hAnsi="Times New Roman"/>
          <w:sz w:val="24"/>
          <w:szCs w:val="24"/>
        </w:rPr>
      </w:pPr>
      <w:r w:rsidRPr="00F53B05">
        <w:rPr>
          <w:rFonts w:ascii="Times New Roman" w:hAnsi="Times New Roman"/>
          <w:sz w:val="24"/>
          <w:szCs w:val="24"/>
        </w:rPr>
        <w:t>Año 2013</w:t>
      </w:r>
    </w:p>
    <w:p w:rsidR="00EA3F6B" w:rsidRPr="002279C3" w:rsidRDefault="00EA3F6B" w:rsidP="00F53B05">
      <w:pPr>
        <w:pStyle w:val="NormalWeb"/>
        <w:jc w:val="both"/>
      </w:pPr>
      <w:r w:rsidRPr="002279C3">
        <w:rPr>
          <w:noProof/>
          <w:lang w:val="es-CO" w:eastAsia="es-CO"/>
        </w:rPr>
        <w:drawing>
          <wp:inline distT="0" distB="0" distL="0" distR="0" wp14:anchorId="48BF6D30" wp14:editId="72CCB940">
            <wp:extent cx="4152900" cy="1781175"/>
            <wp:effectExtent l="0" t="0" r="19050" b="9525"/>
            <wp:docPr id="4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A3F6B" w:rsidRPr="002279C3" w:rsidRDefault="00EA3F6B" w:rsidP="00F53B05">
      <w:pPr>
        <w:pStyle w:val="Sinespaciado"/>
        <w:rPr>
          <w:rFonts w:ascii="Times New Roman" w:hAnsi="Times New Roman"/>
          <w:sz w:val="16"/>
          <w:szCs w:val="16"/>
        </w:rPr>
      </w:pPr>
      <w:r w:rsidRPr="002279C3">
        <w:rPr>
          <w:rFonts w:ascii="Times New Roman" w:hAnsi="Times New Roman"/>
          <w:sz w:val="16"/>
          <w:szCs w:val="16"/>
        </w:rPr>
        <w:t>FUENTE: Secretarías de Planeación Municipios - Empresas Públicas de Armenia – Empresa Multipropósito de Calarcá S.A ESP – ESACOR – NEPSA del Quindío.</w:t>
      </w:r>
    </w:p>
    <w:p w:rsidR="00EA3F6B" w:rsidRDefault="00EA3F6B" w:rsidP="00EA3F6B">
      <w:pPr>
        <w:pStyle w:val="NormalWeb"/>
        <w:spacing w:line="360" w:lineRule="auto"/>
        <w:jc w:val="both"/>
      </w:pPr>
      <w:r w:rsidRPr="002279C3">
        <w:t xml:space="preserve">     </w:t>
      </w:r>
      <w:r w:rsidRPr="00CF75A5">
        <w:t>Normalmente, la cobertura del servicio de aseo se analiza  tomando la cantidad de basura recolectada en relación con</w:t>
      </w:r>
      <w:r w:rsidR="00C41810">
        <w:t xml:space="preserve"> la cantidad de basura producida</w:t>
      </w:r>
      <w:r>
        <w:t xml:space="preserve"> (</w:t>
      </w:r>
      <w:proofErr w:type="spellStart"/>
      <w:r>
        <w:t>Tabarquino</w:t>
      </w:r>
      <w:proofErr w:type="spellEnd"/>
      <w:r>
        <w:t>, 2012)</w:t>
      </w:r>
      <w:r w:rsidRPr="002279C3">
        <w:t xml:space="preserve">. </w:t>
      </w:r>
      <w:r>
        <w:t xml:space="preserve">Como resultado de la gráfica anterior, </w:t>
      </w:r>
      <w:r w:rsidRPr="00CF75A5">
        <w:t>se  evidencia el 100%  de cobertura en el Departamento del Quindío,</w:t>
      </w:r>
      <w:r>
        <w:t xml:space="preserve"> lo que </w:t>
      </w:r>
      <w:r w:rsidRPr="00CF75A5">
        <w:t xml:space="preserve"> indica que todos los residuos sólidos producidos son dispues</w:t>
      </w:r>
      <w:r>
        <w:t>tos a través de alguna técnica,</w:t>
      </w:r>
      <w:r w:rsidRPr="002279C3">
        <w:t xml:space="preserve"> como lo es el relleno sanitario</w:t>
      </w:r>
      <w:r>
        <w:t xml:space="preserve"> (</w:t>
      </w:r>
      <w:proofErr w:type="spellStart"/>
      <w:r>
        <w:t>Geovanis</w:t>
      </w:r>
      <w:proofErr w:type="spellEnd"/>
      <w:r>
        <w:t>, 2005).</w:t>
      </w:r>
    </w:p>
    <w:p w:rsidR="003464E6" w:rsidRDefault="003464E6" w:rsidP="00EA3F6B">
      <w:pPr>
        <w:pStyle w:val="NormalWeb"/>
        <w:spacing w:line="360" w:lineRule="auto"/>
        <w:jc w:val="both"/>
      </w:pPr>
    </w:p>
    <w:p w:rsidR="003464E6" w:rsidRDefault="003464E6" w:rsidP="00EA3F6B">
      <w:pPr>
        <w:pStyle w:val="NormalWeb"/>
        <w:spacing w:line="360" w:lineRule="auto"/>
        <w:jc w:val="both"/>
      </w:pPr>
    </w:p>
    <w:p w:rsidR="003464E6" w:rsidRDefault="00CC4C0A" w:rsidP="00EA3F6B">
      <w:pPr>
        <w:pStyle w:val="NormalWeb"/>
        <w:spacing w:line="360" w:lineRule="auto"/>
        <w:jc w:val="both"/>
      </w:pPr>
      <w:r>
        <w:rPr>
          <w:noProof/>
          <w:lang w:val="es-CO" w:eastAsia="es-CO"/>
        </w:rPr>
        <w:lastRenderedPageBreak/>
        <w:drawing>
          <wp:anchor distT="0" distB="0" distL="114300" distR="114300" simplePos="0" relativeHeight="251700224" behindDoc="0" locked="0" layoutInCell="1" allowOverlap="1">
            <wp:simplePos x="0" y="0"/>
            <wp:positionH relativeFrom="column">
              <wp:posOffset>-1080135</wp:posOffset>
            </wp:positionH>
            <wp:positionV relativeFrom="paragraph">
              <wp:posOffset>-1080135</wp:posOffset>
            </wp:positionV>
            <wp:extent cx="7772400" cy="10065385"/>
            <wp:effectExtent l="0" t="0" r="0" b="0"/>
            <wp:wrapNone/>
            <wp:docPr id="38" name="Imagen 38" descr="C:\Users\AUXPLANEACION08\Desktop\INFORME FINAL\DISEÑO\4 tras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UXPLANEACION08\Desktop\INFORME FINAL\DISEÑO\4 trasport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72400" cy="1006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4E6" w:rsidRDefault="003464E6" w:rsidP="00EA3F6B">
      <w:pPr>
        <w:pStyle w:val="NormalWeb"/>
        <w:spacing w:line="360" w:lineRule="auto"/>
        <w:jc w:val="both"/>
      </w:pPr>
    </w:p>
    <w:p w:rsidR="003464E6" w:rsidRDefault="003464E6" w:rsidP="00EA3F6B">
      <w:pPr>
        <w:pStyle w:val="NormalWeb"/>
        <w:spacing w:line="360" w:lineRule="auto"/>
        <w:jc w:val="both"/>
      </w:pPr>
    </w:p>
    <w:p w:rsidR="003464E6" w:rsidRDefault="003464E6" w:rsidP="00EA3F6B">
      <w:pPr>
        <w:pStyle w:val="NormalWeb"/>
        <w:spacing w:line="360" w:lineRule="auto"/>
        <w:jc w:val="both"/>
      </w:pPr>
    </w:p>
    <w:p w:rsidR="003464E6" w:rsidRDefault="003464E6" w:rsidP="00EA3F6B">
      <w:pPr>
        <w:pStyle w:val="NormalWeb"/>
        <w:spacing w:line="360" w:lineRule="auto"/>
        <w:jc w:val="both"/>
      </w:pPr>
    </w:p>
    <w:p w:rsidR="003775A3" w:rsidRDefault="003775A3" w:rsidP="00EA3F6B">
      <w:pPr>
        <w:pStyle w:val="NormalWeb"/>
        <w:spacing w:line="360" w:lineRule="auto"/>
        <w:jc w:val="both"/>
      </w:pPr>
    </w:p>
    <w:p w:rsidR="003775A3" w:rsidRDefault="003775A3" w:rsidP="00EA3F6B">
      <w:pPr>
        <w:pStyle w:val="NormalWeb"/>
        <w:spacing w:line="360" w:lineRule="auto"/>
        <w:jc w:val="both"/>
      </w:pPr>
    </w:p>
    <w:p w:rsidR="00135BA1" w:rsidRDefault="00135BA1" w:rsidP="00EA3F6B">
      <w:pPr>
        <w:pStyle w:val="NormalWeb"/>
        <w:spacing w:line="360" w:lineRule="auto"/>
        <w:jc w:val="both"/>
      </w:pPr>
    </w:p>
    <w:p w:rsidR="00135BA1" w:rsidRPr="00DB2EB3" w:rsidRDefault="00135BA1" w:rsidP="00135BA1">
      <w:pPr>
        <w:pStyle w:val="Ttulo1"/>
        <w:ind w:left="2832"/>
        <w:rPr>
          <w:rFonts w:ascii="Times New Roman" w:hAnsi="Times New Roman"/>
        </w:rPr>
      </w:pPr>
      <w:bookmarkStart w:id="35" w:name="_Toc406754302"/>
      <w:r w:rsidRPr="00DB2EB3">
        <w:rPr>
          <w:rFonts w:ascii="Times New Roman" w:hAnsi="Times New Roman"/>
        </w:rPr>
        <w:t>4.   Transporte</w:t>
      </w:r>
      <w:bookmarkEnd w:id="35"/>
    </w:p>
    <w:p w:rsidR="009972CE" w:rsidRPr="002279C3" w:rsidRDefault="009972CE" w:rsidP="00EA3F6B">
      <w:pPr>
        <w:pStyle w:val="NormalWeb"/>
        <w:spacing w:line="360" w:lineRule="auto"/>
        <w:jc w:val="both"/>
      </w:pPr>
    </w:p>
    <w:p w:rsidR="004561B8" w:rsidRDefault="004561B8" w:rsidP="00041E90">
      <w:pPr>
        <w:rPr>
          <w:lang w:val="es-ES"/>
        </w:rPr>
      </w:pPr>
    </w:p>
    <w:p w:rsidR="00041E90" w:rsidRDefault="00041E90"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50794C" w:rsidRDefault="0050794C" w:rsidP="00041E90">
      <w:pPr>
        <w:rPr>
          <w:lang w:val="es-ES"/>
        </w:rPr>
      </w:pPr>
    </w:p>
    <w:p w:rsidR="00BC507F" w:rsidRPr="002D17DC" w:rsidRDefault="00BC507F" w:rsidP="00BC507F">
      <w:pPr>
        <w:autoSpaceDE w:val="0"/>
        <w:autoSpaceDN w:val="0"/>
        <w:adjustRightInd w:val="0"/>
        <w:spacing w:line="360" w:lineRule="auto"/>
        <w:ind w:firstLine="284"/>
        <w:jc w:val="both"/>
        <w:rPr>
          <w:b/>
        </w:rPr>
      </w:pPr>
      <w:r w:rsidRPr="004942AB">
        <w:lastRenderedPageBreak/>
        <w:t xml:space="preserve">El </w:t>
      </w:r>
      <w:r>
        <w:t>s</w:t>
      </w:r>
      <w:r w:rsidR="00312926">
        <w:t xml:space="preserve">ector  </w:t>
      </w:r>
      <w:r>
        <w:t xml:space="preserve">transporte, </w:t>
      </w:r>
      <w:r w:rsidRPr="004942AB">
        <w:t xml:space="preserve"> </w:t>
      </w:r>
      <w:r w:rsidR="00160E82">
        <w:t xml:space="preserve">juega </w:t>
      </w:r>
      <w:r w:rsidRPr="004942AB">
        <w:t xml:space="preserve">un papel importante </w:t>
      </w:r>
      <w:r>
        <w:t>en el fortalecimiento</w:t>
      </w:r>
      <w:r w:rsidRPr="004942AB">
        <w:t xml:space="preserve"> de </w:t>
      </w:r>
      <w:r>
        <w:t xml:space="preserve">la </w:t>
      </w:r>
      <w:r w:rsidRPr="004942AB">
        <w:t>competitivi</w:t>
      </w:r>
      <w:r w:rsidRPr="004942AB">
        <w:softHyphen/>
        <w:t xml:space="preserve">dad en </w:t>
      </w:r>
      <w:r>
        <w:t>el país e igualmente en los procesos de globalización</w:t>
      </w:r>
      <w:r w:rsidRPr="004942AB">
        <w:t xml:space="preserve">. </w:t>
      </w:r>
      <w:r w:rsidR="00160E82">
        <w:t>Este aspecto</w:t>
      </w:r>
      <w:r>
        <w:t>, se evidencia en la transformación del sector</w:t>
      </w:r>
      <w:r w:rsidRPr="004942AB">
        <w:t xml:space="preserve">, </w:t>
      </w:r>
      <w:r w:rsidR="00C75CF5">
        <w:t xml:space="preserve">influido por </w:t>
      </w:r>
      <w:r>
        <w:t xml:space="preserve">el </w:t>
      </w:r>
      <w:r w:rsidRPr="004942AB">
        <w:t>crecimiento de la población</w:t>
      </w:r>
      <w:r>
        <w:t>, lo que ha genera</w:t>
      </w:r>
      <w:r w:rsidR="003E2B6C">
        <w:t>do</w:t>
      </w:r>
      <w:r w:rsidRPr="004942AB">
        <w:t xml:space="preserve"> </w:t>
      </w:r>
      <w:r w:rsidR="003E2B6C">
        <w:t>al aumento de nuevas</w:t>
      </w:r>
      <w:r w:rsidRPr="004942AB">
        <w:t xml:space="preserve"> empresas que ofrecen servicios de transporte en varias</w:t>
      </w:r>
      <w:r w:rsidRPr="002D17DC">
        <w:rPr>
          <w:lang w:eastAsia="es-ES"/>
        </w:rPr>
        <w:t xml:space="preserve"> modalidades¸ </w:t>
      </w:r>
      <w:r w:rsidR="003E2B6C">
        <w:rPr>
          <w:lang w:eastAsia="es-ES"/>
        </w:rPr>
        <w:t>de igual forma</w:t>
      </w:r>
      <w:r>
        <w:rPr>
          <w:lang w:eastAsia="es-ES"/>
        </w:rPr>
        <w:t>, a nivel departamental</w:t>
      </w:r>
      <w:r w:rsidR="003E2B6C">
        <w:rPr>
          <w:lang w:eastAsia="es-ES"/>
        </w:rPr>
        <w:t>,</w:t>
      </w:r>
      <w:r>
        <w:rPr>
          <w:lang w:eastAsia="es-ES"/>
        </w:rPr>
        <w:t xml:space="preserve"> ha sido </w:t>
      </w:r>
      <w:r w:rsidRPr="002D17DC">
        <w:rPr>
          <w:lang w:eastAsia="es-ES"/>
        </w:rPr>
        <w:t>notorio el aumento del parque automot</w:t>
      </w:r>
      <w:r>
        <w:rPr>
          <w:lang w:eastAsia="es-ES"/>
        </w:rPr>
        <w:t xml:space="preserve">or, </w:t>
      </w:r>
      <w:r w:rsidRPr="002D17DC">
        <w:rPr>
          <w:lang w:eastAsia="es-ES"/>
        </w:rPr>
        <w:t xml:space="preserve"> conduciendo al crecimiento del tráfico y del tránsito vehicular en las carreteras del </w:t>
      </w:r>
      <w:r>
        <w:rPr>
          <w:lang w:eastAsia="es-ES"/>
        </w:rPr>
        <w:t>Quindí</w:t>
      </w:r>
      <w:r w:rsidRPr="002D17DC">
        <w:rPr>
          <w:lang w:eastAsia="es-ES"/>
        </w:rPr>
        <w:t>o</w:t>
      </w:r>
      <w:r w:rsidRPr="00812A21">
        <w:t xml:space="preserve">. </w:t>
      </w:r>
    </w:p>
    <w:p w:rsidR="00BC507F" w:rsidRPr="00812A21" w:rsidRDefault="00BC507F" w:rsidP="00BC507F">
      <w:pPr>
        <w:autoSpaceDE w:val="0"/>
        <w:autoSpaceDN w:val="0"/>
        <w:adjustRightInd w:val="0"/>
        <w:spacing w:line="360" w:lineRule="auto"/>
        <w:ind w:firstLine="284"/>
        <w:jc w:val="both"/>
      </w:pPr>
    </w:p>
    <w:p w:rsidR="00BC507F" w:rsidRPr="00DC60A8" w:rsidRDefault="00DC60A8" w:rsidP="00DC60A8">
      <w:pPr>
        <w:pStyle w:val="Ttulo2"/>
        <w:rPr>
          <w:rFonts w:ascii="Times New Roman" w:hAnsi="Times New Roman" w:cs="Times New Roman"/>
          <w:color w:val="auto"/>
          <w:sz w:val="30"/>
          <w:szCs w:val="30"/>
        </w:rPr>
      </w:pPr>
      <w:bookmarkStart w:id="36" w:name="_Toc406754303"/>
      <w:r w:rsidRPr="00DC60A8">
        <w:rPr>
          <w:rFonts w:ascii="Times New Roman" w:hAnsi="Times New Roman" w:cs="Times New Roman"/>
          <w:color w:val="auto"/>
          <w:sz w:val="30"/>
          <w:szCs w:val="30"/>
        </w:rPr>
        <w:t xml:space="preserve">4.1 </w:t>
      </w:r>
      <w:r w:rsidR="00A408C2">
        <w:rPr>
          <w:rFonts w:ascii="Times New Roman" w:hAnsi="Times New Roman" w:cs="Times New Roman"/>
          <w:color w:val="auto"/>
          <w:sz w:val="30"/>
          <w:szCs w:val="30"/>
        </w:rPr>
        <w:t>Parque Automotor</w:t>
      </w:r>
      <w:bookmarkEnd w:id="36"/>
      <w:r w:rsidR="00A408C2">
        <w:rPr>
          <w:rFonts w:ascii="Times New Roman" w:hAnsi="Times New Roman" w:cs="Times New Roman"/>
          <w:color w:val="auto"/>
          <w:sz w:val="30"/>
          <w:szCs w:val="30"/>
        </w:rPr>
        <w:t xml:space="preserve"> </w:t>
      </w:r>
    </w:p>
    <w:p w:rsidR="00BC507F" w:rsidRPr="00760AD4" w:rsidRDefault="00BC507F" w:rsidP="00BC507F">
      <w:pPr>
        <w:autoSpaceDE w:val="0"/>
        <w:autoSpaceDN w:val="0"/>
        <w:adjustRightInd w:val="0"/>
        <w:spacing w:line="360" w:lineRule="auto"/>
        <w:jc w:val="both"/>
      </w:pPr>
    </w:p>
    <w:p w:rsidR="00BC507F" w:rsidRPr="00812A21" w:rsidRDefault="00BC507F" w:rsidP="000D6BB7">
      <w:pPr>
        <w:autoSpaceDE w:val="0"/>
        <w:autoSpaceDN w:val="0"/>
        <w:adjustRightInd w:val="0"/>
        <w:spacing w:line="360" w:lineRule="auto"/>
        <w:ind w:firstLine="284"/>
        <w:jc w:val="both"/>
      </w:pPr>
      <w:r w:rsidRPr="00812A21">
        <w:t>En los últimos años</w:t>
      </w:r>
      <w:r w:rsidR="00AA607C">
        <w:t>,</w:t>
      </w:r>
      <w:r w:rsidRPr="00812A21">
        <w:t xml:space="preserve"> </w:t>
      </w:r>
      <w:r w:rsidR="00733671">
        <w:t>el incremento del parque automotor ha sido evidente tanto a nivel nacional como departamental, este aspecto</w:t>
      </w:r>
      <w:r w:rsidR="00D23745">
        <w:t xml:space="preserve"> denota la importancia de analizar si </w:t>
      </w:r>
      <w:r w:rsidR="00CC7D1C">
        <w:t>la infraestructura</w:t>
      </w:r>
      <w:r w:rsidR="00D23745">
        <w:t xml:space="preserve"> vial existente</w:t>
      </w:r>
      <w:r w:rsidR="00CC7D1C">
        <w:t xml:space="preserve"> es suficiente para cubrir el incremento de la demanda vehicular. </w:t>
      </w:r>
      <w:r w:rsidR="0029774E">
        <w:t>Para el Quindío, en el municipio de</w:t>
      </w:r>
      <w:r w:rsidRPr="002552ED">
        <w:t xml:space="preserve"> Armenia, </w:t>
      </w:r>
      <w:r w:rsidR="0029774E">
        <w:t>el parque automotor aumentó</w:t>
      </w:r>
      <w:r w:rsidRPr="002552ED">
        <w:t xml:space="preserve"> </w:t>
      </w:r>
      <w:r w:rsidR="00AA607C" w:rsidRPr="002552ED">
        <w:t xml:space="preserve">aproximadamente </w:t>
      </w:r>
      <w:r w:rsidRPr="002552ED">
        <w:t>en un 13.24% duran</w:t>
      </w:r>
      <w:r w:rsidR="006F1BAF">
        <w:t>te el año 2013, seguido por el m</w:t>
      </w:r>
      <w:r w:rsidRPr="002552ED">
        <w:t>unicipio de Calarcá con un incremento del 8.83%. Cabe resaltar que el aumento de vehículos</w:t>
      </w:r>
      <w:r w:rsidR="00B2612E">
        <w:t xml:space="preserve"> </w:t>
      </w:r>
      <w:r w:rsidR="005A4A3F">
        <w:t xml:space="preserve">responde  en gran parte a las </w:t>
      </w:r>
      <w:r w:rsidRPr="002552ED">
        <w:t>facilidades de compra que ofrecen las empresas de venta de vehículos y la facilidad de adquirir crédito para vehículo con bajos interese</w:t>
      </w:r>
      <w:r w:rsidR="005A4A3F">
        <w:t>s</w:t>
      </w:r>
      <w:r w:rsidRPr="00812A21">
        <w:t>.</w:t>
      </w:r>
    </w:p>
    <w:p w:rsidR="00BC507F" w:rsidRDefault="00BC507F" w:rsidP="00BC507F">
      <w:pPr>
        <w:autoSpaceDE w:val="0"/>
        <w:autoSpaceDN w:val="0"/>
        <w:adjustRightInd w:val="0"/>
        <w:spacing w:line="360" w:lineRule="auto"/>
        <w:jc w:val="both"/>
      </w:pPr>
    </w:p>
    <w:p w:rsidR="006761DF" w:rsidRDefault="006761DF" w:rsidP="00BC507F">
      <w:pPr>
        <w:autoSpaceDE w:val="0"/>
        <w:autoSpaceDN w:val="0"/>
        <w:adjustRightInd w:val="0"/>
        <w:jc w:val="both"/>
        <w:rPr>
          <w:bCs/>
        </w:rPr>
      </w:pPr>
    </w:p>
    <w:p w:rsidR="00BC507F" w:rsidRPr="005C44CD" w:rsidRDefault="00BC507F" w:rsidP="00BC507F">
      <w:pPr>
        <w:autoSpaceDE w:val="0"/>
        <w:autoSpaceDN w:val="0"/>
        <w:adjustRightInd w:val="0"/>
        <w:jc w:val="both"/>
        <w:rPr>
          <w:bCs/>
        </w:rPr>
      </w:pPr>
      <w:r w:rsidRPr="005C44CD">
        <w:rPr>
          <w:bCs/>
        </w:rPr>
        <w:t>Tabla 4.1</w:t>
      </w:r>
    </w:p>
    <w:p w:rsidR="00BC507F" w:rsidRPr="005C44CD" w:rsidRDefault="00BC507F" w:rsidP="00BC507F">
      <w:pPr>
        <w:autoSpaceDE w:val="0"/>
        <w:autoSpaceDN w:val="0"/>
        <w:adjustRightInd w:val="0"/>
        <w:jc w:val="both"/>
        <w:rPr>
          <w:bCs/>
        </w:rPr>
      </w:pPr>
      <w:r w:rsidRPr="005C44CD">
        <w:rPr>
          <w:bCs/>
        </w:rPr>
        <w:t>Parque automotor por clase de servicio</w:t>
      </w:r>
    </w:p>
    <w:p w:rsidR="00BC507F" w:rsidRPr="005C44CD" w:rsidRDefault="00BC507F" w:rsidP="00BC507F">
      <w:pPr>
        <w:autoSpaceDE w:val="0"/>
        <w:autoSpaceDN w:val="0"/>
        <w:adjustRightInd w:val="0"/>
        <w:jc w:val="both"/>
        <w:rPr>
          <w:bCs/>
        </w:rPr>
      </w:pPr>
      <w:r w:rsidRPr="005C44CD">
        <w:rPr>
          <w:bCs/>
        </w:rPr>
        <w:t>2012 – 2013</w:t>
      </w:r>
    </w:p>
    <w:p w:rsidR="00BC507F" w:rsidRPr="00760AD4" w:rsidRDefault="00BC507F" w:rsidP="00BC507F">
      <w:pPr>
        <w:autoSpaceDE w:val="0"/>
        <w:autoSpaceDN w:val="0"/>
        <w:adjustRightInd w:val="0"/>
        <w:spacing w:line="360" w:lineRule="auto"/>
        <w:jc w:val="center"/>
      </w:pPr>
    </w:p>
    <w:tbl>
      <w:tblPr>
        <w:tblW w:w="7918" w:type="dxa"/>
        <w:tblCellMar>
          <w:left w:w="70" w:type="dxa"/>
          <w:right w:w="70" w:type="dxa"/>
        </w:tblCellMar>
        <w:tblLook w:val="04A0" w:firstRow="1" w:lastRow="0" w:firstColumn="1" w:lastColumn="0" w:noHBand="0" w:noVBand="1"/>
      </w:tblPr>
      <w:tblGrid>
        <w:gridCol w:w="1016"/>
        <w:gridCol w:w="1561"/>
        <w:gridCol w:w="1226"/>
        <w:gridCol w:w="1764"/>
        <w:gridCol w:w="1246"/>
        <w:gridCol w:w="1105"/>
      </w:tblGrid>
      <w:tr w:rsidR="00BC507F" w:rsidRPr="00A50CCC" w:rsidTr="006761DF">
        <w:trPr>
          <w:trHeight w:val="366"/>
        </w:trPr>
        <w:tc>
          <w:tcPr>
            <w:tcW w:w="1016" w:type="dxa"/>
            <w:tcBorders>
              <w:top w:val="single" w:sz="4" w:space="0" w:color="auto"/>
              <w:bottom w:val="single" w:sz="4" w:space="0" w:color="auto"/>
            </w:tcBorders>
            <w:shd w:val="clear" w:color="auto" w:fill="auto"/>
            <w:vAlign w:val="center"/>
            <w:hideMark/>
          </w:tcPr>
          <w:p w:rsidR="00BC507F" w:rsidRPr="00A50CCC" w:rsidRDefault="00BC507F" w:rsidP="00A50CCC">
            <w:pPr>
              <w:jc w:val="center"/>
              <w:rPr>
                <w:b/>
                <w:bCs/>
                <w:color w:val="000000"/>
                <w:sz w:val="20"/>
                <w:szCs w:val="20"/>
                <w:lang w:eastAsia="es-ES"/>
              </w:rPr>
            </w:pPr>
            <w:r w:rsidRPr="00A50CCC">
              <w:rPr>
                <w:b/>
                <w:bCs/>
                <w:color w:val="000000"/>
                <w:sz w:val="20"/>
                <w:szCs w:val="20"/>
                <w:lang w:eastAsia="es-ES"/>
              </w:rPr>
              <w:t>AÑ0</w:t>
            </w:r>
          </w:p>
        </w:tc>
        <w:tc>
          <w:tcPr>
            <w:tcW w:w="1561" w:type="dxa"/>
            <w:tcBorders>
              <w:top w:val="single" w:sz="4" w:space="0" w:color="auto"/>
              <w:bottom w:val="single" w:sz="4" w:space="0" w:color="auto"/>
            </w:tcBorders>
            <w:shd w:val="clear" w:color="auto" w:fill="auto"/>
            <w:vAlign w:val="center"/>
            <w:hideMark/>
          </w:tcPr>
          <w:p w:rsidR="00BC507F" w:rsidRPr="00A50CCC" w:rsidRDefault="00BC507F" w:rsidP="00A50CCC">
            <w:pPr>
              <w:jc w:val="center"/>
              <w:rPr>
                <w:b/>
                <w:bCs/>
                <w:color w:val="000000"/>
                <w:sz w:val="20"/>
                <w:szCs w:val="20"/>
                <w:lang w:eastAsia="es-ES"/>
              </w:rPr>
            </w:pPr>
            <w:r w:rsidRPr="00A50CCC">
              <w:rPr>
                <w:b/>
                <w:bCs/>
                <w:color w:val="000000"/>
                <w:sz w:val="20"/>
                <w:szCs w:val="20"/>
                <w:lang w:eastAsia="es-ES"/>
              </w:rPr>
              <w:t>OFICINAS TRÁNSITO</w:t>
            </w:r>
          </w:p>
        </w:tc>
        <w:tc>
          <w:tcPr>
            <w:tcW w:w="1226" w:type="dxa"/>
            <w:tcBorders>
              <w:top w:val="single" w:sz="4" w:space="0" w:color="auto"/>
              <w:bottom w:val="single" w:sz="4" w:space="0" w:color="auto"/>
            </w:tcBorders>
            <w:shd w:val="clear" w:color="auto" w:fill="auto"/>
            <w:vAlign w:val="center"/>
            <w:hideMark/>
          </w:tcPr>
          <w:p w:rsidR="00BC507F" w:rsidRPr="00A50CCC" w:rsidRDefault="00BC507F" w:rsidP="00A50CCC">
            <w:pPr>
              <w:jc w:val="center"/>
              <w:rPr>
                <w:b/>
                <w:bCs/>
                <w:color w:val="000000"/>
                <w:sz w:val="20"/>
                <w:szCs w:val="20"/>
                <w:lang w:eastAsia="es-ES"/>
              </w:rPr>
            </w:pPr>
            <w:r w:rsidRPr="00A50CCC">
              <w:rPr>
                <w:b/>
                <w:bCs/>
                <w:color w:val="000000"/>
                <w:sz w:val="20"/>
                <w:szCs w:val="20"/>
                <w:lang w:eastAsia="es-ES"/>
              </w:rPr>
              <w:t>OFICIAL</w:t>
            </w:r>
          </w:p>
        </w:tc>
        <w:tc>
          <w:tcPr>
            <w:tcW w:w="1764" w:type="dxa"/>
            <w:tcBorders>
              <w:top w:val="single" w:sz="4" w:space="0" w:color="auto"/>
              <w:bottom w:val="single" w:sz="4" w:space="0" w:color="auto"/>
            </w:tcBorders>
            <w:shd w:val="clear" w:color="auto" w:fill="auto"/>
            <w:vAlign w:val="center"/>
            <w:hideMark/>
          </w:tcPr>
          <w:p w:rsidR="00BC507F" w:rsidRPr="00A50CCC" w:rsidRDefault="00BC507F" w:rsidP="00A50CCC">
            <w:pPr>
              <w:jc w:val="center"/>
              <w:rPr>
                <w:b/>
                <w:bCs/>
                <w:color w:val="000000"/>
                <w:sz w:val="20"/>
                <w:szCs w:val="20"/>
                <w:lang w:eastAsia="es-ES"/>
              </w:rPr>
            </w:pPr>
            <w:r w:rsidRPr="00A50CCC">
              <w:rPr>
                <w:b/>
                <w:bCs/>
                <w:color w:val="000000"/>
                <w:sz w:val="20"/>
                <w:szCs w:val="20"/>
                <w:lang w:eastAsia="es-ES"/>
              </w:rPr>
              <w:t>PARTICULAR</w:t>
            </w:r>
          </w:p>
        </w:tc>
        <w:tc>
          <w:tcPr>
            <w:tcW w:w="1246" w:type="dxa"/>
            <w:tcBorders>
              <w:top w:val="single" w:sz="4" w:space="0" w:color="auto"/>
              <w:bottom w:val="single" w:sz="4" w:space="0" w:color="auto"/>
            </w:tcBorders>
            <w:shd w:val="clear" w:color="auto" w:fill="auto"/>
            <w:vAlign w:val="center"/>
            <w:hideMark/>
          </w:tcPr>
          <w:p w:rsidR="00BC507F" w:rsidRPr="00A50CCC" w:rsidRDefault="00BC507F" w:rsidP="00A50CCC">
            <w:pPr>
              <w:jc w:val="center"/>
              <w:rPr>
                <w:b/>
                <w:bCs/>
                <w:color w:val="000000"/>
                <w:sz w:val="20"/>
                <w:szCs w:val="20"/>
                <w:lang w:eastAsia="es-ES"/>
              </w:rPr>
            </w:pPr>
            <w:r w:rsidRPr="00A50CCC">
              <w:rPr>
                <w:b/>
                <w:bCs/>
                <w:color w:val="000000"/>
                <w:sz w:val="20"/>
                <w:szCs w:val="20"/>
                <w:lang w:eastAsia="es-ES"/>
              </w:rPr>
              <w:t>PÚBLICO</w:t>
            </w:r>
          </w:p>
        </w:tc>
        <w:tc>
          <w:tcPr>
            <w:tcW w:w="1105" w:type="dxa"/>
            <w:tcBorders>
              <w:top w:val="single" w:sz="4" w:space="0" w:color="auto"/>
              <w:bottom w:val="single" w:sz="4" w:space="0" w:color="auto"/>
            </w:tcBorders>
            <w:shd w:val="clear" w:color="auto" w:fill="auto"/>
            <w:vAlign w:val="center"/>
            <w:hideMark/>
          </w:tcPr>
          <w:p w:rsidR="00BC507F" w:rsidRPr="00A50CCC" w:rsidRDefault="00BC507F" w:rsidP="00A50CCC">
            <w:pPr>
              <w:jc w:val="center"/>
              <w:rPr>
                <w:b/>
                <w:bCs/>
                <w:color w:val="000000"/>
                <w:sz w:val="20"/>
                <w:szCs w:val="20"/>
                <w:lang w:eastAsia="es-ES"/>
              </w:rPr>
            </w:pPr>
            <w:r w:rsidRPr="00A50CCC">
              <w:rPr>
                <w:b/>
                <w:bCs/>
                <w:color w:val="000000"/>
                <w:sz w:val="20"/>
                <w:szCs w:val="20"/>
                <w:lang w:eastAsia="es-ES"/>
              </w:rPr>
              <w:t>TOTAL</w:t>
            </w:r>
          </w:p>
        </w:tc>
      </w:tr>
      <w:tr w:rsidR="00BC507F" w:rsidRPr="00A50CCC" w:rsidTr="006761DF">
        <w:trPr>
          <w:trHeight w:val="262"/>
        </w:trPr>
        <w:tc>
          <w:tcPr>
            <w:tcW w:w="1016" w:type="dxa"/>
            <w:vMerge w:val="restart"/>
            <w:tcBorders>
              <w:top w:val="single" w:sz="4" w:space="0" w:color="auto"/>
            </w:tcBorders>
            <w:shd w:val="clear" w:color="auto" w:fill="auto"/>
            <w:noWrap/>
            <w:vAlign w:val="center"/>
            <w:hideMark/>
          </w:tcPr>
          <w:p w:rsidR="00BC507F" w:rsidRPr="00A50CCC" w:rsidRDefault="00BC507F" w:rsidP="006761DF">
            <w:pPr>
              <w:jc w:val="both"/>
              <w:rPr>
                <w:color w:val="000000"/>
                <w:sz w:val="20"/>
                <w:szCs w:val="20"/>
                <w:lang w:eastAsia="es-ES"/>
              </w:rPr>
            </w:pPr>
            <w:r w:rsidRPr="00A50CCC">
              <w:rPr>
                <w:color w:val="000000"/>
                <w:sz w:val="20"/>
                <w:szCs w:val="20"/>
                <w:lang w:eastAsia="es-ES"/>
              </w:rPr>
              <w:t>2012</w:t>
            </w:r>
          </w:p>
        </w:tc>
        <w:tc>
          <w:tcPr>
            <w:tcW w:w="1561" w:type="dxa"/>
            <w:tcBorders>
              <w:top w:val="single" w:sz="4" w:space="0" w:color="auto"/>
            </w:tcBorders>
            <w:shd w:val="clear" w:color="auto" w:fill="auto"/>
            <w:vAlign w:val="center"/>
            <w:hideMark/>
          </w:tcPr>
          <w:p w:rsidR="00BC507F" w:rsidRPr="00A50CCC" w:rsidRDefault="00BC507F" w:rsidP="006761DF">
            <w:pPr>
              <w:jc w:val="both"/>
              <w:rPr>
                <w:color w:val="000000"/>
                <w:sz w:val="20"/>
                <w:szCs w:val="20"/>
                <w:lang w:eastAsia="es-ES"/>
              </w:rPr>
            </w:pPr>
            <w:r w:rsidRPr="00A50CCC">
              <w:rPr>
                <w:color w:val="000000"/>
                <w:sz w:val="20"/>
                <w:szCs w:val="20"/>
                <w:lang w:eastAsia="es-ES"/>
              </w:rPr>
              <w:t xml:space="preserve">Armenia </w:t>
            </w:r>
          </w:p>
        </w:tc>
        <w:tc>
          <w:tcPr>
            <w:tcW w:w="1226" w:type="dxa"/>
            <w:tcBorders>
              <w:top w:val="single" w:sz="4" w:space="0" w:color="auto"/>
            </w:tcBorders>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79</w:t>
            </w:r>
          </w:p>
        </w:tc>
        <w:tc>
          <w:tcPr>
            <w:tcW w:w="1764" w:type="dxa"/>
            <w:tcBorders>
              <w:top w:val="single" w:sz="4" w:space="0" w:color="auto"/>
            </w:tcBorders>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6.523</w:t>
            </w:r>
          </w:p>
        </w:tc>
        <w:tc>
          <w:tcPr>
            <w:tcW w:w="1246" w:type="dxa"/>
            <w:tcBorders>
              <w:top w:val="single" w:sz="4" w:space="0" w:color="auto"/>
            </w:tcBorders>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284</w:t>
            </w:r>
          </w:p>
        </w:tc>
        <w:tc>
          <w:tcPr>
            <w:tcW w:w="1105" w:type="dxa"/>
            <w:tcBorders>
              <w:top w:val="single" w:sz="4" w:space="0" w:color="auto"/>
            </w:tcBorders>
            <w:shd w:val="clear" w:color="auto" w:fill="auto"/>
            <w:vAlign w:val="center"/>
            <w:hideMark/>
          </w:tcPr>
          <w:p w:rsidR="00BC507F" w:rsidRPr="00A50CCC" w:rsidRDefault="00BC507F" w:rsidP="00885C4C">
            <w:pPr>
              <w:jc w:val="center"/>
              <w:rPr>
                <w:color w:val="000000"/>
                <w:sz w:val="20"/>
                <w:szCs w:val="20"/>
                <w:lang w:eastAsia="es-ES"/>
              </w:rPr>
            </w:pPr>
            <w:r w:rsidRPr="00A50CCC">
              <w:rPr>
                <w:color w:val="000000"/>
                <w:sz w:val="20"/>
                <w:szCs w:val="20"/>
                <w:lang w:eastAsia="es-ES"/>
              </w:rPr>
              <w:t>6.</w:t>
            </w:r>
            <w:r w:rsidR="00885C4C">
              <w:rPr>
                <w:color w:val="000000"/>
                <w:sz w:val="20"/>
                <w:szCs w:val="20"/>
                <w:lang w:eastAsia="es-ES"/>
              </w:rPr>
              <w:t>886</w:t>
            </w:r>
          </w:p>
        </w:tc>
      </w:tr>
      <w:tr w:rsidR="00BC507F" w:rsidRPr="00A50CCC" w:rsidTr="006761DF">
        <w:trPr>
          <w:trHeight w:val="461"/>
        </w:trPr>
        <w:tc>
          <w:tcPr>
            <w:tcW w:w="1016" w:type="dxa"/>
            <w:vMerge/>
            <w:vAlign w:val="center"/>
            <w:hideMark/>
          </w:tcPr>
          <w:p w:rsidR="00BC507F" w:rsidRPr="00A50CCC" w:rsidRDefault="00BC507F" w:rsidP="006761DF">
            <w:pPr>
              <w:jc w:val="both"/>
              <w:rPr>
                <w:color w:val="000000"/>
                <w:sz w:val="20"/>
                <w:szCs w:val="20"/>
                <w:lang w:eastAsia="es-ES"/>
              </w:rPr>
            </w:pPr>
          </w:p>
        </w:tc>
        <w:tc>
          <w:tcPr>
            <w:tcW w:w="1561" w:type="dxa"/>
            <w:shd w:val="clear" w:color="auto" w:fill="auto"/>
            <w:vAlign w:val="center"/>
            <w:hideMark/>
          </w:tcPr>
          <w:p w:rsidR="00BC507F" w:rsidRPr="00A50CCC" w:rsidRDefault="00BC507F" w:rsidP="006761DF">
            <w:pPr>
              <w:jc w:val="both"/>
              <w:rPr>
                <w:color w:val="000000"/>
                <w:sz w:val="20"/>
                <w:szCs w:val="20"/>
                <w:lang w:eastAsia="es-ES"/>
              </w:rPr>
            </w:pPr>
            <w:r w:rsidRPr="00A50CCC">
              <w:rPr>
                <w:color w:val="000000"/>
                <w:sz w:val="20"/>
                <w:szCs w:val="20"/>
                <w:lang w:eastAsia="es-ES"/>
              </w:rPr>
              <w:t>Calarcá</w:t>
            </w:r>
          </w:p>
        </w:tc>
        <w:tc>
          <w:tcPr>
            <w:tcW w:w="1226" w:type="dxa"/>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80</w:t>
            </w:r>
          </w:p>
        </w:tc>
        <w:tc>
          <w:tcPr>
            <w:tcW w:w="1764" w:type="dxa"/>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27.280</w:t>
            </w:r>
          </w:p>
        </w:tc>
        <w:tc>
          <w:tcPr>
            <w:tcW w:w="1246" w:type="dxa"/>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2.439</w:t>
            </w:r>
          </w:p>
        </w:tc>
        <w:tc>
          <w:tcPr>
            <w:tcW w:w="1105" w:type="dxa"/>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29.799</w:t>
            </w:r>
          </w:p>
        </w:tc>
      </w:tr>
      <w:tr w:rsidR="00BC507F" w:rsidRPr="00A50CCC" w:rsidTr="006761DF">
        <w:trPr>
          <w:trHeight w:val="398"/>
        </w:trPr>
        <w:tc>
          <w:tcPr>
            <w:tcW w:w="1016" w:type="dxa"/>
            <w:vMerge w:val="restart"/>
            <w:shd w:val="clear" w:color="auto" w:fill="auto"/>
            <w:noWrap/>
            <w:vAlign w:val="center"/>
            <w:hideMark/>
          </w:tcPr>
          <w:p w:rsidR="00BC507F" w:rsidRPr="00A50CCC" w:rsidRDefault="00BC507F" w:rsidP="006761DF">
            <w:pPr>
              <w:jc w:val="both"/>
              <w:rPr>
                <w:color w:val="000000"/>
                <w:sz w:val="20"/>
                <w:szCs w:val="20"/>
                <w:lang w:eastAsia="es-ES"/>
              </w:rPr>
            </w:pPr>
            <w:r w:rsidRPr="00A50CCC">
              <w:rPr>
                <w:color w:val="000000"/>
                <w:sz w:val="20"/>
                <w:szCs w:val="20"/>
                <w:lang w:eastAsia="es-ES"/>
              </w:rPr>
              <w:t>2013</w:t>
            </w:r>
          </w:p>
        </w:tc>
        <w:tc>
          <w:tcPr>
            <w:tcW w:w="1561" w:type="dxa"/>
            <w:shd w:val="clear" w:color="auto" w:fill="auto"/>
            <w:vAlign w:val="center"/>
            <w:hideMark/>
          </w:tcPr>
          <w:p w:rsidR="00BC507F" w:rsidRPr="00A50CCC" w:rsidRDefault="00BC507F" w:rsidP="006761DF">
            <w:pPr>
              <w:jc w:val="both"/>
              <w:rPr>
                <w:color w:val="000000"/>
                <w:sz w:val="20"/>
                <w:szCs w:val="20"/>
                <w:lang w:eastAsia="es-ES"/>
              </w:rPr>
            </w:pPr>
            <w:r w:rsidRPr="00A50CCC">
              <w:rPr>
                <w:color w:val="000000"/>
                <w:sz w:val="20"/>
                <w:szCs w:val="20"/>
                <w:lang w:eastAsia="es-ES"/>
              </w:rPr>
              <w:t xml:space="preserve">Armenia </w:t>
            </w:r>
          </w:p>
        </w:tc>
        <w:tc>
          <w:tcPr>
            <w:tcW w:w="1226" w:type="dxa"/>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10</w:t>
            </w:r>
          </w:p>
        </w:tc>
        <w:tc>
          <w:tcPr>
            <w:tcW w:w="1764" w:type="dxa"/>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7.189</w:t>
            </w:r>
          </w:p>
        </w:tc>
        <w:tc>
          <w:tcPr>
            <w:tcW w:w="1246" w:type="dxa"/>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293</w:t>
            </w:r>
          </w:p>
        </w:tc>
        <w:tc>
          <w:tcPr>
            <w:tcW w:w="1105" w:type="dxa"/>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7.492</w:t>
            </w:r>
          </w:p>
        </w:tc>
      </w:tr>
      <w:tr w:rsidR="00BC507F" w:rsidRPr="00A50CCC" w:rsidTr="006761DF">
        <w:trPr>
          <w:trHeight w:val="325"/>
        </w:trPr>
        <w:tc>
          <w:tcPr>
            <w:tcW w:w="1016" w:type="dxa"/>
            <w:vMerge/>
            <w:tcBorders>
              <w:bottom w:val="single" w:sz="4" w:space="0" w:color="auto"/>
            </w:tcBorders>
            <w:vAlign w:val="center"/>
            <w:hideMark/>
          </w:tcPr>
          <w:p w:rsidR="00BC507F" w:rsidRPr="00A50CCC" w:rsidRDefault="00BC507F" w:rsidP="006761DF">
            <w:pPr>
              <w:jc w:val="both"/>
              <w:rPr>
                <w:color w:val="000000"/>
                <w:sz w:val="20"/>
                <w:szCs w:val="20"/>
                <w:lang w:eastAsia="es-ES"/>
              </w:rPr>
            </w:pPr>
          </w:p>
        </w:tc>
        <w:tc>
          <w:tcPr>
            <w:tcW w:w="1561" w:type="dxa"/>
            <w:tcBorders>
              <w:bottom w:val="single" w:sz="4" w:space="0" w:color="auto"/>
            </w:tcBorders>
            <w:shd w:val="clear" w:color="auto" w:fill="auto"/>
            <w:vAlign w:val="center"/>
            <w:hideMark/>
          </w:tcPr>
          <w:p w:rsidR="00BC507F" w:rsidRPr="00A50CCC" w:rsidRDefault="00BC507F" w:rsidP="006761DF">
            <w:pPr>
              <w:jc w:val="both"/>
              <w:rPr>
                <w:color w:val="000000"/>
                <w:sz w:val="20"/>
                <w:szCs w:val="20"/>
                <w:lang w:eastAsia="es-ES"/>
              </w:rPr>
            </w:pPr>
            <w:r w:rsidRPr="00A50CCC">
              <w:rPr>
                <w:color w:val="000000"/>
                <w:sz w:val="20"/>
                <w:szCs w:val="20"/>
                <w:lang w:eastAsia="es-ES"/>
              </w:rPr>
              <w:t>Calarcá</w:t>
            </w:r>
          </w:p>
        </w:tc>
        <w:tc>
          <w:tcPr>
            <w:tcW w:w="1226" w:type="dxa"/>
            <w:tcBorders>
              <w:bottom w:val="single" w:sz="4" w:space="0" w:color="auto"/>
            </w:tcBorders>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60</w:t>
            </w:r>
          </w:p>
        </w:tc>
        <w:tc>
          <w:tcPr>
            <w:tcW w:w="1764" w:type="dxa"/>
            <w:tcBorders>
              <w:bottom w:val="single" w:sz="4" w:space="0" w:color="auto"/>
            </w:tcBorders>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28.661</w:t>
            </w:r>
          </w:p>
        </w:tc>
        <w:tc>
          <w:tcPr>
            <w:tcW w:w="1246" w:type="dxa"/>
            <w:tcBorders>
              <w:bottom w:val="single" w:sz="4" w:space="0" w:color="auto"/>
            </w:tcBorders>
            <w:shd w:val="clear" w:color="auto" w:fill="auto"/>
            <w:vAlign w:val="center"/>
            <w:hideMark/>
          </w:tcPr>
          <w:p w:rsidR="00BC507F" w:rsidRPr="00A50CCC" w:rsidRDefault="00BC507F" w:rsidP="00A50CCC">
            <w:pPr>
              <w:jc w:val="center"/>
              <w:rPr>
                <w:color w:val="000000"/>
                <w:sz w:val="20"/>
                <w:szCs w:val="20"/>
                <w:lang w:eastAsia="es-ES"/>
              </w:rPr>
            </w:pPr>
            <w:r w:rsidRPr="00A50CCC">
              <w:rPr>
                <w:color w:val="000000"/>
                <w:sz w:val="20"/>
                <w:szCs w:val="20"/>
                <w:lang w:eastAsia="es-ES"/>
              </w:rPr>
              <w:t>3.960</w:t>
            </w:r>
          </w:p>
        </w:tc>
        <w:tc>
          <w:tcPr>
            <w:tcW w:w="1105" w:type="dxa"/>
            <w:tcBorders>
              <w:bottom w:val="single" w:sz="4" w:space="0" w:color="auto"/>
            </w:tcBorders>
            <w:shd w:val="clear" w:color="auto" w:fill="auto"/>
            <w:vAlign w:val="center"/>
            <w:hideMark/>
          </w:tcPr>
          <w:p w:rsidR="00BC507F" w:rsidRPr="00A50CCC" w:rsidRDefault="00BC507F" w:rsidP="00885C4C">
            <w:pPr>
              <w:jc w:val="center"/>
              <w:rPr>
                <w:color w:val="000000"/>
                <w:sz w:val="20"/>
                <w:szCs w:val="20"/>
                <w:lang w:eastAsia="es-ES"/>
              </w:rPr>
            </w:pPr>
            <w:r w:rsidRPr="00A50CCC">
              <w:rPr>
                <w:color w:val="000000"/>
                <w:sz w:val="20"/>
                <w:szCs w:val="20"/>
                <w:lang w:eastAsia="es-ES"/>
              </w:rPr>
              <w:t>32.</w:t>
            </w:r>
            <w:r w:rsidR="00885C4C">
              <w:rPr>
                <w:color w:val="000000"/>
                <w:sz w:val="20"/>
                <w:szCs w:val="20"/>
                <w:lang w:eastAsia="es-ES"/>
              </w:rPr>
              <w:t>681</w:t>
            </w:r>
          </w:p>
        </w:tc>
      </w:tr>
    </w:tbl>
    <w:p w:rsidR="00BC507F" w:rsidRPr="00812A21" w:rsidRDefault="00BC507F" w:rsidP="00BC507F">
      <w:pPr>
        <w:pStyle w:val="Sinespaciado"/>
        <w:rPr>
          <w:rFonts w:ascii="Times New Roman" w:hAnsi="Times New Roman"/>
          <w:sz w:val="24"/>
          <w:szCs w:val="24"/>
        </w:rPr>
      </w:pPr>
      <w:r w:rsidRPr="00812A21">
        <w:rPr>
          <w:rFonts w:ascii="Times New Roman" w:hAnsi="Times New Roman"/>
          <w:sz w:val="16"/>
          <w:szCs w:val="16"/>
        </w:rPr>
        <w:t xml:space="preserve"> Fuente: Secretaria de Tránsito y Transporte de Armenia SETTA, Secretaría de Movilidad y Seguridad Vial Calarcá</w:t>
      </w:r>
      <w:r w:rsidRPr="00812A21">
        <w:rPr>
          <w:rFonts w:ascii="Times New Roman" w:hAnsi="Times New Roman"/>
        </w:rPr>
        <w:t>.</w:t>
      </w:r>
    </w:p>
    <w:p w:rsidR="00BC507F" w:rsidRPr="00812A21" w:rsidRDefault="00BC507F" w:rsidP="00BC507F">
      <w:pPr>
        <w:autoSpaceDE w:val="0"/>
        <w:autoSpaceDN w:val="0"/>
        <w:adjustRightInd w:val="0"/>
        <w:spacing w:line="360" w:lineRule="auto"/>
        <w:jc w:val="both"/>
      </w:pPr>
    </w:p>
    <w:p w:rsidR="00BC507F" w:rsidRDefault="00BC507F" w:rsidP="00BC507F">
      <w:pPr>
        <w:autoSpaceDE w:val="0"/>
        <w:autoSpaceDN w:val="0"/>
        <w:adjustRightInd w:val="0"/>
        <w:spacing w:line="360" w:lineRule="auto"/>
        <w:jc w:val="both"/>
        <w:rPr>
          <w:b/>
          <w:bCs/>
          <w:sz w:val="20"/>
          <w:szCs w:val="20"/>
        </w:rPr>
      </w:pPr>
    </w:p>
    <w:p w:rsidR="00BC507F" w:rsidRDefault="00BC507F" w:rsidP="00BC507F">
      <w:pPr>
        <w:autoSpaceDE w:val="0"/>
        <w:autoSpaceDN w:val="0"/>
        <w:adjustRightInd w:val="0"/>
        <w:spacing w:line="360" w:lineRule="auto"/>
        <w:jc w:val="both"/>
        <w:rPr>
          <w:b/>
          <w:bCs/>
          <w:sz w:val="20"/>
          <w:szCs w:val="20"/>
        </w:rPr>
      </w:pPr>
    </w:p>
    <w:p w:rsidR="00BC507F" w:rsidRPr="006870CF" w:rsidRDefault="00BC507F" w:rsidP="00BC507F">
      <w:pPr>
        <w:autoSpaceDE w:val="0"/>
        <w:autoSpaceDN w:val="0"/>
        <w:adjustRightInd w:val="0"/>
        <w:jc w:val="both"/>
        <w:rPr>
          <w:bCs/>
        </w:rPr>
      </w:pPr>
      <w:r w:rsidRPr="006870CF">
        <w:rPr>
          <w:bCs/>
        </w:rPr>
        <w:lastRenderedPageBreak/>
        <w:t>Gráfico 4.1</w:t>
      </w:r>
    </w:p>
    <w:p w:rsidR="00BC507F" w:rsidRPr="006870CF" w:rsidRDefault="00BC507F" w:rsidP="00BC507F">
      <w:pPr>
        <w:autoSpaceDE w:val="0"/>
        <w:autoSpaceDN w:val="0"/>
        <w:adjustRightInd w:val="0"/>
        <w:jc w:val="both"/>
        <w:rPr>
          <w:bCs/>
        </w:rPr>
      </w:pPr>
      <w:r w:rsidRPr="006870CF">
        <w:rPr>
          <w:bCs/>
        </w:rPr>
        <w:t>Parque automotor por clase de servicio</w:t>
      </w:r>
    </w:p>
    <w:p w:rsidR="00BC507F" w:rsidRPr="006870CF" w:rsidRDefault="00BC507F" w:rsidP="00BC507F">
      <w:pPr>
        <w:pStyle w:val="Sinespaciado"/>
        <w:rPr>
          <w:rFonts w:ascii="Times New Roman" w:hAnsi="Times New Roman"/>
          <w:sz w:val="24"/>
          <w:szCs w:val="24"/>
        </w:rPr>
      </w:pPr>
      <w:r w:rsidRPr="006870CF">
        <w:rPr>
          <w:rFonts w:ascii="Times New Roman" w:hAnsi="Times New Roman"/>
          <w:sz w:val="24"/>
          <w:szCs w:val="24"/>
        </w:rPr>
        <w:t>2012- 2013</w:t>
      </w:r>
    </w:p>
    <w:p w:rsidR="00BC507F" w:rsidRPr="00744A0A" w:rsidRDefault="00BC507F" w:rsidP="00BC507F">
      <w:pPr>
        <w:pStyle w:val="Sinespaciado"/>
        <w:jc w:val="center"/>
        <w:rPr>
          <w:rFonts w:ascii="Times New Roman" w:hAnsi="Times New Roman"/>
          <w:sz w:val="24"/>
          <w:szCs w:val="24"/>
        </w:rPr>
      </w:pPr>
    </w:p>
    <w:bookmarkStart w:id="37" w:name="_MON_1479618141"/>
    <w:bookmarkStart w:id="38" w:name="_MON_1479618224"/>
    <w:bookmarkStart w:id="39" w:name="_MON_1479618256"/>
    <w:bookmarkEnd w:id="37"/>
    <w:bookmarkEnd w:id="38"/>
    <w:bookmarkEnd w:id="39"/>
    <w:bookmarkStart w:id="40" w:name="_MON_1479618116"/>
    <w:bookmarkEnd w:id="40"/>
    <w:p w:rsidR="00BC507F" w:rsidRPr="00812A21" w:rsidRDefault="00956FB2" w:rsidP="00BC507F">
      <w:pPr>
        <w:autoSpaceDE w:val="0"/>
        <w:autoSpaceDN w:val="0"/>
        <w:adjustRightInd w:val="0"/>
        <w:spacing w:line="360" w:lineRule="auto"/>
        <w:jc w:val="both"/>
        <w:rPr>
          <w:b/>
          <w:bCs/>
        </w:rPr>
      </w:pPr>
      <w:r>
        <w:rPr>
          <w:b/>
          <w:noProof/>
          <w:lang w:eastAsia="es-ES"/>
        </w:rPr>
        <w:object w:dxaOrig="8279" w:dyaOrig="5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1pt;height:282.3pt" o:ole="">
            <v:imagedata r:id="rId58" o:title=""/>
          </v:shape>
          <o:OLEObject Type="Embed" ProgID="Excel.Sheet.12" ShapeID="_x0000_i1025" DrawAspect="Content" ObjectID="_1480512022" r:id="rId59"/>
        </w:object>
      </w:r>
      <w:r w:rsidR="00BC507F">
        <w:rPr>
          <w:sz w:val="16"/>
          <w:szCs w:val="16"/>
        </w:rPr>
        <w:t xml:space="preserve"> </w:t>
      </w:r>
      <w:r w:rsidR="00BC507F" w:rsidRPr="00812A21">
        <w:rPr>
          <w:sz w:val="16"/>
          <w:szCs w:val="16"/>
        </w:rPr>
        <w:t xml:space="preserve"> Fuente: Secretaria de Tránsito y Transporte de Armenia SETTA, Secretaría de Movilidad y Seguridad Vial Calarcá</w:t>
      </w:r>
      <w:r w:rsidR="00BC507F" w:rsidRPr="00812A21">
        <w:t>.</w:t>
      </w:r>
    </w:p>
    <w:p w:rsidR="00BC507F" w:rsidRDefault="00BC507F" w:rsidP="00BC507F">
      <w:pPr>
        <w:pStyle w:val="Sinespaciado"/>
        <w:spacing w:line="360" w:lineRule="auto"/>
        <w:rPr>
          <w:rFonts w:ascii="Times New Roman" w:hAnsi="Times New Roman"/>
          <w:sz w:val="24"/>
          <w:szCs w:val="24"/>
        </w:rPr>
      </w:pPr>
    </w:p>
    <w:p w:rsidR="00BC507F" w:rsidRPr="008541F0" w:rsidRDefault="00BC507F" w:rsidP="00BC507F">
      <w:pPr>
        <w:autoSpaceDE w:val="0"/>
        <w:autoSpaceDN w:val="0"/>
        <w:adjustRightInd w:val="0"/>
        <w:spacing w:line="360" w:lineRule="auto"/>
        <w:jc w:val="both"/>
        <w:rPr>
          <w:b/>
          <w:bCs/>
        </w:rPr>
      </w:pPr>
    </w:p>
    <w:p w:rsidR="00BC507F" w:rsidRPr="00956FB2" w:rsidRDefault="00956FB2" w:rsidP="00956FB2">
      <w:pPr>
        <w:pStyle w:val="Ttulo2"/>
        <w:rPr>
          <w:rFonts w:ascii="Times New Roman" w:hAnsi="Times New Roman" w:cs="Times New Roman"/>
          <w:color w:val="auto"/>
          <w:sz w:val="30"/>
          <w:szCs w:val="30"/>
        </w:rPr>
      </w:pPr>
      <w:bookmarkStart w:id="41" w:name="_Toc406754304"/>
      <w:r w:rsidRPr="00956FB2">
        <w:rPr>
          <w:rFonts w:ascii="Times New Roman" w:hAnsi="Times New Roman" w:cs="Times New Roman"/>
          <w:color w:val="auto"/>
          <w:sz w:val="30"/>
          <w:szCs w:val="30"/>
        </w:rPr>
        <w:t xml:space="preserve">4.2 </w:t>
      </w:r>
      <w:r w:rsidR="00BC507F" w:rsidRPr="00956FB2">
        <w:rPr>
          <w:rFonts w:ascii="Times New Roman" w:hAnsi="Times New Roman" w:cs="Times New Roman"/>
          <w:color w:val="auto"/>
          <w:sz w:val="30"/>
          <w:szCs w:val="30"/>
        </w:rPr>
        <w:t>Movimiento del parque automotor</w:t>
      </w:r>
      <w:bookmarkEnd w:id="41"/>
      <w:r w:rsidR="00BC507F" w:rsidRPr="00956FB2">
        <w:rPr>
          <w:rFonts w:ascii="Times New Roman" w:hAnsi="Times New Roman" w:cs="Times New Roman"/>
          <w:color w:val="auto"/>
          <w:sz w:val="30"/>
          <w:szCs w:val="30"/>
        </w:rPr>
        <w:t xml:space="preserve"> </w:t>
      </w:r>
    </w:p>
    <w:p w:rsidR="00BC507F" w:rsidRPr="00812A21" w:rsidRDefault="00BC507F" w:rsidP="00BC507F">
      <w:pPr>
        <w:autoSpaceDE w:val="0"/>
        <w:autoSpaceDN w:val="0"/>
        <w:adjustRightInd w:val="0"/>
        <w:jc w:val="both"/>
        <w:rPr>
          <w:bCs/>
        </w:rPr>
      </w:pPr>
    </w:p>
    <w:p w:rsidR="006E59B5" w:rsidRDefault="00BC507F" w:rsidP="006E59B5">
      <w:pPr>
        <w:spacing w:line="360" w:lineRule="auto"/>
        <w:jc w:val="both"/>
        <w:rPr>
          <w:lang w:eastAsia="es-ES"/>
        </w:rPr>
      </w:pPr>
      <w:r w:rsidRPr="00812A21">
        <w:rPr>
          <w:lang w:eastAsia="es-ES"/>
        </w:rPr>
        <w:t xml:space="preserve">     </w:t>
      </w:r>
    </w:p>
    <w:p w:rsidR="00BC507F" w:rsidRDefault="00BC507F" w:rsidP="006E59B5">
      <w:pPr>
        <w:spacing w:line="360" w:lineRule="auto"/>
        <w:ind w:firstLine="284"/>
        <w:jc w:val="both"/>
        <w:rPr>
          <w:lang w:eastAsia="es-ES"/>
        </w:rPr>
      </w:pPr>
      <w:r w:rsidRPr="00812A21">
        <w:rPr>
          <w:lang w:eastAsia="es-ES"/>
        </w:rPr>
        <w:t>De acuerdo con las cifras obtenidas a través de la Secretaría de Tránsito y Transporte de Armenia</w:t>
      </w:r>
      <w:r w:rsidR="006E59B5">
        <w:rPr>
          <w:lang w:eastAsia="es-ES"/>
        </w:rPr>
        <w:t>,</w:t>
      </w:r>
      <w:r w:rsidRPr="00812A21">
        <w:rPr>
          <w:lang w:eastAsia="es-ES"/>
        </w:rPr>
        <w:t xml:space="preserve"> en el año 2013 se matricularon 7.165 vehículos</w:t>
      </w:r>
      <w:r w:rsidR="006E59B5">
        <w:rPr>
          <w:lang w:eastAsia="es-ES"/>
        </w:rPr>
        <w:t>, lo cual</w:t>
      </w:r>
      <w:r w:rsidRPr="00812A21">
        <w:rPr>
          <w:lang w:eastAsia="es-ES"/>
        </w:rPr>
        <w:t xml:space="preserve"> que representa un </w:t>
      </w:r>
      <w:r w:rsidR="006E59B5">
        <w:rPr>
          <w:lang w:eastAsia="es-ES"/>
        </w:rPr>
        <w:t xml:space="preserve">incremento </w:t>
      </w:r>
      <w:r w:rsidRPr="00812A21">
        <w:rPr>
          <w:lang w:eastAsia="es-ES"/>
        </w:rPr>
        <w:t>del 12.6 %  frente al año 2012 cuando se matricularon 6.363 vehículos. Caso contrario ocurrió en la ciudad de Calarcá,  donde se presentó una disminución de</w:t>
      </w:r>
      <w:r w:rsidR="006E59B5">
        <w:rPr>
          <w:lang w:eastAsia="es-ES"/>
        </w:rPr>
        <w:t>l número de</w:t>
      </w:r>
      <w:r w:rsidRPr="00812A21">
        <w:rPr>
          <w:lang w:eastAsia="es-ES"/>
        </w:rPr>
        <w:t xml:space="preserve"> </w:t>
      </w:r>
      <w:r w:rsidR="00956FB2" w:rsidRPr="00812A21">
        <w:rPr>
          <w:lang w:eastAsia="es-ES"/>
        </w:rPr>
        <w:t>matrículas</w:t>
      </w:r>
      <w:r w:rsidR="006E59B5">
        <w:rPr>
          <w:lang w:eastAsia="es-ES"/>
        </w:rPr>
        <w:t xml:space="preserve"> en un</w:t>
      </w:r>
      <w:r w:rsidRPr="00812A21">
        <w:rPr>
          <w:lang w:eastAsia="es-ES"/>
        </w:rPr>
        <w:t xml:space="preserve"> 78.7%, en </w:t>
      </w:r>
      <w:r w:rsidR="006E59B5">
        <w:rPr>
          <w:lang w:eastAsia="es-ES"/>
        </w:rPr>
        <w:t>comparación con el año anterior</w:t>
      </w:r>
      <w:r w:rsidRPr="00812A21">
        <w:rPr>
          <w:lang w:eastAsia="es-ES"/>
        </w:rPr>
        <w:t>.</w:t>
      </w:r>
    </w:p>
    <w:p w:rsidR="006E59B5" w:rsidRDefault="006E59B5" w:rsidP="006E59B5">
      <w:pPr>
        <w:spacing w:line="360" w:lineRule="auto"/>
        <w:jc w:val="both"/>
        <w:rPr>
          <w:lang w:eastAsia="es-ES"/>
        </w:rPr>
      </w:pPr>
    </w:p>
    <w:p w:rsidR="006E59B5" w:rsidRDefault="006E59B5" w:rsidP="006E59B5">
      <w:pPr>
        <w:spacing w:line="360" w:lineRule="auto"/>
        <w:jc w:val="both"/>
        <w:rPr>
          <w:lang w:eastAsia="es-ES"/>
        </w:rPr>
      </w:pPr>
    </w:p>
    <w:p w:rsidR="006E59B5" w:rsidRDefault="006E59B5" w:rsidP="006E59B5">
      <w:pPr>
        <w:spacing w:line="360" w:lineRule="auto"/>
        <w:jc w:val="both"/>
        <w:rPr>
          <w:lang w:eastAsia="es-ES"/>
        </w:rPr>
      </w:pPr>
    </w:p>
    <w:p w:rsidR="00BC507F" w:rsidRPr="006870CF" w:rsidRDefault="00BC507F" w:rsidP="00BC507F">
      <w:pPr>
        <w:autoSpaceDE w:val="0"/>
        <w:autoSpaceDN w:val="0"/>
        <w:adjustRightInd w:val="0"/>
        <w:jc w:val="both"/>
        <w:rPr>
          <w:bCs/>
        </w:rPr>
      </w:pPr>
      <w:r w:rsidRPr="006870CF">
        <w:rPr>
          <w:bCs/>
        </w:rPr>
        <w:lastRenderedPageBreak/>
        <w:t>Gráfico 4.2</w:t>
      </w:r>
    </w:p>
    <w:p w:rsidR="00BC507F" w:rsidRPr="006870CF" w:rsidRDefault="00BC507F" w:rsidP="00BC507F">
      <w:pPr>
        <w:autoSpaceDE w:val="0"/>
        <w:autoSpaceDN w:val="0"/>
        <w:adjustRightInd w:val="0"/>
        <w:jc w:val="both"/>
        <w:rPr>
          <w:bCs/>
        </w:rPr>
      </w:pPr>
      <w:r w:rsidRPr="006870CF">
        <w:rPr>
          <w:bCs/>
        </w:rPr>
        <w:t>Movimiento del parque automotor</w:t>
      </w:r>
    </w:p>
    <w:p w:rsidR="00BC507F" w:rsidRPr="006870CF" w:rsidRDefault="00BC507F" w:rsidP="00BC507F">
      <w:pPr>
        <w:autoSpaceDE w:val="0"/>
        <w:autoSpaceDN w:val="0"/>
        <w:adjustRightInd w:val="0"/>
        <w:jc w:val="both"/>
        <w:rPr>
          <w:bCs/>
        </w:rPr>
      </w:pPr>
      <w:r w:rsidRPr="006870CF">
        <w:rPr>
          <w:bCs/>
        </w:rPr>
        <w:t>2012 - 2013</w:t>
      </w:r>
    </w:p>
    <w:p w:rsidR="00BC507F" w:rsidRPr="00812A21" w:rsidRDefault="00BC507F" w:rsidP="00BC507F">
      <w:pPr>
        <w:autoSpaceDE w:val="0"/>
        <w:autoSpaceDN w:val="0"/>
        <w:adjustRightInd w:val="0"/>
        <w:jc w:val="both"/>
        <w:rPr>
          <w:b/>
          <w:bCs/>
        </w:rPr>
      </w:pPr>
    </w:p>
    <w:bookmarkStart w:id="42" w:name="_MON_1479619849"/>
    <w:bookmarkEnd w:id="42"/>
    <w:bookmarkStart w:id="43" w:name="_MON_1479619580"/>
    <w:bookmarkEnd w:id="43"/>
    <w:p w:rsidR="00BC507F" w:rsidRPr="00812A21" w:rsidRDefault="00F747B5" w:rsidP="00BC507F">
      <w:pPr>
        <w:autoSpaceDE w:val="0"/>
        <w:autoSpaceDN w:val="0"/>
        <w:adjustRightInd w:val="0"/>
        <w:jc w:val="both"/>
        <w:rPr>
          <w:bCs/>
        </w:rPr>
      </w:pPr>
      <w:r>
        <w:rPr>
          <w:noProof/>
          <w:lang w:eastAsia="es-ES"/>
        </w:rPr>
        <w:object w:dxaOrig="7703" w:dyaOrig="4196">
          <v:shape id="_x0000_i1026" type="#_x0000_t75" style="width:418.75pt;height:270.95pt" o:ole="">
            <v:imagedata r:id="rId60" o:title=""/>
          </v:shape>
          <o:OLEObject Type="Embed" ProgID="Excel.Sheet.12" ShapeID="_x0000_i1026" DrawAspect="Content" ObjectID="_1480512023" r:id="rId61"/>
        </w:object>
      </w:r>
    </w:p>
    <w:p w:rsidR="00BC507F" w:rsidRPr="00812A21" w:rsidRDefault="00BC507F" w:rsidP="00BC507F">
      <w:pPr>
        <w:autoSpaceDE w:val="0"/>
        <w:autoSpaceDN w:val="0"/>
        <w:adjustRightInd w:val="0"/>
        <w:ind w:left="426"/>
        <w:jc w:val="both"/>
        <w:rPr>
          <w:sz w:val="16"/>
          <w:szCs w:val="16"/>
        </w:rPr>
      </w:pPr>
    </w:p>
    <w:p w:rsidR="00BC507F" w:rsidRPr="00812A21" w:rsidRDefault="00BC507F" w:rsidP="00BC507F">
      <w:pPr>
        <w:autoSpaceDE w:val="0"/>
        <w:autoSpaceDN w:val="0"/>
        <w:adjustRightInd w:val="0"/>
        <w:jc w:val="both"/>
        <w:rPr>
          <w:bCs/>
          <w:sz w:val="16"/>
          <w:szCs w:val="16"/>
        </w:rPr>
      </w:pPr>
      <w:r w:rsidRPr="00812A21">
        <w:rPr>
          <w:sz w:val="16"/>
          <w:szCs w:val="16"/>
        </w:rPr>
        <w:t xml:space="preserve">Fuente: SETTA, Secretaría de Movilidad y Seguridad Vial Calarcá, Oficina de Tránsito de Quimbaya, Oficina de Tránsito de </w:t>
      </w:r>
      <w:r>
        <w:rPr>
          <w:sz w:val="16"/>
          <w:szCs w:val="16"/>
        </w:rPr>
        <w:t>La Tebaida</w:t>
      </w:r>
      <w:r w:rsidRPr="00812A21">
        <w:rPr>
          <w:sz w:val="16"/>
          <w:szCs w:val="16"/>
        </w:rPr>
        <w:t>.</w:t>
      </w:r>
    </w:p>
    <w:p w:rsidR="00BC507F" w:rsidRDefault="00BC507F" w:rsidP="00BC507F">
      <w:pPr>
        <w:autoSpaceDE w:val="0"/>
        <w:autoSpaceDN w:val="0"/>
        <w:adjustRightInd w:val="0"/>
        <w:spacing w:line="360" w:lineRule="auto"/>
        <w:jc w:val="both"/>
        <w:rPr>
          <w:b/>
          <w:bCs/>
        </w:rPr>
      </w:pPr>
    </w:p>
    <w:p w:rsidR="001F1CE1" w:rsidRDefault="001F1CE1" w:rsidP="00BC507F">
      <w:pPr>
        <w:autoSpaceDE w:val="0"/>
        <w:autoSpaceDN w:val="0"/>
        <w:adjustRightInd w:val="0"/>
        <w:spacing w:line="360" w:lineRule="auto"/>
        <w:jc w:val="both"/>
        <w:rPr>
          <w:b/>
          <w:bCs/>
        </w:rPr>
      </w:pPr>
    </w:p>
    <w:p w:rsidR="00BC507F" w:rsidRPr="004C7B91" w:rsidRDefault="00F747B5" w:rsidP="004C7B91">
      <w:pPr>
        <w:pStyle w:val="Ttulo2"/>
        <w:rPr>
          <w:rFonts w:ascii="Times New Roman" w:hAnsi="Times New Roman" w:cs="Times New Roman"/>
          <w:color w:val="auto"/>
          <w:sz w:val="30"/>
          <w:szCs w:val="30"/>
        </w:rPr>
      </w:pPr>
      <w:bookmarkStart w:id="44" w:name="_Toc406754305"/>
      <w:r w:rsidRPr="004C7B91">
        <w:rPr>
          <w:rFonts w:ascii="Times New Roman" w:hAnsi="Times New Roman" w:cs="Times New Roman"/>
          <w:color w:val="auto"/>
          <w:sz w:val="30"/>
          <w:szCs w:val="30"/>
        </w:rPr>
        <w:t xml:space="preserve">4.3 </w:t>
      </w:r>
      <w:r w:rsidR="004C7B91">
        <w:rPr>
          <w:rFonts w:ascii="Times New Roman" w:hAnsi="Times New Roman" w:cs="Times New Roman"/>
          <w:color w:val="auto"/>
          <w:sz w:val="30"/>
          <w:szCs w:val="30"/>
        </w:rPr>
        <w:t>Accidentalidad</w:t>
      </w:r>
      <w:bookmarkEnd w:id="44"/>
    </w:p>
    <w:p w:rsidR="00BC507F" w:rsidRDefault="00BC507F" w:rsidP="00BC507F">
      <w:pPr>
        <w:pStyle w:val="Sinespaciado"/>
        <w:spacing w:line="360" w:lineRule="auto"/>
      </w:pPr>
    </w:p>
    <w:p w:rsidR="00BC507F" w:rsidRPr="009107DD" w:rsidRDefault="00BC507F" w:rsidP="00BC507F">
      <w:pPr>
        <w:pStyle w:val="Sinespaciado"/>
        <w:spacing w:line="360" w:lineRule="auto"/>
        <w:rPr>
          <w:rFonts w:ascii="Times New Roman" w:hAnsi="Times New Roman"/>
          <w:sz w:val="24"/>
          <w:szCs w:val="24"/>
        </w:rPr>
      </w:pPr>
      <w:r w:rsidRPr="009107DD">
        <w:rPr>
          <w:rFonts w:ascii="Times New Roman" w:hAnsi="Times New Roman"/>
          <w:sz w:val="24"/>
          <w:szCs w:val="24"/>
        </w:rPr>
        <w:t xml:space="preserve">      </w:t>
      </w:r>
      <w:r w:rsidR="00161112" w:rsidRPr="009107DD">
        <w:rPr>
          <w:rFonts w:ascii="Times New Roman" w:hAnsi="Times New Roman"/>
          <w:sz w:val="24"/>
          <w:szCs w:val="24"/>
        </w:rPr>
        <w:t xml:space="preserve">Las cifras </w:t>
      </w:r>
      <w:r w:rsidR="004546B7" w:rsidRPr="009107DD">
        <w:rPr>
          <w:rFonts w:ascii="Times New Roman" w:hAnsi="Times New Roman"/>
          <w:sz w:val="24"/>
          <w:szCs w:val="24"/>
        </w:rPr>
        <w:t>en materia de accidentalidad para el Departamento</w:t>
      </w:r>
      <w:r w:rsidR="008B5FFD" w:rsidRPr="009107DD">
        <w:rPr>
          <w:rFonts w:ascii="Times New Roman" w:hAnsi="Times New Roman"/>
          <w:sz w:val="24"/>
          <w:szCs w:val="24"/>
        </w:rPr>
        <w:t xml:space="preserve"> del Quindío</w:t>
      </w:r>
      <w:r w:rsidR="004546B7" w:rsidRPr="009107DD">
        <w:rPr>
          <w:rFonts w:ascii="Times New Roman" w:hAnsi="Times New Roman"/>
          <w:sz w:val="24"/>
          <w:szCs w:val="24"/>
        </w:rPr>
        <w:t xml:space="preserve"> en</w:t>
      </w:r>
      <w:r w:rsidR="008B5FFD" w:rsidRPr="009107DD">
        <w:rPr>
          <w:rFonts w:ascii="Times New Roman" w:hAnsi="Times New Roman"/>
          <w:sz w:val="24"/>
          <w:szCs w:val="24"/>
        </w:rPr>
        <w:t xml:space="preserve"> la</w:t>
      </w:r>
      <w:r w:rsidR="00077CDB" w:rsidRPr="009107DD">
        <w:rPr>
          <w:rFonts w:ascii="Times New Roman" w:hAnsi="Times New Roman"/>
          <w:sz w:val="24"/>
          <w:szCs w:val="24"/>
        </w:rPr>
        <w:t xml:space="preserve"> vigencia 2013</w:t>
      </w:r>
      <w:r w:rsidR="004546B7" w:rsidRPr="009107DD">
        <w:rPr>
          <w:rFonts w:ascii="Times New Roman" w:hAnsi="Times New Roman"/>
          <w:sz w:val="24"/>
          <w:szCs w:val="24"/>
        </w:rPr>
        <w:t xml:space="preserve"> registran un incremento</w:t>
      </w:r>
      <w:r w:rsidR="00077CDB" w:rsidRPr="009107DD">
        <w:rPr>
          <w:rFonts w:ascii="Times New Roman" w:hAnsi="Times New Roman"/>
          <w:sz w:val="24"/>
          <w:szCs w:val="24"/>
        </w:rPr>
        <w:t>,</w:t>
      </w:r>
      <w:r w:rsidR="004546B7" w:rsidRPr="009107DD">
        <w:rPr>
          <w:rFonts w:ascii="Times New Roman" w:hAnsi="Times New Roman"/>
          <w:sz w:val="24"/>
          <w:szCs w:val="24"/>
        </w:rPr>
        <w:t xml:space="preserve"> </w:t>
      </w:r>
      <w:r w:rsidR="003F51C8">
        <w:rPr>
          <w:rFonts w:ascii="Times New Roman" w:hAnsi="Times New Roman"/>
          <w:sz w:val="24"/>
          <w:szCs w:val="24"/>
        </w:rPr>
        <w:t xml:space="preserve">ya </w:t>
      </w:r>
      <w:r w:rsidR="00C826BB" w:rsidRPr="009107DD">
        <w:rPr>
          <w:rFonts w:ascii="Times New Roman" w:hAnsi="Times New Roman"/>
          <w:sz w:val="24"/>
          <w:szCs w:val="24"/>
        </w:rPr>
        <w:t xml:space="preserve">que </w:t>
      </w:r>
      <w:r w:rsidR="0062305F">
        <w:rPr>
          <w:rFonts w:ascii="Times New Roman" w:hAnsi="Times New Roman"/>
          <w:sz w:val="24"/>
          <w:szCs w:val="24"/>
        </w:rPr>
        <w:t>para</w:t>
      </w:r>
      <w:r w:rsidR="00C826BB" w:rsidRPr="009107DD">
        <w:rPr>
          <w:rFonts w:ascii="Times New Roman" w:hAnsi="Times New Roman"/>
          <w:sz w:val="24"/>
          <w:szCs w:val="24"/>
        </w:rPr>
        <w:t xml:space="preserve"> el año</w:t>
      </w:r>
      <w:r w:rsidR="003105C0" w:rsidRPr="009107DD">
        <w:rPr>
          <w:rFonts w:ascii="Times New Roman" w:hAnsi="Times New Roman"/>
          <w:sz w:val="24"/>
          <w:szCs w:val="24"/>
        </w:rPr>
        <w:t xml:space="preserve"> 2012 se registraron un total de</w:t>
      </w:r>
      <w:r w:rsidRPr="009107DD">
        <w:rPr>
          <w:rFonts w:ascii="Times New Roman" w:hAnsi="Times New Roman"/>
          <w:sz w:val="24"/>
          <w:szCs w:val="24"/>
        </w:rPr>
        <w:t xml:space="preserve"> 2.431</w:t>
      </w:r>
      <w:r w:rsidR="003105C0" w:rsidRPr="009107DD">
        <w:rPr>
          <w:rFonts w:ascii="Times New Roman" w:hAnsi="Times New Roman"/>
          <w:sz w:val="24"/>
          <w:szCs w:val="24"/>
        </w:rPr>
        <w:t xml:space="preserve"> accidentes; mientras que para el </w:t>
      </w:r>
      <w:r w:rsidR="00C826BB" w:rsidRPr="009107DD">
        <w:rPr>
          <w:rFonts w:ascii="Times New Roman" w:hAnsi="Times New Roman"/>
          <w:sz w:val="24"/>
          <w:szCs w:val="24"/>
        </w:rPr>
        <w:t xml:space="preserve">2013 </w:t>
      </w:r>
      <w:r w:rsidR="0062305F">
        <w:rPr>
          <w:rFonts w:ascii="Times New Roman" w:hAnsi="Times New Roman"/>
          <w:sz w:val="24"/>
          <w:szCs w:val="24"/>
        </w:rPr>
        <w:t xml:space="preserve">estos </w:t>
      </w:r>
      <w:r w:rsidR="003105C0" w:rsidRPr="009107DD">
        <w:rPr>
          <w:rFonts w:ascii="Times New Roman" w:hAnsi="Times New Roman"/>
          <w:sz w:val="24"/>
          <w:szCs w:val="24"/>
        </w:rPr>
        <w:t>fueron de</w:t>
      </w:r>
      <w:r w:rsidRPr="009107DD">
        <w:rPr>
          <w:rFonts w:ascii="Times New Roman" w:hAnsi="Times New Roman"/>
          <w:sz w:val="24"/>
          <w:szCs w:val="24"/>
        </w:rPr>
        <w:t xml:space="preserve"> 2.887, lo cual representa un aumento del 18.8</w:t>
      </w:r>
      <w:r w:rsidR="009107DD" w:rsidRPr="009107DD">
        <w:rPr>
          <w:rFonts w:ascii="Times New Roman" w:hAnsi="Times New Roman"/>
          <w:sz w:val="24"/>
          <w:szCs w:val="24"/>
        </w:rPr>
        <w:t xml:space="preserve">%. </w:t>
      </w:r>
      <w:r w:rsidRPr="009107DD">
        <w:rPr>
          <w:rFonts w:ascii="Times New Roman" w:hAnsi="Times New Roman"/>
          <w:sz w:val="24"/>
          <w:szCs w:val="24"/>
        </w:rPr>
        <w:t xml:space="preserve">El número de accidentes con </w:t>
      </w:r>
      <w:r w:rsidR="00F544AD">
        <w:rPr>
          <w:rFonts w:ascii="Times New Roman" w:hAnsi="Times New Roman"/>
          <w:sz w:val="24"/>
          <w:szCs w:val="24"/>
        </w:rPr>
        <w:t xml:space="preserve">factores de </w:t>
      </w:r>
      <w:r w:rsidRPr="009107DD">
        <w:rPr>
          <w:rFonts w:ascii="Times New Roman" w:hAnsi="Times New Roman"/>
          <w:sz w:val="24"/>
          <w:szCs w:val="24"/>
        </w:rPr>
        <w:t>solo daños</w:t>
      </w:r>
      <w:r w:rsidR="00F544AD">
        <w:rPr>
          <w:rFonts w:ascii="Times New Roman" w:hAnsi="Times New Roman"/>
          <w:sz w:val="24"/>
          <w:szCs w:val="24"/>
        </w:rPr>
        <w:t xml:space="preserve"> presentaron un incremento </w:t>
      </w:r>
      <w:r w:rsidRPr="009107DD">
        <w:rPr>
          <w:rFonts w:ascii="Times New Roman" w:hAnsi="Times New Roman"/>
          <w:sz w:val="24"/>
          <w:szCs w:val="24"/>
        </w:rPr>
        <w:t xml:space="preserve"> </w:t>
      </w:r>
      <w:r w:rsidR="00F544AD">
        <w:rPr>
          <w:rFonts w:ascii="Times New Roman" w:hAnsi="Times New Roman"/>
          <w:sz w:val="24"/>
          <w:szCs w:val="24"/>
        </w:rPr>
        <w:t xml:space="preserve">del </w:t>
      </w:r>
      <w:r w:rsidR="00F544AD" w:rsidRPr="009107DD">
        <w:rPr>
          <w:rFonts w:ascii="Times New Roman" w:hAnsi="Times New Roman"/>
          <w:sz w:val="24"/>
          <w:szCs w:val="24"/>
        </w:rPr>
        <w:t>13.2%</w:t>
      </w:r>
      <w:r w:rsidR="00F544AD">
        <w:rPr>
          <w:rFonts w:ascii="Times New Roman" w:hAnsi="Times New Roman"/>
          <w:sz w:val="24"/>
          <w:szCs w:val="24"/>
        </w:rPr>
        <w:t xml:space="preserve">, </w:t>
      </w:r>
      <w:r w:rsidRPr="009107DD">
        <w:rPr>
          <w:rFonts w:ascii="Times New Roman" w:hAnsi="Times New Roman"/>
          <w:sz w:val="24"/>
          <w:szCs w:val="24"/>
        </w:rPr>
        <w:t xml:space="preserve">con respecto </w:t>
      </w:r>
      <w:r w:rsidR="00F544AD">
        <w:rPr>
          <w:rFonts w:ascii="Times New Roman" w:hAnsi="Times New Roman"/>
          <w:sz w:val="24"/>
          <w:szCs w:val="24"/>
        </w:rPr>
        <w:t>al año anterior, los</w:t>
      </w:r>
      <w:r w:rsidRPr="009107DD">
        <w:rPr>
          <w:rFonts w:ascii="Times New Roman" w:hAnsi="Times New Roman"/>
          <w:sz w:val="24"/>
          <w:szCs w:val="24"/>
        </w:rPr>
        <w:t xml:space="preserve"> accidente</w:t>
      </w:r>
      <w:r w:rsidR="00F544AD">
        <w:rPr>
          <w:rFonts w:ascii="Times New Roman" w:hAnsi="Times New Roman"/>
          <w:sz w:val="24"/>
          <w:szCs w:val="24"/>
        </w:rPr>
        <w:t>s</w:t>
      </w:r>
      <w:r w:rsidRPr="009107DD">
        <w:rPr>
          <w:rFonts w:ascii="Times New Roman" w:hAnsi="Times New Roman"/>
          <w:sz w:val="24"/>
          <w:szCs w:val="24"/>
        </w:rPr>
        <w:t xml:space="preserve"> con muertos </w:t>
      </w:r>
      <w:r w:rsidR="00F544AD">
        <w:rPr>
          <w:rFonts w:ascii="Times New Roman" w:hAnsi="Times New Roman"/>
          <w:sz w:val="24"/>
          <w:szCs w:val="24"/>
        </w:rPr>
        <w:t xml:space="preserve">aumentaron </w:t>
      </w:r>
      <w:r w:rsidRPr="009107DD">
        <w:rPr>
          <w:rFonts w:ascii="Times New Roman" w:hAnsi="Times New Roman"/>
          <w:sz w:val="24"/>
          <w:szCs w:val="24"/>
        </w:rPr>
        <w:t xml:space="preserve">en un 37,7% y </w:t>
      </w:r>
      <w:r w:rsidR="00F544AD">
        <w:rPr>
          <w:rFonts w:ascii="Times New Roman" w:hAnsi="Times New Roman"/>
          <w:sz w:val="24"/>
          <w:szCs w:val="24"/>
        </w:rPr>
        <w:t xml:space="preserve">los </w:t>
      </w:r>
      <w:r w:rsidRPr="009107DD">
        <w:rPr>
          <w:rFonts w:ascii="Times New Roman" w:hAnsi="Times New Roman"/>
          <w:sz w:val="24"/>
          <w:szCs w:val="24"/>
        </w:rPr>
        <w:t>accidentes con heridos en un 25.5%.</w:t>
      </w:r>
    </w:p>
    <w:p w:rsidR="00F544AD" w:rsidRDefault="00F544AD" w:rsidP="00F544AD">
      <w:pPr>
        <w:pStyle w:val="Sinespaciado"/>
        <w:spacing w:line="360" w:lineRule="auto"/>
        <w:rPr>
          <w:rFonts w:ascii="Times New Roman" w:hAnsi="Times New Roman"/>
          <w:sz w:val="24"/>
          <w:szCs w:val="24"/>
        </w:rPr>
      </w:pPr>
    </w:p>
    <w:p w:rsidR="001F1CE1" w:rsidRDefault="001F1CE1" w:rsidP="00F544AD">
      <w:pPr>
        <w:pStyle w:val="Sinespaciado"/>
        <w:spacing w:line="360" w:lineRule="auto"/>
        <w:rPr>
          <w:rFonts w:ascii="Times New Roman" w:hAnsi="Times New Roman"/>
          <w:sz w:val="24"/>
          <w:szCs w:val="24"/>
        </w:rPr>
      </w:pPr>
    </w:p>
    <w:p w:rsidR="001F1CE1" w:rsidRDefault="001F1CE1" w:rsidP="00F544AD">
      <w:pPr>
        <w:pStyle w:val="Sinespaciado"/>
        <w:spacing w:line="360" w:lineRule="auto"/>
        <w:rPr>
          <w:rFonts w:ascii="Times New Roman" w:hAnsi="Times New Roman"/>
          <w:sz w:val="24"/>
          <w:szCs w:val="24"/>
        </w:rPr>
      </w:pPr>
    </w:p>
    <w:p w:rsidR="00BC507F" w:rsidRPr="003F01F6" w:rsidRDefault="00BC507F" w:rsidP="00BC507F">
      <w:pPr>
        <w:jc w:val="both"/>
        <w:rPr>
          <w:bCs/>
        </w:rPr>
      </w:pPr>
      <w:r w:rsidRPr="003F01F6">
        <w:rPr>
          <w:bCs/>
        </w:rPr>
        <w:lastRenderedPageBreak/>
        <w:t>Gráfico 4.3</w:t>
      </w:r>
    </w:p>
    <w:p w:rsidR="00BC507F" w:rsidRPr="003F01F6" w:rsidRDefault="00BC507F" w:rsidP="00BC507F">
      <w:pPr>
        <w:jc w:val="both"/>
        <w:rPr>
          <w:bCs/>
        </w:rPr>
      </w:pPr>
      <w:r w:rsidRPr="003F01F6">
        <w:rPr>
          <w:bCs/>
        </w:rPr>
        <w:t>Número de Accidentes de Tránsito, Muertos y Heridos</w:t>
      </w:r>
    </w:p>
    <w:p w:rsidR="00BC507F" w:rsidRPr="003F01F6" w:rsidRDefault="00EA516E" w:rsidP="00BC507F">
      <w:pPr>
        <w:autoSpaceDE w:val="0"/>
        <w:autoSpaceDN w:val="0"/>
        <w:adjustRightInd w:val="0"/>
        <w:jc w:val="both"/>
        <w:rPr>
          <w:bCs/>
        </w:rPr>
      </w:pPr>
      <w:r>
        <w:rPr>
          <w:b/>
          <w:noProof/>
        </w:rPr>
        <w:pict>
          <v:shape id="_x0000_s1027" type="#_x0000_t75" style="position:absolute;left:0;text-align:left;margin-left:-.3pt;margin-top:13.8pt;width:468.45pt;height:179.4pt;z-index:251668480;mso-position-horizontal:absolute;mso-position-horizontal-relative:text;mso-position-vertical:absolute;mso-position-vertical-relative:text" wrapcoords="112 326 112 21518 21600 21518 21600 326 112 326">
            <v:imagedata r:id="rId62" o:title=""/>
            <w10:wrap type="tight"/>
          </v:shape>
          <o:OLEObject Type="Embed" ProgID="Excel.Sheet.12" ShapeID="_x0000_s1027" DrawAspect="Content" ObjectID="_1480512025" r:id="rId63"/>
        </w:pict>
      </w:r>
      <w:r w:rsidR="00BC507F" w:rsidRPr="003F01F6">
        <w:rPr>
          <w:bCs/>
        </w:rPr>
        <w:t>2013</w:t>
      </w:r>
    </w:p>
    <w:p w:rsidR="00BC507F" w:rsidRPr="00812A21" w:rsidRDefault="00BC507F" w:rsidP="00BC507F">
      <w:pPr>
        <w:autoSpaceDE w:val="0"/>
        <w:autoSpaceDN w:val="0"/>
        <w:adjustRightInd w:val="0"/>
        <w:spacing w:line="360" w:lineRule="auto"/>
        <w:jc w:val="both"/>
        <w:rPr>
          <w:b/>
          <w:bCs/>
        </w:rPr>
      </w:pPr>
      <w:r w:rsidRPr="00812A21">
        <w:rPr>
          <w:color w:val="000000"/>
          <w:sz w:val="16"/>
          <w:szCs w:val="16"/>
          <w:lang w:eastAsia="es-ES"/>
        </w:rPr>
        <w:t xml:space="preserve"> Fuente: SETTA, Secretaría de Movilidad y Seguridad Vial Calarcá, Oficina de Tránsito de Quimbaya, Oficina de Tránsito de </w:t>
      </w:r>
      <w:r>
        <w:rPr>
          <w:color w:val="000000"/>
          <w:sz w:val="16"/>
          <w:szCs w:val="16"/>
          <w:lang w:eastAsia="es-ES"/>
        </w:rPr>
        <w:t>La Tebaida</w:t>
      </w:r>
    </w:p>
    <w:p w:rsidR="00BC507F" w:rsidRPr="00812A21" w:rsidRDefault="00BC507F" w:rsidP="00BC507F">
      <w:pPr>
        <w:autoSpaceDE w:val="0"/>
        <w:autoSpaceDN w:val="0"/>
        <w:adjustRightInd w:val="0"/>
        <w:spacing w:line="360" w:lineRule="auto"/>
        <w:jc w:val="both"/>
        <w:rPr>
          <w:b/>
          <w:bCs/>
        </w:rPr>
      </w:pPr>
    </w:p>
    <w:p w:rsidR="001F1CE1" w:rsidRDefault="001F1CE1" w:rsidP="00BC507F">
      <w:pPr>
        <w:autoSpaceDE w:val="0"/>
        <w:autoSpaceDN w:val="0"/>
        <w:adjustRightInd w:val="0"/>
        <w:jc w:val="both"/>
        <w:rPr>
          <w:bCs/>
        </w:rPr>
      </w:pPr>
    </w:p>
    <w:p w:rsidR="00BC507F" w:rsidRPr="003F01F6" w:rsidRDefault="00BC507F" w:rsidP="00BC507F">
      <w:pPr>
        <w:autoSpaceDE w:val="0"/>
        <w:autoSpaceDN w:val="0"/>
        <w:adjustRightInd w:val="0"/>
        <w:jc w:val="both"/>
        <w:rPr>
          <w:bCs/>
        </w:rPr>
      </w:pPr>
      <w:r w:rsidRPr="003F01F6">
        <w:rPr>
          <w:bCs/>
        </w:rPr>
        <w:t>Gráfico 4.4</w:t>
      </w:r>
    </w:p>
    <w:p w:rsidR="00BC507F" w:rsidRPr="003F01F6" w:rsidRDefault="00BC507F" w:rsidP="00BC507F">
      <w:pPr>
        <w:autoSpaceDE w:val="0"/>
        <w:autoSpaceDN w:val="0"/>
        <w:adjustRightInd w:val="0"/>
        <w:jc w:val="both"/>
        <w:rPr>
          <w:bCs/>
        </w:rPr>
      </w:pPr>
      <w:r w:rsidRPr="003F01F6">
        <w:rPr>
          <w:bCs/>
        </w:rPr>
        <w:t>Participación porcentual de  Accidentes de Tránsito, Muertos y Heridos</w:t>
      </w:r>
    </w:p>
    <w:p w:rsidR="00BC507F" w:rsidRPr="003F01F6" w:rsidRDefault="00BC507F" w:rsidP="00BC507F">
      <w:pPr>
        <w:autoSpaceDE w:val="0"/>
        <w:autoSpaceDN w:val="0"/>
        <w:adjustRightInd w:val="0"/>
        <w:jc w:val="both"/>
        <w:rPr>
          <w:bCs/>
        </w:rPr>
      </w:pPr>
      <w:r w:rsidRPr="003F01F6">
        <w:rPr>
          <w:bCs/>
        </w:rPr>
        <w:t>2013</w:t>
      </w:r>
    </w:p>
    <w:p w:rsidR="00BC507F" w:rsidRPr="003F01F6" w:rsidRDefault="00BC507F" w:rsidP="00BC507F">
      <w:pPr>
        <w:pStyle w:val="Sinespaciado"/>
        <w:rPr>
          <w:sz w:val="24"/>
          <w:szCs w:val="24"/>
        </w:rPr>
      </w:pPr>
    </w:p>
    <w:bookmarkStart w:id="45" w:name="_MON_1479819613"/>
    <w:bookmarkEnd w:id="45"/>
    <w:p w:rsidR="00BC507F" w:rsidRDefault="00CF1BC4" w:rsidP="00BC507F">
      <w:pPr>
        <w:autoSpaceDE w:val="0"/>
        <w:autoSpaceDN w:val="0"/>
        <w:adjustRightInd w:val="0"/>
        <w:spacing w:line="360" w:lineRule="auto"/>
        <w:jc w:val="both"/>
        <w:rPr>
          <w:b/>
          <w:bCs/>
        </w:rPr>
      </w:pPr>
      <w:r>
        <w:rPr>
          <w:b/>
          <w:noProof/>
        </w:rPr>
        <w:object w:dxaOrig="6558" w:dyaOrig="3523">
          <v:shape id="_x0000_i1027" type="#_x0000_t75" style="width:388.4pt;height:208.4pt" o:ole="">
            <v:imagedata r:id="rId64" o:title=""/>
          </v:shape>
          <o:OLEObject Type="Embed" ProgID="Excel.Sheet.12" ShapeID="_x0000_i1027" DrawAspect="Content" ObjectID="_1480512024" r:id="rId65"/>
        </w:object>
      </w:r>
    </w:p>
    <w:p w:rsidR="00BC507F" w:rsidRDefault="00BC507F" w:rsidP="00BC507F">
      <w:pPr>
        <w:autoSpaceDE w:val="0"/>
        <w:autoSpaceDN w:val="0"/>
        <w:adjustRightInd w:val="0"/>
        <w:spacing w:line="360" w:lineRule="auto"/>
        <w:jc w:val="both"/>
        <w:rPr>
          <w:color w:val="000000"/>
          <w:sz w:val="16"/>
          <w:szCs w:val="16"/>
          <w:lang w:eastAsia="es-ES"/>
        </w:rPr>
      </w:pPr>
      <w:r w:rsidRPr="00812A21">
        <w:rPr>
          <w:color w:val="000000"/>
          <w:sz w:val="16"/>
          <w:szCs w:val="16"/>
          <w:lang w:eastAsia="es-ES"/>
        </w:rPr>
        <w:t xml:space="preserve"> Fuente: SETTA, Secretaría de Movilidad y Seguridad Vial Calarcá, Oficina de Tránsito de Quimbaya, Oficina de Tránsito de </w:t>
      </w:r>
      <w:r>
        <w:rPr>
          <w:color w:val="000000"/>
          <w:sz w:val="16"/>
          <w:szCs w:val="16"/>
          <w:lang w:eastAsia="es-ES"/>
        </w:rPr>
        <w:t>La Tebaida</w:t>
      </w:r>
    </w:p>
    <w:p w:rsidR="00BC507F" w:rsidRDefault="00BC507F" w:rsidP="00BC507F">
      <w:pPr>
        <w:autoSpaceDE w:val="0"/>
        <w:autoSpaceDN w:val="0"/>
        <w:adjustRightInd w:val="0"/>
        <w:spacing w:line="360" w:lineRule="auto"/>
        <w:jc w:val="both"/>
        <w:rPr>
          <w:color w:val="000000"/>
          <w:sz w:val="16"/>
          <w:szCs w:val="16"/>
          <w:lang w:eastAsia="es-ES"/>
        </w:rPr>
      </w:pPr>
    </w:p>
    <w:p w:rsidR="001F1CE1" w:rsidRDefault="001F1CE1" w:rsidP="00BC507F">
      <w:pPr>
        <w:autoSpaceDE w:val="0"/>
        <w:autoSpaceDN w:val="0"/>
        <w:adjustRightInd w:val="0"/>
        <w:spacing w:line="360" w:lineRule="auto"/>
        <w:jc w:val="both"/>
        <w:rPr>
          <w:color w:val="000000"/>
          <w:sz w:val="16"/>
          <w:szCs w:val="16"/>
          <w:lang w:eastAsia="es-ES"/>
        </w:rPr>
      </w:pPr>
    </w:p>
    <w:p w:rsidR="00BC507F" w:rsidRPr="00CF1BC4" w:rsidRDefault="00CF1BC4" w:rsidP="00CF1BC4">
      <w:pPr>
        <w:pStyle w:val="Ttulo2"/>
        <w:rPr>
          <w:rFonts w:ascii="Times New Roman" w:hAnsi="Times New Roman" w:cs="Times New Roman"/>
          <w:color w:val="auto"/>
          <w:sz w:val="30"/>
          <w:szCs w:val="30"/>
        </w:rPr>
      </w:pPr>
      <w:bookmarkStart w:id="46" w:name="_Toc406754306"/>
      <w:r w:rsidRPr="00CF1BC4">
        <w:rPr>
          <w:rFonts w:ascii="Times New Roman" w:hAnsi="Times New Roman" w:cs="Times New Roman"/>
          <w:color w:val="auto"/>
          <w:sz w:val="30"/>
          <w:szCs w:val="30"/>
        </w:rPr>
        <w:lastRenderedPageBreak/>
        <w:t xml:space="preserve">4.4 </w:t>
      </w:r>
      <w:r w:rsidR="00BC507F" w:rsidRPr="00CF1BC4">
        <w:rPr>
          <w:rFonts w:ascii="Times New Roman" w:hAnsi="Times New Roman" w:cs="Times New Roman"/>
          <w:color w:val="auto"/>
          <w:sz w:val="30"/>
          <w:szCs w:val="30"/>
        </w:rPr>
        <w:t>Primeras ca</w:t>
      </w:r>
      <w:r w:rsidRPr="00CF1BC4">
        <w:rPr>
          <w:rFonts w:ascii="Times New Roman" w:hAnsi="Times New Roman" w:cs="Times New Roman"/>
          <w:color w:val="auto"/>
          <w:sz w:val="30"/>
          <w:szCs w:val="30"/>
        </w:rPr>
        <w:t>usas de accidentes de tránsito</w:t>
      </w:r>
      <w:bookmarkEnd w:id="46"/>
    </w:p>
    <w:p w:rsidR="00BC507F" w:rsidRPr="00DD2856" w:rsidRDefault="00BC507F" w:rsidP="00BC507F">
      <w:pPr>
        <w:pStyle w:val="Sinespaciado"/>
        <w:rPr>
          <w:rFonts w:ascii="Times New Roman" w:hAnsi="Times New Roman"/>
          <w:sz w:val="24"/>
          <w:szCs w:val="24"/>
        </w:rPr>
      </w:pPr>
    </w:p>
    <w:p w:rsidR="00BC507F" w:rsidRPr="00C20A53" w:rsidRDefault="000F020D" w:rsidP="000F020D">
      <w:pPr>
        <w:pStyle w:val="Sinespaciado"/>
        <w:spacing w:line="360" w:lineRule="auto"/>
        <w:ind w:firstLine="284"/>
        <w:rPr>
          <w:rFonts w:ascii="Times New Roman" w:hAnsi="Times New Roman"/>
          <w:sz w:val="24"/>
          <w:szCs w:val="24"/>
        </w:rPr>
      </w:pPr>
      <w:r>
        <w:rPr>
          <w:rFonts w:ascii="Times New Roman" w:hAnsi="Times New Roman"/>
          <w:sz w:val="24"/>
          <w:szCs w:val="24"/>
        </w:rPr>
        <w:t xml:space="preserve"> </w:t>
      </w:r>
      <w:r w:rsidR="00BC507F" w:rsidRPr="00C20A53">
        <w:rPr>
          <w:rFonts w:ascii="Times New Roman" w:hAnsi="Times New Roman"/>
          <w:sz w:val="24"/>
          <w:szCs w:val="24"/>
        </w:rPr>
        <w:t xml:space="preserve">Las cifras </w:t>
      </w:r>
      <w:r w:rsidR="006D5CDD">
        <w:rPr>
          <w:rFonts w:ascii="Times New Roman" w:hAnsi="Times New Roman"/>
          <w:sz w:val="24"/>
          <w:szCs w:val="24"/>
        </w:rPr>
        <w:t xml:space="preserve">en materia de accidentalidad </w:t>
      </w:r>
      <w:r w:rsidR="00FD2F70">
        <w:rPr>
          <w:rFonts w:ascii="Times New Roman" w:hAnsi="Times New Roman"/>
          <w:sz w:val="24"/>
          <w:szCs w:val="24"/>
        </w:rPr>
        <w:t>en el D</w:t>
      </w:r>
      <w:r w:rsidR="006D5CDD">
        <w:rPr>
          <w:rFonts w:ascii="Times New Roman" w:hAnsi="Times New Roman"/>
          <w:sz w:val="24"/>
          <w:szCs w:val="24"/>
        </w:rPr>
        <w:t xml:space="preserve">epartamento, </w:t>
      </w:r>
      <w:r w:rsidR="005D0E5B">
        <w:rPr>
          <w:rFonts w:ascii="Times New Roman" w:hAnsi="Times New Roman"/>
          <w:sz w:val="24"/>
          <w:szCs w:val="24"/>
        </w:rPr>
        <w:t xml:space="preserve">indican </w:t>
      </w:r>
      <w:r w:rsidR="004829B0">
        <w:rPr>
          <w:rFonts w:ascii="Times New Roman" w:hAnsi="Times New Roman"/>
          <w:sz w:val="24"/>
          <w:szCs w:val="24"/>
        </w:rPr>
        <w:t xml:space="preserve">a nivel general </w:t>
      </w:r>
      <w:r w:rsidR="006D5CDD">
        <w:rPr>
          <w:rFonts w:ascii="Times New Roman" w:hAnsi="Times New Roman"/>
          <w:sz w:val="24"/>
          <w:szCs w:val="24"/>
        </w:rPr>
        <w:t>como principal causa de origen</w:t>
      </w:r>
      <w:r w:rsidR="004829B0">
        <w:rPr>
          <w:rFonts w:ascii="Times New Roman" w:hAnsi="Times New Roman"/>
          <w:sz w:val="24"/>
          <w:szCs w:val="24"/>
        </w:rPr>
        <w:t>,</w:t>
      </w:r>
      <w:r w:rsidR="006D5CDD">
        <w:rPr>
          <w:rFonts w:ascii="Times New Roman" w:hAnsi="Times New Roman"/>
          <w:sz w:val="24"/>
          <w:szCs w:val="24"/>
        </w:rPr>
        <w:t xml:space="preserve"> la distracción en los conductores</w:t>
      </w:r>
      <w:r w:rsidR="00BA6901">
        <w:rPr>
          <w:rFonts w:ascii="Times New Roman" w:hAnsi="Times New Roman"/>
          <w:sz w:val="24"/>
          <w:szCs w:val="24"/>
        </w:rPr>
        <w:t xml:space="preserve">. </w:t>
      </w:r>
      <w:r w:rsidR="00191F8B">
        <w:rPr>
          <w:rFonts w:ascii="Times New Roman" w:hAnsi="Times New Roman"/>
          <w:sz w:val="24"/>
          <w:szCs w:val="24"/>
        </w:rPr>
        <w:t>E</w:t>
      </w:r>
      <w:r w:rsidR="00BC507F" w:rsidRPr="00C20A53">
        <w:rPr>
          <w:rFonts w:ascii="Times New Roman" w:hAnsi="Times New Roman"/>
          <w:sz w:val="24"/>
          <w:szCs w:val="24"/>
        </w:rPr>
        <w:t>ntre los motivos más significativos</w:t>
      </w:r>
      <w:r w:rsidR="00191F8B">
        <w:rPr>
          <w:rFonts w:ascii="Times New Roman" w:hAnsi="Times New Roman"/>
          <w:sz w:val="24"/>
          <w:szCs w:val="24"/>
        </w:rPr>
        <w:t>,</w:t>
      </w:r>
      <w:r w:rsidR="00BC507F" w:rsidRPr="00C20A53">
        <w:rPr>
          <w:rFonts w:ascii="Times New Roman" w:hAnsi="Times New Roman"/>
          <w:sz w:val="24"/>
          <w:szCs w:val="24"/>
        </w:rPr>
        <w:t xml:space="preserve"> se encuentra</w:t>
      </w:r>
      <w:r w:rsidR="00BC507F">
        <w:rPr>
          <w:rFonts w:ascii="Times New Roman" w:hAnsi="Times New Roman"/>
          <w:sz w:val="24"/>
          <w:szCs w:val="24"/>
        </w:rPr>
        <w:t xml:space="preserve"> </w:t>
      </w:r>
      <w:r w:rsidR="00BC507F" w:rsidRPr="00C20A53">
        <w:rPr>
          <w:rFonts w:ascii="Times New Roman" w:hAnsi="Times New Roman"/>
          <w:sz w:val="24"/>
          <w:szCs w:val="24"/>
        </w:rPr>
        <w:t>poner en marcha el vehículo sin precauciones, no mantener la distancia de seguridad, desobedecer</w:t>
      </w:r>
      <w:r w:rsidR="00191F8B">
        <w:rPr>
          <w:rFonts w:ascii="Times New Roman" w:hAnsi="Times New Roman"/>
          <w:sz w:val="24"/>
          <w:szCs w:val="24"/>
        </w:rPr>
        <w:t>,</w:t>
      </w:r>
      <w:r w:rsidR="00BC507F" w:rsidRPr="00C20A53">
        <w:rPr>
          <w:rFonts w:ascii="Times New Roman" w:hAnsi="Times New Roman"/>
          <w:sz w:val="24"/>
          <w:szCs w:val="24"/>
        </w:rPr>
        <w:t xml:space="preserve"> no acatar las señales de tránsito, adelantar en cerrado,  no respetar la prelación, re</w:t>
      </w:r>
      <w:r w:rsidR="00191F8B">
        <w:rPr>
          <w:rFonts w:ascii="Times New Roman" w:hAnsi="Times New Roman"/>
          <w:sz w:val="24"/>
          <w:szCs w:val="24"/>
        </w:rPr>
        <w:t>versa imprudente, embriaguez y/o droga;</w:t>
      </w:r>
      <w:r w:rsidR="00BC507F" w:rsidRPr="00C20A53">
        <w:rPr>
          <w:rFonts w:ascii="Times New Roman" w:hAnsi="Times New Roman"/>
          <w:sz w:val="24"/>
          <w:szCs w:val="24"/>
        </w:rPr>
        <w:t xml:space="preserve"> entre otras.</w:t>
      </w:r>
    </w:p>
    <w:p w:rsidR="00BC507F" w:rsidRPr="00DD2856" w:rsidRDefault="00BC507F" w:rsidP="00BC507F">
      <w:pPr>
        <w:pStyle w:val="Sinespaciado"/>
        <w:spacing w:line="360" w:lineRule="auto"/>
        <w:rPr>
          <w:rFonts w:ascii="Times New Roman" w:hAnsi="Times New Roman"/>
          <w:sz w:val="24"/>
          <w:szCs w:val="24"/>
        </w:rPr>
      </w:pPr>
      <w:r w:rsidRPr="00DD2856">
        <w:rPr>
          <w:rFonts w:ascii="Times New Roman" w:hAnsi="Times New Roman"/>
          <w:sz w:val="24"/>
          <w:szCs w:val="24"/>
        </w:rPr>
        <w:t xml:space="preserve">     </w:t>
      </w:r>
    </w:p>
    <w:p w:rsidR="00BC507F" w:rsidRDefault="00BC507F" w:rsidP="00BC507F">
      <w:pPr>
        <w:pStyle w:val="Sinespaciado"/>
        <w:spacing w:line="360" w:lineRule="auto"/>
        <w:rPr>
          <w:rFonts w:ascii="Times New Roman" w:hAnsi="Times New Roman"/>
          <w:sz w:val="24"/>
          <w:szCs w:val="24"/>
        </w:rPr>
      </w:pPr>
      <w:r w:rsidRPr="00DD2856">
        <w:rPr>
          <w:rFonts w:ascii="Times New Roman" w:hAnsi="Times New Roman"/>
          <w:sz w:val="24"/>
          <w:szCs w:val="24"/>
        </w:rPr>
        <w:t xml:space="preserve">     En el caso de Armenia, se presentaron durante el año 2013 un </w:t>
      </w:r>
      <w:r w:rsidR="00C72C5D">
        <w:rPr>
          <w:rFonts w:ascii="Times New Roman" w:hAnsi="Times New Roman"/>
          <w:sz w:val="24"/>
          <w:szCs w:val="24"/>
        </w:rPr>
        <w:t>total</w:t>
      </w:r>
      <w:r w:rsidRPr="00DD2856">
        <w:rPr>
          <w:rFonts w:ascii="Times New Roman" w:hAnsi="Times New Roman"/>
          <w:sz w:val="24"/>
          <w:szCs w:val="24"/>
        </w:rPr>
        <w:t xml:space="preserve"> de 2.076 accidentes por causa de los conductores, </w:t>
      </w:r>
      <w:r w:rsidR="00C72C5D">
        <w:rPr>
          <w:rFonts w:ascii="Times New Roman" w:hAnsi="Times New Roman"/>
          <w:sz w:val="24"/>
          <w:szCs w:val="24"/>
        </w:rPr>
        <w:t xml:space="preserve">mientras que en el año 2012 estos fueron de </w:t>
      </w:r>
      <w:r w:rsidRPr="00DD2856">
        <w:rPr>
          <w:rFonts w:ascii="Times New Roman" w:hAnsi="Times New Roman"/>
          <w:sz w:val="24"/>
          <w:szCs w:val="24"/>
        </w:rPr>
        <w:t xml:space="preserve"> 2.085, lo que const</w:t>
      </w:r>
      <w:r w:rsidR="00C72C5D">
        <w:rPr>
          <w:rFonts w:ascii="Times New Roman" w:hAnsi="Times New Roman"/>
          <w:sz w:val="24"/>
          <w:szCs w:val="24"/>
        </w:rPr>
        <w:t>ituye una disminución del 0.43%</w:t>
      </w:r>
      <w:r w:rsidRPr="00DD2856">
        <w:rPr>
          <w:rFonts w:ascii="Times New Roman" w:hAnsi="Times New Roman"/>
          <w:sz w:val="24"/>
          <w:szCs w:val="24"/>
        </w:rPr>
        <w:t>.</w:t>
      </w:r>
    </w:p>
    <w:p w:rsidR="00BC507F" w:rsidRPr="00DD2856" w:rsidRDefault="00BC507F" w:rsidP="00BC507F">
      <w:pPr>
        <w:pStyle w:val="Sinespaciado"/>
        <w:rPr>
          <w:rFonts w:ascii="Times New Roman" w:hAnsi="Times New Roman"/>
          <w:b/>
          <w:bCs/>
          <w:sz w:val="24"/>
          <w:szCs w:val="24"/>
        </w:rPr>
      </w:pPr>
    </w:p>
    <w:p w:rsidR="00BC507F" w:rsidRPr="003F01F6" w:rsidRDefault="004D2C2B" w:rsidP="00BC507F">
      <w:pPr>
        <w:pStyle w:val="Sinespaciado"/>
        <w:rPr>
          <w:rFonts w:ascii="Times New Roman" w:hAnsi="Times New Roman"/>
          <w:sz w:val="24"/>
          <w:szCs w:val="24"/>
        </w:rPr>
      </w:pPr>
      <w:r>
        <w:rPr>
          <w:rFonts w:ascii="Times New Roman" w:hAnsi="Times New Roman"/>
          <w:sz w:val="24"/>
          <w:szCs w:val="24"/>
        </w:rPr>
        <w:t>Tabla 4.2</w:t>
      </w:r>
    </w:p>
    <w:p w:rsidR="00BC507F" w:rsidRPr="003F01F6" w:rsidRDefault="00BC507F" w:rsidP="00BC507F">
      <w:pPr>
        <w:pStyle w:val="Sinespaciado"/>
        <w:rPr>
          <w:rFonts w:ascii="Times New Roman" w:hAnsi="Times New Roman"/>
          <w:sz w:val="24"/>
          <w:szCs w:val="24"/>
        </w:rPr>
      </w:pPr>
      <w:r w:rsidRPr="003F01F6">
        <w:rPr>
          <w:rFonts w:ascii="Times New Roman" w:hAnsi="Times New Roman"/>
          <w:sz w:val="24"/>
          <w:szCs w:val="24"/>
        </w:rPr>
        <w:t>Primeras causas de accidentes de tránsito en Armenia</w:t>
      </w:r>
    </w:p>
    <w:p w:rsidR="00BC507F" w:rsidRPr="003F01F6" w:rsidRDefault="00BC507F" w:rsidP="00BC507F">
      <w:pPr>
        <w:pStyle w:val="Sinespaciado"/>
        <w:rPr>
          <w:rFonts w:ascii="Times New Roman" w:hAnsi="Times New Roman"/>
          <w:sz w:val="24"/>
          <w:szCs w:val="24"/>
        </w:rPr>
      </w:pPr>
      <w:r w:rsidRPr="003F01F6">
        <w:rPr>
          <w:rFonts w:ascii="Times New Roman" w:hAnsi="Times New Roman"/>
          <w:sz w:val="24"/>
          <w:szCs w:val="24"/>
        </w:rPr>
        <w:t>Año 2013</w:t>
      </w:r>
    </w:p>
    <w:p w:rsidR="00BC507F" w:rsidRDefault="00BC507F" w:rsidP="00BC507F">
      <w:pPr>
        <w:pStyle w:val="Sinespaciado"/>
        <w:jc w:val="center"/>
        <w:rPr>
          <w:rFonts w:ascii="Times New Roman" w:hAnsi="Times New Roman"/>
          <w:sz w:val="24"/>
          <w:szCs w:val="24"/>
        </w:rPr>
      </w:pPr>
    </w:p>
    <w:tbl>
      <w:tblPr>
        <w:tblW w:w="6031" w:type="dxa"/>
        <w:tblCellMar>
          <w:left w:w="70" w:type="dxa"/>
          <w:right w:w="70" w:type="dxa"/>
        </w:tblCellMar>
        <w:tblLook w:val="04A0" w:firstRow="1" w:lastRow="0" w:firstColumn="1" w:lastColumn="0" w:noHBand="0" w:noVBand="1"/>
      </w:tblPr>
      <w:tblGrid>
        <w:gridCol w:w="3912"/>
        <w:gridCol w:w="2119"/>
      </w:tblGrid>
      <w:tr w:rsidR="00BC507F" w:rsidRPr="004829B0" w:rsidTr="004829B0">
        <w:trPr>
          <w:trHeight w:val="322"/>
        </w:trPr>
        <w:tc>
          <w:tcPr>
            <w:tcW w:w="3912" w:type="dxa"/>
            <w:tcBorders>
              <w:top w:val="single" w:sz="4" w:space="0" w:color="auto"/>
              <w:left w:val="nil"/>
              <w:bottom w:val="single" w:sz="4" w:space="0" w:color="auto"/>
              <w:right w:val="nil"/>
            </w:tcBorders>
            <w:shd w:val="clear" w:color="auto" w:fill="auto"/>
            <w:vAlign w:val="center"/>
            <w:hideMark/>
          </w:tcPr>
          <w:p w:rsidR="00BC507F" w:rsidRPr="004829B0" w:rsidRDefault="00BC507F" w:rsidP="004829B0">
            <w:pPr>
              <w:jc w:val="center"/>
              <w:rPr>
                <w:b/>
                <w:bCs/>
                <w:color w:val="000000"/>
                <w:sz w:val="20"/>
                <w:szCs w:val="20"/>
                <w:lang w:eastAsia="es-ES"/>
              </w:rPr>
            </w:pPr>
            <w:r w:rsidRPr="004829B0">
              <w:rPr>
                <w:b/>
                <w:bCs/>
                <w:color w:val="000000"/>
                <w:sz w:val="20"/>
                <w:szCs w:val="20"/>
                <w:lang w:eastAsia="es-ES"/>
              </w:rPr>
              <w:t>CAUSAS</w:t>
            </w:r>
          </w:p>
        </w:tc>
        <w:tc>
          <w:tcPr>
            <w:tcW w:w="2119" w:type="dxa"/>
            <w:tcBorders>
              <w:top w:val="single" w:sz="4" w:space="0" w:color="auto"/>
              <w:left w:val="nil"/>
              <w:bottom w:val="single" w:sz="4" w:space="0" w:color="auto"/>
              <w:right w:val="nil"/>
            </w:tcBorders>
            <w:shd w:val="clear" w:color="auto" w:fill="auto"/>
            <w:vAlign w:val="center"/>
            <w:hideMark/>
          </w:tcPr>
          <w:p w:rsidR="00BC507F" w:rsidRPr="004829B0" w:rsidRDefault="00BC507F" w:rsidP="004829B0">
            <w:pPr>
              <w:jc w:val="center"/>
              <w:rPr>
                <w:b/>
                <w:bCs/>
                <w:color w:val="000000"/>
                <w:sz w:val="20"/>
                <w:szCs w:val="20"/>
                <w:lang w:eastAsia="es-ES"/>
              </w:rPr>
            </w:pPr>
            <w:r w:rsidRPr="004829B0">
              <w:rPr>
                <w:b/>
                <w:bCs/>
                <w:color w:val="000000"/>
                <w:sz w:val="20"/>
                <w:szCs w:val="20"/>
                <w:lang w:eastAsia="es-ES"/>
              </w:rPr>
              <w:t>TOTAL</w:t>
            </w:r>
          </w:p>
        </w:tc>
      </w:tr>
      <w:tr w:rsidR="00BC507F" w:rsidRPr="004829B0" w:rsidTr="004829B0">
        <w:trPr>
          <w:trHeight w:val="335"/>
        </w:trPr>
        <w:tc>
          <w:tcPr>
            <w:tcW w:w="3912" w:type="dxa"/>
            <w:tcBorders>
              <w:top w:val="nil"/>
              <w:left w:val="nil"/>
              <w:bottom w:val="nil"/>
              <w:right w:val="nil"/>
            </w:tcBorders>
            <w:shd w:val="clear" w:color="auto" w:fill="auto"/>
            <w:vAlign w:val="center"/>
            <w:hideMark/>
          </w:tcPr>
          <w:p w:rsidR="00BC507F" w:rsidRPr="004829B0" w:rsidRDefault="00BC507F" w:rsidP="004829B0">
            <w:pPr>
              <w:jc w:val="both"/>
              <w:rPr>
                <w:color w:val="000000"/>
                <w:sz w:val="20"/>
                <w:szCs w:val="20"/>
                <w:lang w:eastAsia="es-ES"/>
              </w:rPr>
            </w:pPr>
            <w:r w:rsidRPr="004829B0">
              <w:rPr>
                <w:color w:val="000000"/>
                <w:sz w:val="20"/>
                <w:szCs w:val="20"/>
                <w:lang w:eastAsia="es-ES"/>
              </w:rPr>
              <w:t>De la vía</w:t>
            </w:r>
          </w:p>
        </w:tc>
        <w:tc>
          <w:tcPr>
            <w:tcW w:w="2119" w:type="dxa"/>
            <w:tcBorders>
              <w:top w:val="nil"/>
              <w:left w:val="nil"/>
              <w:bottom w:val="nil"/>
              <w:right w:val="nil"/>
            </w:tcBorders>
            <w:shd w:val="clear" w:color="auto" w:fill="auto"/>
            <w:vAlign w:val="center"/>
            <w:hideMark/>
          </w:tcPr>
          <w:p w:rsidR="00BC507F" w:rsidRPr="004829B0" w:rsidRDefault="00BC507F" w:rsidP="004829B0">
            <w:pPr>
              <w:jc w:val="center"/>
              <w:rPr>
                <w:color w:val="000000"/>
                <w:sz w:val="20"/>
                <w:szCs w:val="20"/>
                <w:lang w:eastAsia="es-ES"/>
              </w:rPr>
            </w:pPr>
            <w:r w:rsidRPr="004829B0">
              <w:rPr>
                <w:color w:val="000000"/>
                <w:sz w:val="20"/>
                <w:szCs w:val="20"/>
                <w:lang w:eastAsia="es-ES"/>
              </w:rPr>
              <w:t>31</w:t>
            </w:r>
          </w:p>
        </w:tc>
      </w:tr>
      <w:tr w:rsidR="00BC507F" w:rsidRPr="004829B0" w:rsidTr="004829B0">
        <w:trPr>
          <w:trHeight w:val="335"/>
        </w:trPr>
        <w:tc>
          <w:tcPr>
            <w:tcW w:w="3912" w:type="dxa"/>
            <w:tcBorders>
              <w:top w:val="nil"/>
              <w:left w:val="nil"/>
              <w:bottom w:val="nil"/>
              <w:right w:val="nil"/>
            </w:tcBorders>
            <w:shd w:val="clear" w:color="auto" w:fill="auto"/>
            <w:vAlign w:val="center"/>
            <w:hideMark/>
          </w:tcPr>
          <w:p w:rsidR="00BC507F" w:rsidRPr="004829B0" w:rsidRDefault="00BC507F" w:rsidP="004829B0">
            <w:pPr>
              <w:jc w:val="both"/>
              <w:rPr>
                <w:color w:val="000000"/>
                <w:sz w:val="20"/>
                <w:szCs w:val="20"/>
                <w:lang w:eastAsia="es-ES"/>
              </w:rPr>
            </w:pPr>
            <w:r w:rsidRPr="004829B0">
              <w:rPr>
                <w:color w:val="000000"/>
                <w:sz w:val="20"/>
                <w:szCs w:val="20"/>
                <w:lang w:eastAsia="es-ES"/>
              </w:rPr>
              <w:t>Del conductor de motocicleta o bicicleta</w:t>
            </w:r>
          </w:p>
        </w:tc>
        <w:tc>
          <w:tcPr>
            <w:tcW w:w="2119" w:type="dxa"/>
            <w:tcBorders>
              <w:top w:val="nil"/>
              <w:left w:val="nil"/>
              <w:bottom w:val="nil"/>
              <w:right w:val="nil"/>
            </w:tcBorders>
            <w:shd w:val="clear" w:color="auto" w:fill="auto"/>
            <w:vAlign w:val="center"/>
            <w:hideMark/>
          </w:tcPr>
          <w:p w:rsidR="00BC507F" w:rsidRPr="004829B0" w:rsidRDefault="00BC507F" w:rsidP="004829B0">
            <w:pPr>
              <w:jc w:val="center"/>
              <w:rPr>
                <w:color w:val="000000"/>
                <w:sz w:val="20"/>
                <w:szCs w:val="20"/>
                <w:lang w:eastAsia="es-ES"/>
              </w:rPr>
            </w:pPr>
            <w:r w:rsidRPr="004829B0">
              <w:rPr>
                <w:color w:val="000000"/>
                <w:sz w:val="20"/>
                <w:szCs w:val="20"/>
                <w:lang w:eastAsia="es-ES"/>
              </w:rPr>
              <w:t>8</w:t>
            </w:r>
          </w:p>
        </w:tc>
      </w:tr>
      <w:tr w:rsidR="00BC507F" w:rsidRPr="004829B0" w:rsidTr="004829B0">
        <w:trPr>
          <w:trHeight w:val="335"/>
        </w:trPr>
        <w:tc>
          <w:tcPr>
            <w:tcW w:w="3912" w:type="dxa"/>
            <w:tcBorders>
              <w:top w:val="nil"/>
              <w:left w:val="nil"/>
              <w:bottom w:val="nil"/>
              <w:right w:val="nil"/>
            </w:tcBorders>
            <w:shd w:val="clear" w:color="auto" w:fill="auto"/>
            <w:vAlign w:val="center"/>
            <w:hideMark/>
          </w:tcPr>
          <w:p w:rsidR="00BC507F" w:rsidRPr="004829B0" w:rsidRDefault="00BC507F" w:rsidP="004829B0">
            <w:pPr>
              <w:jc w:val="both"/>
              <w:rPr>
                <w:color w:val="000000"/>
                <w:sz w:val="20"/>
                <w:szCs w:val="20"/>
                <w:lang w:eastAsia="es-ES"/>
              </w:rPr>
            </w:pPr>
            <w:r w:rsidRPr="004829B0">
              <w:rPr>
                <w:color w:val="000000"/>
                <w:sz w:val="20"/>
                <w:szCs w:val="20"/>
                <w:lang w:eastAsia="es-ES"/>
              </w:rPr>
              <w:t>Del conductor en general</w:t>
            </w:r>
          </w:p>
        </w:tc>
        <w:tc>
          <w:tcPr>
            <w:tcW w:w="2119" w:type="dxa"/>
            <w:tcBorders>
              <w:top w:val="nil"/>
              <w:left w:val="nil"/>
              <w:bottom w:val="nil"/>
              <w:right w:val="nil"/>
            </w:tcBorders>
            <w:shd w:val="clear" w:color="auto" w:fill="auto"/>
            <w:vAlign w:val="center"/>
            <w:hideMark/>
          </w:tcPr>
          <w:p w:rsidR="00BC507F" w:rsidRPr="004829B0" w:rsidRDefault="00BC507F" w:rsidP="004829B0">
            <w:pPr>
              <w:jc w:val="center"/>
              <w:rPr>
                <w:color w:val="000000"/>
                <w:sz w:val="20"/>
                <w:szCs w:val="20"/>
                <w:lang w:eastAsia="es-ES"/>
              </w:rPr>
            </w:pPr>
            <w:r w:rsidRPr="004829B0">
              <w:rPr>
                <w:color w:val="000000"/>
                <w:sz w:val="20"/>
                <w:szCs w:val="20"/>
                <w:lang w:eastAsia="es-ES"/>
              </w:rPr>
              <w:t>2085</w:t>
            </w:r>
          </w:p>
        </w:tc>
      </w:tr>
      <w:tr w:rsidR="00BC507F" w:rsidRPr="004829B0" w:rsidTr="004829B0">
        <w:trPr>
          <w:trHeight w:val="335"/>
        </w:trPr>
        <w:tc>
          <w:tcPr>
            <w:tcW w:w="3912" w:type="dxa"/>
            <w:tcBorders>
              <w:top w:val="nil"/>
              <w:left w:val="nil"/>
              <w:bottom w:val="nil"/>
              <w:right w:val="nil"/>
            </w:tcBorders>
            <w:shd w:val="clear" w:color="auto" w:fill="auto"/>
            <w:vAlign w:val="center"/>
            <w:hideMark/>
          </w:tcPr>
          <w:p w:rsidR="00BC507F" w:rsidRPr="004829B0" w:rsidRDefault="00BC507F" w:rsidP="004829B0">
            <w:pPr>
              <w:jc w:val="both"/>
              <w:rPr>
                <w:color w:val="000000"/>
                <w:sz w:val="20"/>
                <w:szCs w:val="20"/>
                <w:lang w:eastAsia="es-ES"/>
              </w:rPr>
            </w:pPr>
            <w:r w:rsidRPr="004829B0">
              <w:rPr>
                <w:color w:val="000000"/>
                <w:sz w:val="20"/>
                <w:szCs w:val="20"/>
                <w:lang w:eastAsia="es-ES"/>
              </w:rPr>
              <w:t>Del pasajero</w:t>
            </w:r>
          </w:p>
        </w:tc>
        <w:tc>
          <w:tcPr>
            <w:tcW w:w="2119" w:type="dxa"/>
            <w:tcBorders>
              <w:top w:val="nil"/>
              <w:left w:val="nil"/>
              <w:bottom w:val="nil"/>
              <w:right w:val="nil"/>
            </w:tcBorders>
            <w:shd w:val="clear" w:color="auto" w:fill="auto"/>
            <w:vAlign w:val="bottom"/>
            <w:hideMark/>
          </w:tcPr>
          <w:p w:rsidR="00BC507F" w:rsidRPr="004829B0" w:rsidRDefault="00BC507F" w:rsidP="004829B0">
            <w:pPr>
              <w:jc w:val="center"/>
              <w:rPr>
                <w:color w:val="000000"/>
                <w:sz w:val="20"/>
                <w:szCs w:val="20"/>
                <w:lang w:eastAsia="es-ES"/>
              </w:rPr>
            </w:pPr>
            <w:r w:rsidRPr="004829B0">
              <w:rPr>
                <w:color w:val="000000"/>
                <w:sz w:val="20"/>
                <w:szCs w:val="20"/>
                <w:lang w:eastAsia="es-ES"/>
              </w:rPr>
              <w:t>0</w:t>
            </w:r>
          </w:p>
        </w:tc>
      </w:tr>
      <w:tr w:rsidR="00BC507F" w:rsidRPr="004829B0" w:rsidTr="004829B0">
        <w:trPr>
          <w:trHeight w:val="335"/>
        </w:trPr>
        <w:tc>
          <w:tcPr>
            <w:tcW w:w="3912" w:type="dxa"/>
            <w:tcBorders>
              <w:top w:val="nil"/>
              <w:left w:val="nil"/>
              <w:bottom w:val="nil"/>
              <w:right w:val="nil"/>
            </w:tcBorders>
            <w:shd w:val="clear" w:color="auto" w:fill="auto"/>
            <w:vAlign w:val="center"/>
            <w:hideMark/>
          </w:tcPr>
          <w:p w:rsidR="00BC507F" w:rsidRPr="004829B0" w:rsidRDefault="00BC507F" w:rsidP="004829B0">
            <w:pPr>
              <w:jc w:val="both"/>
              <w:rPr>
                <w:color w:val="000000"/>
                <w:sz w:val="20"/>
                <w:szCs w:val="20"/>
                <w:lang w:eastAsia="es-ES"/>
              </w:rPr>
            </w:pPr>
            <w:r w:rsidRPr="004829B0">
              <w:rPr>
                <w:color w:val="000000"/>
                <w:sz w:val="20"/>
                <w:szCs w:val="20"/>
                <w:lang w:eastAsia="es-ES"/>
              </w:rPr>
              <w:t>Del peatón</w:t>
            </w:r>
          </w:p>
        </w:tc>
        <w:tc>
          <w:tcPr>
            <w:tcW w:w="2119" w:type="dxa"/>
            <w:tcBorders>
              <w:top w:val="nil"/>
              <w:left w:val="nil"/>
              <w:bottom w:val="nil"/>
              <w:right w:val="nil"/>
            </w:tcBorders>
            <w:shd w:val="clear" w:color="auto" w:fill="auto"/>
            <w:vAlign w:val="bottom"/>
            <w:hideMark/>
          </w:tcPr>
          <w:p w:rsidR="00BC507F" w:rsidRPr="004829B0" w:rsidRDefault="00BC507F" w:rsidP="004829B0">
            <w:pPr>
              <w:jc w:val="center"/>
              <w:rPr>
                <w:color w:val="000000"/>
                <w:sz w:val="20"/>
                <w:szCs w:val="20"/>
                <w:lang w:eastAsia="es-ES"/>
              </w:rPr>
            </w:pPr>
            <w:r w:rsidRPr="004829B0">
              <w:rPr>
                <w:color w:val="000000"/>
                <w:sz w:val="20"/>
                <w:szCs w:val="20"/>
                <w:lang w:eastAsia="es-ES"/>
              </w:rPr>
              <w:t>197</w:t>
            </w:r>
          </w:p>
        </w:tc>
      </w:tr>
      <w:tr w:rsidR="00BC507F" w:rsidRPr="004829B0" w:rsidTr="004829B0">
        <w:trPr>
          <w:trHeight w:val="335"/>
        </w:trPr>
        <w:tc>
          <w:tcPr>
            <w:tcW w:w="3912" w:type="dxa"/>
            <w:tcBorders>
              <w:top w:val="nil"/>
              <w:left w:val="nil"/>
              <w:bottom w:val="single" w:sz="4" w:space="0" w:color="auto"/>
              <w:right w:val="nil"/>
            </w:tcBorders>
            <w:shd w:val="clear" w:color="auto" w:fill="auto"/>
            <w:vAlign w:val="center"/>
            <w:hideMark/>
          </w:tcPr>
          <w:p w:rsidR="00BC507F" w:rsidRPr="004829B0" w:rsidRDefault="00BC507F" w:rsidP="004829B0">
            <w:pPr>
              <w:jc w:val="both"/>
              <w:rPr>
                <w:color w:val="000000"/>
                <w:sz w:val="20"/>
                <w:szCs w:val="20"/>
                <w:lang w:eastAsia="es-ES"/>
              </w:rPr>
            </w:pPr>
            <w:r w:rsidRPr="004829B0">
              <w:rPr>
                <w:color w:val="000000"/>
                <w:sz w:val="20"/>
                <w:szCs w:val="20"/>
                <w:lang w:eastAsia="es-ES"/>
              </w:rPr>
              <w:t>Del vehículo</w:t>
            </w:r>
          </w:p>
        </w:tc>
        <w:tc>
          <w:tcPr>
            <w:tcW w:w="2119" w:type="dxa"/>
            <w:tcBorders>
              <w:top w:val="nil"/>
              <w:left w:val="nil"/>
              <w:bottom w:val="single" w:sz="4" w:space="0" w:color="auto"/>
              <w:right w:val="nil"/>
            </w:tcBorders>
            <w:shd w:val="clear" w:color="auto" w:fill="auto"/>
            <w:vAlign w:val="bottom"/>
            <w:hideMark/>
          </w:tcPr>
          <w:p w:rsidR="00BC507F" w:rsidRPr="004829B0" w:rsidRDefault="00BC507F" w:rsidP="004829B0">
            <w:pPr>
              <w:jc w:val="center"/>
              <w:rPr>
                <w:color w:val="000000"/>
                <w:sz w:val="20"/>
                <w:szCs w:val="20"/>
                <w:lang w:eastAsia="es-ES"/>
              </w:rPr>
            </w:pPr>
            <w:r w:rsidRPr="004829B0">
              <w:rPr>
                <w:color w:val="000000"/>
                <w:sz w:val="20"/>
                <w:szCs w:val="20"/>
                <w:lang w:eastAsia="es-ES"/>
              </w:rPr>
              <w:t>28</w:t>
            </w:r>
          </w:p>
        </w:tc>
      </w:tr>
      <w:tr w:rsidR="00BC507F" w:rsidRPr="004829B0" w:rsidTr="004829B0">
        <w:trPr>
          <w:trHeight w:val="313"/>
        </w:trPr>
        <w:tc>
          <w:tcPr>
            <w:tcW w:w="6031" w:type="dxa"/>
            <w:gridSpan w:val="2"/>
            <w:tcBorders>
              <w:top w:val="nil"/>
              <w:left w:val="nil"/>
              <w:bottom w:val="nil"/>
              <w:right w:val="nil"/>
            </w:tcBorders>
            <w:shd w:val="clear" w:color="auto" w:fill="auto"/>
            <w:noWrap/>
            <w:vAlign w:val="center"/>
            <w:hideMark/>
          </w:tcPr>
          <w:p w:rsidR="00BC507F" w:rsidRPr="004829B0" w:rsidRDefault="00BC507F" w:rsidP="004829B0">
            <w:pPr>
              <w:jc w:val="both"/>
              <w:rPr>
                <w:color w:val="000000"/>
                <w:sz w:val="16"/>
                <w:szCs w:val="16"/>
                <w:lang w:eastAsia="es-ES"/>
              </w:rPr>
            </w:pPr>
            <w:r w:rsidRPr="004829B0">
              <w:rPr>
                <w:color w:val="000000"/>
                <w:sz w:val="16"/>
                <w:szCs w:val="16"/>
                <w:lang w:eastAsia="es-ES"/>
              </w:rPr>
              <w:t>F</w:t>
            </w:r>
            <w:r w:rsidR="004829B0" w:rsidRPr="004829B0">
              <w:rPr>
                <w:color w:val="000000"/>
                <w:sz w:val="16"/>
                <w:szCs w:val="16"/>
                <w:lang w:eastAsia="es-ES"/>
              </w:rPr>
              <w:t>uente</w:t>
            </w:r>
            <w:r w:rsidRPr="004829B0">
              <w:rPr>
                <w:color w:val="000000"/>
                <w:sz w:val="16"/>
                <w:szCs w:val="16"/>
                <w:lang w:eastAsia="es-ES"/>
              </w:rPr>
              <w:t xml:space="preserve">: Secretaría de Tránsito y Transporte de Armenia: SETTA   </w:t>
            </w:r>
          </w:p>
        </w:tc>
      </w:tr>
    </w:tbl>
    <w:p w:rsidR="00725CB0" w:rsidRDefault="00725CB0" w:rsidP="00BC507F">
      <w:pPr>
        <w:autoSpaceDE w:val="0"/>
        <w:autoSpaceDN w:val="0"/>
        <w:adjustRightInd w:val="0"/>
        <w:spacing w:line="360" w:lineRule="auto"/>
        <w:jc w:val="both"/>
        <w:rPr>
          <w:bCs/>
        </w:rPr>
      </w:pPr>
    </w:p>
    <w:p w:rsidR="00BC507F" w:rsidRDefault="00BC507F" w:rsidP="00BC507F">
      <w:pPr>
        <w:spacing w:line="360" w:lineRule="auto"/>
        <w:jc w:val="both"/>
        <w:rPr>
          <w:lang w:eastAsia="es-ES"/>
        </w:rPr>
      </w:pPr>
    </w:p>
    <w:p w:rsidR="00BC507F" w:rsidRPr="00DE13A6" w:rsidRDefault="00BC507F" w:rsidP="00B5068B">
      <w:pPr>
        <w:spacing w:line="360" w:lineRule="auto"/>
        <w:jc w:val="both"/>
        <w:rPr>
          <w:rStyle w:val="texto"/>
        </w:rPr>
      </w:pPr>
      <w:r w:rsidRPr="00812A21">
        <w:rPr>
          <w:rStyle w:val="texto"/>
        </w:rPr>
        <w:t xml:space="preserve">     </w:t>
      </w:r>
      <w:r w:rsidR="005D6926">
        <w:rPr>
          <w:rStyle w:val="texto"/>
        </w:rPr>
        <w:t>Las causas de accidentalidad en vehículos particulares registradas con mayor frecuencia en el Quindío</w:t>
      </w:r>
      <w:r w:rsidR="00D06B66">
        <w:rPr>
          <w:rStyle w:val="texto"/>
        </w:rPr>
        <w:t xml:space="preserve"> para la vigencia 2013 </w:t>
      </w:r>
      <w:r w:rsidR="00646860">
        <w:rPr>
          <w:rStyle w:val="texto"/>
        </w:rPr>
        <w:t>son</w:t>
      </w:r>
      <w:r w:rsidR="00F5781D">
        <w:rPr>
          <w:rStyle w:val="texto"/>
        </w:rPr>
        <w:t xml:space="preserve">: </w:t>
      </w:r>
      <w:r w:rsidR="00B83934">
        <w:rPr>
          <w:rStyle w:val="texto"/>
        </w:rPr>
        <w:t>p</w:t>
      </w:r>
      <w:r w:rsidRPr="00DE13A6">
        <w:rPr>
          <w:rStyle w:val="texto"/>
        </w:rPr>
        <w:t xml:space="preserve">oner en marcha el </w:t>
      </w:r>
      <w:r w:rsidR="00F5781D">
        <w:rPr>
          <w:rStyle w:val="texto"/>
        </w:rPr>
        <w:t>vehículo sin ninguna precaución</w:t>
      </w:r>
      <w:r w:rsidR="002F5C45">
        <w:rPr>
          <w:rStyle w:val="texto"/>
        </w:rPr>
        <w:t>, d</w:t>
      </w:r>
      <w:r w:rsidRPr="00DE13A6">
        <w:rPr>
          <w:rStyle w:val="texto"/>
        </w:rPr>
        <w:t>eso</w:t>
      </w:r>
      <w:r w:rsidR="00F5781D">
        <w:rPr>
          <w:rStyle w:val="texto"/>
        </w:rPr>
        <w:t>bedecer las señales de tránsito</w:t>
      </w:r>
      <w:r w:rsidR="002F5C45">
        <w:rPr>
          <w:rStyle w:val="texto"/>
        </w:rPr>
        <w:t>, a</w:t>
      </w:r>
      <w:r w:rsidR="00F5781D">
        <w:rPr>
          <w:rStyle w:val="texto"/>
        </w:rPr>
        <w:t>delantar cerrando</w:t>
      </w:r>
      <w:r w:rsidR="002F5C45">
        <w:rPr>
          <w:rStyle w:val="texto"/>
        </w:rPr>
        <w:t>, e</w:t>
      </w:r>
      <w:r w:rsidRPr="00DE13A6">
        <w:rPr>
          <w:rStyle w:val="texto"/>
        </w:rPr>
        <w:t>mbriaguez o droga</w:t>
      </w:r>
      <w:r w:rsidR="002F5C45">
        <w:rPr>
          <w:rStyle w:val="texto"/>
        </w:rPr>
        <w:t>, n</w:t>
      </w:r>
      <w:r w:rsidRPr="00DE13A6">
        <w:rPr>
          <w:rStyle w:val="texto"/>
        </w:rPr>
        <w:t xml:space="preserve">o </w:t>
      </w:r>
      <w:r w:rsidR="002F5C45">
        <w:rPr>
          <w:rStyle w:val="texto"/>
        </w:rPr>
        <w:t>mantener distancia de seguridad, m</w:t>
      </w:r>
      <w:r w:rsidRPr="00DE13A6">
        <w:rPr>
          <w:rStyle w:val="texto"/>
        </w:rPr>
        <w:t>al estado mecánico de los automóviles y  la falta de habilidad para conducir.</w:t>
      </w:r>
      <w:r w:rsidR="00B5068B">
        <w:rPr>
          <w:rStyle w:val="texto"/>
        </w:rPr>
        <w:t xml:space="preserve"> Para el caso de accidentalidad de los motociclistas se identificaron causas como: t</w:t>
      </w:r>
      <w:r w:rsidRPr="00DE13A6">
        <w:rPr>
          <w:rStyle w:val="texto"/>
        </w:rPr>
        <w:t>ransitar distante de la cera u orilla de la calza</w:t>
      </w:r>
      <w:r w:rsidR="00B5068B">
        <w:rPr>
          <w:rStyle w:val="texto"/>
        </w:rPr>
        <w:t>da, t</w:t>
      </w:r>
      <w:r w:rsidRPr="00DE13A6">
        <w:rPr>
          <w:rStyle w:val="texto"/>
        </w:rPr>
        <w:t>ransportar otra persona o cosas</w:t>
      </w:r>
      <w:r w:rsidR="00B5068B">
        <w:rPr>
          <w:rStyle w:val="texto"/>
        </w:rPr>
        <w:t xml:space="preserve"> y t</w:t>
      </w:r>
      <w:r w:rsidRPr="00DE13A6">
        <w:rPr>
          <w:rStyle w:val="texto"/>
        </w:rPr>
        <w:t>ransitar entre vehículos</w:t>
      </w:r>
      <w:r w:rsidR="00B5068B">
        <w:rPr>
          <w:rStyle w:val="texto"/>
        </w:rPr>
        <w:t>.</w:t>
      </w:r>
    </w:p>
    <w:p w:rsidR="00BC507F" w:rsidRPr="00DE13A6" w:rsidRDefault="00BC507F" w:rsidP="00BC507F">
      <w:pPr>
        <w:pStyle w:val="Prrafodelista"/>
        <w:spacing w:line="360" w:lineRule="auto"/>
        <w:ind w:left="360"/>
        <w:jc w:val="both"/>
        <w:rPr>
          <w:rStyle w:val="texto"/>
        </w:rPr>
      </w:pPr>
      <w:r w:rsidRPr="00DE13A6">
        <w:rPr>
          <w:rStyle w:val="texto"/>
        </w:rPr>
        <w:t xml:space="preserve"> </w:t>
      </w:r>
    </w:p>
    <w:p w:rsidR="00BC507F" w:rsidRPr="00DE13A6" w:rsidRDefault="00BC507F" w:rsidP="00BC507F">
      <w:pPr>
        <w:jc w:val="both"/>
      </w:pPr>
      <w:r w:rsidRPr="00DE13A6">
        <w:lastRenderedPageBreak/>
        <w:t>Gráfico 4.6</w:t>
      </w:r>
    </w:p>
    <w:p w:rsidR="00BC507F" w:rsidRPr="00DE13A6" w:rsidRDefault="00BC507F" w:rsidP="00BC507F">
      <w:pPr>
        <w:autoSpaceDE w:val="0"/>
        <w:autoSpaceDN w:val="0"/>
        <w:adjustRightInd w:val="0"/>
        <w:jc w:val="both"/>
        <w:rPr>
          <w:bCs/>
        </w:rPr>
      </w:pPr>
      <w:r w:rsidRPr="00DE13A6">
        <w:rPr>
          <w:bCs/>
        </w:rPr>
        <w:t>Accidentalidad por clase de Servicio</w:t>
      </w:r>
    </w:p>
    <w:p w:rsidR="00BC507F" w:rsidRDefault="00BC507F" w:rsidP="00BC507F">
      <w:pPr>
        <w:autoSpaceDE w:val="0"/>
        <w:autoSpaceDN w:val="0"/>
        <w:adjustRightInd w:val="0"/>
        <w:jc w:val="both"/>
        <w:rPr>
          <w:bCs/>
        </w:rPr>
      </w:pPr>
      <w:r w:rsidRPr="00DE13A6">
        <w:rPr>
          <w:bCs/>
        </w:rPr>
        <w:t>Año 2013</w:t>
      </w:r>
    </w:p>
    <w:p w:rsidR="00BC507F" w:rsidRPr="00DE13A6" w:rsidRDefault="00BC507F" w:rsidP="00BC507F">
      <w:pPr>
        <w:autoSpaceDE w:val="0"/>
        <w:autoSpaceDN w:val="0"/>
        <w:adjustRightInd w:val="0"/>
        <w:jc w:val="both"/>
        <w:rPr>
          <w:bCs/>
        </w:rPr>
      </w:pPr>
    </w:p>
    <w:p w:rsidR="00BC507F" w:rsidRPr="00812A21" w:rsidRDefault="00BC507F" w:rsidP="00BC507F">
      <w:pPr>
        <w:autoSpaceDE w:val="0"/>
        <w:autoSpaceDN w:val="0"/>
        <w:adjustRightInd w:val="0"/>
        <w:spacing w:line="360" w:lineRule="auto"/>
        <w:jc w:val="both"/>
        <w:rPr>
          <w:bCs/>
        </w:rPr>
      </w:pPr>
      <w:r>
        <w:rPr>
          <w:noProof/>
        </w:rPr>
        <w:drawing>
          <wp:inline distT="0" distB="0" distL="0" distR="0" wp14:anchorId="4D9EA8E5" wp14:editId="5AC2307B">
            <wp:extent cx="3709358" cy="2156604"/>
            <wp:effectExtent l="0" t="0" r="24765" b="15240"/>
            <wp:docPr id="51" name="Gráfico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2091E" w:rsidRDefault="00BC507F" w:rsidP="00BC507F">
      <w:pPr>
        <w:autoSpaceDE w:val="0"/>
        <w:autoSpaceDN w:val="0"/>
        <w:adjustRightInd w:val="0"/>
        <w:spacing w:line="360" w:lineRule="auto"/>
        <w:ind w:right="1469"/>
        <w:rPr>
          <w:color w:val="000000"/>
          <w:sz w:val="16"/>
          <w:szCs w:val="16"/>
          <w:lang w:eastAsia="es-ES"/>
        </w:rPr>
      </w:pPr>
      <w:r w:rsidRPr="00812A21">
        <w:rPr>
          <w:color w:val="000000"/>
          <w:sz w:val="16"/>
          <w:szCs w:val="16"/>
          <w:lang w:eastAsia="es-ES"/>
        </w:rPr>
        <w:t xml:space="preserve">Fuente: SETTA, Secretaría de Movilidad y Seguridad Vial Calarcá, Oficina de Tránsito de Quimbaya, </w:t>
      </w:r>
    </w:p>
    <w:p w:rsidR="00BC507F" w:rsidRPr="00812A21" w:rsidRDefault="00BC507F" w:rsidP="00BC507F">
      <w:pPr>
        <w:autoSpaceDE w:val="0"/>
        <w:autoSpaceDN w:val="0"/>
        <w:adjustRightInd w:val="0"/>
        <w:spacing w:line="360" w:lineRule="auto"/>
        <w:ind w:right="1469"/>
        <w:rPr>
          <w:bCs/>
        </w:rPr>
      </w:pPr>
      <w:r w:rsidRPr="00812A21">
        <w:rPr>
          <w:color w:val="000000"/>
          <w:sz w:val="16"/>
          <w:szCs w:val="16"/>
          <w:lang w:eastAsia="es-ES"/>
        </w:rPr>
        <w:t xml:space="preserve">Oficina de  Tránsito de </w:t>
      </w:r>
      <w:r>
        <w:rPr>
          <w:color w:val="000000"/>
          <w:sz w:val="16"/>
          <w:szCs w:val="16"/>
          <w:lang w:eastAsia="es-ES"/>
        </w:rPr>
        <w:t>La Tebaida</w:t>
      </w:r>
    </w:p>
    <w:p w:rsidR="004D2C2B" w:rsidRDefault="004D2C2B" w:rsidP="00EC5CE2">
      <w:pPr>
        <w:pStyle w:val="Ttulo2"/>
        <w:rPr>
          <w:rFonts w:ascii="Times New Roman" w:hAnsi="Times New Roman" w:cs="Times New Roman"/>
          <w:color w:val="auto"/>
          <w:sz w:val="30"/>
          <w:szCs w:val="30"/>
        </w:rPr>
      </w:pPr>
    </w:p>
    <w:p w:rsidR="00BC507F" w:rsidRPr="00EC5CE2" w:rsidRDefault="00EC5CE2" w:rsidP="00EC5CE2">
      <w:pPr>
        <w:pStyle w:val="Ttulo2"/>
        <w:rPr>
          <w:rFonts w:ascii="Times New Roman" w:hAnsi="Times New Roman" w:cs="Times New Roman"/>
          <w:color w:val="auto"/>
          <w:sz w:val="30"/>
          <w:szCs w:val="30"/>
        </w:rPr>
      </w:pPr>
      <w:bookmarkStart w:id="47" w:name="_Toc406754307"/>
      <w:r w:rsidRPr="00EC5CE2">
        <w:rPr>
          <w:rFonts w:ascii="Times New Roman" w:hAnsi="Times New Roman" w:cs="Times New Roman"/>
          <w:color w:val="auto"/>
          <w:sz w:val="30"/>
          <w:szCs w:val="30"/>
        </w:rPr>
        <w:t xml:space="preserve">4.5 </w:t>
      </w:r>
      <w:r>
        <w:rPr>
          <w:rFonts w:ascii="Times New Roman" w:hAnsi="Times New Roman" w:cs="Times New Roman"/>
          <w:color w:val="auto"/>
          <w:sz w:val="30"/>
          <w:szCs w:val="30"/>
        </w:rPr>
        <w:t>Transporte de Pasajeros</w:t>
      </w:r>
      <w:bookmarkEnd w:id="47"/>
    </w:p>
    <w:p w:rsidR="00BC507F" w:rsidRDefault="00BC507F" w:rsidP="00BC507F">
      <w:pPr>
        <w:autoSpaceDE w:val="0"/>
        <w:autoSpaceDN w:val="0"/>
        <w:adjustRightInd w:val="0"/>
        <w:spacing w:line="360" w:lineRule="auto"/>
        <w:jc w:val="both"/>
        <w:rPr>
          <w:b/>
          <w:bCs/>
        </w:rPr>
      </w:pPr>
    </w:p>
    <w:p w:rsidR="004721FD" w:rsidRPr="0079577E" w:rsidRDefault="00DE614D" w:rsidP="004721FD">
      <w:pPr>
        <w:jc w:val="both"/>
        <w:rPr>
          <w:bCs/>
          <w:lang w:eastAsia="es-ES"/>
        </w:rPr>
      </w:pPr>
      <w:r>
        <w:rPr>
          <w:bCs/>
          <w:lang w:eastAsia="es-ES"/>
        </w:rPr>
        <w:t>Tabla 4.3</w:t>
      </w:r>
      <w:r w:rsidR="004721FD">
        <w:rPr>
          <w:bCs/>
          <w:lang w:eastAsia="es-ES"/>
        </w:rPr>
        <w:tab/>
      </w:r>
      <w:r w:rsidR="004721FD">
        <w:rPr>
          <w:bCs/>
          <w:lang w:eastAsia="es-ES"/>
        </w:rPr>
        <w:tab/>
      </w:r>
      <w:r w:rsidR="004721FD">
        <w:rPr>
          <w:bCs/>
          <w:lang w:eastAsia="es-ES"/>
        </w:rPr>
        <w:tab/>
      </w:r>
      <w:r w:rsidR="004721FD">
        <w:rPr>
          <w:bCs/>
          <w:lang w:eastAsia="es-ES"/>
        </w:rPr>
        <w:tab/>
      </w:r>
      <w:r w:rsidR="004721FD">
        <w:rPr>
          <w:bCs/>
          <w:lang w:eastAsia="es-ES"/>
        </w:rPr>
        <w:tab/>
      </w:r>
      <w:r w:rsidR="004721FD">
        <w:rPr>
          <w:bCs/>
          <w:lang w:eastAsia="es-ES"/>
        </w:rPr>
        <w:tab/>
      </w:r>
    </w:p>
    <w:p w:rsidR="001E44BB" w:rsidRPr="0079577E" w:rsidRDefault="00EC5CE2" w:rsidP="001E44BB">
      <w:pPr>
        <w:jc w:val="both"/>
        <w:rPr>
          <w:bCs/>
          <w:lang w:eastAsia="es-ES"/>
        </w:rPr>
      </w:pPr>
      <w:r w:rsidRPr="0079577E">
        <w:rPr>
          <w:bCs/>
          <w:lang w:eastAsia="es-ES"/>
        </w:rPr>
        <w:t>Consolidado  Vehículos y Pasajeros</w:t>
      </w:r>
      <w:r w:rsidR="001E44BB">
        <w:rPr>
          <w:bCs/>
          <w:lang w:eastAsia="es-ES"/>
        </w:rPr>
        <w:tab/>
      </w:r>
      <w:r w:rsidR="001E44BB">
        <w:rPr>
          <w:bCs/>
          <w:lang w:eastAsia="es-ES"/>
        </w:rPr>
        <w:tab/>
      </w:r>
      <w:r w:rsidR="001E44BB">
        <w:rPr>
          <w:bCs/>
          <w:lang w:eastAsia="es-ES"/>
        </w:rPr>
        <w:tab/>
      </w:r>
    </w:p>
    <w:p w:rsidR="001E44BB" w:rsidRDefault="00EC5CE2" w:rsidP="001E44BB">
      <w:pPr>
        <w:jc w:val="both"/>
        <w:rPr>
          <w:bCs/>
          <w:lang w:eastAsia="es-ES"/>
        </w:rPr>
      </w:pPr>
      <w:r w:rsidRPr="0079577E">
        <w:rPr>
          <w:bCs/>
          <w:lang w:eastAsia="es-ES"/>
        </w:rPr>
        <w:t>Años 2011 a 2013</w:t>
      </w:r>
      <w:r w:rsidR="001E44BB">
        <w:rPr>
          <w:bCs/>
          <w:lang w:eastAsia="es-ES"/>
        </w:rPr>
        <w:tab/>
      </w:r>
      <w:r w:rsidR="001E44BB">
        <w:rPr>
          <w:bCs/>
          <w:lang w:eastAsia="es-ES"/>
        </w:rPr>
        <w:tab/>
      </w:r>
      <w:r w:rsidR="001E44BB">
        <w:rPr>
          <w:bCs/>
          <w:lang w:eastAsia="es-ES"/>
        </w:rPr>
        <w:tab/>
      </w:r>
      <w:r w:rsidR="001E44BB">
        <w:rPr>
          <w:bCs/>
          <w:lang w:eastAsia="es-ES"/>
        </w:rPr>
        <w:tab/>
      </w:r>
      <w:r w:rsidR="001E44BB">
        <w:rPr>
          <w:bCs/>
          <w:lang w:eastAsia="es-ES"/>
        </w:rPr>
        <w:tab/>
      </w:r>
    </w:p>
    <w:p w:rsidR="004721FD" w:rsidRPr="00DD23C5" w:rsidRDefault="004721FD" w:rsidP="00EC5CE2">
      <w:pPr>
        <w:autoSpaceDE w:val="0"/>
        <w:autoSpaceDN w:val="0"/>
        <w:adjustRightInd w:val="0"/>
        <w:spacing w:line="360" w:lineRule="auto"/>
        <w:jc w:val="both"/>
        <w:rPr>
          <w:b/>
          <w:bCs/>
        </w:rPr>
      </w:pPr>
    </w:p>
    <w:tbl>
      <w:tblPr>
        <w:tblW w:w="3913" w:type="dxa"/>
        <w:tblCellMar>
          <w:left w:w="70" w:type="dxa"/>
          <w:right w:w="70" w:type="dxa"/>
        </w:tblCellMar>
        <w:tblLook w:val="04A0" w:firstRow="1" w:lastRow="0" w:firstColumn="1" w:lastColumn="0" w:noHBand="0" w:noVBand="1"/>
      </w:tblPr>
      <w:tblGrid>
        <w:gridCol w:w="1229"/>
        <w:gridCol w:w="1342"/>
        <w:gridCol w:w="1342"/>
      </w:tblGrid>
      <w:tr w:rsidR="00BC507F" w:rsidRPr="004721FD" w:rsidTr="004721FD">
        <w:trPr>
          <w:trHeight w:val="634"/>
        </w:trPr>
        <w:tc>
          <w:tcPr>
            <w:tcW w:w="1229" w:type="dxa"/>
            <w:tcBorders>
              <w:top w:val="single" w:sz="4" w:space="0" w:color="auto"/>
              <w:left w:val="nil"/>
              <w:bottom w:val="single" w:sz="4" w:space="0" w:color="auto"/>
              <w:right w:val="nil"/>
            </w:tcBorders>
            <w:shd w:val="clear" w:color="auto" w:fill="auto"/>
            <w:vAlign w:val="center"/>
            <w:hideMark/>
          </w:tcPr>
          <w:p w:rsidR="00BC507F" w:rsidRPr="004721FD" w:rsidRDefault="004721FD" w:rsidP="006761DF">
            <w:pPr>
              <w:jc w:val="both"/>
              <w:rPr>
                <w:b/>
                <w:bCs/>
                <w:sz w:val="20"/>
                <w:szCs w:val="20"/>
                <w:lang w:eastAsia="es-ES"/>
              </w:rPr>
            </w:pPr>
            <w:r w:rsidRPr="004721FD">
              <w:rPr>
                <w:b/>
                <w:bCs/>
                <w:sz w:val="20"/>
                <w:szCs w:val="20"/>
                <w:lang w:eastAsia="es-ES"/>
              </w:rPr>
              <w:t>Año</w:t>
            </w:r>
          </w:p>
        </w:tc>
        <w:tc>
          <w:tcPr>
            <w:tcW w:w="1342" w:type="dxa"/>
            <w:tcBorders>
              <w:top w:val="single" w:sz="4" w:space="0" w:color="auto"/>
              <w:left w:val="nil"/>
              <w:bottom w:val="single" w:sz="4" w:space="0" w:color="auto"/>
              <w:right w:val="nil"/>
            </w:tcBorders>
            <w:shd w:val="clear" w:color="auto" w:fill="auto"/>
            <w:vAlign w:val="center"/>
            <w:hideMark/>
          </w:tcPr>
          <w:p w:rsidR="00BC507F" w:rsidRPr="004721FD" w:rsidRDefault="004721FD" w:rsidP="006761DF">
            <w:pPr>
              <w:jc w:val="both"/>
              <w:rPr>
                <w:b/>
                <w:bCs/>
                <w:sz w:val="20"/>
                <w:szCs w:val="20"/>
                <w:lang w:eastAsia="es-ES"/>
              </w:rPr>
            </w:pPr>
            <w:r w:rsidRPr="004721FD">
              <w:rPr>
                <w:b/>
                <w:bCs/>
                <w:sz w:val="20"/>
                <w:szCs w:val="20"/>
                <w:lang w:eastAsia="es-ES"/>
              </w:rPr>
              <w:t>Vehículos</w:t>
            </w:r>
          </w:p>
        </w:tc>
        <w:tc>
          <w:tcPr>
            <w:tcW w:w="1342" w:type="dxa"/>
            <w:tcBorders>
              <w:top w:val="single" w:sz="4" w:space="0" w:color="auto"/>
              <w:left w:val="nil"/>
              <w:bottom w:val="single" w:sz="4" w:space="0" w:color="auto"/>
              <w:right w:val="nil"/>
            </w:tcBorders>
            <w:shd w:val="clear" w:color="auto" w:fill="auto"/>
            <w:vAlign w:val="center"/>
            <w:hideMark/>
          </w:tcPr>
          <w:p w:rsidR="00BC507F" w:rsidRPr="004721FD" w:rsidRDefault="004721FD" w:rsidP="006761DF">
            <w:pPr>
              <w:jc w:val="both"/>
              <w:rPr>
                <w:b/>
                <w:bCs/>
                <w:sz w:val="20"/>
                <w:szCs w:val="20"/>
                <w:lang w:eastAsia="es-ES"/>
              </w:rPr>
            </w:pPr>
            <w:r w:rsidRPr="004721FD">
              <w:rPr>
                <w:b/>
                <w:bCs/>
                <w:sz w:val="20"/>
                <w:szCs w:val="20"/>
                <w:lang w:eastAsia="es-ES"/>
              </w:rPr>
              <w:t>Pasajeros</w:t>
            </w:r>
          </w:p>
        </w:tc>
      </w:tr>
      <w:tr w:rsidR="00BC507F" w:rsidRPr="004721FD" w:rsidTr="004721FD">
        <w:trPr>
          <w:trHeight w:val="606"/>
        </w:trPr>
        <w:tc>
          <w:tcPr>
            <w:tcW w:w="1229" w:type="dxa"/>
            <w:tcBorders>
              <w:top w:val="nil"/>
              <w:left w:val="nil"/>
              <w:right w:val="nil"/>
            </w:tcBorders>
            <w:shd w:val="clear" w:color="auto" w:fill="auto"/>
            <w:noWrap/>
            <w:vAlign w:val="center"/>
            <w:hideMark/>
          </w:tcPr>
          <w:p w:rsidR="00BC507F" w:rsidRPr="004721FD" w:rsidRDefault="00BC507F" w:rsidP="006761DF">
            <w:pPr>
              <w:jc w:val="both"/>
              <w:rPr>
                <w:sz w:val="20"/>
                <w:szCs w:val="20"/>
                <w:lang w:eastAsia="es-ES"/>
              </w:rPr>
            </w:pPr>
            <w:r w:rsidRPr="004721FD">
              <w:rPr>
                <w:sz w:val="20"/>
                <w:szCs w:val="20"/>
                <w:lang w:eastAsia="es-ES"/>
              </w:rPr>
              <w:t>2011</w:t>
            </w:r>
          </w:p>
        </w:tc>
        <w:tc>
          <w:tcPr>
            <w:tcW w:w="1342" w:type="dxa"/>
            <w:tcBorders>
              <w:top w:val="nil"/>
              <w:left w:val="nil"/>
              <w:right w:val="nil"/>
            </w:tcBorders>
            <w:shd w:val="clear" w:color="auto" w:fill="auto"/>
            <w:noWrap/>
            <w:vAlign w:val="center"/>
            <w:hideMark/>
          </w:tcPr>
          <w:p w:rsidR="00BC507F" w:rsidRPr="004721FD" w:rsidRDefault="00BC507F" w:rsidP="006761DF">
            <w:pPr>
              <w:jc w:val="both"/>
              <w:rPr>
                <w:sz w:val="20"/>
                <w:szCs w:val="20"/>
                <w:lang w:eastAsia="es-ES"/>
              </w:rPr>
            </w:pPr>
            <w:r w:rsidRPr="004721FD">
              <w:rPr>
                <w:sz w:val="20"/>
                <w:szCs w:val="20"/>
                <w:lang w:eastAsia="es-ES"/>
              </w:rPr>
              <w:t>451.192</w:t>
            </w:r>
          </w:p>
        </w:tc>
        <w:tc>
          <w:tcPr>
            <w:tcW w:w="1342" w:type="dxa"/>
            <w:tcBorders>
              <w:top w:val="nil"/>
              <w:left w:val="nil"/>
              <w:right w:val="nil"/>
            </w:tcBorders>
            <w:shd w:val="clear" w:color="auto" w:fill="auto"/>
            <w:noWrap/>
            <w:vAlign w:val="center"/>
            <w:hideMark/>
          </w:tcPr>
          <w:p w:rsidR="00BC507F" w:rsidRPr="004721FD" w:rsidRDefault="00BC507F" w:rsidP="006761DF">
            <w:pPr>
              <w:jc w:val="both"/>
              <w:rPr>
                <w:sz w:val="20"/>
                <w:szCs w:val="20"/>
                <w:lang w:eastAsia="es-ES"/>
              </w:rPr>
            </w:pPr>
            <w:r w:rsidRPr="004721FD">
              <w:rPr>
                <w:sz w:val="20"/>
                <w:szCs w:val="20"/>
                <w:lang w:eastAsia="es-ES"/>
              </w:rPr>
              <w:t>3.018.103</w:t>
            </w:r>
          </w:p>
        </w:tc>
      </w:tr>
      <w:tr w:rsidR="00BC507F" w:rsidRPr="004721FD" w:rsidTr="004721FD">
        <w:trPr>
          <w:trHeight w:val="606"/>
        </w:trPr>
        <w:tc>
          <w:tcPr>
            <w:tcW w:w="1229" w:type="dxa"/>
            <w:tcBorders>
              <w:top w:val="nil"/>
              <w:left w:val="nil"/>
              <w:bottom w:val="single" w:sz="4" w:space="0" w:color="auto"/>
              <w:right w:val="nil"/>
            </w:tcBorders>
            <w:shd w:val="clear" w:color="auto" w:fill="auto"/>
            <w:noWrap/>
            <w:vAlign w:val="center"/>
            <w:hideMark/>
          </w:tcPr>
          <w:p w:rsidR="00BC507F" w:rsidRPr="004721FD" w:rsidRDefault="00BC507F" w:rsidP="006761DF">
            <w:pPr>
              <w:jc w:val="both"/>
              <w:rPr>
                <w:sz w:val="20"/>
                <w:szCs w:val="20"/>
                <w:lang w:eastAsia="es-ES"/>
              </w:rPr>
            </w:pPr>
            <w:r w:rsidRPr="004721FD">
              <w:rPr>
                <w:sz w:val="20"/>
                <w:szCs w:val="20"/>
                <w:lang w:eastAsia="es-ES"/>
              </w:rPr>
              <w:t>2012</w:t>
            </w:r>
          </w:p>
        </w:tc>
        <w:tc>
          <w:tcPr>
            <w:tcW w:w="1342" w:type="dxa"/>
            <w:tcBorders>
              <w:top w:val="nil"/>
              <w:left w:val="nil"/>
              <w:bottom w:val="single" w:sz="4" w:space="0" w:color="auto"/>
              <w:right w:val="nil"/>
            </w:tcBorders>
            <w:shd w:val="clear" w:color="auto" w:fill="auto"/>
            <w:noWrap/>
            <w:vAlign w:val="center"/>
            <w:hideMark/>
          </w:tcPr>
          <w:p w:rsidR="00BC507F" w:rsidRPr="004721FD" w:rsidRDefault="00BC507F" w:rsidP="006761DF">
            <w:pPr>
              <w:jc w:val="both"/>
              <w:rPr>
                <w:sz w:val="20"/>
                <w:szCs w:val="20"/>
                <w:lang w:eastAsia="es-ES"/>
              </w:rPr>
            </w:pPr>
            <w:r w:rsidRPr="004721FD">
              <w:rPr>
                <w:sz w:val="20"/>
                <w:szCs w:val="20"/>
                <w:lang w:eastAsia="es-ES"/>
              </w:rPr>
              <w:t>355.394</w:t>
            </w:r>
          </w:p>
        </w:tc>
        <w:tc>
          <w:tcPr>
            <w:tcW w:w="1342" w:type="dxa"/>
            <w:tcBorders>
              <w:top w:val="nil"/>
              <w:left w:val="nil"/>
              <w:bottom w:val="single" w:sz="4" w:space="0" w:color="auto"/>
              <w:right w:val="nil"/>
            </w:tcBorders>
            <w:shd w:val="clear" w:color="auto" w:fill="auto"/>
            <w:noWrap/>
            <w:vAlign w:val="center"/>
            <w:hideMark/>
          </w:tcPr>
          <w:p w:rsidR="00BC507F" w:rsidRPr="004721FD" w:rsidRDefault="00BC507F" w:rsidP="006761DF">
            <w:pPr>
              <w:jc w:val="both"/>
              <w:rPr>
                <w:sz w:val="20"/>
                <w:szCs w:val="20"/>
                <w:lang w:eastAsia="es-ES"/>
              </w:rPr>
            </w:pPr>
            <w:r w:rsidRPr="004721FD">
              <w:rPr>
                <w:sz w:val="20"/>
                <w:szCs w:val="20"/>
                <w:lang w:eastAsia="es-ES"/>
              </w:rPr>
              <w:t>2.726.682</w:t>
            </w:r>
          </w:p>
        </w:tc>
      </w:tr>
    </w:tbl>
    <w:p w:rsidR="00BC507F" w:rsidRPr="00812A21" w:rsidRDefault="00BC507F" w:rsidP="00BC507F">
      <w:pPr>
        <w:pStyle w:val="Sinespaciado"/>
        <w:ind w:right="1752"/>
        <w:rPr>
          <w:rFonts w:ascii="Times New Roman" w:hAnsi="Times New Roman"/>
          <w:sz w:val="16"/>
          <w:szCs w:val="16"/>
        </w:rPr>
      </w:pPr>
      <w:r w:rsidRPr="00812A21">
        <w:rPr>
          <w:rFonts w:ascii="Times New Roman" w:hAnsi="Times New Roman"/>
          <w:sz w:val="16"/>
          <w:szCs w:val="16"/>
        </w:rPr>
        <w:t>Fuente: CITUR. Ministerio de Comercio, Industria y Turismo (Terminal de transportes de Armenia).</w:t>
      </w:r>
    </w:p>
    <w:p w:rsidR="00BC507F" w:rsidRPr="00812A21" w:rsidRDefault="00BC507F" w:rsidP="00BC507F">
      <w:pPr>
        <w:spacing w:line="360" w:lineRule="auto"/>
        <w:jc w:val="both"/>
        <w:rPr>
          <w:b/>
          <w:bCs/>
          <w:sz w:val="18"/>
          <w:szCs w:val="18"/>
          <w:lang w:eastAsia="es-ES"/>
        </w:rPr>
      </w:pPr>
    </w:p>
    <w:p w:rsidR="004721FD" w:rsidRPr="0079577E" w:rsidRDefault="004721FD" w:rsidP="00BC507F">
      <w:pPr>
        <w:jc w:val="both"/>
        <w:rPr>
          <w:bCs/>
          <w:lang w:eastAsia="es-ES"/>
        </w:rPr>
      </w:pPr>
    </w:p>
    <w:p w:rsidR="00BC507F" w:rsidRPr="00F25853" w:rsidRDefault="005C0E1C" w:rsidP="00D96F06">
      <w:pPr>
        <w:pStyle w:val="Sinespaciado"/>
        <w:spacing w:line="360" w:lineRule="auto"/>
        <w:ind w:firstLine="284"/>
        <w:rPr>
          <w:rFonts w:ascii="Times New Roman" w:hAnsi="Times New Roman"/>
          <w:sz w:val="24"/>
          <w:szCs w:val="24"/>
        </w:rPr>
      </w:pPr>
      <w:r>
        <w:rPr>
          <w:rFonts w:ascii="Times New Roman" w:hAnsi="Times New Roman"/>
          <w:sz w:val="24"/>
          <w:szCs w:val="24"/>
        </w:rPr>
        <w:t>De acuerdo con</w:t>
      </w:r>
      <w:r w:rsidR="00322BFA">
        <w:rPr>
          <w:rFonts w:ascii="Times New Roman" w:hAnsi="Times New Roman"/>
          <w:sz w:val="24"/>
          <w:szCs w:val="24"/>
        </w:rPr>
        <w:t xml:space="preserve"> las últimas cifras disponibles,</w:t>
      </w:r>
      <w:r>
        <w:rPr>
          <w:rFonts w:ascii="Times New Roman" w:hAnsi="Times New Roman"/>
          <w:sz w:val="24"/>
          <w:szCs w:val="24"/>
        </w:rPr>
        <w:t xml:space="preserve"> e</w:t>
      </w:r>
      <w:r w:rsidR="00BC507F" w:rsidRPr="00972D91">
        <w:rPr>
          <w:rFonts w:ascii="Times New Roman" w:hAnsi="Times New Roman"/>
          <w:sz w:val="24"/>
          <w:szCs w:val="24"/>
        </w:rPr>
        <w:t>n el año 2012,  la terminal de transporte</w:t>
      </w:r>
      <w:r w:rsidR="00D96F06">
        <w:rPr>
          <w:rFonts w:ascii="Times New Roman" w:hAnsi="Times New Roman"/>
          <w:sz w:val="24"/>
          <w:szCs w:val="24"/>
        </w:rPr>
        <w:t>s</w:t>
      </w:r>
      <w:r w:rsidR="00BC507F" w:rsidRPr="00972D91">
        <w:rPr>
          <w:rFonts w:ascii="Times New Roman" w:hAnsi="Times New Roman"/>
          <w:sz w:val="24"/>
          <w:szCs w:val="24"/>
        </w:rPr>
        <w:t xml:space="preserve"> de Armenia tuvo un  menor movimiento tanto de pasajeros como de vehículos</w:t>
      </w:r>
      <w:r w:rsidR="00D96F06">
        <w:rPr>
          <w:rFonts w:ascii="Times New Roman" w:hAnsi="Times New Roman"/>
          <w:sz w:val="24"/>
          <w:szCs w:val="24"/>
        </w:rPr>
        <w:t xml:space="preserve"> frente al año 2011</w:t>
      </w:r>
      <w:r w:rsidR="00322BFA">
        <w:rPr>
          <w:rFonts w:ascii="Times New Roman" w:hAnsi="Times New Roman"/>
          <w:sz w:val="24"/>
          <w:szCs w:val="24"/>
        </w:rPr>
        <w:t>, debido que se registró</w:t>
      </w:r>
      <w:r w:rsidR="00D96F06">
        <w:rPr>
          <w:rFonts w:ascii="Times New Roman" w:hAnsi="Times New Roman"/>
          <w:sz w:val="24"/>
          <w:szCs w:val="24"/>
        </w:rPr>
        <w:t xml:space="preserve"> una</w:t>
      </w:r>
      <w:r w:rsidR="00BC507F" w:rsidRPr="00972D91">
        <w:rPr>
          <w:rFonts w:ascii="Times New Roman" w:hAnsi="Times New Roman"/>
          <w:sz w:val="24"/>
          <w:szCs w:val="24"/>
        </w:rPr>
        <w:t xml:space="preserve"> disminución en la movilización de pasajeros por modo terrestre  del  10 %</w:t>
      </w:r>
      <w:r w:rsidR="00D96F06">
        <w:rPr>
          <w:rFonts w:ascii="Times New Roman" w:hAnsi="Times New Roman"/>
          <w:sz w:val="24"/>
          <w:szCs w:val="24"/>
        </w:rPr>
        <w:t>,</w:t>
      </w:r>
      <w:r w:rsidR="009A4D88">
        <w:rPr>
          <w:rFonts w:ascii="Times New Roman" w:hAnsi="Times New Roman"/>
          <w:sz w:val="24"/>
          <w:szCs w:val="24"/>
        </w:rPr>
        <w:t xml:space="preserve">  aproximadamente. Las cifras del Ministerio del Transporte muestran </w:t>
      </w:r>
      <w:r w:rsidR="009A4D88">
        <w:rPr>
          <w:rFonts w:ascii="Times New Roman" w:hAnsi="Times New Roman"/>
          <w:sz w:val="24"/>
          <w:szCs w:val="24"/>
        </w:rPr>
        <w:lastRenderedPageBreak/>
        <w:t xml:space="preserve">que </w:t>
      </w:r>
      <w:r w:rsidR="00BC507F" w:rsidRPr="00972D91">
        <w:rPr>
          <w:rFonts w:ascii="Times New Roman" w:hAnsi="Times New Roman"/>
          <w:sz w:val="24"/>
          <w:szCs w:val="24"/>
        </w:rPr>
        <w:t xml:space="preserve"> la ciudad de Armenia junto con Bogotá,  Medellín, Cali, Villavicencio y Pereira, mueven cerca del 50% de pasajeros del país.</w:t>
      </w:r>
    </w:p>
    <w:p w:rsidR="00BC507F" w:rsidRDefault="00BC507F" w:rsidP="00BC507F">
      <w:pPr>
        <w:pStyle w:val="Default"/>
        <w:spacing w:line="360" w:lineRule="auto"/>
        <w:jc w:val="both"/>
        <w:rPr>
          <w:rFonts w:ascii="Times New Roman" w:hAnsi="Times New Roman" w:cs="Times New Roman"/>
        </w:rPr>
      </w:pPr>
    </w:p>
    <w:p w:rsidR="00DE614D" w:rsidRPr="00812A21" w:rsidRDefault="00DE614D" w:rsidP="00BC507F">
      <w:pPr>
        <w:pStyle w:val="Default"/>
        <w:spacing w:line="360" w:lineRule="auto"/>
        <w:jc w:val="both"/>
        <w:rPr>
          <w:rFonts w:ascii="Times New Roman" w:hAnsi="Times New Roman" w:cs="Times New Roman"/>
        </w:rPr>
      </w:pPr>
    </w:p>
    <w:p w:rsidR="00BC507F" w:rsidRPr="00FC4521" w:rsidRDefault="00FC4521" w:rsidP="00FC4521">
      <w:pPr>
        <w:pStyle w:val="Ttulo2"/>
        <w:rPr>
          <w:rFonts w:ascii="Times New Roman" w:hAnsi="Times New Roman" w:cs="Times New Roman"/>
          <w:i/>
          <w:color w:val="auto"/>
          <w:sz w:val="30"/>
          <w:szCs w:val="30"/>
        </w:rPr>
      </w:pPr>
      <w:bookmarkStart w:id="48" w:name="_Toc406754308"/>
      <w:r w:rsidRPr="00FC4521">
        <w:rPr>
          <w:rFonts w:ascii="Times New Roman" w:hAnsi="Times New Roman" w:cs="Times New Roman"/>
          <w:color w:val="auto"/>
          <w:sz w:val="30"/>
          <w:szCs w:val="30"/>
        </w:rPr>
        <w:t xml:space="preserve">4.5.1 </w:t>
      </w:r>
      <w:r w:rsidR="00BC507F" w:rsidRPr="00FC4521">
        <w:rPr>
          <w:rFonts w:ascii="Times New Roman" w:hAnsi="Times New Roman" w:cs="Times New Roman"/>
          <w:color w:val="auto"/>
          <w:sz w:val="30"/>
          <w:szCs w:val="30"/>
        </w:rPr>
        <w:t>Transporte Aéreo</w:t>
      </w:r>
      <w:bookmarkEnd w:id="48"/>
    </w:p>
    <w:p w:rsidR="00BC507F" w:rsidRDefault="00BC507F" w:rsidP="00BC507F">
      <w:pPr>
        <w:pStyle w:val="Sinespaciado"/>
        <w:jc w:val="center"/>
        <w:rPr>
          <w:rFonts w:ascii="Times New Roman" w:eastAsia="Times New Roman" w:hAnsi="Times New Roman"/>
          <w:bCs/>
          <w:sz w:val="24"/>
          <w:szCs w:val="24"/>
          <w:lang w:eastAsia="es-ES"/>
        </w:rPr>
      </w:pPr>
    </w:p>
    <w:p w:rsidR="00BC507F" w:rsidRPr="0079577E" w:rsidRDefault="00DE614D" w:rsidP="00BC507F">
      <w:pPr>
        <w:pStyle w:val="Sinespaciad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Tabla 4.4</w:t>
      </w:r>
    </w:p>
    <w:p w:rsidR="00BC507F" w:rsidRPr="0079577E" w:rsidRDefault="00BC507F" w:rsidP="00BC507F">
      <w:pPr>
        <w:pStyle w:val="Sinespaciado"/>
        <w:rPr>
          <w:rFonts w:ascii="Times New Roman" w:hAnsi="Times New Roman"/>
          <w:iCs/>
          <w:sz w:val="24"/>
          <w:szCs w:val="24"/>
        </w:rPr>
      </w:pPr>
      <w:r w:rsidRPr="0079577E">
        <w:rPr>
          <w:rFonts w:ascii="Times New Roman" w:hAnsi="Times New Roman"/>
          <w:iCs/>
          <w:sz w:val="24"/>
          <w:szCs w:val="24"/>
        </w:rPr>
        <w:t>Total pasajeros por Aeropuerto el Edén de Armenia</w:t>
      </w:r>
    </w:p>
    <w:p w:rsidR="00BC507F" w:rsidRPr="0079577E" w:rsidRDefault="00BC507F" w:rsidP="00BC507F">
      <w:pPr>
        <w:pStyle w:val="Sinespaciado"/>
        <w:rPr>
          <w:rFonts w:ascii="Times New Roman" w:eastAsia="Times New Roman" w:hAnsi="Times New Roman"/>
          <w:bCs/>
          <w:sz w:val="24"/>
          <w:szCs w:val="24"/>
          <w:lang w:eastAsia="es-ES"/>
        </w:rPr>
      </w:pPr>
      <w:r w:rsidRPr="0079577E">
        <w:rPr>
          <w:rFonts w:ascii="Times New Roman" w:eastAsia="Times New Roman" w:hAnsi="Times New Roman"/>
          <w:bCs/>
          <w:sz w:val="24"/>
          <w:szCs w:val="24"/>
          <w:lang w:eastAsia="es-ES"/>
        </w:rPr>
        <w:t>Años 2011 a 2013</w:t>
      </w:r>
    </w:p>
    <w:p w:rsidR="00BC507F" w:rsidRPr="008F36DF" w:rsidRDefault="00BC507F" w:rsidP="00BC507F">
      <w:pPr>
        <w:pStyle w:val="Sinespaciado"/>
        <w:jc w:val="center"/>
        <w:rPr>
          <w:rFonts w:ascii="Times New Roman" w:hAnsi="Times New Roman"/>
          <w:b/>
          <w:iCs/>
          <w:sz w:val="24"/>
          <w:szCs w:val="24"/>
        </w:rPr>
      </w:pPr>
    </w:p>
    <w:tbl>
      <w:tblPr>
        <w:tblW w:w="9690" w:type="dxa"/>
        <w:tblLayout w:type="fixed"/>
        <w:tblCellMar>
          <w:left w:w="70" w:type="dxa"/>
          <w:right w:w="70" w:type="dxa"/>
        </w:tblCellMar>
        <w:tblLook w:val="04A0" w:firstRow="1" w:lastRow="0" w:firstColumn="1" w:lastColumn="0" w:noHBand="0" w:noVBand="1"/>
      </w:tblPr>
      <w:tblGrid>
        <w:gridCol w:w="1646"/>
        <w:gridCol w:w="1176"/>
        <w:gridCol w:w="868"/>
        <w:gridCol w:w="949"/>
        <w:gridCol w:w="981"/>
        <w:gridCol w:w="175"/>
        <w:gridCol w:w="868"/>
        <w:gridCol w:w="988"/>
        <w:gridCol w:w="963"/>
        <w:gridCol w:w="1076"/>
      </w:tblGrid>
      <w:tr w:rsidR="00BC507F" w:rsidRPr="00F16B27" w:rsidTr="008130B6">
        <w:trPr>
          <w:trHeight w:val="447"/>
          <w:tblHeader/>
        </w:trPr>
        <w:tc>
          <w:tcPr>
            <w:tcW w:w="1646" w:type="dxa"/>
            <w:vMerge w:val="restart"/>
            <w:tcBorders>
              <w:top w:val="single" w:sz="4" w:space="0" w:color="auto"/>
              <w:left w:val="nil"/>
              <w:bottom w:val="single" w:sz="4" w:space="0" w:color="000000"/>
              <w:right w:val="nil"/>
            </w:tcBorders>
            <w:shd w:val="clear" w:color="auto" w:fill="auto"/>
            <w:vAlign w:val="center"/>
            <w:hideMark/>
          </w:tcPr>
          <w:p w:rsidR="00BC507F" w:rsidRPr="00F16B27" w:rsidRDefault="00BC507F" w:rsidP="006761DF">
            <w:pPr>
              <w:jc w:val="both"/>
              <w:rPr>
                <w:b/>
                <w:bCs/>
                <w:sz w:val="20"/>
                <w:szCs w:val="20"/>
                <w:lang w:eastAsia="es-ES"/>
              </w:rPr>
            </w:pPr>
            <w:r w:rsidRPr="00F16B27">
              <w:rPr>
                <w:b/>
                <w:bCs/>
                <w:sz w:val="20"/>
                <w:szCs w:val="20"/>
                <w:lang w:eastAsia="es-ES"/>
              </w:rPr>
              <w:t>Ciudad</w:t>
            </w:r>
          </w:p>
        </w:tc>
        <w:tc>
          <w:tcPr>
            <w:tcW w:w="1176" w:type="dxa"/>
            <w:vMerge w:val="restart"/>
            <w:tcBorders>
              <w:top w:val="single" w:sz="4" w:space="0" w:color="auto"/>
              <w:left w:val="nil"/>
              <w:bottom w:val="single" w:sz="4" w:space="0" w:color="000000"/>
              <w:right w:val="nil"/>
            </w:tcBorders>
            <w:shd w:val="clear" w:color="auto" w:fill="auto"/>
            <w:vAlign w:val="center"/>
            <w:hideMark/>
          </w:tcPr>
          <w:p w:rsidR="00BC507F" w:rsidRPr="00F16B27" w:rsidRDefault="00BC507F" w:rsidP="006761DF">
            <w:pPr>
              <w:ind w:left="-41"/>
              <w:jc w:val="both"/>
              <w:rPr>
                <w:b/>
                <w:bCs/>
                <w:sz w:val="20"/>
                <w:szCs w:val="20"/>
                <w:lang w:eastAsia="es-ES"/>
              </w:rPr>
            </w:pPr>
            <w:r w:rsidRPr="00F16B27">
              <w:rPr>
                <w:b/>
                <w:bCs/>
                <w:sz w:val="20"/>
                <w:szCs w:val="20"/>
                <w:lang w:eastAsia="es-ES"/>
              </w:rPr>
              <w:t>Aeropuerto</w:t>
            </w:r>
          </w:p>
        </w:tc>
        <w:tc>
          <w:tcPr>
            <w:tcW w:w="6868" w:type="dxa"/>
            <w:gridSpan w:val="8"/>
            <w:tcBorders>
              <w:top w:val="single" w:sz="4" w:space="0" w:color="auto"/>
              <w:left w:val="nil"/>
              <w:bottom w:val="single" w:sz="4" w:space="0" w:color="auto"/>
              <w:right w:val="nil"/>
            </w:tcBorders>
            <w:shd w:val="clear" w:color="auto" w:fill="auto"/>
            <w:noWrap/>
            <w:vAlign w:val="center"/>
            <w:hideMark/>
          </w:tcPr>
          <w:p w:rsidR="00BC507F" w:rsidRPr="00F16B27" w:rsidRDefault="00BC507F" w:rsidP="00F16B27">
            <w:pPr>
              <w:jc w:val="center"/>
              <w:rPr>
                <w:b/>
                <w:bCs/>
                <w:sz w:val="20"/>
                <w:szCs w:val="20"/>
                <w:lang w:eastAsia="es-ES"/>
              </w:rPr>
            </w:pPr>
            <w:r w:rsidRPr="00F16B27">
              <w:rPr>
                <w:b/>
                <w:bCs/>
                <w:sz w:val="20"/>
                <w:szCs w:val="20"/>
                <w:lang w:eastAsia="es-ES"/>
              </w:rPr>
              <w:t>Comparativo acumulado</w:t>
            </w:r>
          </w:p>
        </w:tc>
      </w:tr>
      <w:tr w:rsidR="00BC507F" w:rsidRPr="00F16B27" w:rsidTr="008130B6">
        <w:trPr>
          <w:trHeight w:val="405"/>
          <w:tblHeader/>
        </w:trPr>
        <w:tc>
          <w:tcPr>
            <w:tcW w:w="1646" w:type="dxa"/>
            <w:vMerge/>
            <w:tcBorders>
              <w:top w:val="single" w:sz="4" w:space="0" w:color="auto"/>
              <w:left w:val="nil"/>
              <w:bottom w:val="single" w:sz="4" w:space="0" w:color="000000"/>
              <w:right w:val="nil"/>
            </w:tcBorders>
            <w:vAlign w:val="center"/>
            <w:hideMark/>
          </w:tcPr>
          <w:p w:rsidR="00BC507F" w:rsidRPr="00F16B27" w:rsidRDefault="00BC507F" w:rsidP="006761DF">
            <w:pPr>
              <w:jc w:val="both"/>
              <w:rPr>
                <w:b/>
                <w:bCs/>
                <w:sz w:val="20"/>
                <w:szCs w:val="20"/>
                <w:lang w:eastAsia="es-ES"/>
              </w:rPr>
            </w:pPr>
          </w:p>
        </w:tc>
        <w:tc>
          <w:tcPr>
            <w:tcW w:w="1176" w:type="dxa"/>
            <w:vMerge/>
            <w:tcBorders>
              <w:top w:val="single" w:sz="4" w:space="0" w:color="auto"/>
              <w:left w:val="nil"/>
              <w:bottom w:val="single" w:sz="4" w:space="0" w:color="000000"/>
              <w:right w:val="nil"/>
            </w:tcBorders>
            <w:vAlign w:val="center"/>
            <w:hideMark/>
          </w:tcPr>
          <w:p w:rsidR="00BC507F" w:rsidRPr="00F16B27" w:rsidRDefault="00BC507F" w:rsidP="006761DF">
            <w:pPr>
              <w:jc w:val="both"/>
              <w:rPr>
                <w:b/>
                <w:bCs/>
                <w:sz w:val="20"/>
                <w:szCs w:val="20"/>
                <w:lang w:eastAsia="es-ES"/>
              </w:rPr>
            </w:pPr>
          </w:p>
        </w:tc>
        <w:tc>
          <w:tcPr>
            <w:tcW w:w="2798" w:type="dxa"/>
            <w:gridSpan w:val="3"/>
            <w:tcBorders>
              <w:top w:val="single" w:sz="4" w:space="0" w:color="auto"/>
              <w:left w:val="nil"/>
              <w:bottom w:val="single" w:sz="4" w:space="0" w:color="auto"/>
              <w:right w:val="nil"/>
            </w:tcBorders>
            <w:shd w:val="clear" w:color="auto" w:fill="auto"/>
            <w:vAlign w:val="center"/>
            <w:hideMark/>
          </w:tcPr>
          <w:p w:rsidR="00BC507F" w:rsidRPr="00F16B27" w:rsidRDefault="00BC507F" w:rsidP="00F16B27">
            <w:pPr>
              <w:jc w:val="center"/>
              <w:rPr>
                <w:b/>
                <w:bCs/>
                <w:sz w:val="20"/>
                <w:szCs w:val="20"/>
                <w:lang w:eastAsia="es-ES"/>
              </w:rPr>
            </w:pPr>
            <w:r w:rsidRPr="00F16B27">
              <w:rPr>
                <w:b/>
                <w:bCs/>
                <w:sz w:val="20"/>
                <w:szCs w:val="20"/>
                <w:lang w:eastAsia="es-ES"/>
              </w:rPr>
              <w:t>Enero - Diciembre 2013</w:t>
            </w:r>
          </w:p>
        </w:tc>
        <w:tc>
          <w:tcPr>
            <w:tcW w:w="175" w:type="dxa"/>
            <w:tcBorders>
              <w:top w:val="nil"/>
              <w:left w:val="nil"/>
              <w:bottom w:val="nil"/>
              <w:right w:val="nil"/>
            </w:tcBorders>
            <w:shd w:val="clear" w:color="auto" w:fill="auto"/>
            <w:vAlign w:val="center"/>
            <w:hideMark/>
          </w:tcPr>
          <w:p w:rsidR="00BC507F" w:rsidRPr="00F16B27" w:rsidRDefault="00BC507F" w:rsidP="00F16B27">
            <w:pPr>
              <w:jc w:val="center"/>
              <w:rPr>
                <w:b/>
                <w:bCs/>
                <w:sz w:val="20"/>
                <w:szCs w:val="20"/>
                <w:lang w:eastAsia="es-ES"/>
              </w:rPr>
            </w:pPr>
          </w:p>
        </w:tc>
        <w:tc>
          <w:tcPr>
            <w:tcW w:w="2819" w:type="dxa"/>
            <w:gridSpan w:val="3"/>
            <w:tcBorders>
              <w:top w:val="single" w:sz="4" w:space="0" w:color="auto"/>
              <w:left w:val="nil"/>
              <w:bottom w:val="single" w:sz="4" w:space="0" w:color="auto"/>
              <w:right w:val="nil"/>
            </w:tcBorders>
            <w:shd w:val="clear" w:color="auto" w:fill="auto"/>
            <w:vAlign w:val="center"/>
            <w:hideMark/>
          </w:tcPr>
          <w:p w:rsidR="00BC507F" w:rsidRPr="00F16B27" w:rsidRDefault="00BC507F" w:rsidP="00F16B27">
            <w:pPr>
              <w:jc w:val="center"/>
              <w:rPr>
                <w:b/>
                <w:bCs/>
                <w:sz w:val="20"/>
                <w:szCs w:val="20"/>
                <w:lang w:eastAsia="es-ES"/>
              </w:rPr>
            </w:pPr>
            <w:r w:rsidRPr="00F16B27">
              <w:rPr>
                <w:b/>
                <w:bCs/>
                <w:sz w:val="20"/>
                <w:szCs w:val="20"/>
                <w:lang w:eastAsia="es-ES"/>
              </w:rPr>
              <w:t>Enero - Diciembre 2012</w:t>
            </w:r>
          </w:p>
        </w:tc>
        <w:tc>
          <w:tcPr>
            <w:tcW w:w="1076" w:type="dxa"/>
            <w:vMerge w:val="restart"/>
            <w:tcBorders>
              <w:top w:val="nil"/>
              <w:left w:val="nil"/>
              <w:bottom w:val="single" w:sz="4" w:space="0" w:color="000000"/>
              <w:right w:val="nil"/>
            </w:tcBorders>
            <w:shd w:val="clear" w:color="auto" w:fill="auto"/>
            <w:vAlign w:val="center"/>
            <w:hideMark/>
          </w:tcPr>
          <w:p w:rsidR="00BC507F" w:rsidRPr="00F16B27" w:rsidRDefault="00BC507F" w:rsidP="00F16B27">
            <w:pPr>
              <w:jc w:val="center"/>
              <w:rPr>
                <w:b/>
                <w:bCs/>
                <w:sz w:val="20"/>
                <w:szCs w:val="20"/>
                <w:lang w:eastAsia="es-ES"/>
              </w:rPr>
            </w:pPr>
            <w:r w:rsidRPr="00F16B27">
              <w:rPr>
                <w:b/>
                <w:bCs/>
                <w:sz w:val="20"/>
                <w:szCs w:val="20"/>
                <w:lang w:eastAsia="es-ES"/>
              </w:rPr>
              <w:t>% Var.</w:t>
            </w:r>
          </w:p>
        </w:tc>
      </w:tr>
      <w:tr w:rsidR="00BC507F" w:rsidRPr="00F16B27" w:rsidTr="008130B6">
        <w:trPr>
          <w:trHeight w:val="426"/>
          <w:tblHeader/>
        </w:trPr>
        <w:tc>
          <w:tcPr>
            <w:tcW w:w="1646" w:type="dxa"/>
            <w:vMerge/>
            <w:tcBorders>
              <w:top w:val="single" w:sz="4" w:space="0" w:color="auto"/>
              <w:left w:val="nil"/>
              <w:bottom w:val="single" w:sz="4" w:space="0" w:color="000000"/>
              <w:right w:val="nil"/>
            </w:tcBorders>
            <w:vAlign w:val="center"/>
            <w:hideMark/>
          </w:tcPr>
          <w:p w:rsidR="00BC507F" w:rsidRPr="00F16B27" w:rsidRDefault="00BC507F" w:rsidP="006761DF">
            <w:pPr>
              <w:jc w:val="both"/>
              <w:rPr>
                <w:b/>
                <w:bCs/>
                <w:sz w:val="20"/>
                <w:szCs w:val="20"/>
                <w:lang w:eastAsia="es-ES"/>
              </w:rPr>
            </w:pPr>
          </w:p>
        </w:tc>
        <w:tc>
          <w:tcPr>
            <w:tcW w:w="1176" w:type="dxa"/>
            <w:vMerge/>
            <w:tcBorders>
              <w:top w:val="single" w:sz="4" w:space="0" w:color="auto"/>
              <w:left w:val="nil"/>
              <w:bottom w:val="single" w:sz="4" w:space="0" w:color="000000"/>
              <w:right w:val="nil"/>
            </w:tcBorders>
            <w:vAlign w:val="center"/>
            <w:hideMark/>
          </w:tcPr>
          <w:p w:rsidR="00BC507F" w:rsidRPr="00F16B27" w:rsidRDefault="00BC507F" w:rsidP="006761DF">
            <w:pPr>
              <w:jc w:val="both"/>
              <w:rPr>
                <w:b/>
                <w:bCs/>
                <w:sz w:val="20"/>
                <w:szCs w:val="20"/>
                <w:lang w:eastAsia="es-ES"/>
              </w:rPr>
            </w:pPr>
          </w:p>
        </w:tc>
        <w:tc>
          <w:tcPr>
            <w:tcW w:w="868" w:type="dxa"/>
            <w:tcBorders>
              <w:top w:val="nil"/>
              <w:left w:val="nil"/>
              <w:bottom w:val="single" w:sz="4" w:space="0" w:color="auto"/>
              <w:right w:val="nil"/>
            </w:tcBorders>
            <w:shd w:val="clear" w:color="auto" w:fill="auto"/>
            <w:vAlign w:val="center"/>
            <w:hideMark/>
          </w:tcPr>
          <w:p w:rsidR="00BC507F" w:rsidRPr="00F16B27" w:rsidRDefault="00BC507F" w:rsidP="00F16B27">
            <w:pPr>
              <w:jc w:val="center"/>
              <w:rPr>
                <w:b/>
                <w:bCs/>
                <w:sz w:val="20"/>
                <w:szCs w:val="20"/>
                <w:lang w:eastAsia="es-ES"/>
              </w:rPr>
            </w:pPr>
            <w:r w:rsidRPr="00F16B27">
              <w:rPr>
                <w:b/>
                <w:bCs/>
                <w:sz w:val="20"/>
                <w:szCs w:val="20"/>
                <w:lang w:eastAsia="es-ES"/>
              </w:rPr>
              <w:t>Salidos</w:t>
            </w:r>
          </w:p>
        </w:tc>
        <w:tc>
          <w:tcPr>
            <w:tcW w:w="949" w:type="dxa"/>
            <w:tcBorders>
              <w:top w:val="nil"/>
              <w:left w:val="nil"/>
              <w:bottom w:val="single" w:sz="4" w:space="0" w:color="auto"/>
              <w:right w:val="nil"/>
            </w:tcBorders>
            <w:shd w:val="clear" w:color="auto" w:fill="auto"/>
            <w:vAlign w:val="center"/>
            <w:hideMark/>
          </w:tcPr>
          <w:p w:rsidR="00BC507F" w:rsidRPr="00F16B27" w:rsidRDefault="00BC507F" w:rsidP="00F16B27">
            <w:pPr>
              <w:jc w:val="center"/>
              <w:rPr>
                <w:b/>
                <w:bCs/>
                <w:sz w:val="20"/>
                <w:szCs w:val="20"/>
                <w:lang w:eastAsia="es-ES"/>
              </w:rPr>
            </w:pPr>
            <w:r w:rsidRPr="00F16B27">
              <w:rPr>
                <w:b/>
                <w:bCs/>
                <w:sz w:val="20"/>
                <w:szCs w:val="20"/>
                <w:lang w:eastAsia="es-ES"/>
              </w:rPr>
              <w:t>Llegados</w:t>
            </w:r>
          </w:p>
        </w:tc>
        <w:tc>
          <w:tcPr>
            <w:tcW w:w="981" w:type="dxa"/>
            <w:tcBorders>
              <w:top w:val="nil"/>
              <w:left w:val="nil"/>
              <w:bottom w:val="single" w:sz="4" w:space="0" w:color="auto"/>
              <w:right w:val="nil"/>
            </w:tcBorders>
            <w:shd w:val="clear" w:color="auto" w:fill="auto"/>
            <w:vAlign w:val="center"/>
            <w:hideMark/>
          </w:tcPr>
          <w:p w:rsidR="00BC507F" w:rsidRPr="00F16B27" w:rsidRDefault="00BC507F" w:rsidP="00F16B27">
            <w:pPr>
              <w:jc w:val="center"/>
              <w:rPr>
                <w:b/>
                <w:bCs/>
                <w:sz w:val="20"/>
                <w:szCs w:val="20"/>
                <w:lang w:eastAsia="es-ES"/>
              </w:rPr>
            </w:pPr>
            <w:r w:rsidRPr="00F16B27">
              <w:rPr>
                <w:b/>
                <w:bCs/>
                <w:sz w:val="20"/>
                <w:szCs w:val="20"/>
                <w:lang w:eastAsia="es-ES"/>
              </w:rPr>
              <w:t>Total</w:t>
            </w:r>
          </w:p>
        </w:tc>
        <w:tc>
          <w:tcPr>
            <w:tcW w:w="175" w:type="dxa"/>
            <w:tcBorders>
              <w:top w:val="nil"/>
              <w:left w:val="nil"/>
              <w:bottom w:val="nil"/>
              <w:right w:val="nil"/>
            </w:tcBorders>
            <w:shd w:val="clear" w:color="auto" w:fill="auto"/>
            <w:vAlign w:val="center"/>
            <w:hideMark/>
          </w:tcPr>
          <w:p w:rsidR="00BC507F" w:rsidRPr="00F16B27" w:rsidRDefault="00BC507F" w:rsidP="00F16B27">
            <w:pPr>
              <w:jc w:val="center"/>
              <w:rPr>
                <w:b/>
                <w:bCs/>
                <w:sz w:val="20"/>
                <w:szCs w:val="20"/>
                <w:lang w:eastAsia="es-ES"/>
              </w:rPr>
            </w:pPr>
          </w:p>
        </w:tc>
        <w:tc>
          <w:tcPr>
            <w:tcW w:w="868" w:type="dxa"/>
            <w:tcBorders>
              <w:top w:val="nil"/>
              <w:left w:val="nil"/>
              <w:bottom w:val="single" w:sz="4" w:space="0" w:color="auto"/>
              <w:right w:val="nil"/>
            </w:tcBorders>
            <w:shd w:val="clear" w:color="auto" w:fill="auto"/>
            <w:vAlign w:val="center"/>
            <w:hideMark/>
          </w:tcPr>
          <w:p w:rsidR="00BC507F" w:rsidRPr="00F16B27" w:rsidRDefault="00BC507F" w:rsidP="00F16B27">
            <w:pPr>
              <w:jc w:val="center"/>
              <w:rPr>
                <w:b/>
                <w:bCs/>
                <w:sz w:val="20"/>
                <w:szCs w:val="20"/>
                <w:lang w:eastAsia="es-ES"/>
              </w:rPr>
            </w:pPr>
            <w:r w:rsidRPr="00F16B27">
              <w:rPr>
                <w:b/>
                <w:bCs/>
                <w:sz w:val="20"/>
                <w:szCs w:val="20"/>
                <w:lang w:eastAsia="es-ES"/>
              </w:rPr>
              <w:t>Salidos</w:t>
            </w:r>
          </w:p>
        </w:tc>
        <w:tc>
          <w:tcPr>
            <w:tcW w:w="988" w:type="dxa"/>
            <w:tcBorders>
              <w:top w:val="nil"/>
              <w:left w:val="nil"/>
              <w:bottom w:val="single" w:sz="4" w:space="0" w:color="auto"/>
              <w:right w:val="nil"/>
            </w:tcBorders>
            <w:shd w:val="clear" w:color="auto" w:fill="auto"/>
            <w:vAlign w:val="center"/>
            <w:hideMark/>
          </w:tcPr>
          <w:p w:rsidR="00BC507F" w:rsidRPr="00F16B27" w:rsidRDefault="00BC507F" w:rsidP="00F16B27">
            <w:pPr>
              <w:jc w:val="center"/>
              <w:rPr>
                <w:b/>
                <w:bCs/>
                <w:sz w:val="20"/>
                <w:szCs w:val="20"/>
                <w:lang w:eastAsia="es-ES"/>
              </w:rPr>
            </w:pPr>
            <w:r w:rsidRPr="00F16B27">
              <w:rPr>
                <w:b/>
                <w:bCs/>
                <w:sz w:val="20"/>
                <w:szCs w:val="20"/>
                <w:lang w:eastAsia="es-ES"/>
              </w:rPr>
              <w:t>Llegados</w:t>
            </w:r>
          </w:p>
        </w:tc>
        <w:tc>
          <w:tcPr>
            <w:tcW w:w="963" w:type="dxa"/>
            <w:tcBorders>
              <w:top w:val="nil"/>
              <w:left w:val="nil"/>
              <w:bottom w:val="single" w:sz="4" w:space="0" w:color="auto"/>
              <w:right w:val="nil"/>
            </w:tcBorders>
            <w:shd w:val="clear" w:color="auto" w:fill="auto"/>
            <w:vAlign w:val="center"/>
            <w:hideMark/>
          </w:tcPr>
          <w:p w:rsidR="00BC507F" w:rsidRPr="00F16B27" w:rsidRDefault="00BC507F" w:rsidP="00F16B27">
            <w:pPr>
              <w:jc w:val="center"/>
              <w:rPr>
                <w:b/>
                <w:bCs/>
                <w:sz w:val="20"/>
                <w:szCs w:val="20"/>
                <w:lang w:eastAsia="es-ES"/>
              </w:rPr>
            </w:pPr>
            <w:r w:rsidRPr="00F16B27">
              <w:rPr>
                <w:b/>
                <w:bCs/>
                <w:sz w:val="20"/>
                <w:szCs w:val="20"/>
                <w:lang w:eastAsia="es-ES"/>
              </w:rPr>
              <w:t>Total</w:t>
            </w:r>
          </w:p>
        </w:tc>
        <w:tc>
          <w:tcPr>
            <w:tcW w:w="1076" w:type="dxa"/>
            <w:vMerge/>
            <w:tcBorders>
              <w:top w:val="nil"/>
              <w:left w:val="nil"/>
              <w:bottom w:val="single" w:sz="4" w:space="0" w:color="000000"/>
              <w:right w:val="nil"/>
            </w:tcBorders>
            <w:vAlign w:val="center"/>
            <w:hideMark/>
          </w:tcPr>
          <w:p w:rsidR="00BC507F" w:rsidRPr="00F16B27" w:rsidRDefault="00BC507F" w:rsidP="00F16B27">
            <w:pPr>
              <w:jc w:val="center"/>
              <w:rPr>
                <w:b/>
                <w:bCs/>
                <w:sz w:val="20"/>
                <w:szCs w:val="20"/>
                <w:lang w:eastAsia="es-ES"/>
              </w:rPr>
            </w:pPr>
          </w:p>
        </w:tc>
      </w:tr>
      <w:tr w:rsidR="00BC507F" w:rsidRPr="00F16B27" w:rsidTr="006761DF">
        <w:trPr>
          <w:trHeight w:val="429"/>
        </w:trPr>
        <w:tc>
          <w:tcPr>
            <w:tcW w:w="1646" w:type="dxa"/>
            <w:tcBorders>
              <w:top w:val="nil"/>
              <w:left w:val="nil"/>
              <w:bottom w:val="nil"/>
              <w:right w:val="nil"/>
            </w:tcBorders>
            <w:shd w:val="clear" w:color="auto" w:fill="auto"/>
            <w:vAlign w:val="center"/>
            <w:hideMark/>
          </w:tcPr>
          <w:p w:rsidR="00BC507F" w:rsidRPr="00F16B27" w:rsidRDefault="00BC507F" w:rsidP="006761DF">
            <w:pPr>
              <w:jc w:val="both"/>
              <w:rPr>
                <w:bCs/>
                <w:sz w:val="20"/>
                <w:szCs w:val="20"/>
                <w:lang w:eastAsia="es-ES"/>
              </w:rPr>
            </w:pPr>
            <w:r w:rsidRPr="00F16B27">
              <w:rPr>
                <w:bCs/>
                <w:sz w:val="20"/>
                <w:szCs w:val="20"/>
                <w:lang w:eastAsia="es-ES"/>
              </w:rPr>
              <w:t>Total nacional</w:t>
            </w:r>
          </w:p>
        </w:tc>
        <w:tc>
          <w:tcPr>
            <w:tcW w:w="1176" w:type="dxa"/>
            <w:tcBorders>
              <w:top w:val="nil"/>
              <w:left w:val="nil"/>
              <w:bottom w:val="nil"/>
              <w:right w:val="nil"/>
            </w:tcBorders>
            <w:shd w:val="clear" w:color="auto" w:fill="auto"/>
            <w:noWrap/>
            <w:vAlign w:val="center"/>
            <w:hideMark/>
          </w:tcPr>
          <w:p w:rsidR="00BC507F" w:rsidRPr="00F16B27" w:rsidRDefault="00BC507F" w:rsidP="006761DF">
            <w:pPr>
              <w:jc w:val="both"/>
              <w:rPr>
                <w:bCs/>
                <w:sz w:val="20"/>
                <w:szCs w:val="20"/>
                <w:lang w:eastAsia="es-ES"/>
              </w:rPr>
            </w:pPr>
            <w:r w:rsidRPr="00F16B27">
              <w:rPr>
                <w:bCs/>
                <w:sz w:val="20"/>
                <w:szCs w:val="20"/>
                <w:lang w:eastAsia="es-ES"/>
              </w:rPr>
              <w:t> </w:t>
            </w:r>
          </w:p>
        </w:tc>
        <w:tc>
          <w:tcPr>
            <w:tcW w:w="868" w:type="dxa"/>
            <w:tcBorders>
              <w:top w:val="nil"/>
              <w:left w:val="nil"/>
              <w:bottom w:val="nil"/>
              <w:right w:val="nil"/>
            </w:tcBorders>
            <w:shd w:val="clear" w:color="auto" w:fill="auto"/>
            <w:noWrap/>
            <w:vAlign w:val="center"/>
            <w:hideMark/>
          </w:tcPr>
          <w:p w:rsidR="00BC507F" w:rsidRPr="00F16B27" w:rsidRDefault="00BC507F" w:rsidP="00F16B27">
            <w:pPr>
              <w:jc w:val="center"/>
              <w:rPr>
                <w:bCs/>
                <w:sz w:val="20"/>
                <w:szCs w:val="20"/>
                <w:lang w:eastAsia="es-ES"/>
              </w:rPr>
            </w:pPr>
            <w:r w:rsidRPr="00F16B27">
              <w:rPr>
                <w:bCs/>
                <w:sz w:val="20"/>
                <w:szCs w:val="20"/>
                <w:lang w:eastAsia="es-ES"/>
              </w:rPr>
              <w:t>845.297</w:t>
            </w:r>
          </w:p>
        </w:tc>
        <w:tc>
          <w:tcPr>
            <w:tcW w:w="949" w:type="dxa"/>
            <w:tcBorders>
              <w:top w:val="nil"/>
              <w:left w:val="nil"/>
              <w:bottom w:val="nil"/>
              <w:right w:val="nil"/>
            </w:tcBorders>
            <w:shd w:val="clear" w:color="auto" w:fill="auto"/>
            <w:noWrap/>
            <w:vAlign w:val="center"/>
            <w:hideMark/>
          </w:tcPr>
          <w:p w:rsidR="00BC507F" w:rsidRPr="00F16B27" w:rsidRDefault="00BC507F" w:rsidP="00F16B27">
            <w:pPr>
              <w:jc w:val="center"/>
              <w:rPr>
                <w:bCs/>
                <w:sz w:val="20"/>
                <w:szCs w:val="20"/>
                <w:lang w:eastAsia="es-ES"/>
              </w:rPr>
            </w:pPr>
            <w:r w:rsidRPr="00F16B27">
              <w:rPr>
                <w:bCs/>
                <w:sz w:val="20"/>
                <w:szCs w:val="20"/>
                <w:lang w:eastAsia="es-ES"/>
              </w:rPr>
              <w:t>839.122</w:t>
            </w:r>
          </w:p>
        </w:tc>
        <w:tc>
          <w:tcPr>
            <w:tcW w:w="981" w:type="dxa"/>
            <w:tcBorders>
              <w:top w:val="nil"/>
              <w:left w:val="nil"/>
              <w:bottom w:val="nil"/>
              <w:right w:val="nil"/>
            </w:tcBorders>
            <w:shd w:val="clear" w:color="auto" w:fill="auto"/>
            <w:noWrap/>
            <w:vAlign w:val="center"/>
            <w:hideMark/>
          </w:tcPr>
          <w:p w:rsidR="00BC507F" w:rsidRPr="00F16B27" w:rsidRDefault="00BC507F" w:rsidP="00F16B27">
            <w:pPr>
              <w:jc w:val="center"/>
              <w:rPr>
                <w:bCs/>
                <w:sz w:val="20"/>
                <w:szCs w:val="20"/>
                <w:lang w:eastAsia="es-ES"/>
              </w:rPr>
            </w:pPr>
            <w:r w:rsidRPr="00F16B27">
              <w:rPr>
                <w:bCs/>
                <w:sz w:val="20"/>
                <w:szCs w:val="20"/>
                <w:lang w:eastAsia="es-ES"/>
              </w:rPr>
              <w:t>1.684.419</w:t>
            </w:r>
          </w:p>
        </w:tc>
        <w:tc>
          <w:tcPr>
            <w:tcW w:w="175" w:type="dxa"/>
            <w:tcBorders>
              <w:top w:val="nil"/>
              <w:left w:val="nil"/>
              <w:bottom w:val="nil"/>
              <w:right w:val="nil"/>
            </w:tcBorders>
            <w:shd w:val="clear" w:color="auto" w:fill="auto"/>
            <w:noWrap/>
            <w:vAlign w:val="center"/>
            <w:hideMark/>
          </w:tcPr>
          <w:p w:rsidR="00BC507F" w:rsidRPr="00F16B27" w:rsidRDefault="00BC507F" w:rsidP="00F16B27">
            <w:pPr>
              <w:jc w:val="center"/>
              <w:rPr>
                <w:bCs/>
                <w:sz w:val="20"/>
                <w:szCs w:val="20"/>
                <w:lang w:eastAsia="es-ES"/>
              </w:rPr>
            </w:pPr>
          </w:p>
        </w:tc>
        <w:tc>
          <w:tcPr>
            <w:tcW w:w="868" w:type="dxa"/>
            <w:tcBorders>
              <w:top w:val="nil"/>
              <w:left w:val="nil"/>
              <w:bottom w:val="nil"/>
              <w:right w:val="nil"/>
            </w:tcBorders>
            <w:shd w:val="clear" w:color="auto" w:fill="auto"/>
            <w:noWrap/>
            <w:vAlign w:val="center"/>
            <w:hideMark/>
          </w:tcPr>
          <w:p w:rsidR="00BC507F" w:rsidRPr="00F16B27" w:rsidRDefault="00BC507F" w:rsidP="00F16B27">
            <w:pPr>
              <w:jc w:val="center"/>
              <w:rPr>
                <w:bCs/>
                <w:sz w:val="20"/>
                <w:szCs w:val="20"/>
                <w:lang w:eastAsia="es-ES"/>
              </w:rPr>
            </w:pPr>
            <w:r w:rsidRPr="00F16B27">
              <w:rPr>
                <w:bCs/>
                <w:sz w:val="20"/>
                <w:szCs w:val="20"/>
                <w:lang w:eastAsia="es-ES"/>
              </w:rPr>
              <w:t>771.668</w:t>
            </w:r>
          </w:p>
        </w:tc>
        <w:tc>
          <w:tcPr>
            <w:tcW w:w="988" w:type="dxa"/>
            <w:tcBorders>
              <w:top w:val="nil"/>
              <w:left w:val="nil"/>
              <w:bottom w:val="nil"/>
              <w:right w:val="nil"/>
            </w:tcBorders>
            <w:shd w:val="clear" w:color="auto" w:fill="auto"/>
            <w:noWrap/>
            <w:vAlign w:val="center"/>
            <w:hideMark/>
          </w:tcPr>
          <w:p w:rsidR="00BC507F" w:rsidRPr="00F16B27" w:rsidRDefault="00BC507F" w:rsidP="00F16B27">
            <w:pPr>
              <w:jc w:val="center"/>
              <w:rPr>
                <w:bCs/>
                <w:sz w:val="20"/>
                <w:szCs w:val="20"/>
                <w:lang w:eastAsia="es-ES"/>
              </w:rPr>
            </w:pPr>
            <w:r w:rsidRPr="00F16B27">
              <w:rPr>
                <w:bCs/>
                <w:sz w:val="20"/>
                <w:szCs w:val="20"/>
                <w:lang w:eastAsia="es-ES"/>
              </w:rPr>
              <w:t>759.065</w:t>
            </w:r>
          </w:p>
        </w:tc>
        <w:tc>
          <w:tcPr>
            <w:tcW w:w="963" w:type="dxa"/>
            <w:tcBorders>
              <w:top w:val="nil"/>
              <w:left w:val="nil"/>
              <w:bottom w:val="nil"/>
              <w:right w:val="nil"/>
            </w:tcBorders>
            <w:shd w:val="clear" w:color="auto" w:fill="auto"/>
            <w:noWrap/>
            <w:vAlign w:val="center"/>
            <w:hideMark/>
          </w:tcPr>
          <w:p w:rsidR="00BC507F" w:rsidRPr="00F16B27" w:rsidRDefault="00BC507F" w:rsidP="00F16B27">
            <w:pPr>
              <w:jc w:val="center"/>
              <w:rPr>
                <w:bCs/>
                <w:sz w:val="20"/>
                <w:szCs w:val="20"/>
                <w:lang w:eastAsia="es-ES"/>
              </w:rPr>
            </w:pPr>
            <w:r w:rsidRPr="00F16B27">
              <w:rPr>
                <w:bCs/>
                <w:sz w:val="20"/>
                <w:szCs w:val="20"/>
                <w:lang w:eastAsia="es-ES"/>
              </w:rPr>
              <w:t>1.530.733</w:t>
            </w:r>
          </w:p>
        </w:tc>
        <w:tc>
          <w:tcPr>
            <w:tcW w:w="1076" w:type="dxa"/>
            <w:tcBorders>
              <w:top w:val="nil"/>
              <w:left w:val="nil"/>
              <w:bottom w:val="nil"/>
              <w:right w:val="nil"/>
            </w:tcBorders>
            <w:shd w:val="clear" w:color="auto" w:fill="auto"/>
            <w:vAlign w:val="center"/>
            <w:hideMark/>
          </w:tcPr>
          <w:p w:rsidR="00BC507F" w:rsidRPr="00F16B27" w:rsidRDefault="00BC507F" w:rsidP="00F16B27">
            <w:pPr>
              <w:jc w:val="center"/>
              <w:rPr>
                <w:bCs/>
                <w:sz w:val="20"/>
                <w:szCs w:val="20"/>
                <w:lang w:eastAsia="es-ES"/>
              </w:rPr>
            </w:pPr>
            <w:r w:rsidRPr="00F16B27">
              <w:rPr>
                <w:bCs/>
                <w:sz w:val="20"/>
                <w:szCs w:val="20"/>
                <w:lang w:eastAsia="es-ES"/>
              </w:rPr>
              <w:t>10,04%</w:t>
            </w:r>
          </w:p>
        </w:tc>
      </w:tr>
      <w:tr w:rsidR="00BC507F" w:rsidRPr="00F16B27" w:rsidTr="006761DF">
        <w:trPr>
          <w:trHeight w:val="431"/>
        </w:trPr>
        <w:tc>
          <w:tcPr>
            <w:tcW w:w="1646" w:type="dxa"/>
            <w:tcBorders>
              <w:top w:val="nil"/>
              <w:left w:val="nil"/>
              <w:bottom w:val="single" w:sz="4" w:space="0" w:color="auto"/>
              <w:right w:val="nil"/>
            </w:tcBorders>
            <w:shd w:val="clear" w:color="auto" w:fill="auto"/>
            <w:noWrap/>
            <w:vAlign w:val="center"/>
            <w:hideMark/>
          </w:tcPr>
          <w:p w:rsidR="00BC507F" w:rsidRPr="00F16B27" w:rsidRDefault="00BC507F" w:rsidP="006761DF">
            <w:pPr>
              <w:jc w:val="both"/>
              <w:rPr>
                <w:sz w:val="20"/>
                <w:szCs w:val="20"/>
                <w:lang w:eastAsia="es-ES"/>
              </w:rPr>
            </w:pPr>
            <w:r w:rsidRPr="00F16B27">
              <w:rPr>
                <w:sz w:val="20"/>
                <w:szCs w:val="20"/>
                <w:lang w:eastAsia="es-ES"/>
              </w:rPr>
              <w:t>Armenia Q.</w:t>
            </w:r>
          </w:p>
        </w:tc>
        <w:tc>
          <w:tcPr>
            <w:tcW w:w="1176" w:type="dxa"/>
            <w:tcBorders>
              <w:top w:val="nil"/>
              <w:left w:val="nil"/>
              <w:bottom w:val="single" w:sz="4" w:space="0" w:color="auto"/>
              <w:right w:val="nil"/>
            </w:tcBorders>
            <w:shd w:val="clear" w:color="auto" w:fill="auto"/>
            <w:noWrap/>
            <w:vAlign w:val="center"/>
            <w:hideMark/>
          </w:tcPr>
          <w:p w:rsidR="00BC507F" w:rsidRPr="00F16B27" w:rsidRDefault="00BC507F" w:rsidP="006761DF">
            <w:pPr>
              <w:jc w:val="both"/>
              <w:rPr>
                <w:sz w:val="20"/>
                <w:szCs w:val="20"/>
                <w:lang w:eastAsia="es-ES"/>
              </w:rPr>
            </w:pPr>
            <w:r w:rsidRPr="00F16B27">
              <w:rPr>
                <w:sz w:val="20"/>
                <w:szCs w:val="20"/>
                <w:lang w:eastAsia="es-ES"/>
              </w:rPr>
              <w:t xml:space="preserve"> El Edén</w:t>
            </w:r>
          </w:p>
        </w:tc>
        <w:tc>
          <w:tcPr>
            <w:tcW w:w="868" w:type="dxa"/>
            <w:tcBorders>
              <w:top w:val="nil"/>
              <w:left w:val="nil"/>
              <w:bottom w:val="single" w:sz="4" w:space="0" w:color="auto"/>
              <w:right w:val="nil"/>
            </w:tcBorders>
            <w:shd w:val="clear" w:color="auto" w:fill="auto"/>
            <w:noWrap/>
            <w:vAlign w:val="center"/>
            <w:hideMark/>
          </w:tcPr>
          <w:p w:rsidR="00BC507F" w:rsidRPr="00F16B27" w:rsidRDefault="00BC507F" w:rsidP="00F16B27">
            <w:pPr>
              <w:jc w:val="center"/>
              <w:rPr>
                <w:sz w:val="20"/>
                <w:szCs w:val="20"/>
                <w:lang w:eastAsia="es-ES"/>
              </w:rPr>
            </w:pPr>
            <w:r w:rsidRPr="00F16B27">
              <w:rPr>
                <w:sz w:val="20"/>
                <w:szCs w:val="20"/>
                <w:lang w:eastAsia="es-ES"/>
              </w:rPr>
              <w:t>155.906</w:t>
            </w:r>
          </w:p>
        </w:tc>
        <w:tc>
          <w:tcPr>
            <w:tcW w:w="949" w:type="dxa"/>
            <w:tcBorders>
              <w:top w:val="nil"/>
              <w:left w:val="nil"/>
              <w:bottom w:val="single" w:sz="4" w:space="0" w:color="auto"/>
              <w:right w:val="nil"/>
            </w:tcBorders>
            <w:shd w:val="clear" w:color="auto" w:fill="auto"/>
            <w:noWrap/>
            <w:vAlign w:val="center"/>
            <w:hideMark/>
          </w:tcPr>
          <w:p w:rsidR="00BC507F" w:rsidRPr="00F16B27" w:rsidRDefault="00BC507F" w:rsidP="00F16B27">
            <w:pPr>
              <w:jc w:val="center"/>
              <w:rPr>
                <w:sz w:val="20"/>
                <w:szCs w:val="20"/>
                <w:lang w:eastAsia="es-ES"/>
              </w:rPr>
            </w:pPr>
            <w:r w:rsidRPr="00F16B27">
              <w:rPr>
                <w:sz w:val="20"/>
                <w:szCs w:val="20"/>
                <w:lang w:eastAsia="es-ES"/>
              </w:rPr>
              <w:t>151.713</w:t>
            </w:r>
          </w:p>
        </w:tc>
        <w:tc>
          <w:tcPr>
            <w:tcW w:w="981" w:type="dxa"/>
            <w:tcBorders>
              <w:top w:val="nil"/>
              <w:left w:val="nil"/>
              <w:bottom w:val="single" w:sz="4" w:space="0" w:color="auto"/>
              <w:right w:val="nil"/>
            </w:tcBorders>
            <w:shd w:val="clear" w:color="auto" w:fill="auto"/>
            <w:noWrap/>
            <w:vAlign w:val="center"/>
            <w:hideMark/>
          </w:tcPr>
          <w:p w:rsidR="00BC507F" w:rsidRPr="00F16B27" w:rsidRDefault="00BC507F" w:rsidP="00F16B27">
            <w:pPr>
              <w:jc w:val="center"/>
              <w:rPr>
                <w:sz w:val="20"/>
                <w:szCs w:val="20"/>
                <w:lang w:eastAsia="es-ES"/>
              </w:rPr>
            </w:pPr>
            <w:r w:rsidRPr="00F16B27">
              <w:rPr>
                <w:sz w:val="20"/>
                <w:szCs w:val="20"/>
                <w:lang w:eastAsia="es-ES"/>
              </w:rPr>
              <w:t>307.619</w:t>
            </w:r>
          </w:p>
        </w:tc>
        <w:tc>
          <w:tcPr>
            <w:tcW w:w="175" w:type="dxa"/>
            <w:tcBorders>
              <w:top w:val="nil"/>
              <w:left w:val="nil"/>
              <w:bottom w:val="single" w:sz="4" w:space="0" w:color="auto"/>
              <w:right w:val="nil"/>
            </w:tcBorders>
            <w:shd w:val="clear" w:color="auto" w:fill="auto"/>
            <w:noWrap/>
            <w:vAlign w:val="center"/>
            <w:hideMark/>
          </w:tcPr>
          <w:p w:rsidR="00BC507F" w:rsidRPr="00F16B27" w:rsidRDefault="00BC507F" w:rsidP="00F16B27">
            <w:pPr>
              <w:jc w:val="center"/>
              <w:rPr>
                <w:sz w:val="20"/>
                <w:szCs w:val="20"/>
                <w:lang w:eastAsia="es-ES"/>
              </w:rPr>
            </w:pPr>
          </w:p>
        </w:tc>
        <w:tc>
          <w:tcPr>
            <w:tcW w:w="868" w:type="dxa"/>
            <w:tcBorders>
              <w:top w:val="nil"/>
              <w:left w:val="nil"/>
              <w:bottom w:val="single" w:sz="4" w:space="0" w:color="auto"/>
              <w:right w:val="nil"/>
            </w:tcBorders>
            <w:shd w:val="clear" w:color="auto" w:fill="auto"/>
            <w:noWrap/>
            <w:vAlign w:val="center"/>
            <w:hideMark/>
          </w:tcPr>
          <w:p w:rsidR="00BC507F" w:rsidRPr="00F16B27" w:rsidRDefault="00BC507F" w:rsidP="00F16B27">
            <w:pPr>
              <w:jc w:val="center"/>
              <w:rPr>
                <w:sz w:val="20"/>
                <w:szCs w:val="20"/>
                <w:lang w:eastAsia="es-ES"/>
              </w:rPr>
            </w:pPr>
            <w:r w:rsidRPr="00F16B27">
              <w:rPr>
                <w:sz w:val="20"/>
                <w:szCs w:val="20"/>
                <w:lang w:eastAsia="es-ES"/>
              </w:rPr>
              <w:t>165.929</w:t>
            </w:r>
          </w:p>
        </w:tc>
        <w:tc>
          <w:tcPr>
            <w:tcW w:w="988" w:type="dxa"/>
            <w:tcBorders>
              <w:top w:val="nil"/>
              <w:left w:val="nil"/>
              <w:bottom w:val="single" w:sz="4" w:space="0" w:color="auto"/>
              <w:right w:val="nil"/>
            </w:tcBorders>
            <w:shd w:val="clear" w:color="auto" w:fill="auto"/>
            <w:noWrap/>
            <w:vAlign w:val="center"/>
            <w:hideMark/>
          </w:tcPr>
          <w:p w:rsidR="00BC507F" w:rsidRPr="00F16B27" w:rsidRDefault="00BC507F" w:rsidP="00F16B27">
            <w:pPr>
              <w:jc w:val="center"/>
              <w:rPr>
                <w:sz w:val="20"/>
                <w:szCs w:val="20"/>
                <w:lang w:eastAsia="es-ES"/>
              </w:rPr>
            </w:pPr>
            <w:r w:rsidRPr="00F16B27">
              <w:rPr>
                <w:sz w:val="20"/>
                <w:szCs w:val="20"/>
                <w:lang w:eastAsia="es-ES"/>
              </w:rPr>
              <w:t>158.255</w:t>
            </w:r>
          </w:p>
        </w:tc>
        <w:tc>
          <w:tcPr>
            <w:tcW w:w="963" w:type="dxa"/>
            <w:tcBorders>
              <w:top w:val="nil"/>
              <w:left w:val="nil"/>
              <w:bottom w:val="single" w:sz="4" w:space="0" w:color="auto"/>
              <w:right w:val="nil"/>
            </w:tcBorders>
            <w:shd w:val="clear" w:color="auto" w:fill="auto"/>
            <w:noWrap/>
            <w:vAlign w:val="center"/>
            <w:hideMark/>
          </w:tcPr>
          <w:p w:rsidR="00BC507F" w:rsidRPr="00F16B27" w:rsidRDefault="00BC507F" w:rsidP="00F16B27">
            <w:pPr>
              <w:jc w:val="center"/>
              <w:rPr>
                <w:sz w:val="20"/>
                <w:szCs w:val="20"/>
                <w:lang w:eastAsia="es-ES"/>
              </w:rPr>
            </w:pPr>
            <w:r w:rsidRPr="00F16B27">
              <w:rPr>
                <w:sz w:val="20"/>
                <w:szCs w:val="20"/>
                <w:lang w:eastAsia="es-ES"/>
              </w:rPr>
              <w:t>324.184</w:t>
            </w:r>
          </w:p>
        </w:tc>
        <w:tc>
          <w:tcPr>
            <w:tcW w:w="1076" w:type="dxa"/>
            <w:tcBorders>
              <w:top w:val="nil"/>
              <w:left w:val="nil"/>
              <w:bottom w:val="single" w:sz="4" w:space="0" w:color="auto"/>
              <w:right w:val="nil"/>
            </w:tcBorders>
            <w:shd w:val="clear" w:color="auto" w:fill="auto"/>
            <w:vAlign w:val="center"/>
            <w:hideMark/>
          </w:tcPr>
          <w:p w:rsidR="00BC507F" w:rsidRPr="00F16B27" w:rsidRDefault="00BC507F" w:rsidP="00F16B27">
            <w:pPr>
              <w:ind w:left="-40" w:right="-40"/>
              <w:jc w:val="center"/>
              <w:rPr>
                <w:b/>
                <w:bCs/>
                <w:sz w:val="20"/>
                <w:szCs w:val="20"/>
                <w:lang w:eastAsia="es-ES"/>
              </w:rPr>
            </w:pPr>
            <w:r w:rsidRPr="00F16B27">
              <w:rPr>
                <w:bCs/>
                <w:sz w:val="20"/>
                <w:szCs w:val="20"/>
                <w:lang w:eastAsia="es-ES"/>
              </w:rPr>
              <w:t>-5,</w:t>
            </w:r>
            <w:r w:rsidRPr="00F16B27">
              <w:rPr>
                <w:b/>
                <w:bCs/>
                <w:sz w:val="20"/>
                <w:szCs w:val="20"/>
                <w:lang w:eastAsia="es-ES"/>
              </w:rPr>
              <w:t>11%</w:t>
            </w:r>
          </w:p>
        </w:tc>
      </w:tr>
    </w:tbl>
    <w:p w:rsidR="00BC507F" w:rsidRDefault="00BC507F" w:rsidP="00BC507F">
      <w:pPr>
        <w:spacing w:line="360" w:lineRule="auto"/>
        <w:jc w:val="both"/>
        <w:rPr>
          <w:iCs/>
          <w:sz w:val="2"/>
          <w:szCs w:val="2"/>
        </w:rPr>
      </w:pPr>
    </w:p>
    <w:p w:rsidR="00BC507F" w:rsidRPr="00812A21" w:rsidRDefault="00BC507F" w:rsidP="00BC507F">
      <w:pPr>
        <w:spacing w:line="360" w:lineRule="auto"/>
        <w:jc w:val="both"/>
      </w:pPr>
      <w:r w:rsidRPr="00812A21">
        <w:rPr>
          <w:iCs/>
          <w:sz w:val="16"/>
          <w:szCs w:val="16"/>
        </w:rPr>
        <w:t xml:space="preserve">Fuente: Aeronáutica Civil </w:t>
      </w:r>
      <w:r>
        <w:rPr>
          <w:iCs/>
          <w:sz w:val="16"/>
          <w:szCs w:val="16"/>
        </w:rPr>
        <w:t>d</w:t>
      </w:r>
      <w:r w:rsidRPr="00812A21">
        <w:rPr>
          <w:iCs/>
          <w:sz w:val="16"/>
          <w:szCs w:val="16"/>
        </w:rPr>
        <w:t xml:space="preserve">e Colombia </w:t>
      </w:r>
      <w:r w:rsidRPr="00812A21">
        <w:rPr>
          <w:iCs/>
        </w:rPr>
        <w:t xml:space="preserve"> </w:t>
      </w:r>
    </w:p>
    <w:p w:rsidR="00DE614D" w:rsidRDefault="00DE614D" w:rsidP="009137C4">
      <w:pPr>
        <w:pStyle w:val="Sinespaciado"/>
        <w:spacing w:line="360" w:lineRule="auto"/>
        <w:ind w:firstLine="284"/>
        <w:rPr>
          <w:rFonts w:ascii="Times New Roman" w:hAnsi="Times New Roman"/>
          <w:sz w:val="24"/>
          <w:szCs w:val="24"/>
        </w:rPr>
      </w:pPr>
    </w:p>
    <w:p w:rsidR="00BC507F" w:rsidRPr="00972D91" w:rsidRDefault="00BC507F" w:rsidP="009137C4">
      <w:pPr>
        <w:pStyle w:val="Sinespaciado"/>
        <w:spacing w:line="360" w:lineRule="auto"/>
        <w:ind w:firstLine="284"/>
        <w:rPr>
          <w:rFonts w:ascii="Times New Roman" w:hAnsi="Times New Roman"/>
          <w:sz w:val="24"/>
          <w:szCs w:val="24"/>
        </w:rPr>
      </w:pPr>
      <w:r w:rsidRPr="00972D91">
        <w:rPr>
          <w:rFonts w:ascii="Times New Roman" w:hAnsi="Times New Roman"/>
          <w:sz w:val="24"/>
          <w:szCs w:val="24"/>
        </w:rPr>
        <w:t xml:space="preserve">Para el año 2013 se observa una variación positiva  del 10.04% en </w:t>
      </w:r>
      <w:r w:rsidR="00A82C13">
        <w:rPr>
          <w:rFonts w:ascii="Times New Roman" w:hAnsi="Times New Roman"/>
          <w:sz w:val="24"/>
          <w:szCs w:val="24"/>
        </w:rPr>
        <w:t xml:space="preserve">la movilización de pasajeros por </w:t>
      </w:r>
      <w:r w:rsidR="009137C4">
        <w:rPr>
          <w:rFonts w:ascii="Times New Roman" w:hAnsi="Times New Roman"/>
          <w:sz w:val="24"/>
          <w:szCs w:val="24"/>
        </w:rPr>
        <w:t xml:space="preserve">transporte </w:t>
      </w:r>
      <w:r w:rsidR="00A82C13">
        <w:rPr>
          <w:rFonts w:ascii="Times New Roman" w:hAnsi="Times New Roman"/>
          <w:sz w:val="24"/>
          <w:szCs w:val="24"/>
        </w:rPr>
        <w:t>aéreo a nivel n</w:t>
      </w:r>
      <w:r w:rsidRPr="00972D91">
        <w:rPr>
          <w:rFonts w:ascii="Times New Roman" w:hAnsi="Times New Roman"/>
          <w:sz w:val="24"/>
          <w:szCs w:val="24"/>
        </w:rPr>
        <w:t>acional, explicada por un aumento de 153.686</w:t>
      </w:r>
      <w:r w:rsidR="009671BF">
        <w:rPr>
          <w:rFonts w:ascii="Times New Roman" w:hAnsi="Times New Roman"/>
          <w:sz w:val="24"/>
          <w:szCs w:val="24"/>
        </w:rPr>
        <w:t xml:space="preserve"> personas</w:t>
      </w:r>
      <w:r w:rsidRPr="00972D91">
        <w:rPr>
          <w:rFonts w:ascii="Times New Roman" w:hAnsi="Times New Roman"/>
          <w:sz w:val="24"/>
          <w:szCs w:val="24"/>
        </w:rPr>
        <w:t xml:space="preserve"> más que </w:t>
      </w:r>
      <w:r w:rsidR="009671BF">
        <w:rPr>
          <w:rFonts w:ascii="Times New Roman" w:hAnsi="Times New Roman"/>
          <w:sz w:val="24"/>
          <w:szCs w:val="24"/>
        </w:rPr>
        <w:t xml:space="preserve">en </w:t>
      </w:r>
      <w:r w:rsidRPr="00972D91">
        <w:rPr>
          <w:rFonts w:ascii="Times New Roman" w:hAnsi="Times New Roman"/>
          <w:sz w:val="24"/>
          <w:szCs w:val="24"/>
        </w:rPr>
        <w:t>el año anterior. Caso contrario ocurre con el Aeropuerto Internacional  el  Edén  de la ciudad de Armenia, el cual tuvo una disminución del 5,11%.</w:t>
      </w:r>
    </w:p>
    <w:p w:rsidR="00BC507F" w:rsidRPr="00972D91" w:rsidRDefault="00BC507F" w:rsidP="00BC507F">
      <w:pPr>
        <w:pStyle w:val="Sinespaciado"/>
        <w:spacing w:line="360" w:lineRule="auto"/>
        <w:rPr>
          <w:rFonts w:ascii="Times New Roman" w:hAnsi="Times New Roman"/>
          <w:sz w:val="24"/>
          <w:szCs w:val="24"/>
        </w:rPr>
      </w:pPr>
    </w:p>
    <w:p w:rsidR="00BC507F" w:rsidRPr="0090357B" w:rsidRDefault="003A6025" w:rsidP="00990300">
      <w:pPr>
        <w:pStyle w:val="Sinespaciado"/>
        <w:spacing w:line="360" w:lineRule="auto"/>
        <w:ind w:firstLine="284"/>
        <w:rPr>
          <w:rFonts w:ascii="Times New Roman" w:hAnsi="Times New Roman"/>
          <w:sz w:val="24"/>
          <w:szCs w:val="24"/>
        </w:rPr>
      </w:pPr>
      <w:r>
        <w:rPr>
          <w:rFonts w:ascii="Times New Roman" w:hAnsi="Times New Roman"/>
          <w:sz w:val="24"/>
          <w:szCs w:val="24"/>
        </w:rPr>
        <w:t>Las cifras en materia de movilidad de pasajeros evidencias que el medio de transporte preferido es el aéreo,</w:t>
      </w:r>
      <w:r w:rsidR="00BC507F" w:rsidRPr="0090357B">
        <w:rPr>
          <w:rFonts w:ascii="Times New Roman" w:hAnsi="Times New Roman"/>
          <w:sz w:val="24"/>
          <w:szCs w:val="24"/>
        </w:rPr>
        <w:t xml:space="preserve"> siendo su competidor inmediato el </w:t>
      </w:r>
      <w:r>
        <w:rPr>
          <w:rFonts w:ascii="Times New Roman" w:hAnsi="Times New Roman"/>
          <w:sz w:val="24"/>
          <w:szCs w:val="24"/>
        </w:rPr>
        <w:t>transporte</w:t>
      </w:r>
      <w:r w:rsidR="00BC507F" w:rsidRPr="0090357B">
        <w:rPr>
          <w:rFonts w:ascii="Times New Roman" w:hAnsi="Times New Roman"/>
          <w:sz w:val="24"/>
          <w:szCs w:val="24"/>
        </w:rPr>
        <w:t xml:space="preserve"> terrestre</w:t>
      </w:r>
      <w:r w:rsidR="00511799">
        <w:rPr>
          <w:rFonts w:ascii="Times New Roman" w:hAnsi="Times New Roman"/>
          <w:sz w:val="24"/>
          <w:szCs w:val="24"/>
        </w:rPr>
        <w:t>. L</w:t>
      </w:r>
      <w:r w:rsidR="00BC507F" w:rsidRPr="0090357B">
        <w:rPr>
          <w:rFonts w:ascii="Times New Roman" w:hAnsi="Times New Roman"/>
          <w:sz w:val="24"/>
          <w:szCs w:val="24"/>
        </w:rPr>
        <w:t>a inclusión de aerolíne</w:t>
      </w:r>
      <w:r w:rsidR="00375574">
        <w:rPr>
          <w:rFonts w:ascii="Times New Roman" w:hAnsi="Times New Roman"/>
          <w:sz w:val="24"/>
          <w:szCs w:val="24"/>
        </w:rPr>
        <w:t xml:space="preserve">as de bajo costo en el mercado </w:t>
      </w:r>
      <w:r w:rsidR="00511799">
        <w:rPr>
          <w:rFonts w:ascii="Times New Roman" w:hAnsi="Times New Roman"/>
          <w:sz w:val="24"/>
          <w:szCs w:val="24"/>
        </w:rPr>
        <w:t>en las terminales aéreas de</w:t>
      </w:r>
      <w:r w:rsidR="00BC507F" w:rsidRPr="0090357B">
        <w:rPr>
          <w:rFonts w:ascii="Times New Roman" w:hAnsi="Times New Roman"/>
          <w:sz w:val="24"/>
          <w:szCs w:val="24"/>
        </w:rPr>
        <w:t xml:space="preserve"> los Aeropuertos Internacionales </w:t>
      </w:r>
      <w:proofErr w:type="spellStart"/>
      <w:r w:rsidR="00BC507F" w:rsidRPr="0090357B">
        <w:rPr>
          <w:rFonts w:ascii="Times New Roman" w:hAnsi="Times New Roman"/>
          <w:sz w:val="24"/>
          <w:szCs w:val="24"/>
        </w:rPr>
        <w:t>Matecaña</w:t>
      </w:r>
      <w:proofErr w:type="spellEnd"/>
      <w:r w:rsidR="00BC507F" w:rsidRPr="0090357B">
        <w:rPr>
          <w:rFonts w:ascii="Times New Roman" w:hAnsi="Times New Roman"/>
          <w:sz w:val="24"/>
          <w:szCs w:val="24"/>
        </w:rPr>
        <w:t xml:space="preserve"> de la ciudad de Pereira, El Dorado  de Bogotá,  el </w:t>
      </w:r>
      <w:r w:rsidR="00BC507F" w:rsidRPr="0090357B">
        <w:rPr>
          <w:rStyle w:val="st"/>
          <w:rFonts w:ascii="Times New Roman" w:hAnsi="Times New Roman"/>
          <w:sz w:val="24"/>
          <w:szCs w:val="24"/>
        </w:rPr>
        <w:t xml:space="preserve">Alfonso Bonilla Aragón de </w:t>
      </w:r>
      <w:r w:rsidR="00BC507F" w:rsidRPr="0090357B">
        <w:rPr>
          <w:rFonts w:ascii="Times New Roman" w:hAnsi="Times New Roman"/>
          <w:sz w:val="24"/>
          <w:szCs w:val="24"/>
        </w:rPr>
        <w:t>Cali o José María Córdova y Olaya Herrera de la ciudad de Medellín, trajo consigo un cambio en la estructura del modelo de transporte</w:t>
      </w:r>
      <w:r w:rsidR="00511799">
        <w:rPr>
          <w:rFonts w:ascii="Times New Roman" w:hAnsi="Times New Roman"/>
          <w:sz w:val="24"/>
          <w:szCs w:val="24"/>
        </w:rPr>
        <w:t>,</w:t>
      </w:r>
      <w:r w:rsidR="00BC507F" w:rsidRPr="0090357B">
        <w:rPr>
          <w:rFonts w:ascii="Times New Roman" w:hAnsi="Times New Roman"/>
          <w:sz w:val="24"/>
          <w:szCs w:val="24"/>
        </w:rPr>
        <w:t xml:space="preserve"> ya que desde entonces se incluye una nueva opción que compite directamente con los precios de transporte aéreo desde la ciudad de Armenia.</w:t>
      </w:r>
    </w:p>
    <w:p w:rsidR="00BC507F" w:rsidRDefault="00BC507F" w:rsidP="00BC507F">
      <w:pPr>
        <w:pStyle w:val="Sinespaciado"/>
        <w:spacing w:line="360" w:lineRule="auto"/>
        <w:rPr>
          <w:rFonts w:ascii="Times New Roman" w:hAnsi="Times New Roman"/>
          <w:sz w:val="24"/>
          <w:szCs w:val="24"/>
        </w:rPr>
      </w:pPr>
    </w:p>
    <w:p w:rsidR="00BC507F" w:rsidRPr="007F5565" w:rsidRDefault="00BC507F" w:rsidP="00BC507F">
      <w:pPr>
        <w:pStyle w:val="Sinespaciado"/>
        <w:rPr>
          <w:rFonts w:ascii="Times New Roman" w:hAnsi="Times New Roman"/>
          <w:sz w:val="24"/>
          <w:szCs w:val="24"/>
        </w:rPr>
      </w:pPr>
      <w:r w:rsidRPr="007F5565">
        <w:rPr>
          <w:rFonts w:ascii="Times New Roman" w:hAnsi="Times New Roman"/>
          <w:sz w:val="24"/>
          <w:szCs w:val="24"/>
        </w:rPr>
        <w:lastRenderedPageBreak/>
        <w:t>Grafico 4.8</w:t>
      </w:r>
    </w:p>
    <w:p w:rsidR="00BC507F" w:rsidRPr="007F5565" w:rsidRDefault="00BC507F" w:rsidP="00BC507F">
      <w:pPr>
        <w:pStyle w:val="Sinespaciado"/>
        <w:rPr>
          <w:rFonts w:ascii="Times New Roman" w:hAnsi="Times New Roman"/>
          <w:iCs/>
          <w:sz w:val="24"/>
          <w:szCs w:val="24"/>
        </w:rPr>
      </w:pPr>
      <w:r w:rsidRPr="007F5565">
        <w:rPr>
          <w:rFonts w:ascii="Times New Roman" w:hAnsi="Times New Roman"/>
          <w:sz w:val="24"/>
          <w:szCs w:val="24"/>
        </w:rPr>
        <w:t>Movimiento</w:t>
      </w:r>
      <w:r w:rsidRPr="007F5565">
        <w:rPr>
          <w:rFonts w:ascii="Times New Roman" w:hAnsi="Times New Roman"/>
          <w:iCs/>
          <w:sz w:val="24"/>
          <w:szCs w:val="24"/>
        </w:rPr>
        <w:t xml:space="preserve"> de pasajeros por modo de transporte</w:t>
      </w:r>
    </w:p>
    <w:p w:rsidR="00BC507F" w:rsidRDefault="00BC507F" w:rsidP="00BC507F">
      <w:pPr>
        <w:pStyle w:val="Sinespaciado"/>
        <w:rPr>
          <w:rFonts w:ascii="Times New Roman" w:hAnsi="Times New Roman"/>
          <w:iCs/>
          <w:sz w:val="24"/>
          <w:szCs w:val="24"/>
        </w:rPr>
      </w:pPr>
      <w:r w:rsidRPr="007F5565">
        <w:rPr>
          <w:rFonts w:ascii="Times New Roman" w:hAnsi="Times New Roman"/>
          <w:iCs/>
          <w:sz w:val="24"/>
          <w:szCs w:val="24"/>
        </w:rPr>
        <w:t xml:space="preserve">Años 2012 </w:t>
      </w:r>
      <w:r>
        <w:rPr>
          <w:rFonts w:ascii="Times New Roman" w:hAnsi="Times New Roman"/>
          <w:iCs/>
          <w:sz w:val="24"/>
          <w:szCs w:val="24"/>
        </w:rPr>
        <w:t>–</w:t>
      </w:r>
      <w:r w:rsidRPr="007F5565">
        <w:rPr>
          <w:rFonts w:ascii="Times New Roman" w:hAnsi="Times New Roman"/>
          <w:iCs/>
          <w:sz w:val="24"/>
          <w:szCs w:val="24"/>
        </w:rPr>
        <w:t xml:space="preserve"> 2013</w:t>
      </w:r>
    </w:p>
    <w:p w:rsidR="00BC507F" w:rsidRPr="007F5565" w:rsidRDefault="00BC507F" w:rsidP="00BC507F">
      <w:pPr>
        <w:pStyle w:val="Sinespaciado"/>
        <w:rPr>
          <w:rFonts w:ascii="Times New Roman" w:hAnsi="Times New Roman"/>
          <w:iCs/>
          <w:sz w:val="24"/>
          <w:szCs w:val="24"/>
        </w:rPr>
      </w:pPr>
    </w:p>
    <w:p w:rsidR="00BC507F" w:rsidRPr="00812A21" w:rsidRDefault="00BC507F" w:rsidP="00BC507F">
      <w:pPr>
        <w:pStyle w:val="Sinespaciado"/>
        <w:rPr>
          <w:rFonts w:ascii="Times New Roman" w:hAnsi="Times New Roman"/>
          <w:sz w:val="18"/>
          <w:szCs w:val="18"/>
        </w:rPr>
      </w:pPr>
      <w:r w:rsidRPr="00812A21">
        <w:rPr>
          <w:rFonts w:ascii="Times New Roman" w:hAnsi="Times New Roman"/>
          <w:sz w:val="18"/>
          <w:szCs w:val="18"/>
        </w:rPr>
        <w:t xml:space="preserve">                             Transporte Aéreo</w:t>
      </w:r>
      <w:r w:rsidRPr="00812A21">
        <w:rPr>
          <w:rFonts w:ascii="Times New Roman" w:hAnsi="Times New Roman"/>
          <w:sz w:val="18"/>
          <w:szCs w:val="18"/>
        </w:rPr>
        <w:tab/>
      </w:r>
      <w:r w:rsidRPr="00812A21">
        <w:rPr>
          <w:rFonts w:ascii="Times New Roman" w:hAnsi="Times New Roman"/>
          <w:sz w:val="18"/>
          <w:szCs w:val="18"/>
        </w:rPr>
        <w:tab/>
        <w:t xml:space="preserve">                             </w:t>
      </w:r>
      <w:r w:rsidR="00375574">
        <w:rPr>
          <w:rFonts w:ascii="Times New Roman" w:hAnsi="Times New Roman"/>
          <w:sz w:val="18"/>
          <w:szCs w:val="18"/>
        </w:rPr>
        <w:tab/>
      </w:r>
      <w:r w:rsidRPr="00812A21">
        <w:rPr>
          <w:rFonts w:ascii="Times New Roman" w:hAnsi="Times New Roman"/>
          <w:sz w:val="18"/>
          <w:szCs w:val="18"/>
        </w:rPr>
        <w:t>Transporte  Terrestre</w:t>
      </w:r>
    </w:p>
    <w:p w:rsidR="00BC507F" w:rsidRPr="00812A21" w:rsidRDefault="00BC507F" w:rsidP="00BC507F">
      <w:pPr>
        <w:pStyle w:val="Sinespaciado"/>
        <w:rPr>
          <w:rFonts w:ascii="Times New Roman" w:hAnsi="Times New Roman"/>
          <w:b/>
          <w:sz w:val="18"/>
          <w:szCs w:val="18"/>
        </w:rPr>
      </w:pPr>
      <w:r>
        <w:rPr>
          <w:rFonts w:ascii="Times New Roman" w:hAnsi="Times New Roman"/>
          <w:i/>
          <w:iCs/>
          <w:noProof/>
          <w:sz w:val="24"/>
          <w:szCs w:val="24"/>
          <w:lang w:val="es-CO" w:eastAsia="es-CO"/>
        </w:rPr>
        <w:drawing>
          <wp:anchor distT="5622" distB="937" distL="125830" distR="122587" simplePos="0" relativeHeight="251666432" behindDoc="0" locked="0" layoutInCell="1" allowOverlap="1" wp14:anchorId="66CACFF9" wp14:editId="0D9975E0">
            <wp:simplePos x="0" y="0"/>
            <wp:positionH relativeFrom="column">
              <wp:posOffset>11530</wp:posOffset>
            </wp:positionH>
            <wp:positionV relativeFrom="paragraph">
              <wp:posOffset>33562</wp:posOffset>
            </wp:positionV>
            <wp:extent cx="2400935" cy="1606550"/>
            <wp:effectExtent l="0" t="0" r="18415" b="12700"/>
            <wp:wrapSquare wrapText="bothSides"/>
            <wp:docPr id="53"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Pr="0094166D">
        <w:rPr>
          <w:noProof/>
          <w:lang w:eastAsia="es-ES"/>
        </w:rPr>
        <w:t xml:space="preserve"> </w:t>
      </w:r>
      <w:r>
        <w:rPr>
          <w:rFonts w:ascii="Times New Roman" w:hAnsi="Times New Roman"/>
          <w:i/>
          <w:noProof/>
          <w:sz w:val="24"/>
          <w:szCs w:val="24"/>
          <w:lang w:val="es-CO" w:eastAsia="es-CO"/>
        </w:rPr>
        <w:drawing>
          <wp:inline distT="0" distB="0" distL="0" distR="0" wp14:anchorId="534BD3DD" wp14:editId="1F0B95B0">
            <wp:extent cx="2475782" cy="1690778"/>
            <wp:effectExtent l="0" t="0" r="20320" b="24130"/>
            <wp:docPr id="2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C507F" w:rsidRDefault="00BC507F" w:rsidP="00BC507F">
      <w:pPr>
        <w:pStyle w:val="Sinespaciado"/>
        <w:rPr>
          <w:rFonts w:ascii="Times New Roman" w:hAnsi="Times New Roman"/>
          <w:sz w:val="16"/>
          <w:szCs w:val="16"/>
        </w:rPr>
      </w:pPr>
      <w:r w:rsidRPr="00812A21">
        <w:rPr>
          <w:rFonts w:ascii="Times New Roman" w:hAnsi="Times New Roman"/>
        </w:rPr>
        <w:t xml:space="preserve">    </w:t>
      </w:r>
      <w:r w:rsidR="00375574" w:rsidRPr="00812A21">
        <w:rPr>
          <w:rFonts w:ascii="Times New Roman" w:hAnsi="Times New Roman"/>
          <w:sz w:val="16"/>
          <w:szCs w:val="16"/>
        </w:rPr>
        <w:t>Fuente: Aeronáutica Civil – Terminal de Transporte de Armenia</w:t>
      </w:r>
      <w:r w:rsidRPr="00812A21">
        <w:rPr>
          <w:rFonts w:ascii="Times New Roman" w:hAnsi="Times New Roman"/>
        </w:rPr>
        <w:t xml:space="preserve">            </w:t>
      </w:r>
      <w:r w:rsidRPr="00812A21">
        <w:rPr>
          <w:rFonts w:ascii="Times New Roman" w:hAnsi="Times New Roman"/>
          <w:sz w:val="16"/>
          <w:szCs w:val="16"/>
        </w:rPr>
        <w:t xml:space="preserve">     </w:t>
      </w:r>
    </w:p>
    <w:p w:rsidR="00BC507F" w:rsidRPr="00812A21" w:rsidRDefault="00BC507F" w:rsidP="00BC507F">
      <w:pPr>
        <w:pStyle w:val="Sinespaciado"/>
        <w:rPr>
          <w:rFonts w:ascii="Times New Roman" w:hAnsi="Times New Roman"/>
          <w:i/>
          <w:iCs/>
          <w:sz w:val="16"/>
          <w:szCs w:val="16"/>
        </w:rPr>
      </w:pPr>
      <w:r w:rsidRPr="00812A21">
        <w:rPr>
          <w:rFonts w:ascii="Times New Roman" w:hAnsi="Times New Roman"/>
          <w:sz w:val="16"/>
          <w:szCs w:val="16"/>
        </w:rPr>
        <w:t xml:space="preserve">   </w:t>
      </w:r>
    </w:p>
    <w:p w:rsidR="00BC507F" w:rsidRPr="00375574" w:rsidRDefault="00BC507F" w:rsidP="00BC507F">
      <w:pPr>
        <w:pStyle w:val="Default"/>
        <w:spacing w:line="360" w:lineRule="auto"/>
        <w:jc w:val="both"/>
        <w:rPr>
          <w:rFonts w:ascii="Times New Roman" w:hAnsi="Times New Roman" w:cs="Times New Roman"/>
          <w:lang w:val="es-ES"/>
        </w:rPr>
      </w:pPr>
    </w:p>
    <w:p w:rsidR="005F5A59" w:rsidRDefault="005F5A59" w:rsidP="008370C0">
      <w:pPr>
        <w:pStyle w:val="Default"/>
        <w:spacing w:line="360" w:lineRule="auto"/>
        <w:ind w:firstLine="284"/>
        <w:jc w:val="both"/>
        <w:rPr>
          <w:rFonts w:ascii="Times New Roman" w:hAnsi="Times New Roman" w:cs="Times New Roman"/>
          <w:color w:val="auto"/>
        </w:rPr>
      </w:pPr>
    </w:p>
    <w:p w:rsidR="00BC507F" w:rsidRDefault="005F5A59" w:rsidP="00EC1467">
      <w:pPr>
        <w:pStyle w:val="Default"/>
        <w:spacing w:line="360" w:lineRule="auto"/>
        <w:ind w:firstLine="284"/>
        <w:jc w:val="both"/>
        <w:rPr>
          <w:rFonts w:ascii="Times New Roman" w:hAnsi="Times New Roman" w:cs="Times New Roman"/>
        </w:rPr>
      </w:pPr>
      <w:r>
        <w:rPr>
          <w:rFonts w:ascii="Times New Roman" w:hAnsi="Times New Roman" w:cs="Times New Roman"/>
          <w:color w:val="auto"/>
        </w:rPr>
        <w:t xml:space="preserve">A nivel nacional, la demanda de </w:t>
      </w:r>
      <w:r w:rsidR="00EC1467">
        <w:rPr>
          <w:rFonts w:ascii="Times New Roman" w:hAnsi="Times New Roman" w:cs="Times New Roman"/>
          <w:color w:val="auto"/>
        </w:rPr>
        <w:t>transporte</w:t>
      </w:r>
      <w:r>
        <w:rPr>
          <w:rFonts w:ascii="Times New Roman" w:hAnsi="Times New Roman" w:cs="Times New Roman"/>
          <w:color w:val="auto"/>
        </w:rPr>
        <w:t xml:space="preserve"> aéreo presentó un </w:t>
      </w:r>
      <w:r w:rsidR="00EC1467">
        <w:rPr>
          <w:rFonts w:ascii="Times New Roman" w:hAnsi="Times New Roman" w:cs="Times New Roman"/>
          <w:color w:val="auto"/>
        </w:rPr>
        <w:t>incremento</w:t>
      </w:r>
      <w:r>
        <w:rPr>
          <w:rFonts w:ascii="Times New Roman" w:hAnsi="Times New Roman" w:cs="Times New Roman"/>
          <w:color w:val="auto"/>
        </w:rPr>
        <w:t xml:space="preserve"> del 10,04%; por su</w:t>
      </w:r>
      <w:r w:rsidR="00EC1467">
        <w:rPr>
          <w:rFonts w:ascii="Times New Roman" w:hAnsi="Times New Roman" w:cs="Times New Roman"/>
          <w:color w:val="auto"/>
        </w:rPr>
        <w:t xml:space="preserve"> </w:t>
      </w:r>
      <w:r>
        <w:rPr>
          <w:rFonts w:ascii="Times New Roman" w:hAnsi="Times New Roman" w:cs="Times New Roman"/>
          <w:color w:val="auto"/>
        </w:rPr>
        <w:t>parte, el Departamento del Quindío, registró una disminución de la movilización de pasajeros desde el Aeropuerto Internacional del Edén</w:t>
      </w:r>
      <w:r w:rsidR="00EC1467">
        <w:rPr>
          <w:rFonts w:ascii="Times New Roman" w:hAnsi="Times New Roman" w:cs="Times New Roman"/>
          <w:color w:val="auto"/>
        </w:rPr>
        <w:t xml:space="preserve"> del 6%, aproximadamente. D</w:t>
      </w:r>
      <w:r w:rsidR="00BC507F" w:rsidRPr="007F1BEA">
        <w:rPr>
          <w:rFonts w:ascii="Times New Roman" w:hAnsi="Times New Roman" w:cs="Times New Roman"/>
          <w:color w:val="auto"/>
        </w:rPr>
        <w:t>urante este periodo</w:t>
      </w:r>
      <w:r w:rsidR="00422284">
        <w:rPr>
          <w:rFonts w:ascii="Times New Roman" w:hAnsi="Times New Roman" w:cs="Times New Roman"/>
          <w:color w:val="auto"/>
        </w:rPr>
        <w:t>,</w:t>
      </w:r>
      <w:r w:rsidR="00BC507F" w:rsidRPr="007F1BEA">
        <w:rPr>
          <w:rFonts w:ascii="Times New Roman" w:hAnsi="Times New Roman" w:cs="Times New Roman"/>
          <w:color w:val="auto"/>
        </w:rPr>
        <w:t xml:space="preserve"> se evidenciaron afectaciones en la infraestructura vial por los deslizamientos de tierra.  En contraste a esta situac</w:t>
      </w:r>
      <w:r w:rsidR="008370C0">
        <w:rPr>
          <w:rFonts w:ascii="Times New Roman" w:hAnsi="Times New Roman" w:cs="Times New Roman"/>
          <w:color w:val="auto"/>
        </w:rPr>
        <w:t>ión el transporte aéreo presentó</w:t>
      </w:r>
      <w:r w:rsidR="00BC507F" w:rsidRPr="007F1BEA">
        <w:rPr>
          <w:rFonts w:ascii="Times New Roman" w:hAnsi="Times New Roman" w:cs="Times New Roman"/>
          <w:color w:val="auto"/>
        </w:rPr>
        <w:t xml:space="preserve"> un aumento en su nivel de pasajeros.</w:t>
      </w:r>
      <w:r w:rsidR="00BC507F" w:rsidRPr="00812A21">
        <w:rPr>
          <w:rFonts w:ascii="Times New Roman" w:hAnsi="Times New Roman" w:cs="Times New Roman"/>
        </w:rPr>
        <w:t xml:space="preserve">      </w:t>
      </w: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C4C0A" w:rsidP="008370C0">
      <w:pPr>
        <w:pStyle w:val="Default"/>
        <w:spacing w:line="360" w:lineRule="auto"/>
        <w:ind w:firstLine="284"/>
        <w:jc w:val="both"/>
        <w:rPr>
          <w:rFonts w:ascii="Times New Roman" w:hAnsi="Times New Roman" w:cs="Times New Roman"/>
        </w:rPr>
      </w:pPr>
      <w:r>
        <w:rPr>
          <w:rFonts w:ascii="Times New Roman" w:hAnsi="Times New Roman" w:cs="Times New Roman"/>
          <w:noProof/>
          <w:lang w:val="es-CO" w:eastAsia="es-CO"/>
        </w:rPr>
        <w:lastRenderedPageBreak/>
        <w:drawing>
          <wp:anchor distT="0" distB="0" distL="114300" distR="114300" simplePos="0" relativeHeight="251701248" behindDoc="0" locked="0" layoutInCell="1" allowOverlap="1">
            <wp:simplePos x="0" y="0"/>
            <wp:positionH relativeFrom="column">
              <wp:posOffset>-1080135</wp:posOffset>
            </wp:positionH>
            <wp:positionV relativeFrom="paragraph">
              <wp:posOffset>-1080135</wp:posOffset>
            </wp:positionV>
            <wp:extent cx="7772400" cy="10065385"/>
            <wp:effectExtent l="0" t="0" r="0" b="0"/>
            <wp:wrapNone/>
            <wp:docPr id="39" name="Imagen 39" descr="C:\Users\AUXPLANEACION08\Desktop\INFORME FINAL\DISEÑO\5 Vivienda y Construc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UXPLANEACION08\Desktop\INFORME FINAL\DISEÑO\5 Vivienda y Construcció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72400" cy="1006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8370C0">
      <w:pPr>
        <w:pStyle w:val="Default"/>
        <w:spacing w:line="360" w:lineRule="auto"/>
        <w:ind w:firstLine="284"/>
        <w:jc w:val="both"/>
        <w:rPr>
          <w:rFonts w:ascii="Times New Roman" w:hAnsi="Times New Roman" w:cs="Times New Roman"/>
        </w:rPr>
      </w:pPr>
    </w:p>
    <w:p w:rsidR="00C96E22" w:rsidRDefault="00C96E22" w:rsidP="0068239B">
      <w:pPr>
        <w:pStyle w:val="Ttulo1"/>
        <w:ind w:left="2124"/>
        <w:rPr>
          <w:rFonts w:ascii="Times New Roman" w:hAnsi="Times New Roman"/>
        </w:rPr>
      </w:pPr>
      <w:bookmarkStart w:id="49" w:name="_Toc406754309"/>
      <w:r w:rsidRPr="00C96E22">
        <w:rPr>
          <w:rFonts w:ascii="Times New Roman" w:hAnsi="Times New Roman"/>
        </w:rPr>
        <w:t>5. Vivienda</w:t>
      </w:r>
      <w:r w:rsidR="0068239B">
        <w:rPr>
          <w:rFonts w:ascii="Times New Roman" w:hAnsi="Times New Roman"/>
        </w:rPr>
        <w:t xml:space="preserve"> y Construcción</w:t>
      </w:r>
      <w:bookmarkEnd w:id="49"/>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C96E22" w:rsidRDefault="00C96E22" w:rsidP="00C96E22">
      <w:pPr>
        <w:rPr>
          <w:lang w:val="es-ES"/>
        </w:rPr>
      </w:pPr>
    </w:p>
    <w:p w:rsidR="00F6760B" w:rsidRDefault="003D2662" w:rsidP="00273AFB">
      <w:pPr>
        <w:pStyle w:val="Sinespaciado"/>
        <w:spacing w:line="360" w:lineRule="auto"/>
        <w:ind w:firstLine="284"/>
        <w:rPr>
          <w:rFonts w:ascii="Times New Roman" w:hAnsi="Times New Roman"/>
          <w:sz w:val="24"/>
          <w:szCs w:val="24"/>
        </w:rPr>
      </w:pPr>
      <w:r>
        <w:rPr>
          <w:rFonts w:ascii="Times New Roman" w:hAnsi="Times New Roman"/>
          <w:sz w:val="24"/>
          <w:szCs w:val="24"/>
        </w:rPr>
        <w:lastRenderedPageBreak/>
        <w:t xml:space="preserve">El sector de la construcción a nivel nacional juega </w:t>
      </w:r>
      <w:r w:rsidR="00172EE9">
        <w:rPr>
          <w:rFonts w:ascii="Times New Roman" w:hAnsi="Times New Roman"/>
          <w:sz w:val="24"/>
          <w:szCs w:val="24"/>
        </w:rPr>
        <w:t>un papel importante dentro de la generación de valor agr</w:t>
      </w:r>
      <w:r>
        <w:rPr>
          <w:rFonts w:ascii="Times New Roman" w:hAnsi="Times New Roman"/>
          <w:sz w:val="24"/>
          <w:szCs w:val="24"/>
        </w:rPr>
        <w:t>egado en la economía; dicho comportamiento no es indiferente a la realidad que se evidencia en el Departamento del Quindío</w:t>
      </w:r>
      <w:r w:rsidR="0088034F">
        <w:rPr>
          <w:rFonts w:ascii="Times New Roman" w:hAnsi="Times New Roman"/>
          <w:sz w:val="24"/>
          <w:szCs w:val="24"/>
        </w:rPr>
        <w:t xml:space="preserve"> donde la construcción se ha consolidado como unos de los sectores más dinámicos</w:t>
      </w:r>
      <w:r w:rsidR="004A210D">
        <w:rPr>
          <w:rFonts w:ascii="Times New Roman" w:hAnsi="Times New Roman"/>
          <w:sz w:val="24"/>
          <w:szCs w:val="24"/>
        </w:rPr>
        <w:t>.</w:t>
      </w:r>
    </w:p>
    <w:p w:rsidR="003B5B35" w:rsidRDefault="003B5B35" w:rsidP="00273AFB">
      <w:pPr>
        <w:pStyle w:val="Sinespaciado"/>
        <w:spacing w:line="360" w:lineRule="auto"/>
        <w:ind w:firstLine="284"/>
        <w:rPr>
          <w:rFonts w:ascii="Times New Roman" w:hAnsi="Times New Roman"/>
          <w:sz w:val="24"/>
          <w:szCs w:val="24"/>
        </w:rPr>
      </w:pPr>
    </w:p>
    <w:p w:rsidR="00417D7A" w:rsidRPr="00AB1E73" w:rsidRDefault="00417D7A" w:rsidP="00AB1E73">
      <w:pPr>
        <w:pStyle w:val="Ttulo2"/>
        <w:rPr>
          <w:rFonts w:ascii="Times New Roman" w:hAnsi="Times New Roman" w:cs="Times New Roman"/>
          <w:color w:val="auto"/>
          <w:sz w:val="30"/>
          <w:szCs w:val="30"/>
        </w:rPr>
      </w:pPr>
      <w:bookmarkStart w:id="50" w:name="_Toc406754310"/>
      <w:r w:rsidRPr="00AB1E73">
        <w:rPr>
          <w:rFonts w:ascii="Times New Roman" w:hAnsi="Times New Roman" w:cs="Times New Roman"/>
          <w:color w:val="auto"/>
          <w:sz w:val="30"/>
          <w:szCs w:val="30"/>
        </w:rPr>
        <w:t>5.1 Índice de Costos de la Construcción de Vivienda -ICCV</w:t>
      </w:r>
      <w:bookmarkEnd w:id="50"/>
    </w:p>
    <w:p w:rsidR="00417D7A" w:rsidRDefault="00417D7A" w:rsidP="00273AFB">
      <w:pPr>
        <w:pStyle w:val="Sinespaciado"/>
        <w:spacing w:line="360" w:lineRule="auto"/>
        <w:ind w:firstLine="284"/>
        <w:rPr>
          <w:rFonts w:ascii="Times New Roman" w:hAnsi="Times New Roman"/>
          <w:sz w:val="24"/>
        </w:rPr>
      </w:pPr>
    </w:p>
    <w:p w:rsidR="0048264A" w:rsidRPr="0048264A" w:rsidRDefault="0048264A" w:rsidP="00273AFB">
      <w:pPr>
        <w:pStyle w:val="Sinespaciado"/>
        <w:spacing w:line="360" w:lineRule="auto"/>
        <w:ind w:firstLine="284"/>
        <w:rPr>
          <w:rFonts w:ascii="Times New Roman" w:hAnsi="Times New Roman"/>
          <w:sz w:val="28"/>
          <w:szCs w:val="24"/>
        </w:rPr>
      </w:pPr>
      <w:r w:rsidRPr="0048264A">
        <w:rPr>
          <w:rFonts w:ascii="Times New Roman" w:hAnsi="Times New Roman"/>
          <w:sz w:val="24"/>
        </w:rPr>
        <w:t>El Índice de Costos de la Construcción de Vivienda (ICCV) se define “</w:t>
      </w:r>
      <w:r w:rsidRPr="00493C5C">
        <w:rPr>
          <w:rFonts w:ascii="Times New Roman" w:hAnsi="Times New Roman"/>
          <w:i/>
          <w:sz w:val="24"/>
        </w:rPr>
        <w:t>como un instrumento estadístico que permite conocer el cambio porcentual entre dos períodos de tiempo del costo medio de la demanda de insumos de la construcción de vivienda - Maquinaria y Equipo, Mano de obra y Materiales</w:t>
      </w:r>
      <w:r w:rsidR="00493C5C">
        <w:rPr>
          <w:rFonts w:ascii="Times New Roman" w:hAnsi="Times New Roman"/>
          <w:sz w:val="24"/>
        </w:rPr>
        <w:t>” (</w:t>
      </w:r>
      <w:r w:rsidR="008F5FB2">
        <w:rPr>
          <w:rFonts w:ascii="Times New Roman" w:hAnsi="Times New Roman"/>
          <w:sz w:val="24"/>
        </w:rPr>
        <w:t>DANE</w:t>
      </w:r>
      <w:r w:rsidR="00493C5C">
        <w:rPr>
          <w:rFonts w:ascii="Times New Roman" w:hAnsi="Times New Roman"/>
          <w:sz w:val="24"/>
        </w:rPr>
        <w:t xml:space="preserve">, </w:t>
      </w:r>
      <w:r w:rsidRPr="0048264A">
        <w:rPr>
          <w:rFonts w:ascii="Times New Roman" w:hAnsi="Times New Roman"/>
          <w:sz w:val="24"/>
        </w:rPr>
        <w:t>2014).</w:t>
      </w:r>
    </w:p>
    <w:p w:rsidR="00F6760B" w:rsidRPr="00740600" w:rsidRDefault="00F6760B" w:rsidP="00273AFB">
      <w:pPr>
        <w:pStyle w:val="Sinespaciado"/>
        <w:spacing w:line="360" w:lineRule="auto"/>
        <w:ind w:firstLine="284"/>
        <w:rPr>
          <w:rFonts w:ascii="Times New Roman" w:hAnsi="Times New Roman"/>
          <w:sz w:val="24"/>
          <w:szCs w:val="24"/>
        </w:rPr>
      </w:pPr>
    </w:p>
    <w:p w:rsidR="00F6760B" w:rsidRPr="004E6E13" w:rsidRDefault="00F6760B" w:rsidP="00F6760B">
      <w:pPr>
        <w:pStyle w:val="Sinespaciado"/>
        <w:rPr>
          <w:rFonts w:ascii="Times New Roman" w:hAnsi="Times New Roman"/>
          <w:sz w:val="24"/>
          <w:szCs w:val="24"/>
        </w:rPr>
      </w:pPr>
      <w:r w:rsidRPr="004E6E13">
        <w:rPr>
          <w:rFonts w:ascii="Times New Roman" w:hAnsi="Times New Roman"/>
          <w:sz w:val="24"/>
          <w:szCs w:val="24"/>
        </w:rPr>
        <w:t>Gráfico 5.1</w:t>
      </w:r>
    </w:p>
    <w:p w:rsidR="00F6760B" w:rsidRDefault="00F6760B" w:rsidP="00F6760B">
      <w:pPr>
        <w:pStyle w:val="Sinespaciado"/>
        <w:rPr>
          <w:rFonts w:ascii="Times New Roman" w:hAnsi="Times New Roman"/>
          <w:sz w:val="24"/>
          <w:szCs w:val="24"/>
        </w:rPr>
      </w:pPr>
      <w:r w:rsidRPr="004E6E13">
        <w:rPr>
          <w:rFonts w:ascii="Times New Roman" w:hAnsi="Times New Roman"/>
          <w:sz w:val="24"/>
          <w:szCs w:val="24"/>
        </w:rPr>
        <w:t>Colombia. Índice de costos de la construcción de vivienda (ICCV) variación mensual   Diciembre 2013</w:t>
      </w:r>
    </w:p>
    <w:p w:rsidR="003C0AED" w:rsidRDefault="003C0AED" w:rsidP="00F6760B">
      <w:pPr>
        <w:pStyle w:val="Sinespaciado"/>
        <w:rPr>
          <w:rFonts w:ascii="Times New Roman" w:hAnsi="Times New Roman"/>
          <w:sz w:val="24"/>
          <w:szCs w:val="24"/>
        </w:rPr>
      </w:pPr>
    </w:p>
    <w:p w:rsidR="003C0AED" w:rsidRPr="004E6E13" w:rsidRDefault="003C0AED" w:rsidP="00F6760B">
      <w:pPr>
        <w:pStyle w:val="Sinespaciado"/>
        <w:rPr>
          <w:rFonts w:ascii="Times New Roman" w:hAnsi="Times New Roman"/>
          <w:sz w:val="24"/>
          <w:szCs w:val="24"/>
        </w:rPr>
      </w:pPr>
      <w:r>
        <w:rPr>
          <w:noProof/>
          <w:lang w:val="es-CO" w:eastAsia="es-CO"/>
        </w:rPr>
        <w:drawing>
          <wp:inline distT="0" distB="0" distL="0" distR="0" wp14:anchorId="5D33E29C" wp14:editId="2A8954D0">
            <wp:extent cx="5400136" cy="2691441"/>
            <wp:effectExtent l="0" t="0" r="10160" b="1397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6760B" w:rsidRPr="004E6E13" w:rsidRDefault="003C0AED" w:rsidP="003C0AED">
      <w:pPr>
        <w:pStyle w:val="Sinespaciado"/>
        <w:spacing w:line="360" w:lineRule="auto"/>
        <w:jc w:val="left"/>
        <w:rPr>
          <w:rFonts w:ascii="Times New Roman" w:hAnsi="Times New Roman"/>
          <w:sz w:val="16"/>
          <w:szCs w:val="16"/>
        </w:rPr>
      </w:pPr>
      <w:r>
        <w:rPr>
          <w:rFonts w:ascii="Times New Roman" w:hAnsi="Times New Roman"/>
          <w:sz w:val="16"/>
          <w:szCs w:val="16"/>
        </w:rPr>
        <w:t xml:space="preserve">   </w:t>
      </w:r>
      <w:r w:rsidR="00F6760B" w:rsidRPr="004E6E13">
        <w:rPr>
          <w:rFonts w:ascii="Times New Roman" w:hAnsi="Times New Roman"/>
          <w:sz w:val="16"/>
          <w:szCs w:val="16"/>
        </w:rPr>
        <w:t xml:space="preserve">Fuente: </w:t>
      </w:r>
      <w:r w:rsidR="008F5FB2">
        <w:rPr>
          <w:rFonts w:ascii="Times New Roman" w:hAnsi="Times New Roman"/>
          <w:sz w:val="16"/>
          <w:szCs w:val="16"/>
        </w:rPr>
        <w:t>DANE</w:t>
      </w:r>
      <w:r w:rsidR="00F6760B" w:rsidRPr="004E6E13">
        <w:rPr>
          <w:rFonts w:ascii="Times New Roman" w:hAnsi="Times New Roman"/>
          <w:sz w:val="16"/>
          <w:szCs w:val="16"/>
        </w:rPr>
        <w:t xml:space="preserve"> </w:t>
      </w:r>
    </w:p>
    <w:p w:rsidR="00F6760B" w:rsidRDefault="00F6760B" w:rsidP="00F6760B">
      <w:pPr>
        <w:spacing w:line="360" w:lineRule="auto"/>
        <w:jc w:val="both"/>
      </w:pPr>
      <w:r w:rsidRPr="00740600">
        <w:t xml:space="preserve">   </w:t>
      </w:r>
    </w:p>
    <w:p w:rsidR="00F6760B" w:rsidRDefault="00DE246F" w:rsidP="00493C5C">
      <w:pPr>
        <w:spacing w:line="360" w:lineRule="auto"/>
        <w:ind w:firstLine="284"/>
        <w:jc w:val="both"/>
      </w:pPr>
      <w:r>
        <w:t>El comportamiento del Índice de Costos de la C</w:t>
      </w:r>
      <w:r w:rsidR="00F6760B" w:rsidRPr="00740600">
        <w:t>onstrucción</w:t>
      </w:r>
      <w:r>
        <w:t xml:space="preserve"> -</w:t>
      </w:r>
      <w:r w:rsidR="00F6760B" w:rsidRPr="00740600">
        <w:t xml:space="preserve"> ICCV,  ha sido particularmente bajo durante el año 2013. De acuerdo con el reporte del </w:t>
      </w:r>
      <w:r w:rsidR="008F5FB2">
        <w:t>DANE</w:t>
      </w:r>
      <w:r w:rsidR="00F6760B" w:rsidRPr="00740600">
        <w:t xml:space="preserve">, en el mes de diciembre de 2013 el ICCV estuvo en un 0.07, esta tasa es inferior en 1,14 puntos </w:t>
      </w:r>
      <w:r w:rsidR="00F6760B" w:rsidRPr="00740600">
        <w:lastRenderedPageBreak/>
        <w:t xml:space="preserve">porcentuales frente a la presentada en el mes de Enero del mismo año e inferior en 0,41 puntos porcentuales con respecto a la variación total del Índice de Precios al Consumidor (IPC) de diciembre de 2013 (0,26 por ciento).  </w:t>
      </w:r>
    </w:p>
    <w:p w:rsidR="003B5B35" w:rsidRDefault="003B5B35" w:rsidP="00F6760B">
      <w:pPr>
        <w:pStyle w:val="Sinespaciado"/>
        <w:rPr>
          <w:rFonts w:ascii="Times New Roman" w:hAnsi="Times New Roman"/>
          <w:sz w:val="24"/>
          <w:szCs w:val="24"/>
        </w:rPr>
      </w:pPr>
    </w:p>
    <w:p w:rsidR="00F6760B" w:rsidRPr="00212D19" w:rsidRDefault="00F6760B" w:rsidP="00F6760B">
      <w:pPr>
        <w:pStyle w:val="Sinespaciado"/>
        <w:rPr>
          <w:rFonts w:ascii="Times New Roman" w:hAnsi="Times New Roman"/>
          <w:sz w:val="24"/>
          <w:szCs w:val="24"/>
        </w:rPr>
      </w:pPr>
      <w:r w:rsidRPr="00212D19">
        <w:rPr>
          <w:rFonts w:ascii="Times New Roman" w:hAnsi="Times New Roman"/>
          <w:sz w:val="24"/>
          <w:szCs w:val="24"/>
        </w:rPr>
        <w:t>Tabla 5.1</w:t>
      </w:r>
    </w:p>
    <w:p w:rsidR="00F6760B" w:rsidRPr="00212D19" w:rsidRDefault="00F6760B" w:rsidP="00F6760B">
      <w:pPr>
        <w:pStyle w:val="Sinespaciado"/>
        <w:rPr>
          <w:rFonts w:ascii="Times New Roman" w:hAnsi="Times New Roman"/>
          <w:sz w:val="24"/>
          <w:szCs w:val="24"/>
        </w:rPr>
      </w:pPr>
      <w:r w:rsidRPr="00212D19">
        <w:rPr>
          <w:rFonts w:ascii="Times New Roman" w:hAnsi="Times New Roman"/>
          <w:sz w:val="24"/>
          <w:szCs w:val="24"/>
        </w:rPr>
        <w:t>ICCV. Variación mensual, año corrido y doce meses, total nacional y por tipos de vivienda, según ciudades</w:t>
      </w:r>
    </w:p>
    <w:p w:rsidR="00F6760B" w:rsidRPr="00212D19" w:rsidRDefault="00F6760B" w:rsidP="00F6760B">
      <w:pPr>
        <w:pStyle w:val="Sinespaciado"/>
        <w:rPr>
          <w:rFonts w:ascii="Times New Roman" w:hAnsi="Times New Roman"/>
          <w:sz w:val="24"/>
          <w:szCs w:val="24"/>
        </w:rPr>
      </w:pPr>
      <w:r w:rsidRPr="00212D19">
        <w:rPr>
          <w:rFonts w:ascii="Times New Roman" w:hAnsi="Times New Roman"/>
          <w:sz w:val="24"/>
          <w:szCs w:val="24"/>
        </w:rPr>
        <w:t>Diciembre 2013</w:t>
      </w:r>
    </w:p>
    <w:p w:rsidR="00F6760B" w:rsidRPr="00740600" w:rsidRDefault="00F6760B" w:rsidP="00F6760B">
      <w:pPr>
        <w:pStyle w:val="Sinespaciado"/>
        <w:jc w:val="center"/>
        <w:rPr>
          <w:rFonts w:ascii="Times New Roman" w:hAnsi="Times New Roman"/>
          <w:sz w:val="24"/>
          <w:szCs w:val="24"/>
        </w:rPr>
      </w:pPr>
    </w:p>
    <w:tbl>
      <w:tblPr>
        <w:tblW w:w="8638" w:type="dxa"/>
        <w:jc w:val="center"/>
        <w:tblCellMar>
          <w:left w:w="70" w:type="dxa"/>
          <w:right w:w="70" w:type="dxa"/>
        </w:tblCellMar>
        <w:tblLook w:val="04A0" w:firstRow="1" w:lastRow="0" w:firstColumn="1" w:lastColumn="0" w:noHBand="0" w:noVBand="1"/>
      </w:tblPr>
      <w:tblGrid>
        <w:gridCol w:w="1437"/>
        <w:gridCol w:w="715"/>
        <w:gridCol w:w="827"/>
        <w:gridCol w:w="187"/>
        <w:gridCol w:w="846"/>
        <w:gridCol w:w="808"/>
        <w:gridCol w:w="187"/>
        <w:gridCol w:w="763"/>
        <w:gridCol w:w="827"/>
        <w:gridCol w:w="274"/>
        <w:gridCol w:w="857"/>
        <w:gridCol w:w="910"/>
      </w:tblGrid>
      <w:tr w:rsidR="00F6760B" w:rsidRPr="00740600" w:rsidTr="00F6760B">
        <w:trPr>
          <w:trHeight w:val="594"/>
          <w:jc w:val="center"/>
        </w:trPr>
        <w:tc>
          <w:tcPr>
            <w:tcW w:w="1437" w:type="dxa"/>
            <w:tcBorders>
              <w:top w:val="single" w:sz="4" w:space="0" w:color="auto"/>
              <w:left w:val="nil"/>
              <w:bottom w:val="nil"/>
              <w:right w:val="nil"/>
            </w:tcBorders>
            <w:shd w:val="clear" w:color="auto" w:fill="auto"/>
            <w:vAlign w:val="bottom"/>
            <w:hideMark/>
          </w:tcPr>
          <w:p w:rsidR="00F6760B" w:rsidRPr="00740600" w:rsidRDefault="00F6760B" w:rsidP="00F6760B">
            <w:pPr>
              <w:rPr>
                <w:b/>
                <w:sz w:val="18"/>
                <w:szCs w:val="18"/>
                <w:lang w:val="es-ES"/>
              </w:rPr>
            </w:pPr>
            <w:r w:rsidRPr="00740600">
              <w:rPr>
                <w:b/>
                <w:sz w:val="18"/>
                <w:szCs w:val="18"/>
                <w:lang w:val="es-ES"/>
              </w:rPr>
              <w:t> </w:t>
            </w:r>
          </w:p>
        </w:tc>
        <w:tc>
          <w:tcPr>
            <w:tcW w:w="1542" w:type="dxa"/>
            <w:gridSpan w:val="2"/>
            <w:tcBorders>
              <w:top w:val="single" w:sz="4" w:space="0" w:color="auto"/>
              <w:left w:val="nil"/>
              <w:bottom w:val="single" w:sz="4" w:space="0" w:color="auto"/>
              <w:right w:val="nil"/>
            </w:tcBorders>
            <w:shd w:val="clear" w:color="auto" w:fill="auto"/>
            <w:noWrap/>
            <w:vAlign w:val="center"/>
            <w:hideMark/>
          </w:tcPr>
          <w:p w:rsidR="00F6760B" w:rsidRPr="00740600" w:rsidRDefault="00F6760B" w:rsidP="00F6760B">
            <w:pPr>
              <w:jc w:val="center"/>
              <w:rPr>
                <w:b/>
                <w:sz w:val="18"/>
                <w:szCs w:val="18"/>
                <w:lang w:val="es-ES"/>
              </w:rPr>
            </w:pPr>
            <w:r w:rsidRPr="00740600">
              <w:rPr>
                <w:b/>
                <w:sz w:val="18"/>
                <w:szCs w:val="18"/>
                <w:lang w:val="es-ES"/>
              </w:rPr>
              <w:t>Total nacional</w:t>
            </w:r>
          </w:p>
        </w:tc>
        <w:tc>
          <w:tcPr>
            <w:tcW w:w="187" w:type="dxa"/>
            <w:tcBorders>
              <w:top w:val="single" w:sz="4" w:space="0" w:color="auto"/>
              <w:left w:val="nil"/>
              <w:bottom w:val="nil"/>
              <w:right w:val="nil"/>
            </w:tcBorders>
            <w:shd w:val="clear" w:color="auto" w:fill="auto"/>
            <w:vAlign w:val="center"/>
            <w:hideMark/>
          </w:tcPr>
          <w:p w:rsidR="00F6760B" w:rsidRPr="00740600" w:rsidRDefault="00F6760B" w:rsidP="00F6760B">
            <w:pPr>
              <w:jc w:val="center"/>
              <w:rPr>
                <w:b/>
                <w:sz w:val="18"/>
                <w:szCs w:val="18"/>
                <w:lang w:val="es-ES"/>
              </w:rPr>
            </w:pPr>
            <w:r w:rsidRPr="00740600">
              <w:rPr>
                <w:b/>
                <w:sz w:val="18"/>
                <w:szCs w:val="18"/>
                <w:lang w:val="es-ES"/>
              </w:rPr>
              <w:t> </w:t>
            </w:r>
          </w:p>
        </w:tc>
        <w:tc>
          <w:tcPr>
            <w:tcW w:w="1654" w:type="dxa"/>
            <w:gridSpan w:val="2"/>
            <w:tcBorders>
              <w:top w:val="single" w:sz="4" w:space="0" w:color="auto"/>
              <w:left w:val="nil"/>
              <w:bottom w:val="single" w:sz="4" w:space="0" w:color="auto"/>
              <w:right w:val="nil"/>
            </w:tcBorders>
            <w:shd w:val="clear" w:color="auto" w:fill="auto"/>
            <w:noWrap/>
            <w:vAlign w:val="center"/>
            <w:hideMark/>
          </w:tcPr>
          <w:p w:rsidR="00F6760B" w:rsidRPr="00740600" w:rsidRDefault="00F6760B" w:rsidP="00F6760B">
            <w:pPr>
              <w:jc w:val="center"/>
              <w:rPr>
                <w:b/>
                <w:sz w:val="18"/>
                <w:szCs w:val="18"/>
                <w:lang w:val="es-ES"/>
              </w:rPr>
            </w:pPr>
            <w:r w:rsidRPr="00740600">
              <w:rPr>
                <w:b/>
                <w:sz w:val="18"/>
                <w:szCs w:val="18"/>
                <w:lang w:val="es-ES"/>
              </w:rPr>
              <w:t>Vivienda unifamiliar</w:t>
            </w:r>
          </w:p>
        </w:tc>
        <w:tc>
          <w:tcPr>
            <w:tcW w:w="187" w:type="dxa"/>
            <w:tcBorders>
              <w:top w:val="single" w:sz="4" w:space="0" w:color="auto"/>
              <w:left w:val="nil"/>
              <w:bottom w:val="nil"/>
              <w:right w:val="nil"/>
            </w:tcBorders>
            <w:shd w:val="clear" w:color="auto" w:fill="auto"/>
            <w:vAlign w:val="center"/>
            <w:hideMark/>
          </w:tcPr>
          <w:p w:rsidR="00F6760B" w:rsidRPr="00740600" w:rsidRDefault="00F6760B" w:rsidP="00F6760B">
            <w:pPr>
              <w:jc w:val="center"/>
              <w:rPr>
                <w:b/>
                <w:sz w:val="18"/>
                <w:szCs w:val="18"/>
                <w:lang w:val="es-ES"/>
              </w:rPr>
            </w:pPr>
            <w:r w:rsidRPr="00740600">
              <w:rPr>
                <w:b/>
                <w:sz w:val="18"/>
                <w:szCs w:val="18"/>
                <w:lang w:val="es-ES"/>
              </w:rPr>
              <w:t> </w:t>
            </w:r>
          </w:p>
        </w:tc>
        <w:tc>
          <w:tcPr>
            <w:tcW w:w="1590" w:type="dxa"/>
            <w:gridSpan w:val="2"/>
            <w:tcBorders>
              <w:top w:val="single" w:sz="4" w:space="0" w:color="auto"/>
              <w:left w:val="nil"/>
              <w:bottom w:val="single" w:sz="4" w:space="0" w:color="auto"/>
              <w:right w:val="nil"/>
            </w:tcBorders>
            <w:shd w:val="clear" w:color="auto" w:fill="auto"/>
            <w:vAlign w:val="center"/>
            <w:hideMark/>
          </w:tcPr>
          <w:p w:rsidR="00F6760B" w:rsidRPr="00740600" w:rsidRDefault="00F6760B" w:rsidP="00F6760B">
            <w:pPr>
              <w:jc w:val="center"/>
              <w:rPr>
                <w:b/>
                <w:sz w:val="18"/>
                <w:szCs w:val="18"/>
                <w:lang w:val="es-ES"/>
              </w:rPr>
            </w:pPr>
            <w:r w:rsidRPr="00740600">
              <w:rPr>
                <w:b/>
                <w:sz w:val="18"/>
                <w:szCs w:val="18"/>
                <w:lang w:val="es-ES"/>
              </w:rPr>
              <w:t>Vivienda multifamiliar</w:t>
            </w:r>
          </w:p>
        </w:tc>
        <w:tc>
          <w:tcPr>
            <w:tcW w:w="274" w:type="dxa"/>
            <w:tcBorders>
              <w:top w:val="single" w:sz="4" w:space="0" w:color="auto"/>
              <w:left w:val="nil"/>
              <w:bottom w:val="nil"/>
              <w:right w:val="nil"/>
            </w:tcBorders>
            <w:shd w:val="clear" w:color="auto" w:fill="auto"/>
            <w:vAlign w:val="bottom"/>
            <w:hideMark/>
          </w:tcPr>
          <w:p w:rsidR="00F6760B" w:rsidRPr="00740600" w:rsidRDefault="00F6760B" w:rsidP="00F6760B">
            <w:pPr>
              <w:jc w:val="center"/>
              <w:rPr>
                <w:b/>
                <w:sz w:val="18"/>
                <w:szCs w:val="18"/>
                <w:lang w:val="es-ES"/>
              </w:rPr>
            </w:pPr>
            <w:r w:rsidRPr="00740600">
              <w:rPr>
                <w:b/>
                <w:sz w:val="18"/>
                <w:szCs w:val="18"/>
                <w:lang w:val="es-ES"/>
              </w:rPr>
              <w:t> </w:t>
            </w:r>
          </w:p>
        </w:tc>
        <w:tc>
          <w:tcPr>
            <w:tcW w:w="1767" w:type="dxa"/>
            <w:gridSpan w:val="2"/>
            <w:tcBorders>
              <w:top w:val="single" w:sz="4" w:space="0" w:color="auto"/>
              <w:left w:val="nil"/>
              <w:bottom w:val="single" w:sz="4" w:space="0" w:color="auto"/>
              <w:right w:val="nil"/>
            </w:tcBorders>
            <w:shd w:val="clear" w:color="auto" w:fill="auto"/>
            <w:vAlign w:val="center"/>
            <w:hideMark/>
          </w:tcPr>
          <w:p w:rsidR="00F6760B" w:rsidRPr="00740600" w:rsidRDefault="00F6760B" w:rsidP="00F6760B">
            <w:pPr>
              <w:jc w:val="center"/>
              <w:rPr>
                <w:b/>
                <w:sz w:val="18"/>
                <w:szCs w:val="18"/>
                <w:lang w:val="es-ES"/>
              </w:rPr>
            </w:pPr>
            <w:r w:rsidRPr="00740600">
              <w:rPr>
                <w:b/>
                <w:sz w:val="18"/>
                <w:szCs w:val="18"/>
                <w:lang w:val="es-ES"/>
              </w:rPr>
              <w:t>VIS</w:t>
            </w:r>
          </w:p>
        </w:tc>
      </w:tr>
      <w:tr w:rsidR="00F6760B" w:rsidRPr="00740600" w:rsidTr="00F6760B">
        <w:trPr>
          <w:trHeight w:val="327"/>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b/>
                <w:sz w:val="18"/>
                <w:szCs w:val="18"/>
                <w:lang w:val="es-ES"/>
              </w:rPr>
            </w:pPr>
            <w:r w:rsidRPr="00740600">
              <w:rPr>
                <w:b/>
                <w:sz w:val="18"/>
                <w:szCs w:val="18"/>
                <w:lang w:val="es-ES"/>
              </w:rPr>
              <w:t>Ciudades</w:t>
            </w:r>
          </w:p>
        </w:tc>
        <w:tc>
          <w:tcPr>
            <w:tcW w:w="715" w:type="dxa"/>
            <w:vMerge w:val="restart"/>
            <w:tcBorders>
              <w:top w:val="nil"/>
              <w:left w:val="nil"/>
              <w:bottom w:val="single" w:sz="4" w:space="0" w:color="000000"/>
              <w:right w:val="nil"/>
            </w:tcBorders>
            <w:shd w:val="clear" w:color="auto" w:fill="auto"/>
            <w:vAlign w:val="center"/>
            <w:hideMark/>
          </w:tcPr>
          <w:p w:rsidR="00F6760B" w:rsidRPr="00740600" w:rsidRDefault="00F6760B" w:rsidP="00F6760B">
            <w:pPr>
              <w:jc w:val="center"/>
              <w:rPr>
                <w:b/>
                <w:sz w:val="18"/>
                <w:szCs w:val="18"/>
                <w:lang w:val="es-ES"/>
              </w:rPr>
            </w:pPr>
            <w:r w:rsidRPr="00740600">
              <w:rPr>
                <w:b/>
                <w:sz w:val="18"/>
                <w:szCs w:val="18"/>
                <w:lang w:val="es-ES"/>
              </w:rPr>
              <w:t>Anual</w:t>
            </w:r>
          </w:p>
        </w:tc>
        <w:tc>
          <w:tcPr>
            <w:tcW w:w="827" w:type="dxa"/>
            <w:vMerge w:val="restart"/>
            <w:tcBorders>
              <w:top w:val="nil"/>
              <w:left w:val="nil"/>
              <w:bottom w:val="single" w:sz="4" w:space="0" w:color="000000"/>
              <w:right w:val="nil"/>
            </w:tcBorders>
            <w:shd w:val="clear" w:color="auto" w:fill="auto"/>
            <w:noWrap/>
            <w:vAlign w:val="center"/>
            <w:hideMark/>
          </w:tcPr>
          <w:p w:rsidR="00F6760B" w:rsidRPr="00740600" w:rsidRDefault="00F6760B" w:rsidP="00F6760B">
            <w:pPr>
              <w:jc w:val="right"/>
              <w:rPr>
                <w:b/>
                <w:sz w:val="18"/>
                <w:szCs w:val="18"/>
                <w:lang w:val="es-ES"/>
              </w:rPr>
            </w:pPr>
            <w:r w:rsidRPr="00740600">
              <w:rPr>
                <w:b/>
                <w:sz w:val="18"/>
                <w:szCs w:val="18"/>
                <w:lang w:val="es-ES"/>
              </w:rPr>
              <w:t>Mensual</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right"/>
              <w:rPr>
                <w:b/>
                <w:sz w:val="18"/>
                <w:szCs w:val="18"/>
                <w:lang w:val="es-ES"/>
              </w:rPr>
            </w:pPr>
          </w:p>
        </w:tc>
        <w:tc>
          <w:tcPr>
            <w:tcW w:w="846" w:type="dxa"/>
            <w:vMerge w:val="restart"/>
            <w:tcBorders>
              <w:top w:val="nil"/>
              <w:left w:val="nil"/>
              <w:bottom w:val="single" w:sz="4" w:space="0" w:color="000000"/>
              <w:right w:val="nil"/>
            </w:tcBorders>
            <w:shd w:val="clear" w:color="auto" w:fill="auto"/>
            <w:vAlign w:val="center"/>
            <w:hideMark/>
          </w:tcPr>
          <w:p w:rsidR="00F6760B" w:rsidRPr="00740600" w:rsidRDefault="00F6760B" w:rsidP="00F6760B">
            <w:pPr>
              <w:jc w:val="center"/>
              <w:rPr>
                <w:b/>
                <w:sz w:val="18"/>
                <w:szCs w:val="18"/>
                <w:lang w:val="es-ES"/>
              </w:rPr>
            </w:pPr>
            <w:r w:rsidRPr="00740600">
              <w:rPr>
                <w:b/>
                <w:sz w:val="18"/>
                <w:szCs w:val="18"/>
                <w:lang w:val="es-ES"/>
              </w:rPr>
              <w:t>Anual</w:t>
            </w:r>
          </w:p>
        </w:tc>
        <w:tc>
          <w:tcPr>
            <w:tcW w:w="808" w:type="dxa"/>
            <w:vMerge w:val="restart"/>
            <w:tcBorders>
              <w:top w:val="nil"/>
              <w:left w:val="nil"/>
              <w:bottom w:val="single" w:sz="4" w:space="0" w:color="000000"/>
              <w:right w:val="nil"/>
            </w:tcBorders>
            <w:shd w:val="clear" w:color="auto" w:fill="auto"/>
            <w:noWrap/>
            <w:vAlign w:val="center"/>
            <w:hideMark/>
          </w:tcPr>
          <w:p w:rsidR="00F6760B" w:rsidRPr="00740600" w:rsidRDefault="00F6760B" w:rsidP="00F6760B">
            <w:pPr>
              <w:jc w:val="right"/>
              <w:rPr>
                <w:b/>
                <w:sz w:val="18"/>
                <w:szCs w:val="18"/>
                <w:lang w:val="es-ES"/>
              </w:rPr>
            </w:pPr>
            <w:r w:rsidRPr="00740600">
              <w:rPr>
                <w:b/>
                <w:sz w:val="18"/>
                <w:szCs w:val="18"/>
                <w:lang w:val="es-ES"/>
              </w:rPr>
              <w:t>Mensual</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right"/>
              <w:rPr>
                <w:b/>
                <w:sz w:val="18"/>
                <w:szCs w:val="18"/>
                <w:lang w:val="es-ES"/>
              </w:rPr>
            </w:pPr>
          </w:p>
        </w:tc>
        <w:tc>
          <w:tcPr>
            <w:tcW w:w="763" w:type="dxa"/>
            <w:vMerge w:val="restart"/>
            <w:tcBorders>
              <w:top w:val="nil"/>
              <w:left w:val="nil"/>
              <w:bottom w:val="single" w:sz="4" w:space="0" w:color="000000"/>
              <w:right w:val="nil"/>
            </w:tcBorders>
            <w:shd w:val="clear" w:color="auto" w:fill="auto"/>
            <w:vAlign w:val="center"/>
            <w:hideMark/>
          </w:tcPr>
          <w:p w:rsidR="00F6760B" w:rsidRPr="00740600" w:rsidRDefault="00F6760B" w:rsidP="00F6760B">
            <w:pPr>
              <w:jc w:val="center"/>
              <w:rPr>
                <w:b/>
                <w:sz w:val="18"/>
                <w:szCs w:val="18"/>
                <w:lang w:val="es-ES"/>
              </w:rPr>
            </w:pPr>
            <w:r w:rsidRPr="00740600">
              <w:rPr>
                <w:b/>
                <w:sz w:val="18"/>
                <w:szCs w:val="18"/>
                <w:lang w:val="es-ES"/>
              </w:rPr>
              <w:t>Anual</w:t>
            </w:r>
          </w:p>
        </w:tc>
        <w:tc>
          <w:tcPr>
            <w:tcW w:w="827" w:type="dxa"/>
            <w:vMerge w:val="restart"/>
            <w:tcBorders>
              <w:top w:val="nil"/>
              <w:left w:val="nil"/>
              <w:bottom w:val="single" w:sz="4" w:space="0" w:color="000000"/>
              <w:right w:val="nil"/>
            </w:tcBorders>
            <w:shd w:val="clear" w:color="auto" w:fill="auto"/>
            <w:noWrap/>
            <w:vAlign w:val="center"/>
            <w:hideMark/>
          </w:tcPr>
          <w:p w:rsidR="00F6760B" w:rsidRPr="00740600" w:rsidRDefault="00F6760B" w:rsidP="00F6760B">
            <w:pPr>
              <w:jc w:val="right"/>
              <w:rPr>
                <w:b/>
                <w:sz w:val="18"/>
                <w:szCs w:val="18"/>
                <w:lang w:val="es-ES"/>
              </w:rPr>
            </w:pPr>
            <w:r w:rsidRPr="00740600">
              <w:rPr>
                <w:b/>
                <w:sz w:val="18"/>
                <w:szCs w:val="18"/>
                <w:lang w:val="es-ES"/>
              </w:rPr>
              <w:t>Mensual</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right"/>
              <w:rPr>
                <w:b/>
                <w:sz w:val="18"/>
                <w:szCs w:val="18"/>
                <w:lang w:val="es-ES"/>
              </w:rPr>
            </w:pPr>
          </w:p>
        </w:tc>
        <w:tc>
          <w:tcPr>
            <w:tcW w:w="857" w:type="dxa"/>
            <w:vMerge w:val="restart"/>
            <w:tcBorders>
              <w:top w:val="nil"/>
              <w:left w:val="nil"/>
              <w:bottom w:val="single" w:sz="4" w:space="0" w:color="000000"/>
              <w:right w:val="nil"/>
            </w:tcBorders>
            <w:shd w:val="clear" w:color="auto" w:fill="auto"/>
            <w:vAlign w:val="center"/>
            <w:hideMark/>
          </w:tcPr>
          <w:p w:rsidR="00F6760B" w:rsidRPr="00740600" w:rsidRDefault="00F6760B" w:rsidP="00F6760B">
            <w:pPr>
              <w:jc w:val="center"/>
              <w:rPr>
                <w:b/>
                <w:sz w:val="18"/>
                <w:szCs w:val="18"/>
                <w:lang w:val="es-ES"/>
              </w:rPr>
            </w:pPr>
            <w:r w:rsidRPr="00740600">
              <w:rPr>
                <w:b/>
                <w:sz w:val="18"/>
                <w:szCs w:val="18"/>
                <w:lang w:val="es-ES"/>
              </w:rPr>
              <w:t>Anual</w:t>
            </w:r>
          </w:p>
        </w:tc>
        <w:tc>
          <w:tcPr>
            <w:tcW w:w="910" w:type="dxa"/>
            <w:vMerge w:val="restart"/>
            <w:tcBorders>
              <w:top w:val="nil"/>
              <w:left w:val="nil"/>
              <w:bottom w:val="single" w:sz="4" w:space="0" w:color="000000"/>
              <w:right w:val="nil"/>
            </w:tcBorders>
            <w:shd w:val="clear" w:color="auto" w:fill="auto"/>
            <w:vAlign w:val="center"/>
            <w:hideMark/>
          </w:tcPr>
          <w:p w:rsidR="00F6760B" w:rsidRPr="00740600" w:rsidRDefault="00F6760B" w:rsidP="00F6760B">
            <w:pPr>
              <w:jc w:val="right"/>
              <w:rPr>
                <w:b/>
                <w:sz w:val="18"/>
                <w:szCs w:val="18"/>
                <w:lang w:val="es-ES"/>
              </w:rPr>
            </w:pPr>
            <w:r w:rsidRPr="00740600">
              <w:rPr>
                <w:b/>
                <w:sz w:val="18"/>
                <w:szCs w:val="18"/>
                <w:lang w:val="es-ES"/>
              </w:rPr>
              <w:t>Mensual</w:t>
            </w:r>
          </w:p>
        </w:tc>
      </w:tr>
      <w:tr w:rsidR="00F6760B" w:rsidRPr="00740600" w:rsidTr="00F6760B">
        <w:trPr>
          <w:trHeight w:val="49"/>
          <w:jc w:val="center"/>
        </w:trPr>
        <w:tc>
          <w:tcPr>
            <w:tcW w:w="1437" w:type="dxa"/>
            <w:tcBorders>
              <w:top w:val="nil"/>
              <w:left w:val="nil"/>
              <w:bottom w:val="single" w:sz="4" w:space="0" w:color="auto"/>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 </w:t>
            </w:r>
          </w:p>
        </w:tc>
        <w:tc>
          <w:tcPr>
            <w:tcW w:w="715" w:type="dxa"/>
            <w:vMerge/>
            <w:tcBorders>
              <w:top w:val="nil"/>
              <w:left w:val="nil"/>
              <w:bottom w:val="single" w:sz="4" w:space="0" w:color="000000"/>
              <w:right w:val="nil"/>
            </w:tcBorders>
            <w:vAlign w:val="center"/>
            <w:hideMark/>
          </w:tcPr>
          <w:p w:rsidR="00F6760B" w:rsidRPr="00740600" w:rsidRDefault="00F6760B" w:rsidP="00F6760B">
            <w:pPr>
              <w:rPr>
                <w:sz w:val="18"/>
                <w:szCs w:val="18"/>
                <w:lang w:val="es-ES"/>
              </w:rPr>
            </w:pPr>
          </w:p>
        </w:tc>
        <w:tc>
          <w:tcPr>
            <w:tcW w:w="827" w:type="dxa"/>
            <w:vMerge/>
            <w:tcBorders>
              <w:top w:val="nil"/>
              <w:left w:val="nil"/>
              <w:bottom w:val="single" w:sz="4" w:space="0" w:color="000000"/>
              <w:right w:val="nil"/>
            </w:tcBorders>
            <w:vAlign w:val="center"/>
            <w:hideMark/>
          </w:tcPr>
          <w:p w:rsidR="00F6760B" w:rsidRPr="00740600" w:rsidRDefault="00F6760B" w:rsidP="00F6760B">
            <w:pPr>
              <w:rPr>
                <w:sz w:val="18"/>
                <w:szCs w:val="18"/>
                <w:lang w:val="es-ES"/>
              </w:rPr>
            </w:pPr>
          </w:p>
        </w:tc>
        <w:tc>
          <w:tcPr>
            <w:tcW w:w="187" w:type="dxa"/>
            <w:tcBorders>
              <w:top w:val="nil"/>
              <w:left w:val="nil"/>
              <w:bottom w:val="single" w:sz="4" w:space="0" w:color="auto"/>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 </w:t>
            </w:r>
          </w:p>
        </w:tc>
        <w:tc>
          <w:tcPr>
            <w:tcW w:w="846" w:type="dxa"/>
            <w:vMerge/>
            <w:tcBorders>
              <w:top w:val="nil"/>
              <w:left w:val="nil"/>
              <w:bottom w:val="single" w:sz="4" w:space="0" w:color="000000"/>
              <w:right w:val="nil"/>
            </w:tcBorders>
            <w:vAlign w:val="center"/>
            <w:hideMark/>
          </w:tcPr>
          <w:p w:rsidR="00F6760B" w:rsidRPr="00740600" w:rsidRDefault="00F6760B" w:rsidP="00F6760B">
            <w:pPr>
              <w:rPr>
                <w:sz w:val="18"/>
                <w:szCs w:val="18"/>
                <w:lang w:val="es-ES"/>
              </w:rPr>
            </w:pPr>
          </w:p>
        </w:tc>
        <w:tc>
          <w:tcPr>
            <w:tcW w:w="808" w:type="dxa"/>
            <w:vMerge/>
            <w:tcBorders>
              <w:top w:val="nil"/>
              <w:left w:val="nil"/>
              <w:bottom w:val="single" w:sz="4" w:space="0" w:color="000000"/>
              <w:right w:val="nil"/>
            </w:tcBorders>
            <w:vAlign w:val="center"/>
            <w:hideMark/>
          </w:tcPr>
          <w:p w:rsidR="00F6760B" w:rsidRPr="00740600" w:rsidRDefault="00F6760B" w:rsidP="00F6760B">
            <w:pPr>
              <w:rPr>
                <w:sz w:val="18"/>
                <w:szCs w:val="18"/>
                <w:lang w:val="es-ES"/>
              </w:rPr>
            </w:pPr>
          </w:p>
        </w:tc>
        <w:tc>
          <w:tcPr>
            <w:tcW w:w="187" w:type="dxa"/>
            <w:tcBorders>
              <w:top w:val="nil"/>
              <w:left w:val="nil"/>
              <w:bottom w:val="single" w:sz="4" w:space="0" w:color="auto"/>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763" w:type="dxa"/>
            <w:vMerge/>
            <w:tcBorders>
              <w:top w:val="nil"/>
              <w:left w:val="nil"/>
              <w:bottom w:val="single" w:sz="4" w:space="0" w:color="000000"/>
              <w:right w:val="nil"/>
            </w:tcBorders>
            <w:vAlign w:val="center"/>
            <w:hideMark/>
          </w:tcPr>
          <w:p w:rsidR="00F6760B" w:rsidRPr="00740600" w:rsidRDefault="00F6760B" w:rsidP="00F6760B">
            <w:pPr>
              <w:rPr>
                <w:sz w:val="18"/>
                <w:szCs w:val="18"/>
                <w:lang w:val="es-ES"/>
              </w:rPr>
            </w:pPr>
          </w:p>
        </w:tc>
        <w:tc>
          <w:tcPr>
            <w:tcW w:w="827" w:type="dxa"/>
            <w:vMerge/>
            <w:tcBorders>
              <w:top w:val="nil"/>
              <w:left w:val="nil"/>
              <w:bottom w:val="single" w:sz="4" w:space="0" w:color="000000"/>
              <w:right w:val="nil"/>
            </w:tcBorders>
            <w:vAlign w:val="center"/>
            <w:hideMark/>
          </w:tcPr>
          <w:p w:rsidR="00F6760B" w:rsidRPr="00740600" w:rsidRDefault="00F6760B" w:rsidP="00F6760B">
            <w:pPr>
              <w:rPr>
                <w:sz w:val="18"/>
                <w:szCs w:val="18"/>
                <w:lang w:val="es-ES"/>
              </w:rPr>
            </w:pPr>
          </w:p>
        </w:tc>
        <w:tc>
          <w:tcPr>
            <w:tcW w:w="274" w:type="dxa"/>
            <w:tcBorders>
              <w:top w:val="nil"/>
              <w:left w:val="nil"/>
              <w:bottom w:val="single" w:sz="4" w:space="0" w:color="auto"/>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857" w:type="dxa"/>
            <w:vMerge/>
            <w:tcBorders>
              <w:top w:val="nil"/>
              <w:left w:val="nil"/>
              <w:bottom w:val="single" w:sz="4" w:space="0" w:color="000000"/>
              <w:right w:val="nil"/>
            </w:tcBorders>
            <w:vAlign w:val="center"/>
            <w:hideMark/>
          </w:tcPr>
          <w:p w:rsidR="00F6760B" w:rsidRPr="00740600" w:rsidRDefault="00F6760B" w:rsidP="00F6760B">
            <w:pPr>
              <w:rPr>
                <w:sz w:val="18"/>
                <w:szCs w:val="18"/>
                <w:lang w:val="es-ES"/>
              </w:rPr>
            </w:pPr>
          </w:p>
        </w:tc>
        <w:tc>
          <w:tcPr>
            <w:tcW w:w="910" w:type="dxa"/>
            <w:vMerge/>
            <w:tcBorders>
              <w:top w:val="nil"/>
              <w:left w:val="nil"/>
              <w:bottom w:val="single" w:sz="4" w:space="0" w:color="000000"/>
              <w:right w:val="nil"/>
            </w:tcBorders>
            <w:vAlign w:val="center"/>
            <w:hideMark/>
          </w:tcPr>
          <w:p w:rsidR="00F6760B" w:rsidRPr="00740600" w:rsidRDefault="00F6760B" w:rsidP="00F6760B">
            <w:pPr>
              <w:rPr>
                <w:sz w:val="18"/>
                <w:szCs w:val="18"/>
                <w:lang w:val="es-ES"/>
              </w:rPr>
            </w:pP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b/>
                <w:bCs/>
                <w:sz w:val="18"/>
                <w:szCs w:val="18"/>
                <w:lang w:val="es-ES"/>
              </w:rPr>
            </w:pPr>
            <w:r w:rsidRPr="00740600">
              <w:rPr>
                <w:b/>
                <w:bCs/>
                <w:sz w:val="18"/>
                <w:szCs w:val="18"/>
                <w:lang w:val="es-ES"/>
              </w:rPr>
              <w:t>Nacional</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2,65</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0,03</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 </w:t>
            </w: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2,57</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0,00</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 </w:t>
            </w: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2,69</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0,04</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 </w:t>
            </w: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2,91</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b/>
                <w:bCs/>
                <w:sz w:val="18"/>
                <w:szCs w:val="18"/>
                <w:lang w:val="es-ES"/>
              </w:rPr>
            </w:pPr>
            <w:r w:rsidRPr="00740600">
              <w:rPr>
                <w:b/>
                <w:bCs/>
                <w:sz w:val="18"/>
                <w:szCs w:val="18"/>
                <w:lang w:val="es-ES"/>
              </w:rPr>
              <w:t>0,01</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Medellín</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2,55</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0,18</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2,47</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0,15</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2,58</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0,20</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2,75</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0,16</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Barranquilla</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2,02</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-0,04</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2,19</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-0,05</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1,97</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-0,04</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2,21</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-0,05</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Bogotá, D.C.</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3,15</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3,16</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-0,04</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3,15</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-0,02</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3,59</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Cartagena</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1,63</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0,08</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1,80</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0,07</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1,53</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0,08</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1,76</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0,07</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Manizales</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3,20</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0,05</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3,35</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0,05</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3,09</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0,04</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3,49</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Popayán</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2,40</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-0,82</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2,40</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-0,82</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2,57</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-0,88</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2,82</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-0,93</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Neiva</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1,73</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0,08</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1,71</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0,08</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1,85</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0,07</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1,79</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0,08</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Santa Marta</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1,72</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1,87</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1,61</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1,84</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Pasto</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2,47</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-0,07</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2,51</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-0,06</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2,38</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-0,09</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2,70</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-0,05</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Cúcuta</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1,65</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1,67</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1,54</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-0,06</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1,76</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b/>
                <w:bCs/>
                <w:sz w:val="18"/>
                <w:szCs w:val="18"/>
                <w:lang w:val="es-ES"/>
              </w:rPr>
            </w:pPr>
            <w:r w:rsidRPr="00740600">
              <w:rPr>
                <w:b/>
                <w:bCs/>
                <w:sz w:val="18"/>
                <w:szCs w:val="18"/>
                <w:lang w:val="es-ES"/>
              </w:rPr>
              <w:t>Armenia</w:t>
            </w:r>
          </w:p>
        </w:tc>
        <w:tc>
          <w:tcPr>
            <w:tcW w:w="715"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2,05</w:t>
            </w:r>
          </w:p>
        </w:tc>
        <w:tc>
          <w:tcPr>
            <w:tcW w:w="827"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0,07</w:t>
            </w:r>
          </w:p>
        </w:tc>
        <w:tc>
          <w:tcPr>
            <w:tcW w:w="187"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 </w:t>
            </w:r>
          </w:p>
        </w:tc>
        <w:tc>
          <w:tcPr>
            <w:tcW w:w="846"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2,00</w:t>
            </w:r>
          </w:p>
        </w:tc>
        <w:tc>
          <w:tcPr>
            <w:tcW w:w="808"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0,07</w:t>
            </w:r>
          </w:p>
        </w:tc>
        <w:tc>
          <w:tcPr>
            <w:tcW w:w="187"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 </w:t>
            </w:r>
          </w:p>
        </w:tc>
        <w:tc>
          <w:tcPr>
            <w:tcW w:w="763"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2,11</w:t>
            </w:r>
          </w:p>
        </w:tc>
        <w:tc>
          <w:tcPr>
            <w:tcW w:w="827"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0,07</w:t>
            </w:r>
          </w:p>
        </w:tc>
        <w:tc>
          <w:tcPr>
            <w:tcW w:w="274"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 </w:t>
            </w:r>
          </w:p>
        </w:tc>
        <w:tc>
          <w:tcPr>
            <w:tcW w:w="857"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2,04</w:t>
            </w:r>
          </w:p>
        </w:tc>
        <w:tc>
          <w:tcPr>
            <w:tcW w:w="910" w:type="dxa"/>
            <w:tcBorders>
              <w:top w:val="nil"/>
              <w:left w:val="nil"/>
              <w:bottom w:val="nil"/>
              <w:right w:val="nil"/>
            </w:tcBorders>
            <w:shd w:val="clear" w:color="000000" w:fill="D8D8D8"/>
            <w:noWrap/>
            <w:vAlign w:val="bottom"/>
            <w:hideMark/>
          </w:tcPr>
          <w:p w:rsidR="00F6760B" w:rsidRPr="00740600" w:rsidRDefault="00F6760B" w:rsidP="00F6760B">
            <w:pPr>
              <w:jc w:val="center"/>
              <w:rPr>
                <w:b/>
                <w:bCs/>
                <w:sz w:val="18"/>
                <w:szCs w:val="18"/>
                <w:lang w:val="es-ES"/>
              </w:rPr>
            </w:pPr>
            <w:r w:rsidRPr="00740600">
              <w:rPr>
                <w:b/>
                <w:bCs/>
                <w:sz w:val="18"/>
                <w:szCs w:val="18"/>
                <w:lang w:val="es-ES"/>
              </w:rPr>
              <w:t>0,07</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Pereira</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1,99</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2,15</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-0,04</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1,80</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2,18</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-0,03</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Bucaramanga</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0,82</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0,05</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0,95</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0,05</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0,76</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0,05</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1,05</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0,06</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Ibagué</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1,63</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0,05</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1,64</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0,04</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1,62</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0,08</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1,64</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0,04</w:t>
            </w:r>
          </w:p>
        </w:tc>
      </w:tr>
      <w:tr w:rsidR="00F6760B" w:rsidRPr="00740600" w:rsidTr="00F6760B">
        <w:trPr>
          <w:trHeight w:val="310"/>
          <w:jc w:val="center"/>
        </w:trPr>
        <w:tc>
          <w:tcPr>
            <w:tcW w:w="1437" w:type="dxa"/>
            <w:tcBorders>
              <w:top w:val="nil"/>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Cali</w:t>
            </w:r>
          </w:p>
        </w:tc>
        <w:tc>
          <w:tcPr>
            <w:tcW w:w="715"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2,64</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0,18</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46"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2,85</w:t>
            </w:r>
          </w:p>
        </w:tc>
        <w:tc>
          <w:tcPr>
            <w:tcW w:w="808"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0,15</w:t>
            </w:r>
          </w:p>
        </w:tc>
        <w:tc>
          <w:tcPr>
            <w:tcW w:w="18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763"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2,47</w:t>
            </w:r>
          </w:p>
        </w:tc>
        <w:tc>
          <w:tcPr>
            <w:tcW w:w="82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0,20</w:t>
            </w:r>
          </w:p>
        </w:tc>
        <w:tc>
          <w:tcPr>
            <w:tcW w:w="274"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p>
        </w:tc>
        <w:tc>
          <w:tcPr>
            <w:tcW w:w="857"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2,86</w:t>
            </w:r>
          </w:p>
        </w:tc>
        <w:tc>
          <w:tcPr>
            <w:tcW w:w="910" w:type="dxa"/>
            <w:tcBorders>
              <w:top w:val="nil"/>
              <w:left w:val="nil"/>
              <w:bottom w:val="nil"/>
              <w:right w:val="nil"/>
            </w:tcBorders>
            <w:shd w:val="clear" w:color="auto" w:fill="auto"/>
            <w:noWrap/>
            <w:vAlign w:val="bottom"/>
            <w:hideMark/>
          </w:tcPr>
          <w:p w:rsidR="00F6760B" w:rsidRPr="00740600" w:rsidRDefault="00F6760B" w:rsidP="00F6760B">
            <w:pPr>
              <w:jc w:val="center"/>
              <w:rPr>
                <w:sz w:val="18"/>
                <w:szCs w:val="18"/>
                <w:lang w:val="es-ES"/>
              </w:rPr>
            </w:pPr>
            <w:r w:rsidRPr="00740600">
              <w:rPr>
                <w:sz w:val="18"/>
                <w:szCs w:val="18"/>
                <w:lang w:val="es-ES"/>
              </w:rPr>
              <w:t>0,16</w:t>
            </w:r>
          </w:p>
        </w:tc>
      </w:tr>
      <w:tr w:rsidR="00F6760B" w:rsidRPr="00740600" w:rsidTr="00F6760B">
        <w:trPr>
          <w:trHeight w:val="191"/>
          <w:jc w:val="center"/>
        </w:trPr>
        <w:tc>
          <w:tcPr>
            <w:tcW w:w="2152" w:type="dxa"/>
            <w:gridSpan w:val="2"/>
            <w:tcBorders>
              <w:top w:val="single" w:sz="4" w:space="0" w:color="auto"/>
              <w:left w:val="nil"/>
              <w:bottom w:val="nil"/>
              <w:right w:val="nil"/>
            </w:tcBorders>
            <w:shd w:val="clear" w:color="auto" w:fill="auto"/>
            <w:noWrap/>
            <w:vAlign w:val="bottom"/>
            <w:hideMark/>
          </w:tcPr>
          <w:p w:rsidR="00F6760B" w:rsidRPr="00740600" w:rsidRDefault="00F6760B" w:rsidP="00F6760B">
            <w:pPr>
              <w:rPr>
                <w:sz w:val="18"/>
                <w:szCs w:val="18"/>
                <w:lang w:val="es-ES"/>
              </w:rPr>
            </w:pPr>
            <w:r w:rsidRPr="00740600">
              <w:rPr>
                <w:sz w:val="18"/>
                <w:szCs w:val="18"/>
                <w:lang w:val="es-ES"/>
              </w:rPr>
              <w:t xml:space="preserve">Fuente: </w:t>
            </w:r>
            <w:r w:rsidR="008F5FB2">
              <w:rPr>
                <w:sz w:val="18"/>
                <w:szCs w:val="18"/>
                <w:lang w:val="es-ES"/>
              </w:rPr>
              <w:t>DANE</w:t>
            </w:r>
            <w:r w:rsidRPr="00740600">
              <w:rPr>
                <w:sz w:val="18"/>
                <w:szCs w:val="18"/>
                <w:lang w:val="es-ES"/>
              </w:rPr>
              <w:t xml:space="preserve"> - ICCV</w:t>
            </w:r>
          </w:p>
        </w:tc>
        <w:tc>
          <w:tcPr>
            <w:tcW w:w="827" w:type="dxa"/>
            <w:tcBorders>
              <w:top w:val="single" w:sz="4" w:space="0" w:color="auto"/>
              <w:left w:val="nil"/>
              <w:bottom w:val="nil"/>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187" w:type="dxa"/>
            <w:tcBorders>
              <w:top w:val="single" w:sz="4" w:space="0" w:color="auto"/>
              <w:left w:val="nil"/>
              <w:bottom w:val="nil"/>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846" w:type="dxa"/>
            <w:tcBorders>
              <w:top w:val="single" w:sz="4" w:space="0" w:color="auto"/>
              <w:left w:val="nil"/>
              <w:bottom w:val="nil"/>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808" w:type="dxa"/>
            <w:tcBorders>
              <w:top w:val="single" w:sz="4" w:space="0" w:color="auto"/>
              <w:left w:val="nil"/>
              <w:bottom w:val="nil"/>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187" w:type="dxa"/>
            <w:tcBorders>
              <w:top w:val="single" w:sz="4" w:space="0" w:color="auto"/>
              <w:left w:val="nil"/>
              <w:bottom w:val="nil"/>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763" w:type="dxa"/>
            <w:tcBorders>
              <w:top w:val="single" w:sz="4" w:space="0" w:color="auto"/>
              <w:left w:val="nil"/>
              <w:bottom w:val="nil"/>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827" w:type="dxa"/>
            <w:tcBorders>
              <w:top w:val="single" w:sz="4" w:space="0" w:color="auto"/>
              <w:left w:val="nil"/>
              <w:bottom w:val="nil"/>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274" w:type="dxa"/>
            <w:tcBorders>
              <w:top w:val="single" w:sz="4" w:space="0" w:color="auto"/>
              <w:left w:val="nil"/>
              <w:bottom w:val="nil"/>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857" w:type="dxa"/>
            <w:tcBorders>
              <w:top w:val="single" w:sz="4" w:space="0" w:color="auto"/>
              <w:left w:val="nil"/>
              <w:bottom w:val="nil"/>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c>
          <w:tcPr>
            <w:tcW w:w="910" w:type="dxa"/>
            <w:tcBorders>
              <w:top w:val="single" w:sz="4" w:space="0" w:color="auto"/>
              <w:left w:val="nil"/>
              <w:bottom w:val="nil"/>
              <w:right w:val="nil"/>
            </w:tcBorders>
            <w:shd w:val="clear" w:color="auto" w:fill="auto"/>
            <w:noWrap/>
            <w:vAlign w:val="bottom"/>
            <w:hideMark/>
          </w:tcPr>
          <w:p w:rsidR="00F6760B" w:rsidRPr="00740600" w:rsidRDefault="00F6760B" w:rsidP="00F6760B">
            <w:pPr>
              <w:jc w:val="right"/>
              <w:rPr>
                <w:sz w:val="18"/>
                <w:szCs w:val="18"/>
                <w:lang w:val="es-ES"/>
              </w:rPr>
            </w:pPr>
            <w:r w:rsidRPr="00740600">
              <w:rPr>
                <w:sz w:val="18"/>
                <w:szCs w:val="18"/>
                <w:lang w:val="es-ES"/>
              </w:rPr>
              <w:t> </w:t>
            </w:r>
          </w:p>
        </w:tc>
      </w:tr>
    </w:tbl>
    <w:p w:rsidR="00F6760B" w:rsidRPr="00F06920" w:rsidRDefault="00F6760B" w:rsidP="00F6760B">
      <w:pPr>
        <w:pStyle w:val="Sinespaciado"/>
        <w:spacing w:line="360" w:lineRule="auto"/>
        <w:rPr>
          <w:rFonts w:ascii="Times New Roman" w:hAnsi="Times New Roman"/>
          <w:b/>
          <w:sz w:val="16"/>
          <w:szCs w:val="24"/>
        </w:rPr>
      </w:pPr>
    </w:p>
    <w:p w:rsidR="00F6760B" w:rsidRPr="00740600" w:rsidRDefault="00E43DE6" w:rsidP="00F6760B">
      <w:pPr>
        <w:pStyle w:val="NormalWeb"/>
        <w:spacing w:line="360" w:lineRule="auto"/>
        <w:jc w:val="both"/>
      </w:pPr>
      <w:r>
        <w:t>Para la vigencia 2013</w:t>
      </w:r>
      <w:r w:rsidR="00F6760B" w:rsidRPr="00740600">
        <w:t xml:space="preserve">, </w:t>
      </w:r>
      <w:r>
        <w:t>la vivienda m</w:t>
      </w:r>
      <w:r w:rsidR="00F6760B" w:rsidRPr="00740600">
        <w:t xml:space="preserve">ultifamiliar presentó la mayor contribución al resultado del ICCV (2.11%); </w:t>
      </w:r>
      <w:r w:rsidR="00F6760B" w:rsidRPr="00740600">
        <w:rPr>
          <w:rStyle w:val="a"/>
        </w:rPr>
        <w:t>este tipo de vivienda puede desarrollarse tanto en vertical como en horizontal; y sus características son determinadas por la demanda, el cliente y las características del terreno, puede explicarse este indicador como una solución a</w:t>
      </w:r>
      <w:r>
        <w:rPr>
          <w:rStyle w:val="a"/>
        </w:rPr>
        <w:t xml:space="preserve"> un déficit habitacional en la c</w:t>
      </w:r>
      <w:r w:rsidR="00F6760B" w:rsidRPr="00740600">
        <w:rPr>
          <w:rStyle w:val="a"/>
        </w:rPr>
        <w:t xml:space="preserve">apital del Departamento o como una respuesta al crecimiento poblacional ya que con este tipo de vivienda se utiliza menos espacio y se benefician más </w:t>
      </w:r>
      <w:r w:rsidR="00F6760B" w:rsidRPr="00740600">
        <w:rPr>
          <w:rStyle w:val="a"/>
        </w:rPr>
        <w:lastRenderedPageBreak/>
        <w:t>personas</w:t>
      </w:r>
      <w:r>
        <w:rPr>
          <w:rStyle w:val="a"/>
        </w:rPr>
        <w:t>,</w:t>
      </w:r>
      <w:r w:rsidR="00F6760B" w:rsidRPr="00740600">
        <w:rPr>
          <w:rStyle w:val="a"/>
        </w:rPr>
        <w:t xml:space="preserve"> lo que conlleva a disminuir los costos de construcción permitiendo más accesibilidad a la población para adquirir </w:t>
      </w:r>
      <w:r w:rsidR="00417D7A">
        <w:rPr>
          <w:rStyle w:val="a"/>
        </w:rPr>
        <w:t>vivienda</w:t>
      </w:r>
      <w:r w:rsidR="00F6760B" w:rsidRPr="00740600">
        <w:rPr>
          <w:rStyle w:val="a"/>
        </w:rPr>
        <w:t xml:space="preserve">. </w:t>
      </w:r>
      <w:r w:rsidR="00F6760B" w:rsidRPr="00740600">
        <w:t>Segu</w:t>
      </w:r>
      <w:r w:rsidR="00F06920">
        <w:t>idamente a la vivienda m</w:t>
      </w:r>
      <w:r w:rsidR="00F6760B" w:rsidRPr="00740600">
        <w:t>ultifami</w:t>
      </w:r>
      <w:r w:rsidR="00855F5C">
        <w:t>liar se encuentra el ICCV para v</w:t>
      </w:r>
      <w:r w:rsidR="00F6760B" w:rsidRPr="00740600">
        <w:t xml:space="preserve">ivienda de </w:t>
      </w:r>
      <w:r w:rsidR="00855F5C">
        <w:t>interés s</w:t>
      </w:r>
      <w:r w:rsidR="00F6760B" w:rsidRPr="00740600">
        <w:t>ocial VIS con una importante contribución al resultado del índice en 2.04 por ciento. </w:t>
      </w:r>
      <w:r w:rsidR="00F6760B" w:rsidRPr="00740600">
        <w:rPr>
          <w:b/>
          <w:color w:val="FF0000"/>
        </w:rPr>
        <w:t xml:space="preserve"> </w:t>
      </w:r>
    </w:p>
    <w:p w:rsidR="007F0CE3" w:rsidRPr="00740600" w:rsidRDefault="007F0CE3" w:rsidP="00F6760B">
      <w:pPr>
        <w:autoSpaceDE w:val="0"/>
        <w:autoSpaceDN w:val="0"/>
        <w:adjustRightInd w:val="0"/>
        <w:rPr>
          <w:rFonts w:eastAsiaTheme="minorHAnsi"/>
          <w:sz w:val="20"/>
          <w:lang w:val="es-ES" w:eastAsia="en-US"/>
        </w:rPr>
      </w:pPr>
    </w:p>
    <w:p w:rsidR="00F6760B" w:rsidRPr="00740600" w:rsidRDefault="00F6760B" w:rsidP="00122729">
      <w:pPr>
        <w:autoSpaceDE w:val="0"/>
        <w:autoSpaceDN w:val="0"/>
        <w:adjustRightInd w:val="0"/>
        <w:spacing w:line="360" w:lineRule="auto"/>
        <w:ind w:firstLine="284"/>
        <w:jc w:val="both"/>
      </w:pPr>
      <w:r>
        <w:t>A</w:t>
      </w:r>
      <w:r w:rsidRPr="00740600">
        <w:t xml:space="preserve"> nivel de insumos, las principales alzas se presentaron en: Equipos de baño (6,39 por ciento), Pavimento (4,52 por ciento), Morteros (4,18 por ciento), Tubería hidráulica (4,13 por ciento) y Hierros y aceros (4,03 por ciento).</w:t>
      </w:r>
    </w:p>
    <w:p w:rsidR="00F6760B" w:rsidRDefault="00F6760B" w:rsidP="00F6760B">
      <w:pPr>
        <w:autoSpaceDE w:val="0"/>
        <w:autoSpaceDN w:val="0"/>
        <w:adjustRightInd w:val="0"/>
        <w:rPr>
          <w:rFonts w:eastAsiaTheme="minorHAnsi"/>
          <w:lang w:eastAsia="en-US"/>
        </w:rPr>
      </w:pPr>
    </w:p>
    <w:p w:rsidR="007F0CE3" w:rsidRDefault="007F0CE3" w:rsidP="00F6760B">
      <w:pPr>
        <w:autoSpaceDE w:val="0"/>
        <w:autoSpaceDN w:val="0"/>
        <w:adjustRightInd w:val="0"/>
        <w:rPr>
          <w:rFonts w:eastAsiaTheme="minorHAnsi"/>
          <w:lang w:eastAsia="en-US"/>
        </w:rPr>
      </w:pPr>
    </w:p>
    <w:p w:rsidR="00F6760B" w:rsidRPr="00212D19" w:rsidRDefault="005A1216" w:rsidP="00F6760B">
      <w:pPr>
        <w:autoSpaceDE w:val="0"/>
        <w:autoSpaceDN w:val="0"/>
        <w:adjustRightInd w:val="0"/>
        <w:jc w:val="both"/>
        <w:rPr>
          <w:rFonts w:eastAsiaTheme="minorHAnsi"/>
          <w:lang w:val="es-ES" w:eastAsia="en-US"/>
        </w:rPr>
      </w:pPr>
      <w:r>
        <w:t>Tabla 5.2</w:t>
      </w:r>
    </w:p>
    <w:p w:rsidR="00F6760B" w:rsidRPr="00212D19" w:rsidRDefault="00F6760B" w:rsidP="00F6760B">
      <w:pPr>
        <w:autoSpaceDE w:val="0"/>
        <w:autoSpaceDN w:val="0"/>
        <w:adjustRightInd w:val="0"/>
        <w:jc w:val="both"/>
        <w:rPr>
          <w:rFonts w:eastAsiaTheme="minorHAnsi"/>
          <w:lang w:val="es-ES" w:eastAsia="en-US"/>
        </w:rPr>
      </w:pPr>
      <w:r w:rsidRPr="00212D19">
        <w:rPr>
          <w:rFonts w:eastAsiaTheme="minorHAnsi"/>
          <w:lang w:val="es-ES" w:eastAsia="en-US"/>
        </w:rPr>
        <w:t xml:space="preserve">ICCV. Variación y contribución mensual y doce meses, por tipos de vivienda, </w:t>
      </w:r>
      <w:r w:rsidR="00A90B9E">
        <w:rPr>
          <w:rFonts w:eastAsiaTheme="minorHAnsi"/>
          <w:lang w:val="es-ES" w:eastAsia="en-US"/>
        </w:rPr>
        <w:t>según grupos de costos y total</w:t>
      </w:r>
      <w:r w:rsidR="003C0AED">
        <w:rPr>
          <w:rFonts w:eastAsiaTheme="minorHAnsi"/>
          <w:lang w:val="es-ES" w:eastAsia="en-US"/>
        </w:rPr>
        <w:t xml:space="preserve">. </w:t>
      </w:r>
      <w:r w:rsidRPr="00212D19">
        <w:rPr>
          <w:rFonts w:eastAsiaTheme="minorHAnsi"/>
          <w:lang w:val="es-ES" w:eastAsia="en-US"/>
        </w:rPr>
        <w:t>Enero 2014</w:t>
      </w:r>
    </w:p>
    <w:p w:rsidR="00F6760B" w:rsidRPr="00740600" w:rsidRDefault="00F6760B" w:rsidP="00F6760B">
      <w:pPr>
        <w:autoSpaceDE w:val="0"/>
        <w:autoSpaceDN w:val="0"/>
        <w:adjustRightInd w:val="0"/>
        <w:rPr>
          <w:rFonts w:eastAsiaTheme="minorHAnsi"/>
          <w:sz w:val="20"/>
          <w:lang w:val="es-ES" w:eastAsia="en-US"/>
        </w:rPr>
      </w:pPr>
    </w:p>
    <w:tbl>
      <w:tblPr>
        <w:tblW w:w="9372" w:type="dxa"/>
        <w:tblInd w:w="55" w:type="dxa"/>
        <w:tblCellMar>
          <w:left w:w="70" w:type="dxa"/>
          <w:right w:w="70" w:type="dxa"/>
        </w:tblCellMar>
        <w:tblLook w:val="04A0" w:firstRow="1" w:lastRow="0" w:firstColumn="1" w:lastColumn="0" w:noHBand="0" w:noVBand="1"/>
      </w:tblPr>
      <w:tblGrid>
        <w:gridCol w:w="1377"/>
        <w:gridCol w:w="837"/>
        <w:gridCol w:w="906"/>
        <w:gridCol w:w="288"/>
        <w:gridCol w:w="686"/>
        <w:gridCol w:w="146"/>
        <w:gridCol w:w="1034"/>
        <w:gridCol w:w="198"/>
        <w:gridCol w:w="686"/>
        <w:gridCol w:w="146"/>
        <w:gridCol w:w="1207"/>
        <w:gridCol w:w="146"/>
        <w:gridCol w:w="146"/>
        <w:gridCol w:w="177"/>
        <w:gridCol w:w="486"/>
        <w:gridCol w:w="146"/>
        <w:gridCol w:w="760"/>
      </w:tblGrid>
      <w:tr w:rsidR="00487ADD" w:rsidRPr="007F0CE3" w:rsidTr="00F66774">
        <w:trPr>
          <w:trHeight w:val="368"/>
        </w:trPr>
        <w:tc>
          <w:tcPr>
            <w:tcW w:w="1377" w:type="dxa"/>
            <w:vMerge w:val="restart"/>
            <w:tcBorders>
              <w:top w:val="single" w:sz="4" w:space="0" w:color="auto"/>
              <w:left w:val="nil"/>
              <w:bottom w:val="single" w:sz="4" w:space="0" w:color="000000"/>
              <w:right w:val="nil"/>
            </w:tcBorders>
            <w:shd w:val="clear" w:color="auto" w:fill="auto"/>
            <w:noWrap/>
            <w:vAlign w:val="center"/>
            <w:hideMark/>
          </w:tcPr>
          <w:p w:rsidR="00F6760B" w:rsidRPr="007F0CE3" w:rsidRDefault="00F6760B" w:rsidP="00F6760B">
            <w:pPr>
              <w:jc w:val="center"/>
              <w:rPr>
                <w:b/>
                <w:sz w:val="20"/>
                <w:szCs w:val="16"/>
                <w:lang w:val="es-ES"/>
              </w:rPr>
            </w:pPr>
            <w:r w:rsidRPr="007F0CE3">
              <w:rPr>
                <w:b/>
                <w:sz w:val="20"/>
                <w:szCs w:val="16"/>
                <w:lang w:val="es-ES"/>
              </w:rPr>
              <w:t>Grupos</w:t>
            </w:r>
          </w:p>
        </w:tc>
        <w:tc>
          <w:tcPr>
            <w:tcW w:w="2031" w:type="dxa"/>
            <w:gridSpan w:val="3"/>
            <w:tcBorders>
              <w:top w:val="single" w:sz="4" w:space="0" w:color="auto"/>
              <w:left w:val="nil"/>
              <w:bottom w:val="single" w:sz="4" w:space="0" w:color="auto"/>
              <w:right w:val="nil"/>
            </w:tcBorders>
            <w:shd w:val="clear" w:color="auto" w:fill="auto"/>
            <w:vAlign w:val="center"/>
            <w:hideMark/>
          </w:tcPr>
          <w:p w:rsidR="00F6760B" w:rsidRPr="00487ADD" w:rsidRDefault="00F6760B" w:rsidP="00487ADD">
            <w:pPr>
              <w:jc w:val="center"/>
              <w:rPr>
                <w:b/>
                <w:sz w:val="20"/>
                <w:szCs w:val="16"/>
                <w:lang w:val="es-ES"/>
              </w:rPr>
            </w:pPr>
            <w:r w:rsidRPr="00487ADD">
              <w:rPr>
                <w:b/>
                <w:sz w:val="20"/>
                <w:szCs w:val="16"/>
                <w:lang w:val="es-ES"/>
              </w:rPr>
              <w:t>Total nacional</w:t>
            </w:r>
          </w:p>
        </w:tc>
        <w:tc>
          <w:tcPr>
            <w:tcW w:w="686" w:type="dxa"/>
            <w:tcBorders>
              <w:top w:val="single" w:sz="4" w:space="0" w:color="auto"/>
              <w:left w:val="nil"/>
              <w:bottom w:val="nil"/>
              <w:right w:val="nil"/>
            </w:tcBorders>
            <w:shd w:val="clear" w:color="auto" w:fill="auto"/>
            <w:vAlign w:val="center"/>
            <w:hideMark/>
          </w:tcPr>
          <w:p w:rsidR="00F6760B" w:rsidRPr="00487ADD" w:rsidRDefault="00F6760B" w:rsidP="00487ADD">
            <w:pPr>
              <w:jc w:val="center"/>
              <w:rPr>
                <w:b/>
                <w:sz w:val="20"/>
                <w:szCs w:val="16"/>
                <w:lang w:val="es-ES"/>
              </w:rPr>
            </w:pPr>
          </w:p>
        </w:tc>
        <w:tc>
          <w:tcPr>
            <w:tcW w:w="1180" w:type="dxa"/>
            <w:gridSpan w:val="2"/>
            <w:tcBorders>
              <w:top w:val="single" w:sz="4" w:space="0" w:color="auto"/>
              <w:left w:val="nil"/>
              <w:bottom w:val="single" w:sz="4" w:space="0" w:color="auto"/>
              <w:right w:val="nil"/>
            </w:tcBorders>
            <w:shd w:val="clear" w:color="auto" w:fill="auto"/>
            <w:vAlign w:val="center"/>
            <w:hideMark/>
          </w:tcPr>
          <w:p w:rsidR="00F6760B" w:rsidRPr="00487ADD" w:rsidRDefault="00F6760B" w:rsidP="00487ADD">
            <w:pPr>
              <w:jc w:val="center"/>
              <w:rPr>
                <w:b/>
                <w:sz w:val="20"/>
                <w:szCs w:val="16"/>
                <w:lang w:val="es-ES"/>
              </w:rPr>
            </w:pPr>
            <w:r w:rsidRPr="00487ADD">
              <w:rPr>
                <w:b/>
                <w:sz w:val="20"/>
                <w:szCs w:val="16"/>
                <w:lang w:val="es-ES"/>
              </w:rPr>
              <w:t>Unifamiliar</w:t>
            </w:r>
          </w:p>
        </w:tc>
        <w:tc>
          <w:tcPr>
            <w:tcW w:w="198" w:type="dxa"/>
            <w:tcBorders>
              <w:top w:val="single" w:sz="4" w:space="0" w:color="auto"/>
              <w:left w:val="nil"/>
              <w:bottom w:val="nil"/>
              <w:right w:val="nil"/>
            </w:tcBorders>
            <w:shd w:val="clear" w:color="auto" w:fill="auto"/>
            <w:vAlign w:val="center"/>
            <w:hideMark/>
          </w:tcPr>
          <w:p w:rsidR="00F6760B" w:rsidRPr="00487ADD" w:rsidRDefault="00F6760B" w:rsidP="00487ADD">
            <w:pPr>
              <w:jc w:val="center"/>
              <w:rPr>
                <w:b/>
                <w:sz w:val="20"/>
                <w:szCs w:val="16"/>
                <w:lang w:val="es-ES"/>
              </w:rPr>
            </w:pPr>
          </w:p>
        </w:tc>
        <w:tc>
          <w:tcPr>
            <w:tcW w:w="686" w:type="dxa"/>
            <w:tcBorders>
              <w:top w:val="single" w:sz="4" w:space="0" w:color="auto"/>
              <w:left w:val="nil"/>
              <w:bottom w:val="nil"/>
              <w:right w:val="nil"/>
            </w:tcBorders>
            <w:shd w:val="clear" w:color="auto" w:fill="auto"/>
            <w:vAlign w:val="center"/>
            <w:hideMark/>
          </w:tcPr>
          <w:p w:rsidR="00F6760B" w:rsidRPr="00487ADD" w:rsidRDefault="00F6760B" w:rsidP="00487ADD">
            <w:pPr>
              <w:jc w:val="center"/>
              <w:rPr>
                <w:b/>
                <w:sz w:val="20"/>
                <w:szCs w:val="16"/>
                <w:lang w:val="es-ES"/>
              </w:rPr>
            </w:pPr>
          </w:p>
        </w:tc>
        <w:tc>
          <w:tcPr>
            <w:tcW w:w="1353" w:type="dxa"/>
            <w:gridSpan w:val="2"/>
            <w:tcBorders>
              <w:top w:val="single" w:sz="4" w:space="0" w:color="auto"/>
              <w:left w:val="nil"/>
              <w:bottom w:val="single" w:sz="4" w:space="0" w:color="auto"/>
              <w:right w:val="nil"/>
            </w:tcBorders>
            <w:shd w:val="clear" w:color="auto" w:fill="auto"/>
            <w:vAlign w:val="center"/>
            <w:hideMark/>
          </w:tcPr>
          <w:p w:rsidR="00F6760B" w:rsidRPr="00487ADD" w:rsidRDefault="00F6760B" w:rsidP="00487ADD">
            <w:pPr>
              <w:jc w:val="center"/>
              <w:rPr>
                <w:b/>
                <w:sz w:val="20"/>
                <w:szCs w:val="16"/>
                <w:lang w:val="es-ES"/>
              </w:rPr>
            </w:pPr>
            <w:r w:rsidRPr="00487ADD">
              <w:rPr>
                <w:b/>
                <w:sz w:val="20"/>
                <w:szCs w:val="16"/>
                <w:lang w:val="es-ES"/>
              </w:rPr>
              <w:t>Multifamiliar</w:t>
            </w:r>
          </w:p>
        </w:tc>
        <w:tc>
          <w:tcPr>
            <w:tcW w:w="292" w:type="dxa"/>
            <w:gridSpan w:val="2"/>
            <w:tcBorders>
              <w:top w:val="single" w:sz="4" w:space="0" w:color="auto"/>
              <w:left w:val="nil"/>
              <w:bottom w:val="nil"/>
              <w:right w:val="nil"/>
            </w:tcBorders>
            <w:shd w:val="clear" w:color="auto" w:fill="auto"/>
            <w:vAlign w:val="center"/>
            <w:hideMark/>
          </w:tcPr>
          <w:p w:rsidR="00F6760B" w:rsidRPr="00487ADD" w:rsidRDefault="00F6760B" w:rsidP="00487ADD">
            <w:pPr>
              <w:jc w:val="center"/>
              <w:rPr>
                <w:b/>
                <w:sz w:val="20"/>
                <w:szCs w:val="16"/>
                <w:lang w:val="es-ES"/>
              </w:rPr>
            </w:pPr>
          </w:p>
        </w:tc>
        <w:tc>
          <w:tcPr>
            <w:tcW w:w="1569" w:type="dxa"/>
            <w:gridSpan w:val="4"/>
            <w:tcBorders>
              <w:top w:val="single" w:sz="4" w:space="0" w:color="auto"/>
              <w:left w:val="nil"/>
              <w:bottom w:val="single" w:sz="4" w:space="0" w:color="auto"/>
              <w:right w:val="nil"/>
            </w:tcBorders>
            <w:shd w:val="clear" w:color="auto" w:fill="auto"/>
            <w:vAlign w:val="center"/>
            <w:hideMark/>
          </w:tcPr>
          <w:p w:rsidR="00F6760B" w:rsidRPr="00487ADD" w:rsidRDefault="00F6760B" w:rsidP="00487ADD">
            <w:pPr>
              <w:jc w:val="center"/>
              <w:rPr>
                <w:b/>
                <w:sz w:val="20"/>
                <w:szCs w:val="16"/>
                <w:lang w:val="es-ES"/>
              </w:rPr>
            </w:pPr>
            <w:r w:rsidRPr="00487ADD">
              <w:rPr>
                <w:b/>
                <w:sz w:val="20"/>
                <w:szCs w:val="16"/>
                <w:lang w:val="es-ES"/>
              </w:rPr>
              <w:t>VIS</w:t>
            </w:r>
          </w:p>
        </w:tc>
      </w:tr>
      <w:tr w:rsidR="00487ADD" w:rsidRPr="007F0CE3" w:rsidTr="00F66774">
        <w:trPr>
          <w:trHeight w:val="242"/>
        </w:trPr>
        <w:tc>
          <w:tcPr>
            <w:tcW w:w="1377" w:type="dxa"/>
            <w:vMerge/>
            <w:tcBorders>
              <w:top w:val="nil"/>
              <w:left w:val="nil"/>
              <w:bottom w:val="single" w:sz="4" w:space="0" w:color="000000"/>
              <w:right w:val="nil"/>
            </w:tcBorders>
            <w:vAlign w:val="center"/>
            <w:hideMark/>
          </w:tcPr>
          <w:p w:rsidR="00F6760B" w:rsidRPr="007F0CE3" w:rsidRDefault="00F6760B" w:rsidP="00F6760B">
            <w:pPr>
              <w:rPr>
                <w:b/>
                <w:sz w:val="20"/>
                <w:szCs w:val="16"/>
                <w:lang w:val="es-ES"/>
              </w:rPr>
            </w:pPr>
          </w:p>
        </w:tc>
        <w:tc>
          <w:tcPr>
            <w:tcW w:w="837" w:type="dxa"/>
            <w:vMerge w:val="restart"/>
            <w:tcBorders>
              <w:top w:val="nil"/>
              <w:left w:val="nil"/>
              <w:bottom w:val="single" w:sz="4" w:space="0" w:color="000000"/>
              <w:right w:val="nil"/>
            </w:tcBorders>
            <w:shd w:val="clear" w:color="auto" w:fill="auto"/>
            <w:vAlign w:val="center"/>
            <w:hideMark/>
          </w:tcPr>
          <w:p w:rsidR="00F6760B" w:rsidRPr="00487ADD" w:rsidRDefault="00F6760B" w:rsidP="00487ADD">
            <w:pPr>
              <w:jc w:val="center"/>
              <w:rPr>
                <w:b/>
                <w:sz w:val="20"/>
                <w:szCs w:val="16"/>
                <w:lang w:val="es-ES"/>
              </w:rPr>
            </w:pPr>
            <w:r w:rsidRPr="00487ADD">
              <w:rPr>
                <w:b/>
                <w:sz w:val="20"/>
                <w:szCs w:val="16"/>
                <w:lang w:val="es-ES"/>
              </w:rPr>
              <w:t>Anual</w:t>
            </w:r>
          </w:p>
        </w:tc>
        <w:tc>
          <w:tcPr>
            <w:tcW w:w="906" w:type="dxa"/>
            <w:vMerge w:val="restart"/>
            <w:tcBorders>
              <w:top w:val="nil"/>
              <w:left w:val="nil"/>
              <w:bottom w:val="single" w:sz="4" w:space="0" w:color="000000"/>
              <w:right w:val="nil"/>
            </w:tcBorders>
            <w:shd w:val="clear" w:color="auto" w:fill="auto"/>
            <w:noWrap/>
            <w:vAlign w:val="center"/>
            <w:hideMark/>
          </w:tcPr>
          <w:p w:rsidR="00F6760B" w:rsidRPr="00487ADD" w:rsidRDefault="00F6760B" w:rsidP="00487ADD">
            <w:pPr>
              <w:jc w:val="center"/>
              <w:rPr>
                <w:b/>
                <w:sz w:val="20"/>
                <w:szCs w:val="16"/>
                <w:lang w:val="es-ES"/>
              </w:rPr>
            </w:pPr>
            <w:r w:rsidRPr="00487ADD">
              <w:rPr>
                <w:b/>
                <w:sz w:val="20"/>
                <w:szCs w:val="16"/>
                <w:lang w:val="es-ES"/>
              </w:rPr>
              <w:t>Mensual</w:t>
            </w:r>
          </w:p>
        </w:tc>
        <w:tc>
          <w:tcPr>
            <w:tcW w:w="288" w:type="dxa"/>
            <w:tcBorders>
              <w:top w:val="nil"/>
              <w:left w:val="nil"/>
              <w:bottom w:val="nil"/>
              <w:right w:val="nil"/>
            </w:tcBorders>
            <w:shd w:val="clear" w:color="auto" w:fill="auto"/>
            <w:noWrap/>
            <w:vAlign w:val="center"/>
            <w:hideMark/>
          </w:tcPr>
          <w:p w:rsidR="00F6760B" w:rsidRPr="00487ADD" w:rsidRDefault="00F6760B" w:rsidP="00487ADD">
            <w:pPr>
              <w:jc w:val="center"/>
              <w:rPr>
                <w:b/>
                <w:sz w:val="20"/>
                <w:szCs w:val="18"/>
                <w:lang w:val="es-ES"/>
              </w:rPr>
            </w:pPr>
          </w:p>
        </w:tc>
        <w:tc>
          <w:tcPr>
            <w:tcW w:w="686" w:type="dxa"/>
            <w:vMerge w:val="restart"/>
            <w:tcBorders>
              <w:top w:val="single" w:sz="4" w:space="0" w:color="auto"/>
              <w:left w:val="nil"/>
              <w:bottom w:val="single" w:sz="4" w:space="0" w:color="000000"/>
              <w:right w:val="nil"/>
            </w:tcBorders>
            <w:shd w:val="clear" w:color="auto" w:fill="auto"/>
            <w:vAlign w:val="center"/>
            <w:hideMark/>
          </w:tcPr>
          <w:p w:rsidR="00F6760B" w:rsidRPr="00487ADD" w:rsidRDefault="00F6760B" w:rsidP="00487ADD">
            <w:pPr>
              <w:jc w:val="center"/>
              <w:rPr>
                <w:b/>
                <w:sz w:val="20"/>
                <w:szCs w:val="16"/>
                <w:lang w:val="es-ES"/>
              </w:rPr>
            </w:pPr>
            <w:r w:rsidRPr="00487ADD">
              <w:rPr>
                <w:b/>
                <w:sz w:val="20"/>
                <w:szCs w:val="16"/>
                <w:lang w:val="es-ES"/>
              </w:rPr>
              <w:t>Anual</w:t>
            </w:r>
          </w:p>
        </w:tc>
        <w:tc>
          <w:tcPr>
            <w:tcW w:w="1180" w:type="dxa"/>
            <w:gridSpan w:val="2"/>
            <w:vMerge w:val="restart"/>
            <w:tcBorders>
              <w:top w:val="nil"/>
              <w:left w:val="nil"/>
              <w:bottom w:val="single" w:sz="4" w:space="0" w:color="000000"/>
              <w:right w:val="nil"/>
            </w:tcBorders>
            <w:shd w:val="clear" w:color="auto" w:fill="auto"/>
            <w:noWrap/>
            <w:vAlign w:val="center"/>
            <w:hideMark/>
          </w:tcPr>
          <w:p w:rsidR="00F6760B" w:rsidRPr="00487ADD" w:rsidRDefault="00F6760B" w:rsidP="00487ADD">
            <w:pPr>
              <w:jc w:val="center"/>
              <w:rPr>
                <w:b/>
                <w:sz w:val="20"/>
                <w:szCs w:val="16"/>
                <w:lang w:val="es-ES"/>
              </w:rPr>
            </w:pPr>
            <w:r w:rsidRPr="00487ADD">
              <w:rPr>
                <w:b/>
                <w:sz w:val="20"/>
                <w:szCs w:val="16"/>
                <w:lang w:val="es-ES"/>
              </w:rPr>
              <w:t>Mensual</w:t>
            </w:r>
          </w:p>
        </w:tc>
        <w:tc>
          <w:tcPr>
            <w:tcW w:w="198" w:type="dxa"/>
            <w:vMerge w:val="restart"/>
            <w:tcBorders>
              <w:top w:val="nil"/>
              <w:left w:val="nil"/>
              <w:bottom w:val="single" w:sz="4" w:space="0" w:color="000000"/>
              <w:right w:val="nil"/>
            </w:tcBorders>
            <w:shd w:val="clear" w:color="auto" w:fill="auto"/>
            <w:noWrap/>
            <w:vAlign w:val="center"/>
            <w:hideMark/>
          </w:tcPr>
          <w:p w:rsidR="00F6760B" w:rsidRPr="00487ADD" w:rsidRDefault="00F6760B" w:rsidP="00487ADD">
            <w:pPr>
              <w:jc w:val="center"/>
              <w:rPr>
                <w:b/>
                <w:sz w:val="20"/>
                <w:szCs w:val="16"/>
                <w:lang w:val="es-ES"/>
              </w:rPr>
            </w:pPr>
          </w:p>
        </w:tc>
        <w:tc>
          <w:tcPr>
            <w:tcW w:w="686" w:type="dxa"/>
            <w:vMerge w:val="restart"/>
            <w:tcBorders>
              <w:top w:val="single" w:sz="4" w:space="0" w:color="auto"/>
              <w:left w:val="nil"/>
              <w:bottom w:val="single" w:sz="4" w:space="0" w:color="000000"/>
              <w:right w:val="nil"/>
            </w:tcBorders>
            <w:shd w:val="clear" w:color="auto" w:fill="auto"/>
            <w:vAlign w:val="center"/>
            <w:hideMark/>
          </w:tcPr>
          <w:p w:rsidR="00F6760B" w:rsidRPr="00487ADD" w:rsidRDefault="00F6760B" w:rsidP="00487ADD">
            <w:pPr>
              <w:jc w:val="center"/>
              <w:rPr>
                <w:b/>
                <w:sz w:val="20"/>
                <w:szCs w:val="16"/>
                <w:lang w:val="es-ES"/>
              </w:rPr>
            </w:pPr>
            <w:r w:rsidRPr="00487ADD">
              <w:rPr>
                <w:b/>
                <w:sz w:val="20"/>
                <w:szCs w:val="16"/>
                <w:lang w:val="es-ES"/>
              </w:rPr>
              <w:t>Anual</w:t>
            </w:r>
          </w:p>
        </w:tc>
        <w:tc>
          <w:tcPr>
            <w:tcW w:w="1353" w:type="dxa"/>
            <w:gridSpan w:val="2"/>
            <w:vMerge w:val="restart"/>
            <w:tcBorders>
              <w:top w:val="nil"/>
              <w:left w:val="nil"/>
              <w:bottom w:val="single" w:sz="4" w:space="0" w:color="000000"/>
              <w:right w:val="nil"/>
            </w:tcBorders>
            <w:shd w:val="clear" w:color="auto" w:fill="auto"/>
            <w:noWrap/>
            <w:vAlign w:val="center"/>
            <w:hideMark/>
          </w:tcPr>
          <w:p w:rsidR="00F6760B" w:rsidRPr="00487ADD" w:rsidRDefault="00F6760B" w:rsidP="00487ADD">
            <w:pPr>
              <w:jc w:val="center"/>
              <w:rPr>
                <w:b/>
                <w:sz w:val="20"/>
                <w:szCs w:val="16"/>
                <w:lang w:val="es-ES"/>
              </w:rPr>
            </w:pPr>
            <w:r w:rsidRPr="00487ADD">
              <w:rPr>
                <w:b/>
                <w:sz w:val="20"/>
                <w:szCs w:val="16"/>
                <w:lang w:val="es-ES"/>
              </w:rPr>
              <w:t>Mensual</w:t>
            </w:r>
          </w:p>
        </w:tc>
        <w:tc>
          <w:tcPr>
            <w:tcW w:w="292" w:type="dxa"/>
            <w:gridSpan w:val="2"/>
            <w:vMerge w:val="restart"/>
            <w:tcBorders>
              <w:top w:val="nil"/>
              <w:left w:val="nil"/>
              <w:bottom w:val="single" w:sz="4" w:space="0" w:color="000000"/>
              <w:right w:val="nil"/>
            </w:tcBorders>
            <w:shd w:val="clear" w:color="auto" w:fill="auto"/>
            <w:noWrap/>
            <w:vAlign w:val="center"/>
            <w:hideMark/>
          </w:tcPr>
          <w:p w:rsidR="00F6760B" w:rsidRPr="00487ADD" w:rsidRDefault="00F6760B" w:rsidP="00487ADD">
            <w:pPr>
              <w:jc w:val="center"/>
              <w:rPr>
                <w:b/>
                <w:sz w:val="20"/>
                <w:szCs w:val="16"/>
                <w:lang w:val="es-ES"/>
              </w:rPr>
            </w:pPr>
          </w:p>
        </w:tc>
        <w:tc>
          <w:tcPr>
            <w:tcW w:w="663" w:type="dxa"/>
            <w:gridSpan w:val="2"/>
            <w:vMerge w:val="restart"/>
            <w:tcBorders>
              <w:top w:val="nil"/>
              <w:left w:val="nil"/>
              <w:bottom w:val="single" w:sz="4" w:space="0" w:color="000000"/>
              <w:right w:val="nil"/>
            </w:tcBorders>
            <w:shd w:val="clear" w:color="auto" w:fill="auto"/>
            <w:vAlign w:val="center"/>
            <w:hideMark/>
          </w:tcPr>
          <w:p w:rsidR="00F6760B" w:rsidRPr="00487ADD" w:rsidRDefault="00F6760B" w:rsidP="00487ADD">
            <w:pPr>
              <w:jc w:val="center"/>
              <w:rPr>
                <w:b/>
                <w:sz w:val="20"/>
                <w:szCs w:val="16"/>
                <w:lang w:val="es-ES"/>
              </w:rPr>
            </w:pPr>
            <w:r w:rsidRPr="00487ADD">
              <w:rPr>
                <w:b/>
                <w:sz w:val="20"/>
                <w:szCs w:val="16"/>
                <w:lang w:val="es-ES"/>
              </w:rPr>
              <w:t>Anual</w:t>
            </w:r>
          </w:p>
        </w:tc>
        <w:tc>
          <w:tcPr>
            <w:tcW w:w="906" w:type="dxa"/>
            <w:gridSpan w:val="2"/>
            <w:vMerge w:val="restart"/>
            <w:tcBorders>
              <w:top w:val="nil"/>
              <w:left w:val="nil"/>
              <w:bottom w:val="single" w:sz="4" w:space="0" w:color="000000"/>
              <w:right w:val="nil"/>
            </w:tcBorders>
            <w:shd w:val="clear" w:color="auto" w:fill="auto"/>
            <w:noWrap/>
            <w:vAlign w:val="center"/>
            <w:hideMark/>
          </w:tcPr>
          <w:p w:rsidR="00F6760B" w:rsidRPr="00487ADD" w:rsidRDefault="00F6760B" w:rsidP="00487ADD">
            <w:pPr>
              <w:jc w:val="center"/>
              <w:rPr>
                <w:b/>
                <w:sz w:val="20"/>
                <w:szCs w:val="16"/>
                <w:lang w:val="es-ES"/>
              </w:rPr>
            </w:pPr>
            <w:r w:rsidRPr="00487ADD">
              <w:rPr>
                <w:b/>
                <w:sz w:val="20"/>
                <w:szCs w:val="16"/>
                <w:lang w:val="es-ES"/>
              </w:rPr>
              <w:t>Mensual</w:t>
            </w:r>
          </w:p>
        </w:tc>
      </w:tr>
      <w:tr w:rsidR="00487ADD" w:rsidRPr="007F0CE3" w:rsidTr="00F66774">
        <w:trPr>
          <w:trHeight w:val="150"/>
        </w:trPr>
        <w:tc>
          <w:tcPr>
            <w:tcW w:w="1377" w:type="dxa"/>
            <w:vMerge/>
            <w:tcBorders>
              <w:top w:val="nil"/>
              <w:left w:val="nil"/>
              <w:bottom w:val="single" w:sz="4" w:space="0" w:color="000000"/>
              <w:right w:val="nil"/>
            </w:tcBorders>
            <w:vAlign w:val="center"/>
            <w:hideMark/>
          </w:tcPr>
          <w:p w:rsidR="00F6760B" w:rsidRPr="007F0CE3" w:rsidRDefault="00F6760B" w:rsidP="00F6760B">
            <w:pPr>
              <w:rPr>
                <w:b/>
                <w:sz w:val="20"/>
                <w:szCs w:val="16"/>
                <w:lang w:val="es-ES"/>
              </w:rPr>
            </w:pPr>
          </w:p>
        </w:tc>
        <w:tc>
          <w:tcPr>
            <w:tcW w:w="837" w:type="dxa"/>
            <w:vMerge/>
            <w:tcBorders>
              <w:top w:val="nil"/>
              <w:left w:val="nil"/>
              <w:bottom w:val="single" w:sz="4" w:space="0" w:color="000000"/>
              <w:right w:val="nil"/>
            </w:tcBorders>
            <w:vAlign w:val="center"/>
            <w:hideMark/>
          </w:tcPr>
          <w:p w:rsidR="00F6760B" w:rsidRPr="00487ADD" w:rsidRDefault="00F6760B" w:rsidP="00487ADD">
            <w:pPr>
              <w:jc w:val="center"/>
              <w:rPr>
                <w:b/>
                <w:sz w:val="20"/>
                <w:szCs w:val="16"/>
                <w:lang w:val="es-ES"/>
              </w:rPr>
            </w:pPr>
          </w:p>
        </w:tc>
        <w:tc>
          <w:tcPr>
            <w:tcW w:w="906" w:type="dxa"/>
            <w:vMerge/>
            <w:tcBorders>
              <w:top w:val="nil"/>
              <w:left w:val="nil"/>
              <w:bottom w:val="single" w:sz="4" w:space="0" w:color="000000"/>
              <w:right w:val="nil"/>
            </w:tcBorders>
            <w:vAlign w:val="center"/>
            <w:hideMark/>
          </w:tcPr>
          <w:p w:rsidR="00F6760B" w:rsidRPr="00487ADD" w:rsidRDefault="00F6760B" w:rsidP="00487ADD">
            <w:pPr>
              <w:jc w:val="center"/>
              <w:rPr>
                <w:b/>
                <w:sz w:val="20"/>
                <w:szCs w:val="16"/>
                <w:lang w:val="es-ES"/>
              </w:rPr>
            </w:pPr>
          </w:p>
        </w:tc>
        <w:tc>
          <w:tcPr>
            <w:tcW w:w="288" w:type="dxa"/>
            <w:tcBorders>
              <w:top w:val="nil"/>
              <w:left w:val="nil"/>
              <w:bottom w:val="nil"/>
              <w:right w:val="nil"/>
            </w:tcBorders>
            <w:shd w:val="clear" w:color="auto" w:fill="auto"/>
            <w:noWrap/>
            <w:vAlign w:val="center"/>
            <w:hideMark/>
          </w:tcPr>
          <w:p w:rsidR="00F6760B" w:rsidRPr="00487ADD" w:rsidRDefault="00F6760B" w:rsidP="00487ADD">
            <w:pPr>
              <w:jc w:val="center"/>
              <w:rPr>
                <w:b/>
                <w:sz w:val="20"/>
                <w:szCs w:val="18"/>
                <w:lang w:val="es-ES"/>
              </w:rPr>
            </w:pPr>
          </w:p>
        </w:tc>
        <w:tc>
          <w:tcPr>
            <w:tcW w:w="686" w:type="dxa"/>
            <w:vMerge/>
            <w:tcBorders>
              <w:top w:val="single" w:sz="4" w:space="0" w:color="auto"/>
              <w:left w:val="nil"/>
              <w:bottom w:val="single" w:sz="4" w:space="0" w:color="000000"/>
              <w:right w:val="nil"/>
            </w:tcBorders>
            <w:vAlign w:val="center"/>
            <w:hideMark/>
          </w:tcPr>
          <w:p w:rsidR="00F6760B" w:rsidRPr="00487ADD" w:rsidRDefault="00F6760B" w:rsidP="00487ADD">
            <w:pPr>
              <w:jc w:val="center"/>
              <w:rPr>
                <w:b/>
                <w:sz w:val="20"/>
                <w:szCs w:val="16"/>
                <w:lang w:val="es-ES"/>
              </w:rPr>
            </w:pPr>
          </w:p>
        </w:tc>
        <w:tc>
          <w:tcPr>
            <w:tcW w:w="1180" w:type="dxa"/>
            <w:gridSpan w:val="2"/>
            <w:vMerge/>
            <w:tcBorders>
              <w:top w:val="nil"/>
              <w:left w:val="nil"/>
              <w:bottom w:val="single" w:sz="4" w:space="0" w:color="000000"/>
              <w:right w:val="nil"/>
            </w:tcBorders>
            <w:vAlign w:val="center"/>
            <w:hideMark/>
          </w:tcPr>
          <w:p w:rsidR="00F6760B" w:rsidRPr="00487ADD" w:rsidRDefault="00F6760B" w:rsidP="00487ADD">
            <w:pPr>
              <w:jc w:val="center"/>
              <w:rPr>
                <w:b/>
                <w:sz w:val="20"/>
                <w:szCs w:val="16"/>
                <w:lang w:val="es-ES"/>
              </w:rPr>
            </w:pPr>
          </w:p>
        </w:tc>
        <w:tc>
          <w:tcPr>
            <w:tcW w:w="198" w:type="dxa"/>
            <w:vMerge/>
            <w:tcBorders>
              <w:top w:val="nil"/>
              <w:left w:val="nil"/>
              <w:bottom w:val="single" w:sz="4" w:space="0" w:color="000000"/>
              <w:right w:val="nil"/>
            </w:tcBorders>
            <w:vAlign w:val="center"/>
            <w:hideMark/>
          </w:tcPr>
          <w:p w:rsidR="00F6760B" w:rsidRPr="00487ADD" w:rsidRDefault="00F6760B" w:rsidP="00487ADD">
            <w:pPr>
              <w:jc w:val="center"/>
              <w:rPr>
                <w:b/>
                <w:sz w:val="20"/>
                <w:szCs w:val="16"/>
                <w:lang w:val="es-ES"/>
              </w:rPr>
            </w:pPr>
          </w:p>
        </w:tc>
        <w:tc>
          <w:tcPr>
            <w:tcW w:w="686" w:type="dxa"/>
            <w:vMerge/>
            <w:tcBorders>
              <w:top w:val="single" w:sz="4" w:space="0" w:color="auto"/>
              <w:left w:val="nil"/>
              <w:bottom w:val="single" w:sz="4" w:space="0" w:color="000000"/>
              <w:right w:val="nil"/>
            </w:tcBorders>
            <w:vAlign w:val="center"/>
            <w:hideMark/>
          </w:tcPr>
          <w:p w:rsidR="00F6760B" w:rsidRPr="00487ADD" w:rsidRDefault="00F6760B" w:rsidP="00487ADD">
            <w:pPr>
              <w:jc w:val="center"/>
              <w:rPr>
                <w:b/>
                <w:sz w:val="20"/>
                <w:szCs w:val="16"/>
                <w:lang w:val="es-ES"/>
              </w:rPr>
            </w:pPr>
          </w:p>
        </w:tc>
        <w:tc>
          <w:tcPr>
            <w:tcW w:w="1353" w:type="dxa"/>
            <w:gridSpan w:val="2"/>
            <w:vMerge/>
            <w:tcBorders>
              <w:top w:val="nil"/>
              <w:left w:val="nil"/>
              <w:bottom w:val="single" w:sz="4" w:space="0" w:color="000000"/>
              <w:right w:val="nil"/>
            </w:tcBorders>
            <w:vAlign w:val="center"/>
            <w:hideMark/>
          </w:tcPr>
          <w:p w:rsidR="00F6760B" w:rsidRPr="00487ADD" w:rsidRDefault="00F6760B" w:rsidP="00487ADD">
            <w:pPr>
              <w:jc w:val="center"/>
              <w:rPr>
                <w:b/>
                <w:sz w:val="20"/>
                <w:szCs w:val="16"/>
                <w:lang w:val="es-ES"/>
              </w:rPr>
            </w:pPr>
          </w:p>
        </w:tc>
        <w:tc>
          <w:tcPr>
            <w:tcW w:w="292" w:type="dxa"/>
            <w:gridSpan w:val="2"/>
            <w:vMerge/>
            <w:tcBorders>
              <w:top w:val="nil"/>
              <w:left w:val="nil"/>
              <w:bottom w:val="single" w:sz="4" w:space="0" w:color="000000"/>
              <w:right w:val="nil"/>
            </w:tcBorders>
            <w:vAlign w:val="center"/>
            <w:hideMark/>
          </w:tcPr>
          <w:p w:rsidR="00F6760B" w:rsidRPr="00487ADD" w:rsidRDefault="00F6760B" w:rsidP="00487ADD">
            <w:pPr>
              <w:jc w:val="center"/>
              <w:rPr>
                <w:b/>
                <w:sz w:val="20"/>
                <w:szCs w:val="16"/>
                <w:lang w:val="es-ES"/>
              </w:rPr>
            </w:pPr>
          </w:p>
        </w:tc>
        <w:tc>
          <w:tcPr>
            <w:tcW w:w="663" w:type="dxa"/>
            <w:gridSpan w:val="2"/>
            <w:vMerge/>
            <w:tcBorders>
              <w:top w:val="nil"/>
              <w:left w:val="nil"/>
              <w:bottom w:val="single" w:sz="4" w:space="0" w:color="000000"/>
              <w:right w:val="nil"/>
            </w:tcBorders>
            <w:vAlign w:val="center"/>
            <w:hideMark/>
          </w:tcPr>
          <w:p w:rsidR="00F6760B" w:rsidRPr="00487ADD" w:rsidRDefault="00F6760B" w:rsidP="00487ADD">
            <w:pPr>
              <w:jc w:val="center"/>
              <w:rPr>
                <w:b/>
                <w:sz w:val="20"/>
                <w:szCs w:val="16"/>
                <w:lang w:val="es-ES"/>
              </w:rPr>
            </w:pPr>
          </w:p>
        </w:tc>
        <w:tc>
          <w:tcPr>
            <w:tcW w:w="906" w:type="dxa"/>
            <w:gridSpan w:val="2"/>
            <w:vMerge/>
            <w:tcBorders>
              <w:top w:val="nil"/>
              <w:left w:val="nil"/>
              <w:bottom w:val="single" w:sz="4" w:space="0" w:color="000000"/>
              <w:right w:val="nil"/>
            </w:tcBorders>
            <w:vAlign w:val="center"/>
            <w:hideMark/>
          </w:tcPr>
          <w:p w:rsidR="00F6760B" w:rsidRPr="00487ADD" w:rsidRDefault="00F6760B" w:rsidP="00487ADD">
            <w:pPr>
              <w:jc w:val="center"/>
              <w:rPr>
                <w:b/>
                <w:sz w:val="20"/>
                <w:szCs w:val="16"/>
                <w:lang w:val="es-ES"/>
              </w:rPr>
            </w:pPr>
          </w:p>
        </w:tc>
      </w:tr>
      <w:tr w:rsidR="00487ADD" w:rsidRPr="00740600" w:rsidTr="00F66774">
        <w:trPr>
          <w:trHeight w:val="257"/>
        </w:trPr>
        <w:tc>
          <w:tcPr>
            <w:tcW w:w="1377" w:type="dxa"/>
            <w:tcBorders>
              <w:top w:val="nil"/>
              <w:left w:val="nil"/>
              <w:bottom w:val="nil"/>
              <w:right w:val="nil"/>
            </w:tcBorders>
            <w:shd w:val="clear" w:color="auto" w:fill="auto"/>
            <w:noWrap/>
            <w:vAlign w:val="center"/>
            <w:hideMark/>
          </w:tcPr>
          <w:p w:rsidR="00F6760B" w:rsidRPr="00740600" w:rsidRDefault="00F6760B" w:rsidP="00F6760B">
            <w:pPr>
              <w:jc w:val="center"/>
              <w:rPr>
                <w:sz w:val="16"/>
                <w:szCs w:val="16"/>
                <w:lang w:val="es-ES"/>
              </w:rPr>
            </w:pPr>
          </w:p>
        </w:tc>
        <w:tc>
          <w:tcPr>
            <w:tcW w:w="837" w:type="dxa"/>
            <w:tcBorders>
              <w:top w:val="nil"/>
              <w:left w:val="nil"/>
              <w:bottom w:val="nil"/>
              <w:right w:val="nil"/>
            </w:tcBorders>
            <w:shd w:val="clear" w:color="auto" w:fill="auto"/>
            <w:noWrap/>
            <w:vAlign w:val="center"/>
            <w:hideMark/>
          </w:tcPr>
          <w:p w:rsidR="00F6760B" w:rsidRPr="00487ADD" w:rsidRDefault="00F6760B" w:rsidP="00487ADD">
            <w:pPr>
              <w:jc w:val="center"/>
              <w:rPr>
                <w:sz w:val="16"/>
                <w:szCs w:val="16"/>
                <w:lang w:val="es-ES"/>
              </w:rPr>
            </w:pPr>
          </w:p>
        </w:tc>
        <w:tc>
          <w:tcPr>
            <w:tcW w:w="906" w:type="dxa"/>
            <w:tcBorders>
              <w:top w:val="nil"/>
              <w:left w:val="nil"/>
              <w:bottom w:val="nil"/>
              <w:right w:val="nil"/>
            </w:tcBorders>
            <w:shd w:val="clear" w:color="auto" w:fill="auto"/>
            <w:noWrap/>
            <w:vAlign w:val="center"/>
            <w:hideMark/>
          </w:tcPr>
          <w:p w:rsidR="00F6760B" w:rsidRPr="00487ADD" w:rsidRDefault="00F6760B" w:rsidP="00487ADD">
            <w:pPr>
              <w:jc w:val="center"/>
              <w:rPr>
                <w:sz w:val="16"/>
                <w:szCs w:val="16"/>
                <w:lang w:val="es-ES"/>
              </w:rPr>
            </w:pPr>
          </w:p>
        </w:tc>
        <w:tc>
          <w:tcPr>
            <w:tcW w:w="288" w:type="dxa"/>
            <w:tcBorders>
              <w:top w:val="nil"/>
              <w:left w:val="nil"/>
              <w:bottom w:val="nil"/>
              <w:right w:val="nil"/>
            </w:tcBorders>
            <w:shd w:val="clear" w:color="auto" w:fill="auto"/>
            <w:noWrap/>
            <w:vAlign w:val="center"/>
            <w:hideMark/>
          </w:tcPr>
          <w:p w:rsidR="00F6760B" w:rsidRPr="00487ADD" w:rsidRDefault="00F6760B" w:rsidP="00487ADD">
            <w:pPr>
              <w:jc w:val="center"/>
              <w:rPr>
                <w:sz w:val="18"/>
                <w:szCs w:val="18"/>
                <w:lang w:val="es-ES"/>
              </w:rPr>
            </w:pPr>
          </w:p>
        </w:tc>
        <w:tc>
          <w:tcPr>
            <w:tcW w:w="832" w:type="dxa"/>
            <w:gridSpan w:val="2"/>
            <w:tcBorders>
              <w:top w:val="nil"/>
              <w:left w:val="nil"/>
              <w:bottom w:val="nil"/>
              <w:right w:val="nil"/>
            </w:tcBorders>
            <w:shd w:val="clear" w:color="auto" w:fill="auto"/>
            <w:noWrap/>
            <w:vAlign w:val="center"/>
            <w:hideMark/>
          </w:tcPr>
          <w:p w:rsidR="00F6760B" w:rsidRPr="00487ADD" w:rsidRDefault="00F6760B" w:rsidP="00487ADD">
            <w:pPr>
              <w:jc w:val="center"/>
              <w:rPr>
                <w:sz w:val="16"/>
                <w:szCs w:val="16"/>
                <w:lang w:val="es-ES"/>
              </w:rPr>
            </w:pPr>
          </w:p>
        </w:tc>
        <w:tc>
          <w:tcPr>
            <w:tcW w:w="2064" w:type="dxa"/>
            <w:gridSpan w:val="4"/>
            <w:tcBorders>
              <w:top w:val="single" w:sz="4" w:space="0" w:color="auto"/>
              <w:left w:val="nil"/>
              <w:bottom w:val="nil"/>
              <w:right w:val="nil"/>
            </w:tcBorders>
            <w:shd w:val="clear" w:color="auto" w:fill="auto"/>
            <w:vAlign w:val="center"/>
            <w:hideMark/>
          </w:tcPr>
          <w:p w:rsidR="00F6760B" w:rsidRPr="00487ADD" w:rsidRDefault="00F6760B" w:rsidP="00487ADD">
            <w:pPr>
              <w:jc w:val="center"/>
              <w:rPr>
                <w:b/>
                <w:bCs/>
                <w:sz w:val="16"/>
                <w:szCs w:val="16"/>
                <w:lang w:val="es-ES"/>
              </w:rPr>
            </w:pPr>
            <w:r w:rsidRPr="00487ADD">
              <w:rPr>
                <w:b/>
                <w:bCs/>
                <w:sz w:val="16"/>
                <w:szCs w:val="16"/>
                <w:lang w:val="es-ES"/>
              </w:rPr>
              <w:t>Variación (%)</w:t>
            </w:r>
          </w:p>
        </w:tc>
        <w:tc>
          <w:tcPr>
            <w:tcW w:w="1353" w:type="dxa"/>
            <w:gridSpan w:val="2"/>
            <w:tcBorders>
              <w:top w:val="nil"/>
              <w:left w:val="nil"/>
              <w:bottom w:val="nil"/>
              <w:right w:val="nil"/>
            </w:tcBorders>
            <w:shd w:val="clear" w:color="auto" w:fill="auto"/>
            <w:vAlign w:val="center"/>
            <w:hideMark/>
          </w:tcPr>
          <w:p w:rsidR="00F6760B" w:rsidRPr="00487ADD" w:rsidRDefault="00F6760B" w:rsidP="00487ADD">
            <w:pPr>
              <w:jc w:val="center"/>
              <w:rPr>
                <w:sz w:val="20"/>
                <w:lang w:val="es-ES"/>
              </w:rPr>
            </w:pPr>
          </w:p>
        </w:tc>
        <w:tc>
          <w:tcPr>
            <w:tcW w:w="323" w:type="dxa"/>
            <w:gridSpan w:val="2"/>
            <w:tcBorders>
              <w:top w:val="nil"/>
              <w:left w:val="nil"/>
              <w:bottom w:val="nil"/>
              <w:right w:val="nil"/>
            </w:tcBorders>
            <w:shd w:val="clear" w:color="auto" w:fill="auto"/>
            <w:vAlign w:val="center"/>
            <w:hideMark/>
          </w:tcPr>
          <w:p w:rsidR="00F6760B" w:rsidRPr="00487ADD" w:rsidRDefault="00F6760B" w:rsidP="00487ADD">
            <w:pPr>
              <w:jc w:val="center"/>
              <w:rPr>
                <w:sz w:val="20"/>
                <w:lang w:val="es-ES"/>
              </w:rPr>
            </w:pPr>
          </w:p>
        </w:tc>
        <w:tc>
          <w:tcPr>
            <w:tcW w:w="632" w:type="dxa"/>
            <w:gridSpan w:val="2"/>
            <w:tcBorders>
              <w:top w:val="nil"/>
              <w:left w:val="nil"/>
              <w:bottom w:val="nil"/>
              <w:right w:val="nil"/>
            </w:tcBorders>
            <w:shd w:val="clear" w:color="auto" w:fill="auto"/>
            <w:noWrap/>
            <w:vAlign w:val="center"/>
            <w:hideMark/>
          </w:tcPr>
          <w:p w:rsidR="00F6760B" w:rsidRPr="00487ADD" w:rsidRDefault="00F6760B" w:rsidP="00487ADD">
            <w:pPr>
              <w:jc w:val="center"/>
              <w:rPr>
                <w:sz w:val="16"/>
                <w:szCs w:val="16"/>
                <w:lang w:val="es-ES"/>
              </w:rPr>
            </w:pPr>
          </w:p>
        </w:tc>
        <w:tc>
          <w:tcPr>
            <w:tcW w:w="760" w:type="dxa"/>
            <w:tcBorders>
              <w:top w:val="nil"/>
              <w:left w:val="nil"/>
              <w:bottom w:val="nil"/>
              <w:right w:val="nil"/>
            </w:tcBorders>
            <w:shd w:val="clear" w:color="auto" w:fill="auto"/>
            <w:vAlign w:val="center"/>
            <w:hideMark/>
          </w:tcPr>
          <w:p w:rsidR="00F6760B" w:rsidRPr="00487ADD" w:rsidRDefault="00F6760B" w:rsidP="00487ADD">
            <w:pPr>
              <w:jc w:val="center"/>
              <w:rPr>
                <w:sz w:val="20"/>
                <w:lang w:val="es-ES"/>
              </w:rPr>
            </w:pPr>
          </w:p>
        </w:tc>
      </w:tr>
      <w:tr w:rsidR="00487ADD" w:rsidRPr="00740600" w:rsidTr="00F66774">
        <w:trPr>
          <w:trHeight w:val="333"/>
        </w:trPr>
        <w:tc>
          <w:tcPr>
            <w:tcW w:w="1377" w:type="dxa"/>
            <w:tcBorders>
              <w:top w:val="nil"/>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Materiales</w:t>
            </w:r>
          </w:p>
        </w:tc>
        <w:tc>
          <w:tcPr>
            <w:tcW w:w="837"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1,79</w:t>
            </w:r>
          </w:p>
        </w:tc>
        <w:tc>
          <w:tcPr>
            <w:tcW w:w="90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0,04</w:t>
            </w:r>
          </w:p>
        </w:tc>
        <w:tc>
          <w:tcPr>
            <w:tcW w:w="288" w:type="dxa"/>
            <w:tcBorders>
              <w:top w:val="nil"/>
              <w:left w:val="nil"/>
              <w:bottom w:val="nil"/>
              <w:right w:val="nil"/>
            </w:tcBorders>
            <w:shd w:val="clear" w:color="auto" w:fill="auto"/>
            <w:noWrap/>
            <w:vAlign w:val="bottom"/>
            <w:hideMark/>
          </w:tcPr>
          <w:p w:rsidR="00F6760B" w:rsidRPr="00487ADD" w:rsidRDefault="00F6760B" w:rsidP="00487ADD">
            <w:pPr>
              <w:jc w:val="center"/>
              <w:rPr>
                <w:sz w:val="18"/>
                <w:szCs w:val="18"/>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1,66</w:t>
            </w:r>
          </w:p>
        </w:tc>
        <w:tc>
          <w:tcPr>
            <w:tcW w:w="1180"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0,01</w:t>
            </w:r>
          </w:p>
        </w:tc>
        <w:tc>
          <w:tcPr>
            <w:tcW w:w="198"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1,87</w:t>
            </w:r>
          </w:p>
        </w:tc>
        <w:tc>
          <w:tcPr>
            <w:tcW w:w="135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0,06</w:t>
            </w:r>
          </w:p>
        </w:tc>
        <w:tc>
          <w:tcPr>
            <w:tcW w:w="292"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6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1,85</w:t>
            </w:r>
          </w:p>
        </w:tc>
        <w:tc>
          <w:tcPr>
            <w:tcW w:w="906"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0,02</w:t>
            </w:r>
          </w:p>
        </w:tc>
      </w:tr>
      <w:tr w:rsidR="00487ADD" w:rsidRPr="00740600" w:rsidTr="00F66774">
        <w:trPr>
          <w:trHeight w:val="333"/>
        </w:trPr>
        <w:tc>
          <w:tcPr>
            <w:tcW w:w="1377" w:type="dxa"/>
            <w:tcBorders>
              <w:top w:val="nil"/>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Mano de obra</w:t>
            </w:r>
          </w:p>
        </w:tc>
        <w:tc>
          <w:tcPr>
            <w:tcW w:w="837"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4,80</w:t>
            </w:r>
          </w:p>
        </w:tc>
        <w:tc>
          <w:tcPr>
            <w:tcW w:w="90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288" w:type="dxa"/>
            <w:tcBorders>
              <w:top w:val="nil"/>
              <w:left w:val="nil"/>
              <w:bottom w:val="nil"/>
              <w:right w:val="nil"/>
            </w:tcBorders>
            <w:shd w:val="clear" w:color="auto" w:fill="auto"/>
            <w:noWrap/>
            <w:vAlign w:val="bottom"/>
            <w:hideMark/>
          </w:tcPr>
          <w:p w:rsidR="00F6760B" w:rsidRPr="00487ADD" w:rsidRDefault="00F6760B" w:rsidP="00487ADD">
            <w:pPr>
              <w:jc w:val="center"/>
              <w:rPr>
                <w:sz w:val="18"/>
                <w:szCs w:val="18"/>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4,47</w:t>
            </w:r>
          </w:p>
        </w:tc>
        <w:tc>
          <w:tcPr>
            <w:tcW w:w="1180"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198"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5,04</w:t>
            </w:r>
          </w:p>
        </w:tc>
        <w:tc>
          <w:tcPr>
            <w:tcW w:w="135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292"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6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4,81</w:t>
            </w:r>
          </w:p>
        </w:tc>
        <w:tc>
          <w:tcPr>
            <w:tcW w:w="906"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r>
      <w:tr w:rsidR="00487ADD" w:rsidRPr="00740600" w:rsidTr="00F66774">
        <w:trPr>
          <w:trHeight w:val="333"/>
        </w:trPr>
        <w:tc>
          <w:tcPr>
            <w:tcW w:w="1377" w:type="dxa"/>
            <w:tcBorders>
              <w:top w:val="nil"/>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Maquinaria y equipo</w:t>
            </w:r>
          </w:p>
        </w:tc>
        <w:tc>
          <w:tcPr>
            <w:tcW w:w="837"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1,10</w:t>
            </w:r>
          </w:p>
        </w:tc>
        <w:tc>
          <w:tcPr>
            <w:tcW w:w="90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288" w:type="dxa"/>
            <w:tcBorders>
              <w:top w:val="nil"/>
              <w:left w:val="nil"/>
              <w:bottom w:val="nil"/>
              <w:right w:val="nil"/>
            </w:tcBorders>
            <w:shd w:val="clear" w:color="auto" w:fill="auto"/>
            <w:noWrap/>
            <w:vAlign w:val="bottom"/>
            <w:hideMark/>
          </w:tcPr>
          <w:p w:rsidR="00F6760B" w:rsidRPr="00487ADD" w:rsidRDefault="00F6760B" w:rsidP="00487ADD">
            <w:pPr>
              <w:jc w:val="center"/>
              <w:rPr>
                <w:sz w:val="18"/>
                <w:szCs w:val="18"/>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1,29</w:t>
            </w:r>
          </w:p>
        </w:tc>
        <w:tc>
          <w:tcPr>
            <w:tcW w:w="1180"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198"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1,00</w:t>
            </w:r>
          </w:p>
        </w:tc>
        <w:tc>
          <w:tcPr>
            <w:tcW w:w="135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292"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6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1,12</w:t>
            </w:r>
          </w:p>
        </w:tc>
        <w:tc>
          <w:tcPr>
            <w:tcW w:w="906"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r>
      <w:tr w:rsidR="00487ADD" w:rsidRPr="00740600" w:rsidTr="00F66774">
        <w:trPr>
          <w:trHeight w:val="333"/>
        </w:trPr>
        <w:tc>
          <w:tcPr>
            <w:tcW w:w="1377" w:type="dxa"/>
            <w:tcBorders>
              <w:top w:val="nil"/>
              <w:left w:val="nil"/>
              <w:bottom w:val="nil"/>
              <w:right w:val="nil"/>
            </w:tcBorders>
            <w:shd w:val="clear" w:color="auto" w:fill="auto"/>
            <w:noWrap/>
            <w:vAlign w:val="bottom"/>
            <w:hideMark/>
          </w:tcPr>
          <w:p w:rsidR="00F6760B" w:rsidRPr="00740600" w:rsidRDefault="00F6760B" w:rsidP="00F6760B">
            <w:pPr>
              <w:rPr>
                <w:b/>
                <w:bCs/>
                <w:sz w:val="16"/>
                <w:szCs w:val="16"/>
                <w:lang w:val="es-ES"/>
              </w:rPr>
            </w:pPr>
            <w:r w:rsidRPr="00740600">
              <w:rPr>
                <w:b/>
                <w:bCs/>
                <w:sz w:val="16"/>
                <w:szCs w:val="16"/>
                <w:lang w:val="es-ES"/>
              </w:rPr>
              <w:t>Total</w:t>
            </w:r>
          </w:p>
        </w:tc>
        <w:tc>
          <w:tcPr>
            <w:tcW w:w="837"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2,65</w:t>
            </w:r>
          </w:p>
        </w:tc>
        <w:tc>
          <w:tcPr>
            <w:tcW w:w="906"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0,03</w:t>
            </w:r>
          </w:p>
        </w:tc>
        <w:tc>
          <w:tcPr>
            <w:tcW w:w="288"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8"/>
                <w:szCs w:val="18"/>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2,57</w:t>
            </w:r>
          </w:p>
        </w:tc>
        <w:tc>
          <w:tcPr>
            <w:tcW w:w="1180"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0,00</w:t>
            </w:r>
          </w:p>
        </w:tc>
        <w:tc>
          <w:tcPr>
            <w:tcW w:w="198"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2,69</w:t>
            </w:r>
          </w:p>
        </w:tc>
        <w:tc>
          <w:tcPr>
            <w:tcW w:w="135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0,04</w:t>
            </w:r>
          </w:p>
        </w:tc>
        <w:tc>
          <w:tcPr>
            <w:tcW w:w="292"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p>
        </w:tc>
        <w:tc>
          <w:tcPr>
            <w:tcW w:w="66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2,91</w:t>
            </w:r>
          </w:p>
        </w:tc>
        <w:tc>
          <w:tcPr>
            <w:tcW w:w="906"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0,01</w:t>
            </w:r>
          </w:p>
        </w:tc>
      </w:tr>
      <w:tr w:rsidR="00487ADD" w:rsidRPr="00740600" w:rsidTr="00F66774">
        <w:trPr>
          <w:trHeight w:val="500"/>
        </w:trPr>
        <w:tc>
          <w:tcPr>
            <w:tcW w:w="1377" w:type="dxa"/>
            <w:tcBorders>
              <w:top w:val="nil"/>
              <w:left w:val="nil"/>
              <w:bottom w:val="nil"/>
              <w:right w:val="nil"/>
            </w:tcBorders>
            <w:shd w:val="clear" w:color="auto" w:fill="auto"/>
            <w:noWrap/>
            <w:vAlign w:val="center"/>
            <w:hideMark/>
          </w:tcPr>
          <w:p w:rsidR="00F6760B" w:rsidRPr="00740600" w:rsidRDefault="00F6760B" w:rsidP="00F6760B">
            <w:pPr>
              <w:rPr>
                <w:sz w:val="16"/>
                <w:szCs w:val="16"/>
                <w:lang w:val="es-ES"/>
              </w:rPr>
            </w:pPr>
          </w:p>
        </w:tc>
        <w:tc>
          <w:tcPr>
            <w:tcW w:w="837" w:type="dxa"/>
            <w:tcBorders>
              <w:top w:val="nil"/>
              <w:left w:val="nil"/>
              <w:bottom w:val="nil"/>
              <w:right w:val="nil"/>
            </w:tcBorders>
            <w:shd w:val="clear" w:color="auto" w:fill="auto"/>
            <w:vAlign w:val="center"/>
            <w:hideMark/>
          </w:tcPr>
          <w:p w:rsidR="00F6760B" w:rsidRPr="00487ADD" w:rsidRDefault="00F6760B" w:rsidP="00487ADD">
            <w:pPr>
              <w:jc w:val="center"/>
              <w:rPr>
                <w:sz w:val="16"/>
                <w:szCs w:val="16"/>
                <w:lang w:val="es-ES"/>
              </w:rPr>
            </w:pPr>
          </w:p>
        </w:tc>
        <w:tc>
          <w:tcPr>
            <w:tcW w:w="906" w:type="dxa"/>
            <w:tcBorders>
              <w:top w:val="nil"/>
              <w:left w:val="nil"/>
              <w:bottom w:val="nil"/>
              <w:right w:val="nil"/>
            </w:tcBorders>
            <w:shd w:val="clear" w:color="auto" w:fill="auto"/>
            <w:vAlign w:val="center"/>
            <w:hideMark/>
          </w:tcPr>
          <w:p w:rsidR="00F6760B" w:rsidRPr="00487ADD" w:rsidRDefault="00F6760B" w:rsidP="00487ADD">
            <w:pPr>
              <w:jc w:val="center"/>
              <w:rPr>
                <w:sz w:val="16"/>
                <w:szCs w:val="16"/>
                <w:lang w:val="es-ES"/>
              </w:rPr>
            </w:pPr>
          </w:p>
        </w:tc>
        <w:tc>
          <w:tcPr>
            <w:tcW w:w="288" w:type="dxa"/>
            <w:tcBorders>
              <w:top w:val="nil"/>
              <w:left w:val="nil"/>
              <w:bottom w:val="nil"/>
              <w:right w:val="nil"/>
            </w:tcBorders>
            <w:shd w:val="clear" w:color="auto" w:fill="auto"/>
            <w:vAlign w:val="center"/>
            <w:hideMark/>
          </w:tcPr>
          <w:p w:rsidR="00F6760B" w:rsidRPr="00487ADD" w:rsidRDefault="00F6760B" w:rsidP="00487ADD">
            <w:pPr>
              <w:jc w:val="center"/>
              <w:rPr>
                <w:sz w:val="18"/>
                <w:szCs w:val="18"/>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2064" w:type="dxa"/>
            <w:gridSpan w:val="4"/>
            <w:tcBorders>
              <w:top w:val="nil"/>
              <w:left w:val="nil"/>
              <w:bottom w:val="nil"/>
              <w:right w:val="nil"/>
            </w:tcBorders>
            <w:shd w:val="clear" w:color="auto" w:fill="auto"/>
            <w:vAlign w:val="bottom"/>
            <w:hideMark/>
          </w:tcPr>
          <w:p w:rsidR="00F6760B" w:rsidRPr="00487ADD" w:rsidRDefault="00F6760B" w:rsidP="00487ADD">
            <w:pPr>
              <w:jc w:val="center"/>
              <w:rPr>
                <w:b/>
                <w:bCs/>
                <w:sz w:val="16"/>
                <w:szCs w:val="16"/>
                <w:lang w:val="es-ES"/>
              </w:rPr>
            </w:pPr>
            <w:r w:rsidRPr="00487ADD">
              <w:rPr>
                <w:b/>
                <w:bCs/>
                <w:sz w:val="16"/>
                <w:szCs w:val="16"/>
                <w:lang w:val="es-ES"/>
              </w:rPr>
              <w:t>Contribución (puntos   porcentuales)</w:t>
            </w:r>
          </w:p>
        </w:tc>
        <w:tc>
          <w:tcPr>
            <w:tcW w:w="135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20"/>
                <w:lang w:val="es-ES"/>
              </w:rPr>
            </w:pPr>
          </w:p>
        </w:tc>
        <w:tc>
          <w:tcPr>
            <w:tcW w:w="292"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20"/>
                <w:lang w:val="es-ES"/>
              </w:rPr>
            </w:pPr>
          </w:p>
        </w:tc>
        <w:tc>
          <w:tcPr>
            <w:tcW w:w="663" w:type="dxa"/>
            <w:gridSpan w:val="2"/>
            <w:tcBorders>
              <w:top w:val="nil"/>
              <w:left w:val="nil"/>
              <w:bottom w:val="nil"/>
              <w:right w:val="nil"/>
            </w:tcBorders>
            <w:shd w:val="clear" w:color="auto" w:fill="auto"/>
            <w:vAlign w:val="center"/>
            <w:hideMark/>
          </w:tcPr>
          <w:p w:rsidR="00F6760B" w:rsidRPr="00487ADD" w:rsidRDefault="00F6760B" w:rsidP="00487ADD">
            <w:pPr>
              <w:jc w:val="center"/>
              <w:rPr>
                <w:sz w:val="16"/>
                <w:szCs w:val="16"/>
                <w:lang w:val="es-ES"/>
              </w:rPr>
            </w:pPr>
          </w:p>
        </w:tc>
        <w:tc>
          <w:tcPr>
            <w:tcW w:w="906"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20"/>
                <w:lang w:val="es-ES"/>
              </w:rPr>
            </w:pPr>
          </w:p>
        </w:tc>
      </w:tr>
      <w:tr w:rsidR="00487ADD" w:rsidRPr="00740600" w:rsidTr="00F66774">
        <w:trPr>
          <w:trHeight w:val="333"/>
        </w:trPr>
        <w:tc>
          <w:tcPr>
            <w:tcW w:w="1377" w:type="dxa"/>
            <w:tcBorders>
              <w:top w:val="nil"/>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Materiales</w:t>
            </w:r>
          </w:p>
        </w:tc>
        <w:tc>
          <w:tcPr>
            <w:tcW w:w="837"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1,17</w:t>
            </w:r>
          </w:p>
        </w:tc>
        <w:tc>
          <w:tcPr>
            <w:tcW w:w="90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0,03</w:t>
            </w:r>
          </w:p>
        </w:tc>
        <w:tc>
          <w:tcPr>
            <w:tcW w:w="288" w:type="dxa"/>
            <w:tcBorders>
              <w:top w:val="nil"/>
              <w:left w:val="nil"/>
              <w:bottom w:val="nil"/>
              <w:right w:val="nil"/>
            </w:tcBorders>
            <w:shd w:val="clear" w:color="auto" w:fill="auto"/>
            <w:noWrap/>
            <w:vAlign w:val="bottom"/>
            <w:hideMark/>
          </w:tcPr>
          <w:p w:rsidR="00F6760B" w:rsidRPr="00487ADD" w:rsidRDefault="00F6760B" w:rsidP="00487ADD">
            <w:pPr>
              <w:jc w:val="center"/>
              <w:rPr>
                <w:sz w:val="18"/>
                <w:szCs w:val="18"/>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1,02</w:t>
            </w:r>
          </w:p>
        </w:tc>
        <w:tc>
          <w:tcPr>
            <w:tcW w:w="1180"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0,01</w:t>
            </w:r>
          </w:p>
        </w:tc>
        <w:tc>
          <w:tcPr>
            <w:tcW w:w="198"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1,26</w:t>
            </w:r>
          </w:p>
        </w:tc>
        <w:tc>
          <w:tcPr>
            <w:tcW w:w="135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0,04</w:t>
            </w:r>
          </w:p>
        </w:tc>
        <w:tc>
          <w:tcPr>
            <w:tcW w:w="292"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6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1,06</w:t>
            </w:r>
          </w:p>
        </w:tc>
        <w:tc>
          <w:tcPr>
            <w:tcW w:w="906"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0,01</w:t>
            </w:r>
          </w:p>
        </w:tc>
      </w:tr>
      <w:tr w:rsidR="00487ADD" w:rsidRPr="00740600" w:rsidTr="00F66774">
        <w:trPr>
          <w:trHeight w:val="333"/>
        </w:trPr>
        <w:tc>
          <w:tcPr>
            <w:tcW w:w="1377" w:type="dxa"/>
            <w:tcBorders>
              <w:top w:val="nil"/>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Mano de obra</w:t>
            </w:r>
          </w:p>
        </w:tc>
        <w:tc>
          <w:tcPr>
            <w:tcW w:w="837"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1,42</w:t>
            </w:r>
          </w:p>
        </w:tc>
        <w:tc>
          <w:tcPr>
            <w:tcW w:w="90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288" w:type="dxa"/>
            <w:tcBorders>
              <w:top w:val="nil"/>
              <w:left w:val="nil"/>
              <w:bottom w:val="nil"/>
              <w:right w:val="nil"/>
            </w:tcBorders>
            <w:shd w:val="clear" w:color="auto" w:fill="auto"/>
            <w:noWrap/>
            <w:vAlign w:val="bottom"/>
            <w:hideMark/>
          </w:tcPr>
          <w:p w:rsidR="00F6760B" w:rsidRPr="00487ADD" w:rsidRDefault="00F6760B" w:rsidP="00487ADD">
            <w:pPr>
              <w:jc w:val="center"/>
              <w:rPr>
                <w:sz w:val="18"/>
                <w:szCs w:val="18"/>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1,49</w:t>
            </w:r>
          </w:p>
        </w:tc>
        <w:tc>
          <w:tcPr>
            <w:tcW w:w="1180"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198"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1,38</w:t>
            </w:r>
          </w:p>
        </w:tc>
        <w:tc>
          <w:tcPr>
            <w:tcW w:w="135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292"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6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1,79</w:t>
            </w:r>
          </w:p>
        </w:tc>
        <w:tc>
          <w:tcPr>
            <w:tcW w:w="906"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r>
      <w:tr w:rsidR="00487ADD" w:rsidRPr="00740600" w:rsidTr="00F66774">
        <w:trPr>
          <w:trHeight w:val="333"/>
        </w:trPr>
        <w:tc>
          <w:tcPr>
            <w:tcW w:w="1377" w:type="dxa"/>
            <w:tcBorders>
              <w:top w:val="nil"/>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Maquinaria y equipo</w:t>
            </w:r>
          </w:p>
        </w:tc>
        <w:tc>
          <w:tcPr>
            <w:tcW w:w="837"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0,06</w:t>
            </w:r>
          </w:p>
        </w:tc>
        <w:tc>
          <w:tcPr>
            <w:tcW w:w="90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288" w:type="dxa"/>
            <w:tcBorders>
              <w:top w:val="nil"/>
              <w:left w:val="nil"/>
              <w:bottom w:val="nil"/>
              <w:right w:val="nil"/>
            </w:tcBorders>
            <w:shd w:val="clear" w:color="auto" w:fill="auto"/>
            <w:noWrap/>
            <w:vAlign w:val="bottom"/>
            <w:hideMark/>
          </w:tcPr>
          <w:p w:rsidR="00F6760B" w:rsidRPr="00487ADD" w:rsidRDefault="00F6760B" w:rsidP="00487ADD">
            <w:pPr>
              <w:jc w:val="center"/>
              <w:rPr>
                <w:sz w:val="18"/>
                <w:szCs w:val="18"/>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0,06</w:t>
            </w:r>
          </w:p>
        </w:tc>
        <w:tc>
          <w:tcPr>
            <w:tcW w:w="1180"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198"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0,05</w:t>
            </w:r>
          </w:p>
        </w:tc>
        <w:tc>
          <w:tcPr>
            <w:tcW w:w="135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c>
          <w:tcPr>
            <w:tcW w:w="292"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p>
        </w:tc>
        <w:tc>
          <w:tcPr>
            <w:tcW w:w="66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0,06</w:t>
            </w:r>
          </w:p>
        </w:tc>
        <w:tc>
          <w:tcPr>
            <w:tcW w:w="906"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sz w:val="16"/>
                <w:szCs w:val="16"/>
                <w:lang w:val="es-ES"/>
              </w:rPr>
            </w:pPr>
            <w:r w:rsidRPr="00487ADD">
              <w:rPr>
                <w:sz w:val="16"/>
                <w:szCs w:val="16"/>
                <w:lang w:val="es-ES"/>
              </w:rPr>
              <w:t>0,00</w:t>
            </w:r>
          </w:p>
        </w:tc>
      </w:tr>
      <w:tr w:rsidR="00487ADD" w:rsidRPr="00740600" w:rsidTr="00F66774">
        <w:trPr>
          <w:trHeight w:val="333"/>
        </w:trPr>
        <w:tc>
          <w:tcPr>
            <w:tcW w:w="1377" w:type="dxa"/>
            <w:tcBorders>
              <w:top w:val="nil"/>
              <w:left w:val="nil"/>
              <w:bottom w:val="nil"/>
              <w:right w:val="nil"/>
            </w:tcBorders>
            <w:shd w:val="clear" w:color="auto" w:fill="auto"/>
            <w:noWrap/>
            <w:vAlign w:val="bottom"/>
            <w:hideMark/>
          </w:tcPr>
          <w:p w:rsidR="00F6760B" w:rsidRPr="00740600" w:rsidRDefault="00F6760B" w:rsidP="00F6760B">
            <w:pPr>
              <w:rPr>
                <w:b/>
                <w:bCs/>
                <w:sz w:val="16"/>
                <w:szCs w:val="16"/>
                <w:lang w:val="es-ES"/>
              </w:rPr>
            </w:pPr>
            <w:r w:rsidRPr="00740600">
              <w:rPr>
                <w:b/>
                <w:bCs/>
                <w:sz w:val="16"/>
                <w:szCs w:val="16"/>
                <w:lang w:val="es-ES"/>
              </w:rPr>
              <w:t>Total</w:t>
            </w:r>
          </w:p>
        </w:tc>
        <w:tc>
          <w:tcPr>
            <w:tcW w:w="837"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2,65</w:t>
            </w:r>
          </w:p>
        </w:tc>
        <w:tc>
          <w:tcPr>
            <w:tcW w:w="906"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0,03</w:t>
            </w:r>
          </w:p>
        </w:tc>
        <w:tc>
          <w:tcPr>
            <w:tcW w:w="288"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8"/>
                <w:szCs w:val="18"/>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0,95</w:t>
            </w:r>
          </w:p>
        </w:tc>
        <w:tc>
          <w:tcPr>
            <w:tcW w:w="1180"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0,00</w:t>
            </w:r>
          </w:p>
        </w:tc>
        <w:tc>
          <w:tcPr>
            <w:tcW w:w="198"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p>
        </w:tc>
        <w:tc>
          <w:tcPr>
            <w:tcW w:w="686" w:type="dxa"/>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1,70</w:t>
            </w:r>
          </w:p>
        </w:tc>
        <w:tc>
          <w:tcPr>
            <w:tcW w:w="135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0,03</w:t>
            </w:r>
          </w:p>
        </w:tc>
        <w:tc>
          <w:tcPr>
            <w:tcW w:w="292"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p>
        </w:tc>
        <w:tc>
          <w:tcPr>
            <w:tcW w:w="663"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2,91</w:t>
            </w:r>
          </w:p>
        </w:tc>
        <w:tc>
          <w:tcPr>
            <w:tcW w:w="906" w:type="dxa"/>
            <w:gridSpan w:val="2"/>
            <w:tcBorders>
              <w:top w:val="nil"/>
              <w:left w:val="nil"/>
              <w:bottom w:val="nil"/>
              <w:right w:val="nil"/>
            </w:tcBorders>
            <w:shd w:val="clear" w:color="auto" w:fill="auto"/>
            <w:noWrap/>
            <w:vAlign w:val="bottom"/>
            <w:hideMark/>
          </w:tcPr>
          <w:p w:rsidR="00F6760B" w:rsidRPr="00487ADD" w:rsidRDefault="00F6760B" w:rsidP="00487ADD">
            <w:pPr>
              <w:jc w:val="center"/>
              <w:rPr>
                <w:b/>
                <w:bCs/>
                <w:sz w:val="16"/>
                <w:szCs w:val="16"/>
                <w:lang w:val="es-ES"/>
              </w:rPr>
            </w:pPr>
            <w:r w:rsidRPr="00487ADD">
              <w:rPr>
                <w:b/>
                <w:bCs/>
                <w:sz w:val="16"/>
                <w:szCs w:val="16"/>
                <w:lang w:val="es-ES"/>
              </w:rPr>
              <w:t>0,01</w:t>
            </w:r>
          </w:p>
        </w:tc>
      </w:tr>
      <w:tr w:rsidR="00487ADD" w:rsidRPr="00740600" w:rsidTr="00F66774">
        <w:trPr>
          <w:trHeight w:val="226"/>
        </w:trPr>
        <w:tc>
          <w:tcPr>
            <w:tcW w:w="3120" w:type="dxa"/>
            <w:gridSpan w:val="3"/>
            <w:tcBorders>
              <w:top w:val="single" w:sz="4" w:space="0" w:color="auto"/>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 xml:space="preserve">Fuente: </w:t>
            </w:r>
            <w:r w:rsidR="008F5FB2">
              <w:rPr>
                <w:sz w:val="16"/>
                <w:szCs w:val="16"/>
                <w:lang w:val="es-ES"/>
              </w:rPr>
              <w:t>DANE</w:t>
            </w:r>
            <w:r w:rsidRPr="00740600">
              <w:rPr>
                <w:sz w:val="16"/>
                <w:szCs w:val="16"/>
                <w:lang w:val="es-ES"/>
              </w:rPr>
              <w:t xml:space="preserve"> - ICCV</w:t>
            </w:r>
          </w:p>
        </w:tc>
        <w:tc>
          <w:tcPr>
            <w:tcW w:w="288" w:type="dxa"/>
            <w:tcBorders>
              <w:top w:val="single" w:sz="4" w:space="0" w:color="auto"/>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 </w:t>
            </w:r>
          </w:p>
        </w:tc>
        <w:tc>
          <w:tcPr>
            <w:tcW w:w="686" w:type="dxa"/>
            <w:tcBorders>
              <w:top w:val="single" w:sz="4" w:space="0" w:color="auto"/>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 </w:t>
            </w:r>
          </w:p>
        </w:tc>
        <w:tc>
          <w:tcPr>
            <w:tcW w:w="1180" w:type="dxa"/>
            <w:gridSpan w:val="2"/>
            <w:tcBorders>
              <w:top w:val="single" w:sz="4" w:space="0" w:color="auto"/>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 </w:t>
            </w:r>
          </w:p>
        </w:tc>
        <w:tc>
          <w:tcPr>
            <w:tcW w:w="198" w:type="dxa"/>
            <w:tcBorders>
              <w:top w:val="single" w:sz="4" w:space="0" w:color="auto"/>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 </w:t>
            </w:r>
          </w:p>
        </w:tc>
        <w:tc>
          <w:tcPr>
            <w:tcW w:w="686" w:type="dxa"/>
            <w:tcBorders>
              <w:top w:val="single" w:sz="4" w:space="0" w:color="auto"/>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 </w:t>
            </w:r>
          </w:p>
        </w:tc>
        <w:tc>
          <w:tcPr>
            <w:tcW w:w="1353" w:type="dxa"/>
            <w:gridSpan w:val="2"/>
            <w:tcBorders>
              <w:top w:val="single" w:sz="4" w:space="0" w:color="auto"/>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 </w:t>
            </w:r>
          </w:p>
        </w:tc>
        <w:tc>
          <w:tcPr>
            <w:tcW w:w="292" w:type="dxa"/>
            <w:gridSpan w:val="2"/>
            <w:tcBorders>
              <w:top w:val="single" w:sz="4" w:space="0" w:color="auto"/>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 </w:t>
            </w:r>
          </w:p>
        </w:tc>
        <w:tc>
          <w:tcPr>
            <w:tcW w:w="663" w:type="dxa"/>
            <w:gridSpan w:val="2"/>
            <w:tcBorders>
              <w:top w:val="single" w:sz="4" w:space="0" w:color="auto"/>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 </w:t>
            </w:r>
          </w:p>
        </w:tc>
        <w:tc>
          <w:tcPr>
            <w:tcW w:w="906" w:type="dxa"/>
            <w:gridSpan w:val="2"/>
            <w:tcBorders>
              <w:top w:val="single" w:sz="4" w:space="0" w:color="auto"/>
              <w:left w:val="nil"/>
              <w:bottom w:val="nil"/>
              <w:right w:val="nil"/>
            </w:tcBorders>
            <w:shd w:val="clear" w:color="auto" w:fill="auto"/>
            <w:noWrap/>
            <w:vAlign w:val="bottom"/>
            <w:hideMark/>
          </w:tcPr>
          <w:p w:rsidR="00F6760B" w:rsidRPr="00740600" w:rsidRDefault="00F6760B" w:rsidP="00F6760B">
            <w:pPr>
              <w:rPr>
                <w:sz w:val="16"/>
                <w:szCs w:val="16"/>
                <w:lang w:val="es-ES"/>
              </w:rPr>
            </w:pPr>
            <w:r w:rsidRPr="00740600">
              <w:rPr>
                <w:sz w:val="16"/>
                <w:szCs w:val="16"/>
                <w:lang w:val="es-ES"/>
              </w:rPr>
              <w:t> </w:t>
            </w:r>
          </w:p>
        </w:tc>
      </w:tr>
    </w:tbl>
    <w:p w:rsidR="00A90B9E" w:rsidRDefault="00F6760B" w:rsidP="00F6760B">
      <w:pPr>
        <w:autoSpaceDE w:val="0"/>
        <w:autoSpaceDN w:val="0"/>
        <w:adjustRightInd w:val="0"/>
        <w:spacing w:line="360" w:lineRule="auto"/>
        <w:jc w:val="both"/>
        <w:rPr>
          <w:rFonts w:eastAsiaTheme="minorHAnsi"/>
          <w:lang w:val="es-ES" w:eastAsia="en-US"/>
        </w:rPr>
      </w:pPr>
      <w:r w:rsidRPr="00740600">
        <w:rPr>
          <w:rFonts w:eastAsiaTheme="minorHAnsi"/>
          <w:lang w:val="es-ES" w:eastAsia="en-US"/>
        </w:rPr>
        <w:t xml:space="preserve">     </w:t>
      </w:r>
    </w:p>
    <w:p w:rsidR="00F6760B" w:rsidRDefault="00F6760B" w:rsidP="00A90B9E">
      <w:pPr>
        <w:autoSpaceDE w:val="0"/>
        <w:autoSpaceDN w:val="0"/>
        <w:adjustRightInd w:val="0"/>
        <w:spacing w:line="360" w:lineRule="auto"/>
        <w:ind w:firstLine="284"/>
        <w:jc w:val="both"/>
        <w:rPr>
          <w:rFonts w:eastAsiaTheme="minorHAnsi"/>
          <w:lang w:val="es-ES" w:eastAsia="en-US"/>
        </w:rPr>
      </w:pPr>
      <w:r w:rsidRPr="00740600">
        <w:rPr>
          <w:rFonts w:eastAsiaTheme="minorHAnsi"/>
          <w:lang w:val="es-ES" w:eastAsia="en-US"/>
        </w:rPr>
        <w:t>Por grupos de insumos, el que más crece al interior del ICCV es el de Mano de Obra.  Este grupo presentó un crecimiento anual del 4,80%. El ICCV de Materiales en 1,79% y el ICCV de  Maquinaria en 1,10%.</w:t>
      </w:r>
    </w:p>
    <w:p w:rsidR="00F66774" w:rsidRDefault="00F66774" w:rsidP="00A90B9E">
      <w:pPr>
        <w:autoSpaceDE w:val="0"/>
        <w:autoSpaceDN w:val="0"/>
        <w:adjustRightInd w:val="0"/>
        <w:spacing w:line="360" w:lineRule="auto"/>
        <w:ind w:firstLine="284"/>
        <w:jc w:val="both"/>
        <w:rPr>
          <w:rFonts w:eastAsiaTheme="minorHAnsi"/>
          <w:lang w:val="es-ES" w:eastAsia="en-US"/>
        </w:rPr>
      </w:pPr>
    </w:p>
    <w:p w:rsidR="00A41411" w:rsidRDefault="00A41411" w:rsidP="00A90B9E">
      <w:pPr>
        <w:autoSpaceDE w:val="0"/>
        <w:autoSpaceDN w:val="0"/>
        <w:adjustRightInd w:val="0"/>
        <w:spacing w:line="360" w:lineRule="auto"/>
        <w:ind w:firstLine="284"/>
        <w:jc w:val="both"/>
        <w:rPr>
          <w:rFonts w:eastAsiaTheme="minorHAnsi"/>
          <w:lang w:val="es-ES" w:eastAsia="en-US"/>
        </w:rPr>
      </w:pPr>
    </w:p>
    <w:p w:rsidR="00A41411" w:rsidRPr="00740600" w:rsidRDefault="00A41411" w:rsidP="00A90B9E">
      <w:pPr>
        <w:autoSpaceDE w:val="0"/>
        <w:autoSpaceDN w:val="0"/>
        <w:adjustRightInd w:val="0"/>
        <w:spacing w:line="360" w:lineRule="auto"/>
        <w:ind w:firstLine="284"/>
        <w:jc w:val="both"/>
        <w:rPr>
          <w:rFonts w:eastAsiaTheme="minorHAnsi"/>
          <w:lang w:val="es-ES" w:eastAsia="en-US"/>
        </w:rPr>
      </w:pPr>
    </w:p>
    <w:p w:rsidR="00F6760B" w:rsidRPr="00C87DD1" w:rsidRDefault="00F6760B" w:rsidP="00F6760B">
      <w:pPr>
        <w:jc w:val="both"/>
        <w:rPr>
          <w:rFonts w:eastAsia="Batang"/>
          <w:bCs/>
          <w:szCs w:val="22"/>
        </w:rPr>
      </w:pPr>
      <w:r w:rsidRPr="00C87DD1">
        <w:lastRenderedPageBreak/>
        <w:t>Gráfico 5.2</w:t>
      </w:r>
    </w:p>
    <w:p w:rsidR="00F6760B" w:rsidRPr="00C87DD1" w:rsidRDefault="00F6760B" w:rsidP="00F6760B">
      <w:pPr>
        <w:jc w:val="both"/>
        <w:rPr>
          <w:rFonts w:eastAsia="Batang"/>
          <w:bCs/>
          <w:szCs w:val="22"/>
        </w:rPr>
      </w:pPr>
      <w:r w:rsidRPr="00C87DD1">
        <w:rPr>
          <w:rFonts w:eastAsia="Batang"/>
          <w:bCs/>
          <w:szCs w:val="22"/>
        </w:rPr>
        <w:t>Proyecciones de viviendas, en el Departamento del Quindío por área</w:t>
      </w:r>
    </w:p>
    <w:p w:rsidR="00F6760B" w:rsidRPr="00C87DD1" w:rsidRDefault="00F6760B" w:rsidP="00F6760B">
      <w:pPr>
        <w:jc w:val="both"/>
        <w:rPr>
          <w:rFonts w:eastAsia="Batang"/>
          <w:bCs/>
          <w:szCs w:val="22"/>
        </w:rPr>
      </w:pPr>
      <w:r w:rsidRPr="00C87DD1">
        <w:rPr>
          <w:rFonts w:eastAsia="Batang"/>
          <w:bCs/>
          <w:szCs w:val="22"/>
        </w:rPr>
        <w:t>Año 2012-2013</w:t>
      </w:r>
    </w:p>
    <w:p w:rsidR="00F6760B" w:rsidRPr="00740600" w:rsidRDefault="00F6760B" w:rsidP="00F6760B">
      <w:pPr>
        <w:jc w:val="center"/>
      </w:pPr>
    </w:p>
    <w:p w:rsidR="00F6760B" w:rsidRPr="00740600" w:rsidRDefault="00F6760B" w:rsidP="00F66774">
      <w:r w:rsidRPr="00740600">
        <w:rPr>
          <w:noProof/>
        </w:rPr>
        <w:drawing>
          <wp:inline distT="0" distB="0" distL="0" distR="0" wp14:anchorId="385D841F" wp14:editId="76A27E1D">
            <wp:extent cx="3916908" cy="1856095"/>
            <wp:effectExtent l="0" t="0" r="26670" b="1143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6760B" w:rsidRPr="00F66774" w:rsidRDefault="00F66774" w:rsidP="00F6760B">
      <w:pPr>
        <w:jc w:val="both"/>
        <w:rPr>
          <w:sz w:val="16"/>
          <w:szCs w:val="16"/>
        </w:rPr>
      </w:pPr>
      <w:r>
        <w:rPr>
          <w:sz w:val="20"/>
        </w:rPr>
        <w:t xml:space="preserve">   </w:t>
      </w:r>
      <w:r w:rsidR="00F6760B" w:rsidRPr="00F66774">
        <w:rPr>
          <w:sz w:val="16"/>
          <w:szCs w:val="16"/>
        </w:rPr>
        <w:t xml:space="preserve">Fuente: </w:t>
      </w:r>
      <w:r w:rsidR="008F5FB2">
        <w:rPr>
          <w:sz w:val="16"/>
          <w:szCs w:val="16"/>
        </w:rPr>
        <w:t>DANE</w:t>
      </w:r>
    </w:p>
    <w:p w:rsidR="00F6760B" w:rsidRPr="00740600" w:rsidRDefault="00F6760B" w:rsidP="00F6760B">
      <w:pPr>
        <w:rPr>
          <w:sz w:val="10"/>
          <w:szCs w:val="10"/>
        </w:rPr>
      </w:pPr>
    </w:p>
    <w:p w:rsidR="005A1216" w:rsidRDefault="005A1216" w:rsidP="00F66774">
      <w:pPr>
        <w:pStyle w:val="NormalWeb"/>
        <w:spacing w:line="360" w:lineRule="auto"/>
        <w:ind w:firstLine="284"/>
        <w:jc w:val="both"/>
      </w:pPr>
    </w:p>
    <w:p w:rsidR="00127A8E" w:rsidRDefault="00F6760B" w:rsidP="00F66774">
      <w:pPr>
        <w:pStyle w:val="NormalWeb"/>
        <w:spacing w:line="360" w:lineRule="auto"/>
        <w:ind w:firstLine="284"/>
        <w:jc w:val="both"/>
      </w:pPr>
      <w:r>
        <w:t>E</w:t>
      </w:r>
      <w:r w:rsidRPr="00740600">
        <w:t>n el año 2013</w:t>
      </w:r>
      <w:r w:rsidR="00127A8E">
        <w:t>,</w:t>
      </w:r>
      <w:r w:rsidRPr="00740600">
        <w:t xml:space="preserve"> se </w:t>
      </w:r>
      <w:r w:rsidR="00127A8E">
        <w:t>registra</w:t>
      </w:r>
      <w:r w:rsidRPr="00740600">
        <w:t xml:space="preserve"> un crec</w:t>
      </w:r>
      <w:r w:rsidR="001A4D7E">
        <w:t>imiento de</w:t>
      </w:r>
      <w:r w:rsidR="00483AAE">
        <w:t xml:space="preserve"> la construcción de </w:t>
      </w:r>
      <w:r w:rsidR="001A4D7E">
        <w:t>vivienda en el área u</w:t>
      </w:r>
      <w:r w:rsidRPr="00740600">
        <w:t>rbana del 1,60</w:t>
      </w:r>
      <w:r w:rsidR="001A4D7E">
        <w:t xml:space="preserve">%; </w:t>
      </w:r>
      <w:r w:rsidR="00127A8E">
        <w:t>mientras</w:t>
      </w:r>
      <w:r w:rsidR="004F4DFA">
        <w:t>,</w:t>
      </w:r>
      <w:r w:rsidR="00127A8E">
        <w:t xml:space="preserve"> que</w:t>
      </w:r>
      <w:r w:rsidR="001A4D7E">
        <w:t xml:space="preserve"> en el área r</w:t>
      </w:r>
      <w:r w:rsidRPr="00740600">
        <w:t>ural</w:t>
      </w:r>
      <w:r w:rsidR="004F4DFA">
        <w:t xml:space="preserve"> </w:t>
      </w:r>
      <w:r w:rsidRPr="00740600">
        <w:t xml:space="preserve">se </w:t>
      </w:r>
      <w:r w:rsidR="00483AAE">
        <w:t>presenta</w:t>
      </w:r>
      <w:r w:rsidR="00127A8E">
        <w:t xml:space="preserve"> </w:t>
      </w:r>
      <w:r w:rsidRPr="00740600">
        <w:t>una disminución del 0.25%</w:t>
      </w:r>
      <w:r w:rsidR="00230A42">
        <w:t>,</w:t>
      </w:r>
      <w:r w:rsidRPr="00740600">
        <w:t xml:space="preserve"> aproximadamente.</w:t>
      </w:r>
      <w:r w:rsidR="00127A8E">
        <w:t xml:space="preserve"> Estas cifras </w:t>
      </w:r>
      <w:r w:rsidR="004F4DFA">
        <w:t>muestran</w:t>
      </w:r>
      <w:r w:rsidR="00127A8E">
        <w:t xml:space="preserve"> de manera clara</w:t>
      </w:r>
      <w:r w:rsidR="004F4DFA">
        <w:t>,</w:t>
      </w:r>
      <w:r w:rsidR="00127A8E">
        <w:t xml:space="preserve"> </w:t>
      </w:r>
      <w:r w:rsidR="00127A8E" w:rsidRPr="00740600">
        <w:t>que el índice y la densi</w:t>
      </w:r>
      <w:r w:rsidR="00073B98">
        <w:t>dad de construcción y ocupación</w:t>
      </w:r>
      <w:r w:rsidR="00127A8E" w:rsidRPr="00740600">
        <w:t xml:space="preserve"> en el suelo urbano</w:t>
      </w:r>
      <w:r w:rsidR="00073B98">
        <w:t>, es más alta</w:t>
      </w:r>
      <w:r w:rsidR="00127A8E" w:rsidRPr="00740600">
        <w:t xml:space="preserve"> frente al suelo rural</w:t>
      </w:r>
      <w:r w:rsidR="003F096A">
        <w:t xml:space="preserve">, lo cual </w:t>
      </w:r>
      <w:r w:rsidR="003F096A" w:rsidRPr="00740600">
        <w:t>se refleja en el costo de la tierra y la prestación adecuada de servicios públicos domiciliarios</w:t>
      </w:r>
      <w:r w:rsidR="003F096A">
        <w:t>.</w:t>
      </w:r>
      <w:r w:rsidR="009377F2">
        <w:t xml:space="preserve"> Adicionalmente, esta</w:t>
      </w:r>
      <w:r w:rsidR="003F096A">
        <w:t xml:space="preserve"> </w:t>
      </w:r>
      <w:r w:rsidR="009377F2" w:rsidRPr="00740600">
        <w:t>dinámica representa la visión territorial del Plan de Ordenamiento Territorial del municipio de Armenia, en la búsqueda de una ciudad compacta</w:t>
      </w:r>
    </w:p>
    <w:p w:rsidR="00F6760B" w:rsidRDefault="00F6760B" w:rsidP="00F6760B">
      <w:pPr>
        <w:jc w:val="center"/>
        <w:rPr>
          <w:b/>
          <w:bCs/>
          <w:sz w:val="10"/>
          <w:szCs w:val="10"/>
        </w:rPr>
      </w:pPr>
    </w:p>
    <w:p w:rsidR="00F6760B" w:rsidRPr="00C87DD1" w:rsidRDefault="005A1216" w:rsidP="00F6760B">
      <w:pPr>
        <w:jc w:val="both"/>
        <w:rPr>
          <w:bCs/>
          <w:szCs w:val="22"/>
        </w:rPr>
      </w:pPr>
      <w:r>
        <w:t>Tabla 5.3</w:t>
      </w:r>
    </w:p>
    <w:p w:rsidR="00F6760B" w:rsidRPr="00C87DD1" w:rsidRDefault="00F6760B" w:rsidP="00F6760B">
      <w:pPr>
        <w:jc w:val="both"/>
        <w:rPr>
          <w:bCs/>
          <w:szCs w:val="22"/>
        </w:rPr>
      </w:pPr>
      <w:r w:rsidRPr="00C87DD1">
        <w:rPr>
          <w:bCs/>
          <w:szCs w:val="22"/>
        </w:rPr>
        <w:t>Tabla. Censo de edificaciones por tipo de vivienda VIP, VIS, NO VIS Armenia</w:t>
      </w:r>
    </w:p>
    <w:p w:rsidR="00F6760B" w:rsidRPr="00C87DD1" w:rsidRDefault="00282669" w:rsidP="00F6760B">
      <w:pPr>
        <w:jc w:val="both"/>
        <w:rPr>
          <w:bCs/>
          <w:szCs w:val="22"/>
        </w:rPr>
      </w:pPr>
      <w:r>
        <w:rPr>
          <w:bCs/>
          <w:szCs w:val="22"/>
        </w:rPr>
        <w:t xml:space="preserve">Unidades. </w:t>
      </w:r>
      <w:r w:rsidR="00F6760B" w:rsidRPr="00C87DD1">
        <w:rPr>
          <w:bCs/>
          <w:szCs w:val="22"/>
        </w:rPr>
        <w:t>Año 2013</w:t>
      </w:r>
    </w:p>
    <w:p w:rsidR="00F6760B" w:rsidRPr="00740600" w:rsidRDefault="00F6760B" w:rsidP="00F6760B">
      <w:pPr>
        <w:tabs>
          <w:tab w:val="left" w:pos="7125"/>
        </w:tabs>
        <w:rPr>
          <w:sz w:val="18"/>
          <w:szCs w:val="18"/>
        </w:rPr>
      </w:pPr>
      <w:r w:rsidRPr="00740600">
        <w:t xml:space="preserve">                                                                                                                      </w:t>
      </w:r>
    </w:p>
    <w:tbl>
      <w:tblPr>
        <w:tblW w:w="6784" w:type="dxa"/>
        <w:tblCellMar>
          <w:left w:w="70" w:type="dxa"/>
          <w:right w:w="70" w:type="dxa"/>
        </w:tblCellMar>
        <w:tblLook w:val="04A0" w:firstRow="1" w:lastRow="0" w:firstColumn="1" w:lastColumn="0" w:noHBand="0" w:noVBand="1"/>
      </w:tblPr>
      <w:tblGrid>
        <w:gridCol w:w="2098"/>
        <w:gridCol w:w="1294"/>
        <w:gridCol w:w="2098"/>
        <w:gridCol w:w="1294"/>
      </w:tblGrid>
      <w:tr w:rsidR="00F6760B" w:rsidRPr="00B6543C" w:rsidTr="00F6760B">
        <w:trPr>
          <w:trHeight w:val="323"/>
        </w:trPr>
        <w:tc>
          <w:tcPr>
            <w:tcW w:w="2098" w:type="dxa"/>
            <w:tcBorders>
              <w:top w:val="single" w:sz="4" w:space="0" w:color="auto"/>
              <w:left w:val="nil"/>
              <w:bottom w:val="single" w:sz="4" w:space="0" w:color="auto"/>
            </w:tcBorders>
            <w:shd w:val="clear" w:color="auto" w:fill="auto"/>
            <w:noWrap/>
            <w:vAlign w:val="center"/>
            <w:hideMark/>
          </w:tcPr>
          <w:p w:rsidR="00F6760B" w:rsidRPr="00B6543C" w:rsidRDefault="00F6760B" w:rsidP="00F6760B">
            <w:pPr>
              <w:jc w:val="center"/>
              <w:rPr>
                <w:color w:val="000000"/>
                <w:sz w:val="20"/>
                <w:szCs w:val="20"/>
                <w:lang w:val="es-ES"/>
              </w:rPr>
            </w:pPr>
            <w:r w:rsidRPr="00B6543C">
              <w:rPr>
                <w:b/>
                <w:bCs/>
                <w:color w:val="000000"/>
                <w:sz w:val="20"/>
                <w:szCs w:val="20"/>
                <w:lang w:val="es-ES"/>
              </w:rPr>
              <w:t>TIPO DE VIVIENDA</w:t>
            </w:r>
          </w:p>
        </w:tc>
        <w:tc>
          <w:tcPr>
            <w:tcW w:w="1294" w:type="dxa"/>
            <w:tcBorders>
              <w:top w:val="single" w:sz="4" w:space="0" w:color="auto"/>
              <w:bottom w:val="single" w:sz="4" w:space="0" w:color="auto"/>
            </w:tcBorders>
            <w:shd w:val="clear" w:color="auto" w:fill="auto"/>
            <w:vAlign w:val="center"/>
            <w:hideMark/>
          </w:tcPr>
          <w:p w:rsidR="00F6760B" w:rsidRPr="00B6543C" w:rsidRDefault="00F6760B" w:rsidP="00F6760B">
            <w:pPr>
              <w:jc w:val="center"/>
              <w:rPr>
                <w:b/>
                <w:bCs/>
                <w:color w:val="000000"/>
                <w:sz w:val="20"/>
                <w:szCs w:val="20"/>
                <w:lang w:val="es-ES"/>
              </w:rPr>
            </w:pPr>
            <w:r w:rsidRPr="00B6543C">
              <w:rPr>
                <w:b/>
                <w:bCs/>
                <w:color w:val="000000"/>
                <w:sz w:val="20"/>
                <w:szCs w:val="20"/>
                <w:lang w:val="es-ES"/>
              </w:rPr>
              <w:t>VIP</w:t>
            </w:r>
          </w:p>
        </w:tc>
        <w:tc>
          <w:tcPr>
            <w:tcW w:w="2098" w:type="dxa"/>
            <w:tcBorders>
              <w:top w:val="single" w:sz="4" w:space="0" w:color="auto"/>
              <w:bottom w:val="single" w:sz="4" w:space="0" w:color="auto"/>
            </w:tcBorders>
            <w:shd w:val="clear" w:color="auto" w:fill="auto"/>
            <w:vAlign w:val="center"/>
            <w:hideMark/>
          </w:tcPr>
          <w:p w:rsidR="00F6760B" w:rsidRPr="00B6543C" w:rsidRDefault="00F6760B" w:rsidP="00F6760B">
            <w:pPr>
              <w:jc w:val="center"/>
              <w:rPr>
                <w:b/>
                <w:bCs/>
                <w:color w:val="000000"/>
                <w:sz w:val="20"/>
                <w:szCs w:val="20"/>
                <w:lang w:val="es-ES"/>
              </w:rPr>
            </w:pPr>
            <w:r w:rsidRPr="00B6543C">
              <w:rPr>
                <w:b/>
                <w:bCs/>
                <w:color w:val="000000"/>
                <w:sz w:val="20"/>
                <w:szCs w:val="20"/>
                <w:lang w:val="es-ES"/>
              </w:rPr>
              <w:t>VIS</w:t>
            </w:r>
          </w:p>
        </w:tc>
        <w:tc>
          <w:tcPr>
            <w:tcW w:w="1294" w:type="dxa"/>
            <w:tcBorders>
              <w:top w:val="single" w:sz="4" w:space="0" w:color="auto"/>
              <w:bottom w:val="single" w:sz="4" w:space="0" w:color="auto"/>
            </w:tcBorders>
            <w:shd w:val="clear" w:color="auto" w:fill="auto"/>
            <w:vAlign w:val="center"/>
            <w:hideMark/>
          </w:tcPr>
          <w:p w:rsidR="00F6760B" w:rsidRPr="00B6543C" w:rsidRDefault="00F6760B" w:rsidP="00F6760B">
            <w:pPr>
              <w:jc w:val="center"/>
              <w:rPr>
                <w:b/>
                <w:bCs/>
                <w:color w:val="000000"/>
                <w:sz w:val="20"/>
                <w:szCs w:val="20"/>
                <w:lang w:val="es-ES"/>
              </w:rPr>
            </w:pPr>
            <w:r w:rsidRPr="00B6543C">
              <w:rPr>
                <w:b/>
                <w:bCs/>
                <w:color w:val="000000"/>
                <w:sz w:val="20"/>
                <w:szCs w:val="20"/>
                <w:lang w:val="es-ES"/>
              </w:rPr>
              <w:t>NO VIS</w:t>
            </w:r>
          </w:p>
        </w:tc>
      </w:tr>
      <w:tr w:rsidR="00F6760B" w:rsidRPr="00B6543C" w:rsidTr="00F6760B">
        <w:trPr>
          <w:trHeight w:val="323"/>
        </w:trPr>
        <w:tc>
          <w:tcPr>
            <w:tcW w:w="2098" w:type="dxa"/>
            <w:tcBorders>
              <w:top w:val="single" w:sz="4" w:space="0" w:color="auto"/>
            </w:tcBorders>
            <w:shd w:val="clear" w:color="auto" w:fill="auto"/>
            <w:vAlign w:val="center"/>
            <w:hideMark/>
          </w:tcPr>
          <w:p w:rsidR="00F6760B" w:rsidRPr="00B6543C" w:rsidRDefault="00F6760B" w:rsidP="00F6760B">
            <w:pPr>
              <w:jc w:val="both"/>
              <w:rPr>
                <w:bCs/>
                <w:color w:val="000000"/>
                <w:sz w:val="20"/>
                <w:szCs w:val="20"/>
                <w:lang w:val="es-ES"/>
              </w:rPr>
            </w:pPr>
            <w:r w:rsidRPr="00B6543C">
              <w:rPr>
                <w:bCs/>
                <w:color w:val="000000"/>
                <w:sz w:val="20"/>
                <w:szCs w:val="20"/>
              </w:rPr>
              <w:t>Apartamentos</w:t>
            </w:r>
          </w:p>
        </w:tc>
        <w:tc>
          <w:tcPr>
            <w:tcW w:w="1294" w:type="dxa"/>
            <w:tcBorders>
              <w:top w:val="single" w:sz="4" w:space="0" w:color="auto"/>
              <w:left w:val="nil"/>
            </w:tcBorders>
            <w:shd w:val="clear" w:color="auto" w:fill="auto"/>
            <w:noWrap/>
            <w:vAlign w:val="bottom"/>
            <w:hideMark/>
          </w:tcPr>
          <w:p w:rsidR="00F6760B" w:rsidRPr="00B6543C" w:rsidRDefault="00F6760B" w:rsidP="00F6760B">
            <w:pPr>
              <w:jc w:val="center"/>
              <w:rPr>
                <w:color w:val="000000"/>
                <w:sz w:val="20"/>
                <w:szCs w:val="20"/>
                <w:lang w:val="es-ES"/>
              </w:rPr>
            </w:pPr>
            <w:r w:rsidRPr="00B6543C">
              <w:rPr>
                <w:color w:val="000000"/>
                <w:sz w:val="20"/>
                <w:szCs w:val="20"/>
                <w:lang w:val="es-ES"/>
              </w:rPr>
              <w:t>82</w:t>
            </w:r>
          </w:p>
        </w:tc>
        <w:tc>
          <w:tcPr>
            <w:tcW w:w="2098" w:type="dxa"/>
            <w:tcBorders>
              <w:top w:val="single" w:sz="4" w:space="0" w:color="auto"/>
            </w:tcBorders>
            <w:shd w:val="clear" w:color="auto" w:fill="auto"/>
            <w:noWrap/>
            <w:vAlign w:val="bottom"/>
            <w:hideMark/>
          </w:tcPr>
          <w:p w:rsidR="00F6760B" w:rsidRPr="00B6543C" w:rsidRDefault="00F6760B" w:rsidP="00F6760B">
            <w:pPr>
              <w:jc w:val="center"/>
              <w:rPr>
                <w:color w:val="000000"/>
                <w:sz w:val="20"/>
                <w:szCs w:val="20"/>
                <w:lang w:val="es-ES"/>
              </w:rPr>
            </w:pPr>
            <w:r w:rsidRPr="00B6543C">
              <w:rPr>
                <w:color w:val="000000"/>
                <w:sz w:val="20"/>
                <w:szCs w:val="20"/>
                <w:lang w:val="es-ES"/>
              </w:rPr>
              <w:t>796</w:t>
            </w:r>
          </w:p>
        </w:tc>
        <w:tc>
          <w:tcPr>
            <w:tcW w:w="1294" w:type="dxa"/>
            <w:tcBorders>
              <w:top w:val="single" w:sz="4" w:space="0" w:color="auto"/>
            </w:tcBorders>
            <w:shd w:val="clear" w:color="auto" w:fill="auto"/>
            <w:noWrap/>
            <w:vAlign w:val="bottom"/>
            <w:hideMark/>
          </w:tcPr>
          <w:p w:rsidR="00F6760B" w:rsidRPr="00B6543C" w:rsidRDefault="00F6760B" w:rsidP="00F6760B">
            <w:pPr>
              <w:jc w:val="center"/>
              <w:rPr>
                <w:color w:val="000000"/>
                <w:sz w:val="20"/>
                <w:szCs w:val="20"/>
                <w:lang w:val="es-ES"/>
              </w:rPr>
            </w:pPr>
            <w:r w:rsidRPr="00B6543C">
              <w:rPr>
                <w:color w:val="000000"/>
                <w:sz w:val="20"/>
                <w:szCs w:val="20"/>
                <w:lang w:val="es-ES"/>
              </w:rPr>
              <w:t>628</w:t>
            </w:r>
          </w:p>
        </w:tc>
      </w:tr>
      <w:tr w:rsidR="00F6760B" w:rsidRPr="00B6543C" w:rsidTr="00F6760B">
        <w:trPr>
          <w:trHeight w:val="323"/>
        </w:trPr>
        <w:tc>
          <w:tcPr>
            <w:tcW w:w="2098" w:type="dxa"/>
            <w:tcBorders>
              <w:top w:val="nil"/>
            </w:tcBorders>
            <w:shd w:val="clear" w:color="auto" w:fill="auto"/>
            <w:vAlign w:val="center"/>
            <w:hideMark/>
          </w:tcPr>
          <w:p w:rsidR="00F6760B" w:rsidRPr="00B6543C" w:rsidRDefault="00F6760B" w:rsidP="00F6760B">
            <w:pPr>
              <w:jc w:val="both"/>
              <w:rPr>
                <w:bCs/>
                <w:color w:val="000000"/>
                <w:sz w:val="20"/>
                <w:szCs w:val="20"/>
                <w:lang w:val="es-ES"/>
              </w:rPr>
            </w:pPr>
            <w:r w:rsidRPr="00B6543C">
              <w:rPr>
                <w:bCs/>
                <w:color w:val="000000"/>
                <w:sz w:val="20"/>
                <w:szCs w:val="20"/>
              </w:rPr>
              <w:t>Casas</w:t>
            </w:r>
          </w:p>
        </w:tc>
        <w:tc>
          <w:tcPr>
            <w:tcW w:w="1294" w:type="dxa"/>
            <w:tcBorders>
              <w:top w:val="nil"/>
              <w:left w:val="nil"/>
            </w:tcBorders>
            <w:shd w:val="clear" w:color="auto" w:fill="auto"/>
            <w:noWrap/>
            <w:vAlign w:val="bottom"/>
            <w:hideMark/>
          </w:tcPr>
          <w:p w:rsidR="00F6760B" w:rsidRPr="00B6543C" w:rsidRDefault="00F6760B" w:rsidP="00F6760B">
            <w:pPr>
              <w:jc w:val="center"/>
              <w:rPr>
                <w:color w:val="000000"/>
                <w:sz w:val="20"/>
                <w:szCs w:val="20"/>
                <w:lang w:val="es-ES"/>
              </w:rPr>
            </w:pPr>
            <w:r w:rsidRPr="00B6543C">
              <w:rPr>
                <w:color w:val="000000"/>
                <w:sz w:val="20"/>
                <w:szCs w:val="20"/>
                <w:lang w:val="es-ES"/>
              </w:rPr>
              <w:t>169</w:t>
            </w:r>
          </w:p>
        </w:tc>
        <w:tc>
          <w:tcPr>
            <w:tcW w:w="2098" w:type="dxa"/>
            <w:tcBorders>
              <w:top w:val="nil"/>
            </w:tcBorders>
            <w:shd w:val="clear" w:color="auto" w:fill="auto"/>
            <w:noWrap/>
            <w:vAlign w:val="bottom"/>
            <w:hideMark/>
          </w:tcPr>
          <w:p w:rsidR="00F6760B" w:rsidRPr="00B6543C" w:rsidRDefault="00F6760B" w:rsidP="00F6760B">
            <w:pPr>
              <w:jc w:val="center"/>
              <w:rPr>
                <w:color w:val="000000"/>
                <w:sz w:val="20"/>
                <w:szCs w:val="20"/>
                <w:lang w:val="es-ES"/>
              </w:rPr>
            </w:pPr>
            <w:r w:rsidRPr="00B6543C">
              <w:rPr>
                <w:color w:val="000000"/>
                <w:sz w:val="20"/>
                <w:szCs w:val="20"/>
                <w:lang w:val="es-ES"/>
              </w:rPr>
              <w:t>197</w:t>
            </w:r>
          </w:p>
        </w:tc>
        <w:tc>
          <w:tcPr>
            <w:tcW w:w="1294" w:type="dxa"/>
            <w:tcBorders>
              <w:top w:val="nil"/>
            </w:tcBorders>
            <w:shd w:val="clear" w:color="auto" w:fill="auto"/>
            <w:noWrap/>
            <w:vAlign w:val="bottom"/>
            <w:hideMark/>
          </w:tcPr>
          <w:p w:rsidR="00F6760B" w:rsidRPr="00B6543C" w:rsidRDefault="00F6760B" w:rsidP="00F6760B">
            <w:pPr>
              <w:jc w:val="center"/>
              <w:rPr>
                <w:color w:val="000000"/>
                <w:sz w:val="20"/>
                <w:szCs w:val="20"/>
                <w:lang w:val="es-ES"/>
              </w:rPr>
            </w:pPr>
            <w:r w:rsidRPr="00B6543C">
              <w:rPr>
                <w:color w:val="000000"/>
                <w:sz w:val="20"/>
                <w:szCs w:val="20"/>
                <w:lang w:val="es-ES"/>
              </w:rPr>
              <w:t>265</w:t>
            </w:r>
          </w:p>
        </w:tc>
      </w:tr>
      <w:tr w:rsidR="00F6760B" w:rsidRPr="00B6543C" w:rsidTr="00F6760B">
        <w:trPr>
          <w:trHeight w:val="323"/>
        </w:trPr>
        <w:tc>
          <w:tcPr>
            <w:tcW w:w="2098" w:type="dxa"/>
            <w:tcBorders>
              <w:top w:val="nil"/>
              <w:bottom w:val="single" w:sz="4" w:space="0" w:color="auto"/>
            </w:tcBorders>
            <w:shd w:val="clear" w:color="auto" w:fill="auto"/>
            <w:vAlign w:val="center"/>
            <w:hideMark/>
          </w:tcPr>
          <w:p w:rsidR="00F6760B" w:rsidRPr="00B6543C" w:rsidRDefault="00F6760B" w:rsidP="00F6760B">
            <w:pPr>
              <w:jc w:val="both"/>
              <w:rPr>
                <w:bCs/>
                <w:color w:val="000000"/>
                <w:sz w:val="20"/>
                <w:szCs w:val="20"/>
                <w:lang w:val="es-ES"/>
              </w:rPr>
            </w:pPr>
            <w:r w:rsidRPr="00B6543C">
              <w:rPr>
                <w:bCs/>
                <w:color w:val="000000"/>
                <w:sz w:val="20"/>
                <w:szCs w:val="20"/>
              </w:rPr>
              <w:t>Total</w:t>
            </w:r>
          </w:p>
        </w:tc>
        <w:tc>
          <w:tcPr>
            <w:tcW w:w="1294" w:type="dxa"/>
            <w:tcBorders>
              <w:top w:val="nil"/>
              <w:left w:val="nil"/>
              <w:bottom w:val="single" w:sz="4" w:space="0" w:color="auto"/>
            </w:tcBorders>
            <w:shd w:val="clear" w:color="auto" w:fill="auto"/>
            <w:noWrap/>
            <w:vAlign w:val="bottom"/>
            <w:hideMark/>
          </w:tcPr>
          <w:p w:rsidR="00F6760B" w:rsidRPr="00B6543C" w:rsidRDefault="00F6760B" w:rsidP="00F6760B">
            <w:pPr>
              <w:jc w:val="center"/>
              <w:rPr>
                <w:color w:val="000000"/>
                <w:sz w:val="20"/>
                <w:szCs w:val="20"/>
                <w:lang w:val="es-ES"/>
              </w:rPr>
            </w:pPr>
            <w:r w:rsidRPr="00B6543C">
              <w:rPr>
                <w:color w:val="000000"/>
                <w:sz w:val="20"/>
                <w:szCs w:val="20"/>
                <w:lang w:val="es-ES"/>
              </w:rPr>
              <w:t>251</w:t>
            </w:r>
          </w:p>
        </w:tc>
        <w:tc>
          <w:tcPr>
            <w:tcW w:w="2098" w:type="dxa"/>
            <w:tcBorders>
              <w:top w:val="nil"/>
              <w:bottom w:val="single" w:sz="4" w:space="0" w:color="auto"/>
            </w:tcBorders>
            <w:shd w:val="clear" w:color="auto" w:fill="auto"/>
            <w:noWrap/>
            <w:vAlign w:val="bottom"/>
            <w:hideMark/>
          </w:tcPr>
          <w:p w:rsidR="00F6760B" w:rsidRPr="00B6543C" w:rsidRDefault="00F6760B" w:rsidP="00F6760B">
            <w:pPr>
              <w:jc w:val="center"/>
              <w:rPr>
                <w:color w:val="000000"/>
                <w:sz w:val="20"/>
                <w:szCs w:val="20"/>
                <w:lang w:val="es-ES"/>
              </w:rPr>
            </w:pPr>
            <w:r w:rsidRPr="00B6543C">
              <w:rPr>
                <w:color w:val="000000"/>
                <w:sz w:val="20"/>
                <w:szCs w:val="20"/>
                <w:lang w:val="es-ES"/>
              </w:rPr>
              <w:t>993</w:t>
            </w:r>
          </w:p>
        </w:tc>
        <w:tc>
          <w:tcPr>
            <w:tcW w:w="1294" w:type="dxa"/>
            <w:tcBorders>
              <w:top w:val="nil"/>
              <w:bottom w:val="single" w:sz="4" w:space="0" w:color="auto"/>
            </w:tcBorders>
            <w:shd w:val="clear" w:color="auto" w:fill="auto"/>
            <w:noWrap/>
            <w:vAlign w:val="bottom"/>
            <w:hideMark/>
          </w:tcPr>
          <w:p w:rsidR="00F6760B" w:rsidRPr="00B6543C" w:rsidRDefault="00F6760B" w:rsidP="00F6760B">
            <w:pPr>
              <w:jc w:val="center"/>
              <w:rPr>
                <w:color w:val="000000"/>
                <w:sz w:val="20"/>
                <w:szCs w:val="20"/>
                <w:lang w:val="es-ES"/>
              </w:rPr>
            </w:pPr>
            <w:r w:rsidRPr="00B6543C">
              <w:rPr>
                <w:color w:val="000000"/>
                <w:sz w:val="20"/>
                <w:szCs w:val="20"/>
                <w:lang w:val="es-ES"/>
              </w:rPr>
              <w:t>893</w:t>
            </w:r>
          </w:p>
        </w:tc>
      </w:tr>
    </w:tbl>
    <w:p w:rsidR="00F6760B" w:rsidRPr="00066312" w:rsidRDefault="00F6760B" w:rsidP="00F6760B">
      <w:pPr>
        <w:rPr>
          <w:sz w:val="16"/>
          <w:szCs w:val="16"/>
        </w:rPr>
      </w:pPr>
      <w:r w:rsidRPr="00066312">
        <w:rPr>
          <w:sz w:val="16"/>
          <w:szCs w:val="16"/>
        </w:rPr>
        <w:t xml:space="preserve">Fuente: </w:t>
      </w:r>
      <w:r w:rsidR="008F5FB2">
        <w:rPr>
          <w:sz w:val="16"/>
          <w:szCs w:val="16"/>
        </w:rPr>
        <w:t>DANE</w:t>
      </w:r>
    </w:p>
    <w:p w:rsidR="00282669" w:rsidRDefault="00282669" w:rsidP="00F6760B">
      <w:pPr>
        <w:jc w:val="both"/>
        <w:rPr>
          <w:bCs/>
          <w:szCs w:val="22"/>
        </w:rPr>
      </w:pPr>
    </w:p>
    <w:p w:rsidR="005A1216" w:rsidRDefault="005A1216" w:rsidP="00F6760B">
      <w:pPr>
        <w:jc w:val="both"/>
        <w:rPr>
          <w:bCs/>
          <w:szCs w:val="22"/>
        </w:rPr>
      </w:pPr>
    </w:p>
    <w:p w:rsidR="005A1216" w:rsidRDefault="005A1216" w:rsidP="00F6760B">
      <w:pPr>
        <w:jc w:val="both"/>
        <w:rPr>
          <w:bCs/>
          <w:szCs w:val="22"/>
        </w:rPr>
      </w:pPr>
    </w:p>
    <w:p w:rsidR="00282669" w:rsidRDefault="00282669" w:rsidP="00F6760B">
      <w:pPr>
        <w:jc w:val="both"/>
        <w:rPr>
          <w:bCs/>
          <w:szCs w:val="22"/>
        </w:rPr>
      </w:pPr>
    </w:p>
    <w:p w:rsidR="00F6760B" w:rsidRPr="00C87DD1" w:rsidRDefault="00F6760B" w:rsidP="00F6760B">
      <w:pPr>
        <w:jc w:val="both"/>
        <w:rPr>
          <w:bCs/>
          <w:szCs w:val="22"/>
        </w:rPr>
      </w:pPr>
      <w:r w:rsidRPr="00C87DD1">
        <w:rPr>
          <w:bCs/>
          <w:szCs w:val="22"/>
        </w:rPr>
        <w:lastRenderedPageBreak/>
        <w:t>Gráfico 5.3</w:t>
      </w:r>
    </w:p>
    <w:p w:rsidR="00F6760B" w:rsidRPr="00C87DD1" w:rsidRDefault="00F6760B" w:rsidP="00F6760B">
      <w:pPr>
        <w:jc w:val="both"/>
        <w:rPr>
          <w:bCs/>
          <w:szCs w:val="22"/>
        </w:rPr>
      </w:pPr>
      <w:r w:rsidRPr="00C87DD1">
        <w:rPr>
          <w:bCs/>
          <w:szCs w:val="22"/>
        </w:rPr>
        <w:t>Censo de edificaciones por tipo de vivienda VIP, VIS, NO VIS, Armenia</w:t>
      </w:r>
    </w:p>
    <w:p w:rsidR="00F6760B" w:rsidRDefault="009C5114" w:rsidP="009C5114">
      <w:pPr>
        <w:jc w:val="both"/>
        <w:rPr>
          <w:bCs/>
          <w:szCs w:val="22"/>
        </w:rPr>
      </w:pPr>
      <w:r>
        <w:rPr>
          <w:bCs/>
          <w:szCs w:val="22"/>
        </w:rPr>
        <w:t xml:space="preserve">Unidades. </w:t>
      </w:r>
      <w:r w:rsidR="00F6760B" w:rsidRPr="00C87DD1">
        <w:rPr>
          <w:bCs/>
          <w:szCs w:val="22"/>
        </w:rPr>
        <w:t>Año 2013</w:t>
      </w:r>
    </w:p>
    <w:p w:rsidR="009C5114" w:rsidRPr="00740600" w:rsidRDefault="009C5114" w:rsidP="009C5114">
      <w:pPr>
        <w:jc w:val="both"/>
      </w:pPr>
    </w:p>
    <w:p w:rsidR="00F6760B" w:rsidRPr="00740600" w:rsidRDefault="00F6760B" w:rsidP="009C5114">
      <w:r w:rsidRPr="00740600">
        <w:rPr>
          <w:noProof/>
        </w:rPr>
        <w:drawing>
          <wp:inline distT="0" distB="0" distL="0" distR="0" wp14:anchorId="4ECCA634" wp14:editId="1C10E64B">
            <wp:extent cx="3735238" cy="1751162"/>
            <wp:effectExtent l="0" t="0" r="17780" b="20955"/>
            <wp:docPr id="5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C5114" w:rsidRDefault="00F6760B" w:rsidP="00F6760B">
      <w:pPr>
        <w:rPr>
          <w:sz w:val="20"/>
        </w:rPr>
      </w:pPr>
      <w:r w:rsidRPr="00740600">
        <w:rPr>
          <w:sz w:val="20"/>
        </w:rPr>
        <w:t xml:space="preserve">             </w:t>
      </w:r>
    </w:p>
    <w:p w:rsidR="00F6760B" w:rsidRPr="009C5114" w:rsidRDefault="00F6760B" w:rsidP="00F6760B">
      <w:pPr>
        <w:rPr>
          <w:sz w:val="16"/>
          <w:szCs w:val="16"/>
        </w:rPr>
      </w:pPr>
      <w:r w:rsidRPr="009C5114">
        <w:rPr>
          <w:sz w:val="16"/>
          <w:szCs w:val="16"/>
        </w:rPr>
        <w:t xml:space="preserve">Fuente: </w:t>
      </w:r>
      <w:r w:rsidR="008F5FB2">
        <w:rPr>
          <w:sz w:val="16"/>
          <w:szCs w:val="16"/>
        </w:rPr>
        <w:t>DANE</w:t>
      </w:r>
    </w:p>
    <w:p w:rsidR="00F6760B" w:rsidRPr="00740600" w:rsidRDefault="00F6760B" w:rsidP="00F6760B"/>
    <w:p w:rsidR="0051455E" w:rsidRDefault="00F6760B" w:rsidP="00F6760B">
      <w:pPr>
        <w:spacing w:line="360" w:lineRule="auto"/>
        <w:jc w:val="both"/>
      </w:pPr>
      <w:r w:rsidRPr="00740600">
        <w:t xml:space="preserve">     </w:t>
      </w:r>
    </w:p>
    <w:p w:rsidR="00F6760B" w:rsidRPr="00740600" w:rsidRDefault="001F1AA9" w:rsidP="0051455E">
      <w:pPr>
        <w:spacing w:line="360" w:lineRule="auto"/>
        <w:ind w:firstLine="284"/>
        <w:jc w:val="both"/>
      </w:pPr>
      <w:r>
        <w:t xml:space="preserve">La construcción de vivienda en el municipio de Armenia </w:t>
      </w:r>
      <w:r w:rsidR="00F6760B" w:rsidRPr="00740600">
        <w:t>durante el año 2013</w:t>
      </w:r>
      <w:r>
        <w:t xml:space="preserve">, </w:t>
      </w:r>
      <w:r w:rsidR="00F6760B" w:rsidRPr="00740600">
        <w:t xml:space="preserve">se caracterizó por la </w:t>
      </w:r>
      <w:r w:rsidR="00987C11">
        <w:t>tendencia de construcciones de a</w:t>
      </w:r>
      <w:r w:rsidR="00F6760B" w:rsidRPr="00740600">
        <w:t>partamentos</w:t>
      </w:r>
      <w:r w:rsidR="00987C11">
        <w:t>,</w:t>
      </w:r>
      <w:r w:rsidR="00F6760B" w:rsidRPr="00740600">
        <w:t xml:space="preserve"> principalmente los de </w:t>
      </w:r>
      <w:r w:rsidR="00987C11">
        <w:t>vivienda de interés social, seguidamente los a</w:t>
      </w:r>
      <w:r w:rsidR="00F6760B" w:rsidRPr="00740600">
        <w:t>par</w:t>
      </w:r>
      <w:r w:rsidR="00564DD2">
        <w:t>tamentos NO VIS; caso contrario, se presenta con las vivienda de interés p</w:t>
      </w:r>
      <w:r w:rsidR="00F6760B" w:rsidRPr="00740600">
        <w:t xml:space="preserve">rioritario (VIP) en el que la construcción de casas </w:t>
      </w:r>
      <w:r w:rsidR="00F6760B">
        <w:t>es mayor</w:t>
      </w:r>
      <w:r w:rsidR="00F6760B" w:rsidRPr="00740600">
        <w:t xml:space="preserve">. </w:t>
      </w:r>
      <w:r w:rsidR="0083622E" w:rsidRPr="00740600">
        <w:t>La finalidad de esta dinámica, es la de generar ciudades compactas y optimizar los suelos urbanizables no urbanizados y de desarrollo, encontrados en el POT del Municipio de Armenia</w:t>
      </w:r>
      <w:r w:rsidR="0083622E">
        <w:t>.</w:t>
      </w:r>
      <w:r w:rsidR="0083622E" w:rsidRPr="00740600">
        <w:rPr>
          <w:rStyle w:val="Refdenotaalpie"/>
          <w:b/>
        </w:rPr>
        <w:footnoteReference w:id="30"/>
      </w:r>
    </w:p>
    <w:p w:rsidR="00F6760B" w:rsidRPr="00740600" w:rsidRDefault="00F6760B" w:rsidP="00F6760B">
      <w:pPr>
        <w:spacing w:line="360" w:lineRule="auto"/>
        <w:jc w:val="both"/>
      </w:pPr>
    </w:p>
    <w:p w:rsidR="00F6760B" w:rsidRPr="00740600" w:rsidRDefault="00F6760B" w:rsidP="00F6760B">
      <w:pPr>
        <w:spacing w:line="360" w:lineRule="auto"/>
        <w:jc w:val="both"/>
      </w:pPr>
      <w:r w:rsidRPr="00740600">
        <w:t xml:space="preserve">     El aumento de vivienda en altura en la ciudad de Armenia, obedece entre otros factores, a lo especificado en el POT de Armenia, descrito en las fichas normativas, el cual liberó la altura de las edificaciones en algunos sectores de la ciudad, a 15 pisos, norma que antes del sismo de 1999,</w:t>
      </w:r>
      <w:r w:rsidR="0051455E">
        <w:t xml:space="preserve"> no estaba considerada. Además </w:t>
      </w:r>
      <w:r w:rsidRPr="00740600">
        <w:t>de este factor, desde el gobierno central, se</w:t>
      </w:r>
      <w:r w:rsidR="0051455E">
        <w:t xml:space="preserve"> ha consolidado</w:t>
      </w:r>
      <w:r w:rsidRPr="00740600">
        <w:t xml:space="preserve"> una política de vivienda importante, que ha dinamizado la construcción de viviendas VIP y VIS, a partir de mecanismos como los subsidios, los proyectos VIPA, entre otros.</w:t>
      </w:r>
    </w:p>
    <w:p w:rsidR="00F6760B" w:rsidRDefault="00F6760B" w:rsidP="00F6760B">
      <w:pPr>
        <w:spacing w:line="360" w:lineRule="auto"/>
        <w:jc w:val="both"/>
      </w:pPr>
    </w:p>
    <w:p w:rsidR="005A1216" w:rsidRPr="00740600" w:rsidRDefault="005A1216" w:rsidP="00F6760B">
      <w:pPr>
        <w:spacing w:line="360" w:lineRule="auto"/>
        <w:jc w:val="both"/>
      </w:pPr>
    </w:p>
    <w:p w:rsidR="00F6760B" w:rsidRPr="00C87DD1" w:rsidRDefault="00F6760B" w:rsidP="00F6760B">
      <w:pPr>
        <w:jc w:val="both"/>
        <w:rPr>
          <w:bCs/>
          <w:szCs w:val="22"/>
        </w:rPr>
      </w:pPr>
      <w:r w:rsidRPr="00C87DD1">
        <w:rPr>
          <w:bCs/>
          <w:szCs w:val="22"/>
        </w:rPr>
        <w:lastRenderedPageBreak/>
        <w:t>Gráfico 5.4</w:t>
      </w:r>
    </w:p>
    <w:p w:rsidR="00F6760B" w:rsidRPr="00C87DD1" w:rsidRDefault="00F6760B" w:rsidP="00F6760B">
      <w:pPr>
        <w:jc w:val="both"/>
        <w:rPr>
          <w:bCs/>
          <w:szCs w:val="22"/>
        </w:rPr>
      </w:pPr>
      <w:r w:rsidRPr="00C87DD1">
        <w:rPr>
          <w:bCs/>
          <w:szCs w:val="22"/>
        </w:rPr>
        <w:t xml:space="preserve">Gráfico. Porcentaje de participación por tipo de vivienda VIP, VIS, NO VIS, Armenia  </w:t>
      </w:r>
    </w:p>
    <w:p w:rsidR="00F6760B" w:rsidRPr="00C87DD1" w:rsidRDefault="00F6760B" w:rsidP="00F6760B">
      <w:pPr>
        <w:jc w:val="both"/>
        <w:rPr>
          <w:bCs/>
          <w:szCs w:val="22"/>
        </w:rPr>
      </w:pPr>
      <w:r w:rsidRPr="00C87DD1">
        <w:rPr>
          <w:bCs/>
          <w:szCs w:val="22"/>
        </w:rPr>
        <w:t>Año 2013</w:t>
      </w:r>
    </w:p>
    <w:p w:rsidR="00F6760B" w:rsidRPr="00740600" w:rsidRDefault="00F6760B" w:rsidP="00F6760B">
      <w:pPr>
        <w:jc w:val="center"/>
        <w:rPr>
          <w:b/>
          <w:bCs/>
          <w:szCs w:val="22"/>
        </w:rPr>
      </w:pPr>
    </w:p>
    <w:p w:rsidR="00F6760B" w:rsidRPr="00740600" w:rsidRDefault="00F6760B" w:rsidP="0083622E">
      <w:pPr>
        <w:rPr>
          <w:lang w:val="es-ES"/>
        </w:rPr>
      </w:pPr>
      <w:r w:rsidRPr="00740600">
        <w:rPr>
          <w:noProof/>
        </w:rPr>
        <w:drawing>
          <wp:inline distT="0" distB="0" distL="0" distR="0" wp14:anchorId="3E106F94" wp14:editId="1795628D">
            <wp:extent cx="4106174" cy="1785668"/>
            <wp:effectExtent l="0" t="0" r="27940" b="24130"/>
            <wp:docPr id="5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6760B" w:rsidRPr="0083622E" w:rsidRDefault="0083622E" w:rsidP="0083622E">
      <w:pPr>
        <w:jc w:val="both"/>
        <w:rPr>
          <w:sz w:val="18"/>
        </w:rPr>
      </w:pPr>
      <w:r>
        <w:rPr>
          <w:sz w:val="20"/>
        </w:rPr>
        <w:t xml:space="preserve">  </w:t>
      </w:r>
      <w:r w:rsidR="00F6760B" w:rsidRPr="0083622E">
        <w:rPr>
          <w:sz w:val="14"/>
        </w:rPr>
        <w:t xml:space="preserve">Fuente: </w:t>
      </w:r>
      <w:r w:rsidR="008F5FB2">
        <w:rPr>
          <w:sz w:val="14"/>
        </w:rPr>
        <w:t>DANE</w:t>
      </w:r>
    </w:p>
    <w:p w:rsidR="00F6760B" w:rsidRDefault="00F6760B" w:rsidP="00F6760B">
      <w:pPr>
        <w:jc w:val="center"/>
        <w:rPr>
          <w:bCs/>
          <w:szCs w:val="22"/>
        </w:rPr>
      </w:pPr>
    </w:p>
    <w:p w:rsidR="0083622E" w:rsidRDefault="0083622E" w:rsidP="00F6760B">
      <w:pPr>
        <w:jc w:val="center"/>
        <w:rPr>
          <w:bCs/>
          <w:szCs w:val="22"/>
        </w:rPr>
      </w:pPr>
    </w:p>
    <w:p w:rsidR="0083622E" w:rsidRDefault="0083622E" w:rsidP="00F6760B">
      <w:pPr>
        <w:jc w:val="center"/>
        <w:rPr>
          <w:bCs/>
          <w:szCs w:val="22"/>
        </w:rPr>
      </w:pPr>
    </w:p>
    <w:p w:rsidR="0083622E" w:rsidRDefault="0083622E" w:rsidP="00F6760B">
      <w:pPr>
        <w:jc w:val="center"/>
        <w:rPr>
          <w:bCs/>
          <w:szCs w:val="22"/>
        </w:rPr>
      </w:pPr>
    </w:p>
    <w:p w:rsidR="00F6760B" w:rsidRPr="00C87DD1" w:rsidRDefault="005A1216" w:rsidP="00F6760B">
      <w:pPr>
        <w:jc w:val="both"/>
        <w:rPr>
          <w:bCs/>
          <w:szCs w:val="22"/>
        </w:rPr>
      </w:pPr>
      <w:r>
        <w:rPr>
          <w:bCs/>
          <w:szCs w:val="22"/>
        </w:rPr>
        <w:t>Tabla 5.4</w:t>
      </w:r>
    </w:p>
    <w:p w:rsidR="00F6760B" w:rsidRPr="00C87DD1" w:rsidRDefault="00F6760B" w:rsidP="00F6760B">
      <w:pPr>
        <w:jc w:val="both"/>
      </w:pPr>
      <w:r w:rsidRPr="00C87DD1">
        <w:t xml:space="preserve">Tabla. Unidades de Vivienda tipo VIS </w:t>
      </w:r>
    </w:p>
    <w:p w:rsidR="00F6760B" w:rsidRPr="00C87DD1" w:rsidRDefault="00A701F5" w:rsidP="00F6760B">
      <w:pPr>
        <w:jc w:val="both"/>
      </w:pPr>
      <w:r>
        <w:t xml:space="preserve">Unidades. </w:t>
      </w:r>
      <w:r w:rsidR="00F6760B" w:rsidRPr="00C87DD1">
        <w:t>Año 2013</w:t>
      </w:r>
    </w:p>
    <w:p w:rsidR="00F6760B" w:rsidRPr="00740600" w:rsidRDefault="00F6760B" w:rsidP="00F6760B">
      <w:pPr>
        <w:spacing w:line="360" w:lineRule="auto"/>
        <w:jc w:val="center"/>
        <w:rPr>
          <w:sz w:val="18"/>
          <w:szCs w:val="18"/>
        </w:rPr>
      </w:pPr>
      <w:r w:rsidRPr="00740600">
        <w:rPr>
          <w:sz w:val="18"/>
          <w:szCs w:val="18"/>
        </w:rPr>
        <w:t xml:space="preserve">                                 </w:t>
      </w:r>
      <w:r w:rsidRPr="00740600">
        <w:rPr>
          <w:sz w:val="18"/>
          <w:szCs w:val="18"/>
        </w:rPr>
        <w:tab/>
      </w:r>
      <w:r w:rsidRPr="00740600">
        <w:rPr>
          <w:sz w:val="18"/>
          <w:szCs w:val="18"/>
        </w:rPr>
        <w:tab/>
      </w:r>
      <w:r w:rsidRPr="00740600">
        <w:rPr>
          <w:sz w:val="18"/>
          <w:szCs w:val="18"/>
        </w:rPr>
        <w:tab/>
      </w:r>
      <w:r w:rsidRPr="00740600">
        <w:rPr>
          <w:sz w:val="18"/>
          <w:szCs w:val="18"/>
        </w:rPr>
        <w:tab/>
      </w:r>
      <w:r w:rsidRPr="00740600">
        <w:rPr>
          <w:sz w:val="18"/>
          <w:szCs w:val="18"/>
        </w:rPr>
        <w:tab/>
      </w:r>
      <w:r w:rsidRPr="00740600">
        <w:rPr>
          <w:sz w:val="18"/>
          <w:szCs w:val="18"/>
        </w:rPr>
        <w:tab/>
      </w:r>
      <w:r w:rsidRPr="00740600">
        <w:rPr>
          <w:sz w:val="18"/>
          <w:szCs w:val="18"/>
        </w:rPr>
        <w:tab/>
      </w:r>
      <w:r w:rsidRPr="00740600">
        <w:rPr>
          <w:sz w:val="18"/>
          <w:szCs w:val="18"/>
        </w:rPr>
        <w:tab/>
      </w:r>
    </w:p>
    <w:tbl>
      <w:tblPr>
        <w:tblW w:w="8636" w:type="dxa"/>
        <w:tblInd w:w="55" w:type="dxa"/>
        <w:tblCellMar>
          <w:left w:w="70" w:type="dxa"/>
          <w:right w:w="70" w:type="dxa"/>
        </w:tblCellMar>
        <w:tblLook w:val="04A0" w:firstRow="1" w:lastRow="0" w:firstColumn="1" w:lastColumn="0" w:noHBand="0" w:noVBand="1"/>
      </w:tblPr>
      <w:tblGrid>
        <w:gridCol w:w="1398"/>
        <w:gridCol w:w="1233"/>
        <w:gridCol w:w="1233"/>
        <w:gridCol w:w="1522"/>
        <w:gridCol w:w="1584"/>
        <w:gridCol w:w="1666"/>
      </w:tblGrid>
      <w:tr w:rsidR="00F6760B" w:rsidRPr="005A1216" w:rsidTr="00B2789B">
        <w:trPr>
          <w:trHeight w:val="448"/>
        </w:trPr>
        <w:tc>
          <w:tcPr>
            <w:tcW w:w="1398" w:type="dxa"/>
            <w:tcBorders>
              <w:top w:val="single" w:sz="4" w:space="0" w:color="auto"/>
              <w:left w:val="nil"/>
              <w:bottom w:val="single" w:sz="4" w:space="0" w:color="auto"/>
              <w:right w:val="nil"/>
            </w:tcBorders>
            <w:shd w:val="clear" w:color="auto" w:fill="auto"/>
            <w:vAlign w:val="center"/>
            <w:hideMark/>
          </w:tcPr>
          <w:p w:rsidR="00F6760B" w:rsidRPr="005A1216" w:rsidRDefault="00F6760B" w:rsidP="00F6760B">
            <w:pPr>
              <w:jc w:val="center"/>
              <w:rPr>
                <w:b/>
                <w:bCs/>
                <w:sz w:val="20"/>
                <w:szCs w:val="18"/>
              </w:rPr>
            </w:pPr>
            <w:r w:rsidRPr="005A1216">
              <w:rPr>
                <w:b/>
                <w:bCs/>
                <w:sz w:val="20"/>
                <w:szCs w:val="18"/>
              </w:rPr>
              <w:t>Área de influencia</w:t>
            </w:r>
          </w:p>
        </w:tc>
        <w:tc>
          <w:tcPr>
            <w:tcW w:w="1233" w:type="dxa"/>
            <w:tcBorders>
              <w:top w:val="single" w:sz="4" w:space="0" w:color="auto"/>
              <w:left w:val="nil"/>
              <w:bottom w:val="single" w:sz="4" w:space="0" w:color="auto"/>
              <w:right w:val="nil"/>
            </w:tcBorders>
            <w:shd w:val="clear" w:color="auto" w:fill="auto"/>
            <w:vAlign w:val="center"/>
            <w:hideMark/>
          </w:tcPr>
          <w:p w:rsidR="00F6760B" w:rsidRPr="005A1216" w:rsidRDefault="00F6760B" w:rsidP="00F6760B">
            <w:pPr>
              <w:jc w:val="center"/>
              <w:rPr>
                <w:b/>
                <w:bCs/>
                <w:sz w:val="20"/>
                <w:szCs w:val="18"/>
              </w:rPr>
            </w:pPr>
            <w:r w:rsidRPr="005A1216">
              <w:rPr>
                <w:b/>
                <w:bCs/>
                <w:sz w:val="20"/>
                <w:szCs w:val="18"/>
              </w:rPr>
              <w:t>Año</w:t>
            </w:r>
          </w:p>
        </w:tc>
        <w:tc>
          <w:tcPr>
            <w:tcW w:w="1233" w:type="dxa"/>
            <w:tcBorders>
              <w:top w:val="single" w:sz="4" w:space="0" w:color="auto"/>
              <w:left w:val="nil"/>
              <w:bottom w:val="single" w:sz="4" w:space="0" w:color="auto"/>
              <w:right w:val="nil"/>
            </w:tcBorders>
            <w:shd w:val="clear" w:color="auto" w:fill="auto"/>
            <w:vAlign w:val="center"/>
            <w:hideMark/>
          </w:tcPr>
          <w:p w:rsidR="00F6760B" w:rsidRPr="005A1216" w:rsidRDefault="00F6760B" w:rsidP="00F6760B">
            <w:pPr>
              <w:jc w:val="center"/>
              <w:rPr>
                <w:b/>
                <w:bCs/>
                <w:sz w:val="20"/>
                <w:szCs w:val="18"/>
              </w:rPr>
            </w:pPr>
            <w:r w:rsidRPr="005A1216">
              <w:rPr>
                <w:b/>
                <w:bCs/>
                <w:sz w:val="20"/>
                <w:szCs w:val="18"/>
              </w:rPr>
              <w:t>Trimestre</w:t>
            </w:r>
          </w:p>
        </w:tc>
        <w:tc>
          <w:tcPr>
            <w:tcW w:w="1522" w:type="dxa"/>
            <w:tcBorders>
              <w:top w:val="single" w:sz="4" w:space="0" w:color="auto"/>
              <w:left w:val="nil"/>
              <w:bottom w:val="single" w:sz="4" w:space="0" w:color="auto"/>
              <w:right w:val="nil"/>
            </w:tcBorders>
            <w:shd w:val="clear" w:color="auto" w:fill="auto"/>
            <w:vAlign w:val="center"/>
            <w:hideMark/>
          </w:tcPr>
          <w:p w:rsidR="00F6760B" w:rsidRPr="005A1216" w:rsidRDefault="00F6760B" w:rsidP="00F6760B">
            <w:pPr>
              <w:jc w:val="center"/>
              <w:rPr>
                <w:b/>
                <w:bCs/>
                <w:sz w:val="20"/>
                <w:szCs w:val="18"/>
              </w:rPr>
            </w:pPr>
            <w:r w:rsidRPr="005A1216">
              <w:rPr>
                <w:b/>
                <w:bCs/>
                <w:sz w:val="20"/>
                <w:szCs w:val="18"/>
              </w:rPr>
              <w:t>Total Obras en proceso</w:t>
            </w:r>
          </w:p>
        </w:tc>
        <w:tc>
          <w:tcPr>
            <w:tcW w:w="1584" w:type="dxa"/>
            <w:tcBorders>
              <w:top w:val="single" w:sz="4" w:space="0" w:color="auto"/>
              <w:left w:val="nil"/>
              <w:bottom w:val="single" w:sz="4" w:space="0" w:color="auto"/>
              <w:right w:val="nil"/>
            </w:tcBorders>
            <w:shd w:val="clear" w:color="auto" w:fill="auto"/>
            <w:vAlign w:val="center"/>
            <w:hideMark/>
          </w:tcPr>
          <w:p w:rsidR="00F6760B" w:rsidRPr="005A1216" w:rsidRDefault="00F6760B" w:rsidP="00F6760B">
            <w:pPr>
              <w:jc w:val="center"/>
              <w:rPr>
                <w:b/>
                <w:bCs/>
                <w:sz w:val="20"/>
                <w:szCs w:val="18"/>
              </w:rPr>
            </w:pPr>
            <w:r w:rsidRPr="005A1216">
              <w:rPr>
                <w:b/>
                <w:bCs/>
                <w:sz w:val="20"/>
                <w:szCs w:val="18"/>
              </w:rPr>
              <w:t xml:space="preserve"> Total Obras  Culminadas</w:t>
            </w:r>
          </w:p>
        </w:tc>
        <w:tc>
          <w:tcPr>
            <w:tcW w:w="1666" w:type="dxa"/>
            <w:tcBorders>
              <w:top w:val="single" w:sz="4" w:space="0" w:color="auto"/>
              <w:left w:val="nil"/>
              <w:bottom w:val="single" w:sz="4" w:space="0" w:color="auto"/>
              <w:right w:val="nil"/>
            </w:tcBorders>
            <w:shd w:val="clear" w:color="auto" w:fill="auto"/>
            <w:vAlign w:val="center"/>
            <w:hideMark/>
          </w:tcPr>
          <w:p w:rsidR="00F6760B" w:rsidRPr="005A1216" w:rsidRDefault="00F6760B" w:rsidP="00F6760B">
            <w:pPr>
              <w:jc w:val="center"/>
              <w:rPr>
                <w:b/>
                <w:bCs/>
                <w:sz w:val="20"/>
                <w:szCs w:val="18"/>
              </w:rPr>
            </w:pPr>
            <w:r w:rsidRPr="005A1216">
              <w:rPr>
                <w:b/>
                <w:bCs/>
                <w:sz w:val="20"/>
                <w:szCs w:val="18"/>
              </w:rPr>
              <w:t>Total Obras paralizadas o inactivas</w:t>
            </w:r>
          </w:p>
        </w:tc>
      </w:tr>
      <w:tr w:rsidR="00F6760B" w:rsidRPr="005A1216" w:rsidTr="00B2789B">
        <w:trPr>
          <w:trHeight w:val="393"/>
        </w:trPr>
        <w:tc>
          <w:tcPr>
            <w:tcW w:w="1398" w:type="dxa"/>
            <w:vMerge w:val="restart"/>
            <w:tcBorders>
              <w:top w:val="nil"/>
              <w:left w:val="nil"/>
              <w:bottom w:val="single" w:sz="4" w:space="0" w:color="000000"/>
              <w:right w:val="nil"/>
            </w:tcBorders>
            <w:shd w:val="clear" w:color="auto" w:fill="auto"/>
            <w:vAlign w:val="center"/>
            <w:hideMark/>
          </w:tcPr>
          <w:p w:rsidR="00F6760B" w:rsidRPr="005A1216" w:rsidRDefault="00F6760B" w:rsidP="00F6760B">
            <w:pPr>
              <w:jc w:val="center"/>
              <w:rPr>
                <w:b/>
                <w:bCs/>
                <w:sz w:val="20"/>
                <w:szCs w:val="18"/>
              </w:rPr>
            </w:pPr>
            <w:r w:rsidRPr="005A1216">
              <w:rPr>
                <w:b/>
                <w:bCs/>
                <w:sz w:val="20"/>
                <w:szCs w:val="18"/>
              </w:rPr>
              <w:t xml:space="preserve"> Área urbana de Armenia</w:t>
            </w:r>
          </w:p>
        </w:tc>
        <w:tc>
          <w:tcPr>
            <w:tcW w:w="1233" w:type="dxa"/>
            <w:vMerge w:val="restart"/>
            <w:tcBorders>
              <w:top w:val="nil"/>
              <w:left w:val="nil"/>
              <w:bottom w:val="single" w:sz="4" w:space="0" w:color="000000"/>
              <w:right w:val="nil"/>
            </w:tcBorders>
            <w:shd w:val="clear" w:color="auto" w:fill="auto"/>
            <w:vAlign w:val="center"/>
            <w:hideMark/>
          </w:tcPr>
          <w:p w:rsidR="00F6760B" w:rsidRPr="005A1216" w:rsidRDefault="00F6760B" w:rsidP="00F6760B">
            <w:pPr>
              <w:jc w:val="center"/>
              <w:rPr>
                <w:b/>
                <w:bCs/>
                <w:sz w:val="20"/>
                <w:szCs w:val="18"/>
              </w:rPr>
            </w:pPr>
            <w:r w:rsidRPr="005A1216">
              <w:rPr>
                <w:b/>
                <w:bCs/>
                <w:sz w:val="20"/>
                <w:szCs w:val="18"/>
              </w:rPr>
              <w:t>2013</w:t>
            </w:r>
          </w:p>
        </w:tc>
        <w:tc>
          <w:tcPr>
            <w:tcW w:w="1233" w:type="dxa"/>
            <w:tcBorders>
              <w:top w:val="nil"/>
              <w:left w:val="nil"/>
              <w:bottom w:val="nil"/>
              <w:right w:val="nil"/>
            </w:tcBorders>
            <w:shd w:val="clear" w:color="auto" w:fill="auto"/>
            <w:vAlign w:val="center"/>
            <w:hideMark/>
          </w:tcPr>
          <w:p w:rsidR="00F6760B" w:rsidRPr="005A1216" w:rsidRDefault="00F6760B" w:rsidP="00F6760B">
            <w:pPr>
              <w:jc w:val="center"/>
              <w:rPr>
                <w:b/>
                <w:bCs/>
                <w:color w:val="000000"/>
                <w:sz w:val="20"/>
                <w:szCs w:val="18"/>
              </w:rPr>
            </w:pPr>
            <w:r w:rsidRPr="005A1216">
              <w:rPr>
                <w:b/>
                <w:bCs/>
                <w:color w:val="000000"/>
                <w:sz w:val="20"/>
                <w:szCs w:val="18"/>
              </w:rPr>
              <w:t>I</w:t>
            </w:r>
          </w:p>
        </w:tc>
        <w:tc>
          <w:tcPr>
            <w:tcW w:w="1522" w:type="dxa"/>
            <w:tcBorders>
              <w:top w:val="nil"/>
              <w:left w:val="nil"/>
              <w:bottom w:val="nil"/>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677</w:t>
            </w:r>
          </w:p>
        </w:tc>
        <w:tc>
          <w:tcPr>
            <w:tcW w:w="1584" w:type="dxa"/>
            <w:tcBorders>
              <w:top w:val="nil"/>
              <w:left w:val="nil"/>
              <w:bottom w:val="nil"/>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238</w:t>
            </w:r>
          </w:p>
        </w:tc>
        <w:tc>
          <w:tcPr>
            <w:tcW w:w="1666" w:type="dxa"/>
            <w:tcBorders>
              <w:top w:val="nil"/>
              <w:left w:val="nil"/>
              <w:bottom w:val="nil"/>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342</w:t>
            </w:r>
          </w:p>
        </w:tc>
      </w:tr>
      <w:tr w:rsidR="00F6760B" w:rsidRPr="005A1216" w:rsidTr="00B2789B">
        <w:trPr>
          <w:trHeight w:val="393"/>
        </w:trPr>
        <w:tc>
          <w:tcPr>
            <w:tcW w:w="1398" w:type="dxa"/>
            <w:vMerge/>
            <w:tcBorders>
              <w:top w:val="nil"/>
              <w:left w:val="nil"/>
              <w:bottom w:val="single" w:sz="4" w:space="0" w:color="000000"/>
              <w:right w:val="nil"/>
            </w:tcBorders>
            <w:vAlign w:val="center"/>
            <w:hideMark/>
          </w:tcPr>
          <w:p w:rsidR="00F6760B" w:rsidRPr="005A1216" w:rsidRDefault="00F6760B" w:rsidP="00F6760B">
            <w:pPr>
              <w:rPr>
                <w:b/>
                <w:bCs/>
                <w:sz w:val="20"/>
                <w:szCs w:val="18"/>
              </w:rPr>
            </w:pPr>
          </w:p>
        </w:tc>
        <w:tc>
          <w:tcPr>
            <w:tcW w:w="1233" w:type="dxa"/>
            <w:vMerge/>
            <w:tcBorders>
              <w:top w:val="nil"/>
              <w:left w:val="nil"/>
              <w:bottom w:val="single" w:sz="4" w:space="0" w:color="000000"/>
              <w:right w:val="nil"/>
            </w:tcBorders>
            <w:vAlign w:val="center"/>
            <w:hideMark/>
          </w:tcPr>
          <w:p w:rsidR="00F6760B" w:rsidRPr="005A1216" w:rsidRDefault="00F6760B" w:rsidP="00F6760B">
            <w:pPr>
              <w:rPr>
                <w:b/>
                <w:bCs/>
                <w:sz w:val="20"/>
                <w:szCs w:val="18"/>
              </w:rPr>
            </w:pPr>
          </w:p>
        </w:tc>
        <w:tc>
          <w:tcPr>
            <w:tcW w:w="1233" w:type="dxa"/>
            <w:tcBorders>
              <w:top w:val="nil"/>
              <w:left w:val="nil"/>
              <w:bottom w:val="nil"/>
              <w:right w:val="nil"/>
            </w:tcBorders>
            <w:shd w:val="clear" w:color="auto" w:fill="auto"/>
            <w:vAlign w:val="center"/>
            <w:hideMark/>
          </w:tcPr>
          <w:p w:rsidR="00F6760B" w:rsidRPr="005A1216" w:rsidRDefault="00F6760B" w:rsidP="00F6760B">
            <w:pPr>
              <w:jc w:val="center"/>
              <w:rPr>
                <w:b/>
                <w:bCs/>
                <w:color w:val="000000"/>
                <w:sz w:val="20"/>
                <w:szCs w:val="18"/>
              </w:rPr>
            </w:pPr>
            <w:r w:rsidRPr="005A1216">
              <w:rPr>
                <w:b/>
                <w:bCs/>
                <w:color w:val="000000"/>
                <w:sz w:val="20"/>
                <w:szCs w:val="18"/>
              </w:rPr>
              <w:t>II</w:t>
            </w:r>
          </w:p>
        </w:tc>
        <w:tc>
          <w:tcPr>
            <w:tcW w:w="1522" w:type="dxa"/>
            <w:tcBorders>
              <w:top w:val="nil"/>
              <w:left w:val="nil"/>
              <w:bottom w:val="nil"/>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805</w:t>
            </w:r>
          </w:p>
        </w:tc>
        <w:tc>
          <w:tcPr>
            <w:tcW w:w="1584" w:type="dxa"/>
            <w:tcBorders>
              <w:top w:val="nil"/>
              <w:left w:val="nil"/>
              <w:bottom w:val="nil"/>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89</w:t>
            </w:r>
          </w:p>
        </w:tc>
        <w:tc>
          <w:tcPr>
            <w:tcW w:w="1666" w:type="dxa"/>
            <w:tcBorders>
              <w:top w:val="nil"/>
              <w:left w:val="nil"/>
              <w:bottom w:val="nil"/>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338</w:t>
            </w:r>
          </w:p>
        </w:tc>
      </w:tr>
      <w:tr w:rsidR="00F6760B" w:rsidRPr="005A1216" w:rsidTr="00B2789B">
        <w:trPr>
          <w:trHeight w:val="393"/>
        </w:trPr>
        <w:tc>
          <w:tcPr>
            <w:tcW w:w="1398" w:type="dxa"/>
            <w:vMerge/>
            <w:tcBorders>
              <w:top w:val="nil"/>
              <w:left w:val="nil"/>
              <w:bottom w:val="single" w:sz="4" w:space="0" w:color="000000"/>
              <w:right w:val="nil"/>
            </w:tcBorders>
            <w:vAlign w:val="center"/>
            <w:hideMark/>
          </w:tcPr>
          <w:p w:rsidR="00F6760B" w:rsidRPr="005A1216" w:rsidRDefault="00F6760B" w:rsidP="00F6760B">
            <w:pPr>
              <w:rPr>
                <w:b/>
                <w:bCs/>
                <w:sz w:val="20"/>
                <w:szCs w:val="18"/>
              </w:rPr>
            </w:pPr>
          </w:p>
        </w:tc>
        <w:tc>
          <w:tcPr>
            <w:tcW w:w="1233" w:type="dxa"/>
            <w:vMerge/>
            <w:tcBorders>
              <w:top w:val="nil"/>
              <w:left w:val="nil"/>
              <w:bottom w:val="single" w:sz="4" w:space="0" w:color="000000"/>
              <w:right w:val="nil"/>
            </w:tcBorders>
            <w:vAlign w:val="center"/>
            <w:hideMark/>
          </w:tcPr>
          <w:p w:rsidR="00F6760B" w:rsidRPr="005A1216" w:rsidRDefault="00F6760B" w:rsidP="00F6760B">
            <w:pPr>
              <w:rPr>
                <w:b/>
                <w:bCs/>
                <w:sz w:val="20"/>
                <w:szCs w:val="18"/>
              </w:rPr>
            </w:pPr>
          </w:p>
        </w:tc>
        <w:tc>
          <w:tcPr>
            <w:tcW w:w="1233" w:type="dxa"/>
            <w:tcBorders>
              <w:top w:val="nil"/>
              <w:left w:val="nil"/>
              <w:bottom w:val="nil"/>
              <w:right w:val="nil"/>
            </w:tcBorders>
            <w:shd w:val="clear" w:color="auto" w:fill="auto"/>
            <w:vAlign w:val="center"/>
            <w:hideMark/>
          </w:tcPr>
          <w:p w:rsidR="00F6760B" w:rsidRPr="005A1216" w:rsidRDefault="00F6760B" w:rsidP="00F6760B">
            <w:pPr>
              <w:jc w:val="center"/>
              <w:rPr>
                <w:b/>
                <w:bCs/>
                <w:color w:val="000000"/>
                <w:sz w:val="20"/>
                <w:szCs w:val="18"/>
              </w:rPr>
            </w:pPr>
            <w:r w:rsidRPr="005A1216">
              <w:rPr>
                <w:b/>
                <w:bCs/>
                <w:color w:val="000000"/>
                <w:sz w:val="20"/>
                <w:szCs w:val="18"/>
              </w:rPr>
              <w:t>III</w:t>
            </w:r>
          </w:p>
        </w:tc>
        <w:tc>
          <w:tcPr>
            <w:tcW w:w="1522" w:type="dxa"/>
            <w:tcBorders>
              <w:top w:val="nil"/>
              <w:left w:val="nil"/>
              <w:bottom w:val="nil"/>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849</w:t>
            </w:r>
          </w:p>
        </w:tc>
        <w:tc>
          <w:tcPr>
            <w:tcW w:w="1584" w:type="dxa"/>
            <w:tcBorders>
              <w:top w:val="nil"/>
              <w:left w:val="nil"/>
              <w:bottom w:val="nil"/>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109</w:t>
            </w:r>
          </w:p>
        </w:tc>
        <w:tc>
          <w:tcPr>
            <w:tcW w:w="1666" w:type="dxa"/>
            <w:tcBorders>
              <w:top w:val="nil"/>
              <w:left w:val="nil"/>
              <w:bottom w:val="nil"/>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342</w:t>
            </w:r>
          </w:p>
        </w:tc>
      </w:tr>
      <w:tr w:rsidR="00F6760B" w:rsidRPr="005A1216" w:rsidTr="00B2789B">
        <w:trPr>
          <w:trHeight w:val="78"/>
        </w:trPr>
        <w:tc>
          <w:tcPr>
            <w:tcW w:w="1398" w:type="dxa"/>
            <w:vMerge/>
            <w:tcBorders>
              <w:top w:val="nil"/>
              <w:left w:val="nil"/>
              <w:bottom w:val="single" w:sz="4" w:space="0" w:color="000000"/>
              <w:right w:val="nil"/>
            </w:tcBorders>
            <w:vAlign w:val="center"/>
          </w:tcPr>
          <w:p w:rsidR="00F6760B" w:rsidRPr="005A1216" w:rsidRDefault="00F6760B" w:rsidP="00F6760B">
            <w:pPr>
              <w:rPr>
                <w:b/>
                <w:bCs/>
                <w:sz w:val="20"/>
                <w:szCs w:val="18"/>
              </w:rPr>
            </w:pPr>
          </w:p>
        </w:tc>
        <w:tc>
          <w:tcPr>
            <w:tcW w:w="1233" w:type="dxa"/>
            <w:vMerge/>
            <w:tcBorders>
              <w:top w:val="nil"/>
              <w:left w:val="nil"/>
              <w:bottom w:val="single" w:sz="4" w:space="0" w:color="000000"/>
              <w:right w:val="nil"/>
            </w:tcBorders>
            <w:vAlign w:val="center"/>
          </w:tcPr>
          <w:p w:rsidR="00F6760B" w:rsidRPr="005A1216" w:rsidRDefault="00F6760B" w:rsidP="00F6760B">
            <w:pPr>
              <w:rPr>
                <w:b/>
                <w:bCs/>
                <w:sz w:val="20"/>
                <w:szCs w:val="18"/>
              </w:rPr>
            </w:pPr>
          </w:p>
        </w:tc>
        <w:tc>
          <w:tcPr>
            <w:tcW w:w="1233" w:type="dxa"/>
            <w:tcBorders>
              <w:top w:val="nil"/>
              <w:left w:val="nil"/>
              <w:bottom w:val="nil"/>
              <w:right w:val="nil"/>
            </w:tcBorders>
            <w:shd w:val="clear" w:color="auto" w:fill="auto"/>
            <w:vAlign w:val="center"/>
          </w:tcPr>
          <w:p w:rsidR="00F6760B" w:rsidRPr="005A1216" w:rsidRDefault="00F6760B" w:rsidP="00F6760B">
            <w:pPr>
              <w:jc w:val="center"/>
              <w:rPr>
                <w:b/>
                <w:bCs/>
                <w:color w:val="000000"/>
                <w:sz w:val="20"/>
                <w:szCs w:val="18"/>
              </w:rPr>
            </w:pPr>
          </w:p>
        </w:tc>
        <w:tc>
          <w:tcPr>
            <w:tcW w:w="1522" w:type="dxa"/>
            <w:tcBorders>
              <w:top w:val="nil"/>
              <w:left w:val="nil"/>
              <w:bottom w:val="nil"/>
              <w:right w:val="nil"/>
            </w:tcBorders>
            <w:shd w:val="clear" w:color="auto" w:fill="auto"/>
            <w:vAlign w:val="center"/>
          </w:tcPr>
          <w:p w:rsidR="00F6760B" w:rsidRPr="005A1216" w:rsidRDefault="00F6760B" w:rsidP="005A1216">
            <w:pPr>
              <w:jc w:val="center"/>
              <w:rPr>
                <w:color w:val="000000"/>
                <w:sz w:val="20"/>
                <w:szCs w:val="18"/>
              </w:rPr>
            </w:pPr>
          </w:p>
        </w:tc>
        <w:tc>
          <w:tcPr>
            <w:tcW w:w="1584" w:type="dxa"/>
            <w:tcBorders>
              <w:top w:val="nil"/>
              <w:left w:val="nil"/>
              <w:bottom w:val="nil"/>
              <w:right w:val="nil"/>
            </w:tcBorders>
            <w:shd w:val="clear" w:color="auto" w:fill="auto"/>
            <w:vAlign w:val="center"/>
          </w:tcPr>
          <w:p w:rsidR="00F6760B" w:rsidRPr="005A1216" w:rsidRDefault="00F6760B" w:rsidP="005A1216">
            <w:pPr>
              <w:jc w:val="center"/>
              <w:rPr>
                <w:color w:val="000000"/>
                <w:sz w:val="20"/>
                <w:szCs w:val="18"/>
              </w:rPr>
            </w:pPr>
          </w:p>
        </w:tc>
        <w:tc>
          <w:tcPr>
            <w:tcW w:w="1666" w:type="dxa"/>
            <w:tcBorders>
              <w:top w:val="nil"/>
              <w:left w:val="nil"/>
              <w:bottom w:val="nil"/>
              <w:right w:val="nil"/>
            </w:tcBorders>
            <w:shd w:val="clear" w:color="auto" w:fill="auto"/>
            <w:vAlign w:val="center"/>
          </w:tcPr>
          <w:p w:rsidR="00F6760B" w:rsidRPr="005A1216" w:rsidRDefault="00F6760B" w:rsidP="005A1216">
            <w:pPr>
              <w:jc w:val="center"/>
              <w:rPr>
                <w:color w:val="000000"/>
                <w:sz w:val="20"/>
                <w:szCs w:val="18"/>
              </w:rPr>
            </w:pPr>
          </w:p>
        </w:tc>
      </w:tr>
      <w:tr w:rsidR="00F6760B" w:rsidRPr="005A1216" w:rsidTr="00B2789B">
        <w:trPr>
          <w:trHeight w:val="393"/>
        </w:trPr>
        <w:tc>
          <w:tcPr>
            <w:tcW w:w="1398" w:type="dxa"/>
            <w:vMerge/>
            <w:tcBorders>
              <w:top w:val="nil"/>
              <w:left w:val="nil"/>
              <w:bottom w:val="single" w:sz="4" w:space="0" w:color="000000"/>
              <w:right w:val="nil"/>
            </w:tcBorders>
            <w:vAlign w:val="center"/>
            <w:hideMark/>
          </w:tcPr>
          <w:p w:rsidR="00F6760B" w:rsidRPr="005A1216" w:rsidRDefault="00F6760B" w:rsidP="00F6760B">
            <w:pPr>
              <w:rPr>
                <w:b/>
                <w:bCs/>
                <w:sz w:val="20"/>
                <w:szCs w:val="18"/>
              </w:rPr>
            </w:pPr>
          </w:p>
        </w:tc>
        <w:tc>
          <w:tcPr>
            <w:tcW w:w="1233" w:type="dxa"/>
            <w:vMerge/>
            <w:tcBorders>
              <w:top w:val="nil"/>
              <w:left w:val="nil"/>
              <w:bottom w:val="single" w:sz="4" w:space="0" w:color="000000"/>
              <w:right w:val="nil"/>
            </w:tcBorders>
            <w:vAlign w:val="center"/>
            <w:hideMark/>
          </w:tcPr>
          <w:p w:rsidR="00F6760B" w:rsidRPr="005A1216" w:rsidRDefault="00F6760B" w:rsidP="00F6760B">
            <w:pPr>
              <w:rPr>
                <w:b/>
                <w:bCs/>
                <w:sz w:val="20"/>
                <w:szCs w:val="18"/>
              </w:rPr>
            </w:pPr>
          </w:p>
        </w:tc>
        <w:tc>
          <w:tcPr>
            <w:tcW w:w="1233" w:type="dxa"/>
            <w:tcBorders>
              <w:top w:val="nil"/>
              <w:left w:val="nil"/>
              <w:bottom w:val="single" w:sz="4" w:space="0" w:color="auto"/>
              <w:right w:val="nil"/>
            </w:tcBorders>
            <w:shd w:val="clear" w:color="auto" w:fill="auto"/>
            <w:vAlign w:val="center"/>
            <w:hideMark/>
          </w:tcPr>
          <w:p w:rsidR="00F6760B" w:rsidRPr="005A1216" w:rsidRDefault="00F6760B" w:rsidP="00F6760B">
            <w:pPr>
              <w:jc w:val="center"/>
              <w:rPr>
                <w:b/>
                <w:bCs/>
                <w:color w:val="000000"/>
                <w:sz w:val="20"/>
                <w:szCs w:val="18"/>
              </w:rPr>
            </w:pPr>
            <w:r w:rsidRPr="005A1216">
              <w:rPr>
                <w:b/>
                <w:bCs/>
                <w:color w:val="000000"/>
                <w:sz w:val="20"/>
                <w:szCs w:val="18"/>
              </w:rPr>
              <w:t>IV</w:t>
            </w:r>
          </w:p>
        </w:tc>
        <w:tc>
          <w:tcPr>
            <w:tcW w:w="1522" w:type="dxa"/>
            <w:tcBorders>
              <w:top w:val="nil"/>
              <w:left w:val="nil"/>
              <w:bottom w:val="single" w:sz="4" w:space="0" w:color="auto"/>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1,156</w:t>
            </w:r>
          </w:p>
        </w:tc>
        <w:tc>
          <w:tcPr>
            <w:tcW w:w="1584" w:type="dxa"/>
            <w:tcBorders>
              <w:top w:val="nil"/>
              <w:left w:val="nil"/>
              <w:bottom w:val="single" w:sz="4" w:space="0" w:color="auto"/>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161</w:t>
            </w:r>
          </w:p>
        </w:tc>
        <w:tc>
          <w:tcPr>
            <w:tcW w:w="1666" w:type="dxa"/>
            <w:tcBorders>
              <w:top w:val="nil"/>
              <w:left w:val="nil"/>
              <w:bottom w:val="single" w:sz="4" w:space="0" w:color="auto"/>
              <w:right w:val="nil"/>
            </w:tcBorders>
            <w:shd w:val="clear" w:color="auto" w:fill="auto"/>
            <w:vAlign w:val="center"/>
            <w:hideMark/>
          </w:tcPr>
          <w:p w:rsidR="00F6760B" w:rsidRPr="005A1216" w:rsidRDefault="00F6760B" w:rsidP="005A1216">
            <w:pPr>
              <w:jc w:val="center"/>
              <w:rPr>
                <w:color w:val="000000"/>
                <w:sz w:val="20"/>
                <w:szCs w:val="18"/>
              </w:rPr>
            </w:pPr>
            <w:r w:rsidRPr="005A1216">
              <w:rPr>
                <w:color w:val="000000"/>
                <w:sz w:val="20"/>
                <w:szCs w:val="18"/>
              </w:rPr>
              <w:t>369</w:t>
            </w:r>
          </w:p>
        </w:tc>
      </w:tr>
    </w:tbl>
    <w:p w:rsidR="00F6760B" w:rsidRPr="00B2789B" w:rsidRDefault="00F6760B" w:rsidP="00F6760B">
      <w:pPr>
        <w:spacing w:line="360" w:lineRule="auto"/>
        <w:jc w:val="both"/>
        <w:rPr>
          <w:b/>
          <w:color w:val="FF0000"/>
          <w:sz w:val="20"/>
        </w:rPr>
      </w:pPr>
      <w:r w:rsidRPr="00B2789B">
        <w:rPr>
          <w:sz w:val="16"/>
        </w:rPr>
        <w:t xml:space="preserve">Fuente: </w:t>
      </w:r>
      <w:r w:rsidR="008F5FB2">
        <w:rPr>
          <w:sz w:val="16"/>
        </w:rPr>
        <w:t>DANE</w:t>
      </w:r>
    </w:p>
    <w:p w:rsidR="00F6760B" w:rsidRPr="00740600" w:rsidRDefault="00F6760B" w:rsidP="00F6760B">
      <w:pPr>
        <w:spacing w:line="360" w:lineRule="auto"/>
        <w:jc w:val="both"/>
        <w:rPr>
          <w:b/>
          <w:color w:val="FF0000"/>
          <w:sz w:val="10"/>
          <w:szCs w:val="10"/>
        </w:rPr>
      </w:pPr>
    </w:p>
    <w:p w:rsidR="00F6760B" w:rsidRDefault="00F6760B" w:rsidP="00F6760B">
      <w:pPr>
        <w:spacing w:line="360" w:lineRule="auto"/>
        <w:jc w:val="center"/>
        <w:rPr>
          <w:bCs/>
          <w:szCs w:val="22"/>
        </w:rPr>
      </w:pPr>
    </w:p>
    <w:p w:rsidR="00F6760B" w:rsidRPr="00740600" w:rsidRDefault="00F6760B" w:rsidP="00F6760B">
      <w:pPr>
        <w:autoSpaceDE w:val="0"/>
        <w:autoSpaceDN w:val="0"/>
        <w:adjustRightInd w:val="0"/>
        <w:spacing w:line="360" w:lineRule="auto"/>
        <w:jc w:val="both"/>
      </w:pPr>
      <w:r w:rsidRPr="00740600">
        <w:rPr>
          <w:sz w:val="20"/>
        </w:rPr>
        <w:t xml:space="preserve">     </w:t>
      </w:r>
      <w:r w:rsidR="00B13058">
        <w:t>Para la vigencia</w:t>
      </w:r>
      <w:r w:rsidRPr="00740600">
        <w:t xml:space="preserve"> 2013, se evidenció una tendencia leve al aumento de las unidades de  obras paralizadas o inactivas, entre el último trimestre del 2013 y </w:t>
      </w:r>
      <w:r w:rsidR="00B13058">
        <w:t xml:space="preserve">el primer trimestre del 2013. </w:t>
      </w:r>
      <w:r w:rsidRPr="00740600">
        <w:t>Es decir, que de las nuevas obras  durante el año 2013, el porcentaje de obras paralizadas  se incremen</w:t>
      </w:r>
      <w:r w:rsidR="00B13058">
        <w:t xml:space="preserve">tó en un 7,89% aproximadamente. </w:t>
      </w:r>
      <w:r w:rsidRPr="00740600">
        <w:t>Igualmente, las obras culminadas en un periodo de  actividad  trimestral  en el sector de la c</w:t>
      </w:r>
      <w:r>
        <w:t xml:space="preserve">onstrucción durante el </w:t>
      </w:r>
      <w:r>
        <w:lastRenderedPageBreak/>
        <w:t>año 2013, e</w:t>
      </w:r>
      <w:r w:rsidRPr="00740600">
        <w:t xml:space="preserve">n donde se presenta una  tendencia de disminución para el último trimestre del 32,35% aproximadamente, con respecto al primer trimestre del mismo año. </w:t>
      </w:r>
    </w:p>
    <w:p w:rsidR="00F6760B" w:rsidRPr="00740600" w:rsidRDefault="00F6760B" w:rsidP="00F6760B">
      <w:pPr>
        <w:autoSpaceDE w:val="0"/>
        <w:autoSpaceDN w:val="0"/>
        <w:adjustRightInd w:val="0"/>
        <w:jc w:val="both"/>
      </w:pPr>
    </w:p>
    <w:p w:rsidR="00F6760B" w:rsidRDefault="00F6760B" w:rsidP="00E56F7D">
      <w:pPr>
        <w:autoSpaceDE w:val="0"/>
        <w:autoSpaceDN w:val="0"/>
        <w:adjustRightInd w:val="0"/>
        <w:spacing w:line="360" w:lineRule="auto"/>
        <w:ind w:firstLine="284"/>
        <w:jc w:val="both"/>
      </w:pPr>
      <w:r w:rsidRPr="00740600">
        <w:t>En el caso de obras en proceso, para el  Cuarto trimestre del año 2013, se presentó un 70,77% más unidades que continúan en proceso con respecto al total registrado en el primer trimestre del 2013.</w:t>
      </w:r>
    </w:p>
    <w:p w:rsidR="00E56F7D" w:rsidRPr="00740600" w:rsidRDefault="00E56F7D" w:rsidP="00E56F7D">
      <w:pPr>
        <w:autoSpaceDE w:val="0"/>
        <w:autoSpaceDN w:val="0"/>
        <w:adjustRightInd w:val="0"/>
        <w:spacing w:line="360" w:lineRule="auto"/>
        <w:ind w:firstLine="284"/>
        <w:jc w:val="both"/>
      </w:pPr>
    </w:p>
    <w:p w:rsidR="00F6760B" w:rsidRPr="007E6B16" w:rsidRDefault="005A1216" w:rsidP="00F6760B">
      <w:pPr>
        <w:jc w:val="both"/>
        <w:rPr>
          <w:bCs/>
          <w:szCs w:val="22"/>
        </w:rPr>
      </w:pPr>
      <w:r>
        <w:rPr>
          <w:bCs/>
          <w:szCs w:val="22"/>
        </w:rPr>
        <w:t>Gráfico 5.5</w:t>
      </w:r>
    </w:p>
    <w:p w:rsidR="00F6760B" w:rsidRPr="007E6B16" w:rsidRDefault="00F6760B" w:rsidP="00F6760B">
      <w:pPr>
        <w:autoSpaceDE w:val="0"/>
        <w:autoSpaceDN w:val="0"/>
        <w:adjustRightInd w:val="0"/>
        <w:jc w:val="both"/>
      </w:pPr>
      <w:r w:rsidRPr="007E6B16">
        <w:t xml:space="preserve">Unidades de Vivienda tipo VIS -  Comparativo IV </w:t>
      </w:r>
    </w:p>
    <w:p w:rsidR="00F6760B" w:rsidRPr="007E6B16" w:rsidRDefault="00F6760B" w:rsidP="00F6760B">
      <w:pPr>
        <w:autoSpaceDE w:val="0"/>
        <w:autoSpaceDN w:val="0"/>
        <w:adjustRightInd w:val="0"/>
        <w:jc w:val="both"/>
      </w:pPr>
      <w:r w:rsidRPr="007E6B16">
        <w:t>Trimestre Años 2012- 2013</w:t>
      </w:r>
    </w:p>
    <w:p w:rsidR="00F6760B" w:rsidRPr="00740600" w:rsidRDefault="00F6760B" w:rsidP="00F6760B">
      <w:pPr>
        <w:autoSpaceDE w:val="0"/>
        <w:autoSpaceDN w:val="0"/>
        <w:adjustRightInd w:val="0"/>
        <w:jc w:val="center"/>
      </w:pPr>
    </w:p>
    <w:p w:rsidR="00F6760B" w:rsidRPr="00740600" w:rsidRDefault="00F6760B" w:rsidP="00D74C2D">
      <w:pPr>
        <w:spacing w:line="360" w:lineRule="auto"/>
        <w:rPr>
          <w:b/>
        </w:rPr>
      </w:pPr>
      <w:r w:rsidRPr="00740600">
        <w:rPr>
          <w:noProof/>
        </w:rPr>
        <w:drawing>
          <wp:inline distT="0" distB="0" distL="0" distR="0" wp14:anchorId="3BACB643" wp14:editId="6BD8F8A9">
            <wp:extent cx="5003320" cy="2553419"/>
            <wp:effectExtent l="0" t="0" r="26035" b="1841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6760B" w:rsidRPr="00D74C2D" w:rsidRDefault="00F6760B" w:rsidP="00F6760B">
      <w:pPr>
        <w:spacing w:line="360" w:lineRule="auto"/>
        <w:jc w:val="both"/>
        <w:rPr>
          <w:b/>
          <w:color w:val="FF0000"/>
          <w:sz w:val="20"/>
        </w:rPr>
      </w:pPr>
      <w:r w:rsidRPr="00740600">
        <w:rPr>
          <w:sz w:val="20"/>
        </w:rPr>
        <w:t xml:space="preserve">    </w:t>
      </w:r>
      <w:r w:rsidRPr="00D74C2D">
        <w:rPr>
          <w:sz w:val="16"/>
        </w:rPr>
        <w:t xml:space="preserve">Fuente: </w:t>
      </w:r>
      <w:r w:rsidR="008F5FB2">
        <w:rPr>
          <w:sz w:val="16"/>
        </w:rPr>
        <w:t>DANE</w:t>
      </w:r>
    </w:p>
    <w:p w:rsidR="00F6760B" w:rsidRPr="00740600" w:rsidRDefault="00F6760B" w:rsidP="00F6760B">
      <w:pPr>
        <w:spacing w:line="360" w:lineRule="auto"/>
        <w:jc w:val="center"/>
        <w:rPr>
          <w:b/>
        </w:rPr>
      </w:pPr>
    </w:p>
    <w:p w:rsidR="00F6760B" w:rsidRPr="00740600" w:rsidRDefault="00F6760B" w:rsidP="007A6EF0">
      <w:pPr>
        <w:pStyle w:val="Sinespaciado"/>
        <w:spacing w:line="360" w:lineRule="auto"/>
        <w:ind w:firstLine="284"/>
        <w:rPr>
          <w:rFonts w:ascii="Times New Roman" w:hAnsi="Times New Roman"/>
          <w:sz w:val="24"/>
          <w:szCs w:val="24"/>
        </w:rPr>
      </w:pPr>
      <w:r w:rsidRPr="00740600">
        <w:rPr>
          <w:rFonts w:ascii="Times New Roman" w:hAnsi="Times New Roman"/>
          <w:sz w:val="24"/>
          <w:szCs w:val="24"/>
        </w:rPr>
        <w:t xml:space="preserve">El número de obras de viviendas en el Departamento del Quindío que continúan en proceso </w:t>
      </w:r>
      <w:r w:rsidR="007A6EF0">
        <w:rPr>
          <w:rFonts w:ascii="Times New Roman" w:hAnsi="Times New Roman"/>
          <w:sz w:val="24"/>
          <w:szCs w:val="24"/>
        </w:rPr>
        <w:t>presentaron un crecimiento por encima del 100% entre el</w:t>
      </w:r>
      <w:r w:rsidRPr="00740600">
        <w:rPr>
          <w:rFonts w:ascii="Times New Roman" w:hAnsi="Times New Roman"/>
          <w:sz w:val="24"/>
          <w:szCs w:val="24"/>
        </w:rPr>
        <w:t xml:space="preserve"> 2012 </w:t>
      </w:r>
      <w:r w:rsidR="007A6EF0">
        <w:rPr>
          <w:rFonts w:ascii="Times New Roman" w:hAnsi="Times New Roman"/>
          <w:sz w:val="24"/>
          <w:szCs w:val="24"/>
        </w:rPr>
        <w:t xml:space="preserve">y el 2013. </w:t>
      </w:r>
      <w:r w:rsidRPr="00740600">
        <w:rPr>
          <w:rFonts w:ascii="Times New Roman" w:hAnsi="Times New Roman"/>
          <w:sz w:val="24"/>
          <w:szCs w:val="24"/>
        </w:rPr>
        <w:t xml:space="preserve">Caso contrario ocurrió con el </w:t>
      </w:r>
      <w:r w:rsidR="007A6EF0">
        <w:rPr>
          <w:rFonts w:ascii="Times New Roman" w:hAnsi="Times New Roman"/>
          <w:sz w:val="24"/>
          <w:szCs w:val="24"/>
        </w:rPr>
        <w:t>las o</w:t>
      </w:r>
      <w:r w:rsidRPr="00740600">
        <w:rPr>
          <w:rFonts w:ascii="Times New Roman" w:hAnsi="Times New Roman"/>
          <w:sz w:val="24"/>
          <w:szCs w:val="24"/>
        </w:rPr>
        <w:t xml:space="preserve">bras culminadas y </w:t>
      </w:r>
      <w:r w:rsidR="007A6EF0">
        <w:rPr>
          <w:rFonts w:ascii="Times New Roman" w:hAnsi="Times New Roman"/>
          <w:sz w:val="24"/>
          <w:szCs w:val="24"/>
        </w:rPr>
        <w:t>las o</w:t>
      </w:r>
      <w:r w:rsidRPr="00740600">
        <w:rPr>
          <w:rFonts w:ascii="Times New Roman" w:hAnsi="Times New Roman"/>
          <w:sz w:val="24"/>
          <w:szCs w:val="24"/>
        </w:rPr>
        <w:t>bras paralizadas</w:t>
      </w:r>
      <w:r w:rsidR="007A6EF0">
        <w:rPr>
          <w:rFonts w:ascii="Times New Roman" w:hAnsi="Times New Roman"/>
          <w:sz w:val="24"/>
          <w:szCs w:val="24"/>
        </w:rPr>
        <w:t xml:space="preserve">, las cuales  </w:t>
      </w:r>
      <w:r w:rsidRPr="00740600">
        <w:rPr>
          <w:rFonts w:ascii="Times New Roman" w:hAnsi="Times New Roman"/>
          <w:sz w:val="24"/>
          <w:szCs w:val="24"/>
        </w:rPr>
        <w:t xml:space="preserve">presentaron una disminución del 35,86% </w:t>
      </w:r>
      <w:r w:rsidR="00760763">
        <w:rPr>
          <w:rFonts w:ascii="Times New Roman" w:hAnsi="Times New Roman"/>
          <w:sz w:val="24"/>
          <w:szCs w:val="24"/>
        </w:rPr>
        <w:t>y  13,58%, respectivamente.</w:t>
      </w:r>
    </w:p>
    <w:p w:rsidR="00F6760B" w:rsidRPr="00740600" w:rsidRDefault="00F6760B" w:rsidP="00F6760B">
      <w:pPr>
        <w:pStyle w:val="Sinespaciado"/>
        <w:rPr>
          <w:rFonts w:ascii="Times New Roman" w:hAnsi="Times New Roman"/>
          <w:sz w:val="24"/>
          <w:szCs w:val="24"/>
        </w:rPr>
      </w:pPr>
    </w:p>
    <w:p w:rsidR="00F6760B" w:rsidRDefault="00F6760B" w:rsidP="00F6760B">
      <w:pPr>
        <w:pStyle w:val="Sinespaciado"/>
        <w:rPr>
          <w:rFonts w:ascii="Times New Roman" w:hAnsi="Times New Roman"/>
          <w:sz w:val="24"/>
          <w:szCs w:val="24"/>
        </w:rPr>
      </w:pPr>
    </w:p>
    <w:p w:rsidR="003416CA" w:rsidRPr="00740600" w:rsidRDefault="003416CA" w:rsidP="00F6760B">
      <w:pPr>
        <w:pStyle w:val="Sinespaciado"/>
        <w:rPr>
          <w:rFonts w:ascii="Times New Roman" w:hAnsi="Times New Roman"/>
          <w:sz w:val="24"/>
          <w:szCs w:val="24"/>
        </w:rPr>
      </w:pPr>
    </w:p>
    <w:p w:rsidR="00F6760B" w:rsidRDefault="00F6760B" w:rsidP="00F6760B">
      <w:pPr>
        <w:jc w:val="center"/>
        <w:rPr>
          <w:bCs/>
          <w:szCs w:val="22"/>
        </w:rPr>
      </w:pPr>
    </w:p>
    <w:p w:rsidR="005D0CFD" w:rsidRDefault="005D0CFD" w:rsidP="00F6760B">
      <w:pPr>
        <w:jc w:val="center"/>
        <w:rPr>
          <w:bCs/>
          <w:szCs w:val="22"/>
        </w:rPr>
      </w:pPr>
    </w:p>
    <w:p w:rsidR="008A15FD" w:rsidRDefault="008A15FD" w:rsidP="00F6760B">
      <w:pPr>
        <w:jc w:val="center"/>
        <w:rPr>
          <w:bCs/>
          <w:szCs w:val="22"/>
        </w:rPr>
      </w:pPr>
    </w:p>
    <w:p w:rsidR="00F6760B" w:rsidRDefault="00F6760B" w:rsidP="00F6760B">
      <w:pPr>
        <w:jc w:val="center"/>
        <w:rPr>
          <w:bCs/>
          <w:szCs w:val="22"/>
        </w:rPr>
      </w:pPr>
    </w:p>
    <w:p w:rsidR="00F6760B" w:rsidRPr="007E6B16" w:rsidRDefault="00F6760B" w:rsidP="00F6760B">
      <w:pPr>
        <w:rPr>
          <w:bCs/>
          <w:szCs w:val="22"/>
        </w:rPr>
      </w:pPr>
      <w:r w:rsidRPr="007E6B16">
        <w:rPr>
          <w:bCs/>
          <w:szCs w:val="22"/>
        </w:rPr>
        <w:lastRenderedPageBreak/>
        <w:t>Gráfico 5.7</w:t>
      </w:r>
    </w:p>
    <w:p w:rsidR="00F6760B" w:rsidRPr="007E6B16" w:rsidRDefault="00F6760B" w:rsidP="00F6760B">
      <w:r w:rsidRPr="007E6B16">
        <w:t xml:space="preserve">Gráfico. Unidades de Vivienda tipo No VIS </w:t>
      </w:r>
    </w:p>
    <w:p w:rsidR="00F6760B" w:rsidRPr="007E6B16" w:rsidRDefault="00F6760B" w:rsidP="00F6760B">
      <w:pPr>
        <w:rPr>
          <w:lang w:val="es-ES"/>
        </w:rPr>
      </w:pPr>
      <w:r w:rsidRPr="007E6B16">
        <w:t>Año 2013</w:t>
      </w:r>
    </w:p>
    <w:p w:rsidR="00F6760B" w:rsidRPr="00740600" w:rsidRDefault="00F6760B" w:rsidP="00F6760B">
      <w:pPr>
        <w:rPr>
          <w:lang w:val="es-ES"/>
        </w:rPr>
      </w:pPr>
    </w:p>
    <w:p w:rsidR="00F6760B" w:rsidRDefault="004E4362" w:rsidP="00F6760B">
      <w:pPr>
        <w:jc w:val="center"/>
        <w:rPr>
          <w:lang w:val="es-ES"/>
        </w:rPr>
      </w:pPr>
      <w:r>
        <w:rPr>
          <w:noProof/>
        </w:rPr>
        <w:drawing>
          <wp:inline distT="0" distB="0" distL="0" distR="0" wp14:anchorId="344CF10A" wp14:editId="06C7CB0D">
            <wp:extent cx="5609230" cy="2606722"/>
            <wp:effectExtent l="0" t="0" r="10795" b="2222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6760B" w:rsidRPr="00740600" w:rsidRDefault="00F6760B" w:rsidP="00F6760B">
      <w:pPr>
        <w:spacing w:line="360" w:lineRule="auto"/>
        <w:jc w:val="both"/>
        <w:rPr>
          <w:b/>
          <w:color w:val="FF0000"/>
        </w:rPr>
      </w:pPr>
      <w:r>
        <w:rPr>
          <w:sz w:val="20"/>
        </w:rPr>
        <w:t xml:space="preserve">            </w:t>
      </w:r>
      <w:r w:rsidRPr="00740600">
        <w:rPr>
          <w:sz w:val="20"/>
        </w:rPr>
        <w:t xml:space="preserve">Fuente: </w:t>
      </w:r>
      <w:r w:rsidR="008F5FB2">
        <w:rPr>
          <w:sz w:val="20"/>
        </w:rPr>
        <w:t>DANE</w:t>
      </w:r>
    </w:p>
    <w:p w:rsidR="00F6760B" w:rsidRDefault="00F6760B" w:rsidP="00F6760B">
      <w:pPr>
        <w:spacing w:line="360" w:lineRule="auto"/>
        <w:jc w:val="center"/>
        <w:rPr>
          <w:bCs/>
          <w:szCs w:val="22"/>
        </w:rPr>
      </w:pPr>
    </w:p>
    <w:p w:rsidR="00730D02" w:rsidRDefault="00730D02" w:rsidP="00F6760B">
      <w:pPr>
        <w:jc w:val="center"/>
        <w:rPr>
          <w:bCs/>
          <w:szCs w:val="22"/>
        </w:rPr>
      </w:pPr>
    </w:p>
    <w:p w:rsidR="00F6760B" w:rsidRPr="00730D02" w:rsidRDefault="00F6760B" w:rsidP="00730D02">
      <w:pPr>
        <w:rPr>
          <w:bCs/>
          <w:szCs w:val="22"/>
        </w:rPr>
      </w:pPr>
      <w:r w:rsidRPr="00730D02">
        <w:rPr>
          <w:bCs/>
          <w:szCs w:val="22"/>
        </w:rPr>
        <w:t>Gráfico 5.8</w:t>
      </w:r>
    </w:p>
    <w:p w:rsidR="00F6760B" w:rsidRPr="00730D02" w:rsidRDefault="00F6760B" w:rsidP="00730D02">
      <w:r w:rsidRPr="00730D02">
        <w:t xml:space="preserve">Área de Vivienda tipo VIS </w:t>
      </w:r>
    </w:p>
    <w:p w:rsidR="00F6760B" w:rsidRPr="00730D02" w:rsidRDefault="00F6760B" w:rsidP="00730D02">
      <w:r w:rsidRPr="00730D02">
        <w:t xml:space="preserve"> Año 2013</w:t>
      </w:r>
    </w:p>
    <w:p w:rsidR="00F6760B" w:rsidRPr="00740600" w:rsidRDefault="00730D02" w:rsidP="00F6760B">
      <w:pPr>
        <w:spacing w:after="200" w:line="276" w:lineRule="auto"/>
        <w:jc w:val="center"/>
        <w:rPr>
          <w:lang w:val="es-ES"/>
        </w:rPr>
      </w:pPr>
      <w:r>
        <w:rPr>
          <w:noProof/>
        </w:rPr>
        <w:drawing>
          <wp:inline distT="0" distB="0" distL="0" distR="0" wp14:anchorId="13900FDC" wp14:editId="18BD3567">
            <wp:extent cx="5609230" cy="3002508"/>
            <wp:effectExtent l="0" t="0" r="10795" b="2667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6760B" w:rsidRPr="00842019" w:rsidRDefault="00F6760B" w:rsidP="00F6760B">
      <w:pPr>
        <w:spacing w:line="360" w:lineRule="auto"/>
        <w:jc w:val="both"/>
        <w:rPr>
          <w:sz w:val="16"/>
        </w:rPr>
      </w:pPr>
      <w:r w:rsidRPr="00740600">
        <w:rPr>
          <w:sz w:val="20"/>
        </w:rPr>
        <w:t xml:space="preserve">          </w:t>
      </w:r>
      <w:r w:rsidRPr="00842019">
        <w:rPr>
          <w:sz w:val="16"/>
        </w:rPr>
        <w:t xml:space="preserve">Fuente: </w:t>
      </w:r>
      <w:r w:rsidR="008F5FB2">
        <w:rPr>
          <w:sz w:val="16"/>
        </w:rPr>
        <w:t>DANE</w:t>
      </w:r>
    </w:p>
    <w:p w:rsidR="00F6760B" w:rsidRPr="00D91820" w:rsidRDefault="00F6760B" w:rsidP="00D91820">
      <w:pPr>
        <w:rPr>
          <w:bCs/>
          <w:szCs w:val="22"/>
        </w:rPr>
      </w:pPr>
      <w:r w:rsidRPr="00D91820">
        <w:rPr>
          <w:bCs/>
          <w:szCs w:val="22"/>
        </w:rPr>
        <w:lastRenderedPageBreak/>
        <w:t>Gráfico 5.9</w:t>
      </w:r>
    </w:p>
    <w:p w:rsidR="00F6760B" w:rsidRPr="00D91820" w:rsidRDefault="00F6760B" w:rsidP="00D91820">
      <w:pPr>
        <w:rPr>
          <w:bCs/>
          <w:szCs w:val="22"/>
        </w:rPr>
      </w:pPr>
      <w:r w:rsidRPr="00D91820">
        <w:t xml:space="preserve">Área de </w:t>
      </w:r>
      <w:r w:rsidRPr="00D91820">
        <w:rPr>
          <w:bCs/>
          <w:szCs w:val="22"/>
        </w:rPr>
        <w:t>Vivienda tipo No VI</w:t>
      </w:r>
      <w:r w:rsidR="005D0CFD">
        <w:rPr>
          <w:bCs/>
          <w:szCs w:val="22"/>
        </w:rPr>
        <w:t>S</w:t>
      </w:r>
    </w:p>
    <w:p w:rsidR="00F6760B" w:rsidRDefault="00F6760B" w:rsidP="00D91820">
      <w:pPr>
        <w:rPr>
          <w:bCs/>
          <w:szCs w:val="22"/>
        </w:rPr>
      </w:pPr>
      <w:r w:rsidRPr="00D91820">
        <w:rPr>
          <w:bCs/>
          <w:szCs w:val="22"/>
        </w:rPr>
        <w:t>Año 2013</w:t>
      </w:r>
    </w:p>
    <w:p w:rsidR="00D91820" w:rsidRPr="00D91820" w:rsidRDefault="00D91820" w:rsidP="00D91820">
      <w:pPr>
        <w:rPr>
          <w:bCs/>
          <w:szCs w:val="22"/>
        </w:rPr>
      </w:pPr>
    </w:p>
    <w:p w:rsidR="00F6760B" w:rsidRPr="00C27736" w:rsidRDefault="00D91820" w:rsidP="00D91820">
      <w:pPr>
        <w:rPr>
          <w:bCs/>
          <w:szCs w:val="22"/>
        </w:rPr>
      </w:pPr>
      <w:r>
        <w:rPr>
          <w:noProof/>
        </w:rPr>
        <w:drawing>
          <wp:inline distT="0" distB="0" distL="0" distR="0" wp14:anchorId="025B35E2" wp14:editId="002ED2CE">
            <wp:extent cx="5612130" cy="2982595"/>
            <wp:effectExtent l="0" t="0" r="26670" b="2730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6760B" w:rsidRPr="00D91820" w:rsidRDefault="00F6760B" w:rsidP="00F6760B">
      <w:pPr>
        <w:spacing w:after="200" w:line="276" w:lineRule="auto"/>
        <w:rPr>
          <w:sz w:val="16"/>
          <w:szCs w:val="16"/>
          <w:lang w:val="es-ES"/>
        </w:rPr>
      </w:pPr>
      <w:r w:rsidRPr="00740600">
        <w:rPr>
          <w:sz w:val="20"/>
        </w:rPr>
        <w:t xml:space="preserve">   </w:t>
      </w:r>
      <w:r w:rsidRPr="00D91820">
        <w:rPr>
          <w:sz w:val="16"/>
          <w:szCs w:val="16"/>
        </w:rPr>
        <w:t xml:space="preserve">Fuente: </w:t>
      </w:r>
      <w:r w:rsidR="008F5FB2">
        <w:rPr>
          <w:sz w:val="16"/>
          <w:szCs w:val="16"/>
        </w:rPr>
        <w:t>DANE</w:t>
      </w:r>
      <w:r w:rsidRPr="00D91820">
        <w:rPr>
          <w:sz w:val="16"/>
          <w:szCs w:val="16"/>
          <w:lang w:val="es-ES"/>
        </w:rPr>
        <w:t xml:space="preserve"> </w:t>
      </w:r>
    </w:p>
    <w:p w:rsidR="00D91820" w:rsidRDefault="00D91820" w:rsidP="00F6760B">
      <w:pPr>
        <w:spacing w:after="200" w:line="276" w:lineRule="auto"/>
        <w:jc w:val="both"/>
        <w:rPr>
          <w:lang w:val="es-ES"/>
        </w:rPr>
      </w:pPr>
    </w:p>
    <w:p w:rsidR="00C824A6" w:rsidRPr="00740600" w:rsidRDefault="00C824A6" w:rsidP="00F6760B">
      <w:pPr>
        <w:spacing w:after="200" w:line="276" w:lineRule="auto"/>
        <w:jc w:val="both"/>
        <w:rPr>
          <w:lang w:val="es-ES"/>
        </w:rPr>
      </w:pPr>
    </w:p>
    <w:p w:rsidR="00F6760B" w:rsidRPr="00D45C8A" w:rsidRDefault="00F6760B" w:rsidP="00D45C8A">
      <w:pPr>
        <w:rPr>
          <w:bCs/>
          <w:szCs w:val="22"/>
        </w:rPr>
      </w:pPr>
      <w:r w:rsidRPr="00D45C8A">
        <w:rPr>
          <w:bCs/>
          <w:szCs w:val="22"/>
        </w:rPr>
        <w:t>Tabla 5.9</w:t>
      </w:r>
    </w:p>
    <w:p w:rsidR="00F6760B" w:rsidRPr="00D45C8A" w:rsidRDefault="00F6760B" w:rsidP="00D45C8A">
      <w:pPr>
        <w:rPr>
          <w:bCs/>
          <w:szCs w:val="22"/>
        </w:rPr>
      </w:pPr>
      <w:r w:rsidRPr="00D45C8A">
        <w:rPr>
          <w:bCs/>
          <w:szCs w:val="22"/>
        </w:rPr>
        <w:t>Unidades iniciadas para vivienda. Según sistema constructivo VIS, Armenia Q</w:t>
      </w:r>
    </w:p>
    <w:p w:rsidR="00F6760B" w:rsidRPr="00D45C8A" w:rsidRDefault="00F6760B" w:rsidP="00D45C8A">
      <w:pPr>
        <w:rPr>
          <w:lang w:val="es-ES"/>
        </w:rPr>
      </w:pPr>
      <w:r w:rsidRPr="00D45C8A">
        <w:rPr>
          <w:bCs/>
          <w:szCs w:val="22"/>
        </w:rPr>
        <w:t xml:space="preserve"> Año 2013 </w:t>
      </w:r>
    </w:p>
    <w:tbl>
      <w:tblPr>
        <w:tblpPr w:leftFromText="141" w:rightFromText="141" w:vertAnchor="text" w:horzAnchor="margin" w:tblpY="167"/>
        <w:tblW w:w="8931" w:type="dxa"/>
        <w:tblCellMar>
          <w:left w:w="70" w:type="dxa"/>
          <w:right w:w="70" w:type="dxa"/>
        </w:tblCellMar>
        <w:tblLook w:val="04A0" w:firstRow="1" w:lastRow="0" w:firstColumn="1" w:lastColumn="0" w:noHBand="0" w:noVBand="1"/>
      </w:tblPr>
      <w:tblGrid>
        <w:gridCol w:w="1166"/>
        <w:gridCol w:w="1869"/>
        <w:gridCol w:w="2014"/>
        <w:gridCol w:w="2300"/>
        <w:gridCol w:w="1582"/>
      </w:tblGrid>
      <w:tr w:rsidR="00F6760B" w:rsidRPr="00740600" w:rsidTr="00F6760B">
        <w:trPr>
          <w:trHeight w:val="592"/>
        </w:trPr>
        <w:tc>
          <w:tcPr>
            <w:tcW w:w="1166" w:type="dxa"/>
            <w:vMerge w:val="restart"/>
            <w:tcBorders>
              <w:top w:val="single" w:sz="4" w:space="0" w:color="auto"/>
              <w:bottom w:val="single" w:sz="4" w:space="0" w:color="auto"/>
            </w:tcBorders>
            <w:shd w:val="clear" w:color="auto" w:fill="auto"/>
            <w:vAlign w:val="center"/>
            <w:hideMark/>
          </w:tcPr>
          <w:p w:rsidR="00F6760B" w:rsidRPr="00740600" w:rsidRDefault="00F6760B" w:rsidP="00F6760B">
            <w:pPr>
              <w:jc w:val="center"/>
              <w:rPr>
                <w:b/>
                <w:bCs/>
                <w:color w:val="000000"/>
                <w:sz w:val="20"/>
                <w:lang w:val="es-ES"/>
              </w:rPr>
            </w:pPr>
            <w:r w:rsidRPr="00740600">
              <w:rPr>
                <w:b/>
                <w:bCs/>
                <w:color w:val="000000"/>
                <w:sz w:val="20"/>
                <w:lang w:val="es-ES"/>
              </w:rPr>
              <w:t>AÑO</w:t>
            </w:r>
          </w:p>
        </w:tc>
        <w:tc>
          <w:tcPr>
            <w:tcW w:w="7765" w:type="dxa"/>
            <w:gridSpan w:val="4"/>
            <w:tcBorders>
              <w:top w:val="single" w:sz="4" w:space="0" w:color="auto"/>
              <w:bottom w:val="single" w:sz="4" w:space="0" w:color="auto"/>
            </w:tcBorders>
            <w:shd w:val="clear" w:color="auto" w:fill="auto"/>
            <w:noWrap/>
            <w:vAlign w:val="center"/>
            <w:hideMark/>
          </w:tcPr>
          <w:p w:rsidR="00F6760B" w:rsidRPr="00740600" w:rsidRDefault="00F6760B" w:rsidP="00F6760B">
            <w:pPr>
              <w:jc w:val="center"/>
              <w:rPr>
                <w:b/>
                <w:bCs/>
                <w:color w:val="000000"/>
                <w:sz w:val="20"/>
                <w:lang w:val="es-ES"/>
              </w:rPr>
            </w:pPr>
            <w:r w:rsidRPr="00740600">
              <w:rPr>
                <w:b/>
                <w:bCs/>
                <w:color w:val="000000"/>
                <w:sz w:val="20"/>
              </w:rPr>
              <w:t>VIS</w:t>
            </w:r>
          </w:p>
        </w:tc>
      </w:tr>
      <w:tr w:rsidR="00F6760B" w:rsidRPr="00740600" w:rsidTr="00F6760B">
        <w:trPr>
          <w:trHeight w:val="751"/>
        </w:trPr>
        <w:tc>
          <w:tcPr>
            <w:tcW w:w="1166" w:type="dxa"/>
            <w:vMerge/>
            <w:tcBorders>
              <w:top w:val="single" w:sz="4" w:space="0" w:color="auto"/>
              <w:bottom w:val="single" w:sz="4" w:space="0" w:color="auto"/>
            </w:tcBorders>
            <w:shd w:val="clear" w:color="auto" w:fill="auto"/>
            <w:vAlign w:val="center"/>
            <w:hideMark/>
          </w:tcPr>
          <w:p w:rsidR="00F6760B" w:rsidRPr="00740600" w:rsidRDefault="00F6760B" w:rsidP="00F6760B">
            <w:pPr>
              <w:rPr>
                <w:b/>
                <w:bCs/>
                <w:color w:val="000000"/>
                <w:sz w:val="20"/>
                <w:lang w:val="es-ES"/>
              </w:rPr>
            </w:pPr>
          </w:p>
        </w:tc>
        <w:tc>
          <w:tcPr>
            <w:tcW w:w="1869" w:type="dxa"/>
            <w:tcBorders>
              <w:top w:val="nil"/>
              <w:bottom w:val="single" w:sz="4" w:space="0" w:color="auto"/>
            </w:tcBorders>
            <w:shd w:val="clear" w:color="auto" w:fill="auto"/>
            <w:vAlign w:val="center"/>
            <w:hideMark/>
          </w:tcPr>
          <w:p w:rsidR="00F6760B" w:rsidRPr="00740600" w:rsidRDefault="00D45C8A" w:rsidP="00F6760B">
            <w:pPr>
              <w:jc w:val="center"/>
              <w:rPr>
                <w:b/>
                <w:bCs/>
                <w:color w:val="000000"/>
                <w:sz w:val="20"/>
                <w:lang w:val="es-ES"/>
              </w:rPr>
            </w:pPr>
            <w:r w:rsidRPr="00740600">
              <w:rPr>
                <w:b/>
                <w:bCs/>
                <w:color w:val="000000"/>
                <w:sz w:val="20"/>
              </w:rPr>
              <w:t>Mampostería  estructural</w:t>
            </w:r>
            <w:r w:rsidR="00C824A6">
              <w:rPr>
                <w:rStyle w:val="Refdenotaalpie"/>
                <w:b/>
                <w:bCs/>
                <w:color w:val="000000"/>
                <w:sz w:val="20"/>
              </w:rPr>
              <w:footnoteReference w:id="31"/>
            </w:r>
          </w:p>
        </w:tc>
        <w:tc>
          <w:tcPr>
            <w:tcW w:w="2014" w:type="dxa"/>
            <w:tcBorders>
              <w:top w:val="nil"/>
              <w:bottom w:val="single" w:sz="4" w:space="0" w:color="auto"/>
            </w:tcBorders>
            <w:shd w:val="clear" w:color="auto" w:fill="auto"/>
            <w:vAlign w:val="center"/>
            <w:hideMark/>
          </w:tcPr>
          <w:p w:rsidR="00F6760B" w:rsidRPr="00740600" w:rsidRDefault="00D45C8A" w:rsidP="00F6760B">
            <w:pPr>
              <w:jc w:val="center"/>
              <w:rPr>
                <w:b/>
                <w:bCs/>
                <w:color w:val="000000"/>
                <w:sz w:val="20"/>
                <w:lang w:val="es-ES"/>
              </w:rPr>
            </w:pPr>
            <w:r w:rsidRPr="00740600">
              <w:rPr>
                <w:b/>
                <w:bCs/>
                <w:color w:val="000000"/>
                <w:sz w:val="20"/>
              </w:rPr>
              <w:t>Mampostería  confinada</w:t>
            </w:r>
          </w:p>
        </w:tc>
        <w:tc>
          <w:tcPr>
            <w:tcW w:w="2300" w:type="dxa"/>
            <w:tcBorders>
              <w:top w:val="nil"/>
              <w:bottom w:val="single" w:sz="4" w:space="0" w:color="auto"/>
            </w:tcBorders>
            <w:shd w:val="clear" w:color="auto" w:fill="auto"/>
            <w:vAlign w:val="center"/>
            <w:hideMark/>
          </w:tcPr>
          <w:p w:rsidR="00F6760B" w:rsidRPr="00740600" w:rsidRDefault="00D45C8A" w:rsidP="00F6760B">
            <w:pPr>
              <w:jc w:val="center"/>
              <w:rPr>
                <w:b/>
                <w:bCs/>
                <w:color w:val="000000"/>
                <w:sz w:val="20"/>
                <w:lang w:val="es-ES"/>
              </w:rPr>
            </w:pPr>
            <w:r w:rsidRPr="00740600">
              <w:rPr>
                <w:b/>
                <w:bCs/>
                <w:color w:val="000000"/>
                <w:sz w:val="20"/>
              </w:rPr>
              <w:t>Sistemas industrializados</w:t>
            </w:r>
          </w:p>
        </w:tc>
        <w:tc>
          <w:tcPr>
            <w:tcW w:w="1582" w:type="dxa"/>
            <w:tcBorders>
              <w:top w:val="nil"/>
              <w:bottom w:val="single" w:sz="4" w:space="0" w:color="auto"/>
            </w:tcBorders>
            <w:shd w:val="clear" w:color="auto" w:fill="auto"/>
            <w:noWrap/>
            <w:vAlign w:val="center"/>
            <w:hideMark/>
          </w:tcPr>
          <w:p w:rsidR="00F6760B" w:rsidRPr="00740600" w:rsidRDefault="00D45C8A" w:rsidP="00F6760B">
            <w:pPr>
              <w:jc w:val="center"/>
              <w:rPr>
                <w:b/>
                <w:bCs/>
                <w:color w:val="000000"/>
                <w:sz w:val="20"/>
                <w:lang w:val="es-ES"/>
              </w:rPr>
            </w:pPr>
            <w:r w:rsidRPr="00740600">
              <w:rPr>
                <w:b/>
                <w:bCs/>
                <w:color w:val="000000"/>
                <w:sz w:val="20"/>
              </w:rPr>
              <w:t>Otros sistemas</w:t>
            </w:r>
          </w:p>
        </w:tc>
      </w:tr>
      <w:tr w:rsidR="00F6760B" w:rsidRPr="00740600" w:rsidTr="00F6760B">
        <w:trPr>
          <w:trHeight w:val="619"/>
        </w:trPr>
        <w:tc>
          <w:tcPr>
            <w:tcW w:w="1166" w:type="dxa"/>
            <w:tcBorders>
              <w:top w:val="single" w:sz="4" w:space="0" w:color="auto"/>
              <w:bottom w:val="single" w:sz="4" w:space="0" w:color="auto"/>
            </w:tcBorders>
            <w:shd w:val="clear" w:color="auto" w:fill="auto"/>
            <w:noWrap/>
            <w:vAlign w:val="center"/>
            <w:hideMark/>
          </w:tcPr>
          <w:p w:rsidR="00F6760B" w:rsidRPr="00740600" w:rsidRDefault="00F6760B" w:rsidP="00F6760B">
            <w:pPr>
              <w:jc w:val="center"/>
              <w:rPr>
                <w:color w:val="000000"/>
                <w:szCs w:val="22"/>
                <w:lang w:val="es-ES"/>
              </w:rPr>
            </w:pPr>
            <w:r w:rsidRPr="00740600">
              <w:rPr>
                <w:color w:val="000000"/>
                <w:sz w:val="22"/>
                <w:szCs w:val="22"/>
                <w:lang w:val="es-ES"/>
              </w:rPr>
              <w:t>2013</w:t>
            </w:r>
          </w:p>
        </w:tc>
        <w:tc>
          <w:tcPr>
            <w:tcW w:w="1869" w:type="dxa"/>
            <w:tcBorders>
              <w:top w:val="single" w:sz="4" w:space="0" w:color="auto"/>
              <w:bottom w:val="single" w:sz="4" w:space="0" w:color="auto"/>
            </w:tcBorders>
            <w:shd w:val="clear" w:color="auto" w:fill="auto"/>
            <w:noWrap/>
            <w:vAlign w:val="center"/>
            <w:hideMark/>
          </w:tcPr>
          <w:p w:rsidR="00F6760B" w:rsidRPr="00740600" w:rsidRDefault="00F6760B" w:rsidP="00F6760B">
            <w:pPr>
              <w:jc w:val="center"/>
              <w:rPr>
                <w:color w:val="000000"/>
                <w:szCs w:val="22"/>
                <w:lang w:val="es-ES"/>
              </w:rPr>
            </w:pPr>
            <w:r w:rsidRPr="00740600">
              <w:rPr>
                <w:color w:val="000000"/>
                <w:sz w:val="22"/>
                <w:szCs w:val="22"/>
                <w:lang w:val="es-ES"/>
              </w:rPr>
              <w:t>17</w:t>
            </w:r>
          </w:p>
        </w:tc>
        <w:tc>
          <w:tcPr>
            <w:tcW w:w="2014" w:type="dxa"/>
            <w:tcBorders>
              <w:top w:val="single" w:sz="4" w:space="0" w:color="auto"/>
              <w:bottom w:val="single" w:sz="4" w:space="0" w:color="auto"/>
            </w:tcBorders>
            <w:shd w:val="clear" w:color="auto" w:fill="auto"/>
            <w:noWrap/>
            <w:vAlign w:val="center"/>
            <w:hideMark/>
          </w:tcPr>
          <w:p w:rsidR="00F6760B" w:rsidRPr="00740600" w:rsidRDefault="00F6760B" w:rsidP="00F6760B">
            <w:pPr>
              <w:jc w:val="center"/>
              <w:rPr>
                <w:color w:val="000000"/>
                <w:szCs w:val="22"/>
                <w:lang w:val="es-ES"/>
              </w:rPr>
            </w:pPr>
            <w:r w:rsidRPr="00740600">
              <w:rPr>
                <w:color w:val="000000"/>
                <w:sz w:val="22"/>
                <w:szCs w:val="22"/>
                <w:lang w:val="es-ES"/>
              </w:rPr>
              <w:t>248</w:t>
            </w:r>
          </w:p>
        </w:tc>
        <w:tc>
          <w:tcPr>
            <w:tcW w:w="2300" w:type="dxa"/>
            <w:tcBorders>
              <w:top w:val="single" w:sz="4" w:space="0" w:color="auto"/>
              <w:bottom w:val="single" w:sz="4" w:space="0" w:color="auto"/>
            </w:tcBorders>
            <w:shd w:val="clear" w:color="auto" w:fill="auto"/>
            <w:noWrap/>
            <w:vAlign w:val="center"/>
            <w:hideMark/>
          </w:tcPr>
          <w:p w:rsidR="00F6760B" w:rsidRPr="00740600" w:rsidRDefault="00F6760B" w:rsidP="00F6760B">
            <w:pPr>
              <w:jc w:val="center"/>
              <w:rPr>
                <w:color w:val="000000"/>
                <w:szCs w:val="22"/>
                <w:lang w:val="es-ES"/>
              </w:rPr>
            </w:pPr>
            <w:r w:rsidRPr="00740600">
              <w:rPr>
                <w:color w:val="000000"/>
                <w:sz w:val="22"/>
                <w:szCs w:val="22"/>
                <w:lang w:val="es-ES"/>
              </w:rPr>
              <w:t>979</w:t>
            </w:r>
          </w:p>
        </w:tc>
        <w:tc>
          <w:tcPr>
            <w:tcW w:w="1582" w:type="dxa"/>
            <w:tcBorders>
              <w:top w:val="single" w:sz="4" w:space="0" w:color="auto"/>
              <w:bottom w:val="single" w:sz="4" w:space="0" w:color="auto"/>
            </w:tcBorders>
            <w:shd w:val="clear" w:color="auto" w:fill="auto"/>
            <w:noWrap/>
            <w:vAlign w:val="center"/>
            <w:hideMark/>
          </w:tcPr>
          <w:p w:rsidR="00F6760B" w:rsidRPr="00740600" w:rsidRDefault="00F6760B" w:rsidP="00F6760B">
            <w:pPr>
              <w:jc w:val="center"/>
              <w:rPr>
                <w:color w:val="000000"/>
                <w:szCs w:val="22"/>
                <w:lang w:val="es-ES"/>
              </w:rPr>
            </w:pPr>
            <w:r w:rsidRPr="00740600">
              <w:rPr>
                <w:color w:val="000000"/>
                <w:sz w:val="22"/>
                <w:szCs w:val="22"/>
                <w:lang w:val="es-ES"/>
              </w:rPr>
              <w:t>0</w:t>
            </w:r>
          </w:p>
        </w:tc>
      </w:tr>
    </w:tbl>
    <w:p w:rsidR="00F6760B" w:rsidRPr="00740600" w:rsidRDefault="00F6760B" w:rsidP="00F6760B">
      <w:pPr>
        <w:pStyle w:val="Sinespaciado"/>
        <w:rPr>
          <w:rFonts w:ascii="Times New Roman" w:hAnsi="Times New Roman"/>
          <w:sz w:val="10"/>
          <w:szCs w:val="10"/>
        </w:rPr>
      </w:pPr>
    </w:p>
    <w:p w:rsidR="00F6760B" w:rsidRPr="00740600" w:rsidRDefault="00F6760B" w:rsidP="00F6760B">
      <w:pPr>
        <w:pStyle w:val="Sinespaciado"/>
        <w:rPr>
          <w:rFonts w:ascii="Times New Roman" w:hAnsi="Times New Roman"/>
          <w:sz w:val="10"/>
          <w:szCs w:val="10"/>
        </w:rPr>
      </w:pPr>
    </w:p>
    <w:p w:rsidR="00F6760B" w:rsidRPr="00D45C8A" w:rsidRDefault="00F6760B" w:rsidP="00F6760B">
      <w:pPr>
        <w:rPr>
          <w:sz w:val="20"/>
          <w:lang w:val="es-ES"/>
        </w:rPr>
      </w:pPr>
      <w:r w:rsidRPr="00D45C8A">
        <w:rPr>
          <w:sz w:val="16"/>
        </w:rPr>
        <w:t xml:space="preserve">Fuente: </w:t>
      </w:r>
      <w:r w:rsidR="008F5FB2">
        <w:rPr>
          <w:sz w:val="16"/>
        </w:rPr>
        <w:t>DANE</w:t>
      </w:r>
    </w:p>
    <w:p w:rsidR="00F6760B" w:rsidRPr="00740600" w:rsidRDefault="00F6760B" w:rsidP="00F6760B">
      <w:pPr>
        <w:rPr>
          <w:lang w:val="es-ES"/>
        </w:rPr>
      </w:pPr>
    </w:p>
    <w:p w:rsidR="00F6760B" w:rsidRPr="00D45C8A" w:rsidRDefault="00F6760B" w:rsidP="00D45C8A">
      <w:pPr>
        <w:rPr>
          <w:bCs/>
          <w:szCs w:val="22"/>
        </w:rPr>
      </w:pPr>
      <w:r w:rsidRPr="00D45C8A">
        <w:rPr>
          <w:bCs/>
          <w:szCs w:val="22"/>
        </w:rPr>
        <w:t>Gráfico 5.10</w:t>
      </w:r>
    </w:p>
    <w:p w:rsidR="00F6760B" w:rsidRDefault="00F6760B" w:rsidP="00D45C8A">
      <w:pPr>
        <w:rPr>
          <w:bCs/>
          <w:szCs w:val="22"/>
        </w:rPr>
      </w:pPr>
      <w:r w:rsidRPr="00D45C8A">
        <w:rPr>
          <w:bCs/>
          <w:szCs w:val="22"/>
        </w:rPr>
        <w:t>Gráfico. Porcentaje de participación para vivienda iniciada. Según sist</w:t>
      </w:r>
      <w:r w:rsidR="00F95477">
        <w:rPr>
          <w:bCs/>
          <w:szCs w:val="22"/>
        </w:rPr>
        <w:t xml:space="preserve">ema constructivo VIS, Armenia. </w:t>
      </w:r>
      <w:r w:rsidRPr="00D45C8A">
        <w:rPr>
          <w:bCs/>
          <w:szCs w:val="22"/>
        </w:rPr>
        <w:t xml:space="preserve">Año 2013 </w:t>
      </w:r>
    </w:p>
    <w:p w:rsidR="00F95477" w:rsidRPr="00D45C8A" w:rsidRDefault="00F95477" w:rsidP="00D45C8A">
      <w:pPr>
        <w:rPr>
          <w:bCs/>
          <w:szCs w:val="22"/>
        </w:rPr>
      </w:pPr>
    </w:p>
    <w:p w:rsidR="00F6760B" w:rsidRPr="00740600" w:rsidRDefault="00F6760B" w:rsidP="00D45C8A">
      <w:pPr>
        <w:spacing w:line="360" w:lineRule="auto"/>
      </w:pPr>
      <w:r w:rsidRPr="00740600">
        <w:rPr>
          <w:noProof/>
        </w:rPr>
        <w:drawing>
          <wp:inline distT="0" distB="0" distL="0" distR="0" wp14:anchorId="4BDC8406" wp14:editId="65C1B6CA">
            <wp:extent cx="3925153" cy="2538483"/>
            <wp:effectExtent l="38100" t="0" r="18415" b="14605"/>
            <wp:docPr id="6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6760B" w:rsidRPr="00D45C8A" w:rsidRDefault="00D45C8A" w:rsidP="00F6760B">
      <w:pPr>
        <w:spacing w:line="360" w:lineRule="auto"/>
        <w:jc w:val="both"/>
        <w:rPr>
          <w:sz w:val="16"/>
          <w:szCs w:val="16"/>
        </w:rPr>
      </w:pPr>
      <w:r>
        <w:rPr>
          <w:sz w:val="20"/>
        </w:rPr>
        <w:t xml:space="preserve">      </w:t>
      </w:r>
      <w:r w:rsidR="00F6760B" w:rsidRPr="00D45C8A">
        <w:rPr>
          <w:sz w:val="16"/>
          <w:szCs w:val="16"/>
        </w:rPr>
        <w:t xml:space="preserve">Fuente: </w:t>
      </w:r>
      <w:r w:rsidR="008F5FB2">
        <w:rPr>
          <w:sz w:val="16"/>
          <w:szCs w:val="16"/>
        </w:rPr>
        <w:t>DANE</w:t>
      </w:r>
    </w:p>
    <w:p w:rsidR="00F6760B" w:rsidRPr="00740600" w:rsidRDefault="00F6760B" w:rsidP="00F6760B">
      <w:pPr>
        <w:spacing w:line="360" w:lineRule="auto"/>
        <w:jc w:val="both"/>
      </w:pPr>
    </w:p>
    <w:p w:rsidR="00F6760B" w:rsidRDefault="00F6760B" w:rsidP="0082377B">
      <w:pPr>
        <w:spacing w:line="360" w:lineRule="auto"/>
        <w:ind w:firstLine="284"/>
        <w:jc w:val="both"/>
      </w:pPr>
      <w:r w:rsidRPr="00740600">
        <w:t xml:space="preserve">Aunque los sistemas constructivos más utilizados en la vivienda de interés social son mampostería confinada y muros reforzados, las cifras del </w:t>
      </w:r>
      <w:r w:rsidR="008F5FB2">
        <w:t>DANE</w:t>
      </w:r>
      <w:r w:rsidRPr="00740600">
        <w:t xml:space="preserve"> presentaron un panorama diferente durante el año 2013</w:t>
      </w:r>
      <w:r w:rsidR="00465883">
        <w:t>,</w:t>
      </w:r>
      <w:r w:rsidR="005E544E">
        <w:t xml:space="preserve"> ya que </w:t>
      </w:r>
      <w:r w:rsidRPr="00740600">
        <w:t xml:space="preserve">hubo </w:t>
      </w:r>
      <w:r w:rsidR="00465883">
        <w:t xml:space="preserve">una </w:t>
      </w:r>
      <w:r w:rsidRPr="00740600">
        <w:t>mayor participación</w:t>
      </w:r>
      <w:r w:rsidR="00A771F9">
        <w:t xml:space="preserve"> de los s</w:t>
      </w:r>
      <w:r w:rsidR="003A4B24">
        <w:t>istemas constructivos i</w:t>
      </w:r>
      <w:r w:rsidRPr="00740600">
        <w:t>ndustrial</w:t>
      </w:r>
      <w:r w:rsidR="003A4B24">
        <w:t xml:space="preserve">izados </w:t>
      </w:r>
      <w:r w:rsidR="00465883">
        <w:t xml:space="preserve">para </w:t>
      </w:r>
      <w:r w:rsidR="003A4B24">
        <w:t>v</w:t>
      </w:r>
      <w:r w:rsidRPr="00740600">
        <w:t xml:space="preserve">ivienda de </w:t>
      </w:r>
      <w:r w:rsidR="003A4B24">
        <w:t>interés s</w:t>
      </w:r>
      <w:r w:rsidR="00465883">
        <w:t>ocial (VIS) con un 79%.</w:t>
      </w:r>
    </w:p>
    <w:p w:rsidR="00465883" w:rsidRPr="00740600" w:rsidRDefault="00465883" w:rsidP="0082377B">
      <w:pPr>
        <w:spacing w:line="360" w:lineRule="auto"/>
        <w:ind w:firstLine="284"/>
        <w:jc w:val="both"/>
      </w:pPr>
    </w:p>
    <w:p w:rsidR="00F6760B" w:rsidRPr="00894267" w:rsidRDefault="00F6760B" w:rsidP="00894267">
      <w:pPr>
        <w:rPr>
          <w:bCs/>
          <w:szCs w:val="22"/>
        </w:rPr>
      </w:pPr>
      <w:r w:rsidRPr="00894267">
        <w:rPr>
          <w:bCs/>
          <w:szCs w:val="22"/>
        </w:rPr>
        <w:t>Tabla 5.10</w:t>
      </w:r>
    </w:p>
    <w:p w:rsidR="00100A38" w:rsidRDefault="00F6760B" w:rsidP="00894267">
      <w:pPr>
        <w:rPr>
          <w:bCs/>
          <w:szCs w:val="22"/>
        </w:rPr>
      </w:pPr>
      <w:r w:rsidRPr="00894267">
        <w:rPr>
          <w:bCs/>
          <w:szCs w:val="22"/>
        </w:rPr>
        <w:t xml:space="preserve">Unidades </w:t>
      </w:r>
      <w:r w:rsidR="00100A38">
        <w:rPr>
          <w:bCs/>
          <w:szCs w:val="22"/>
        </w:rPr>
        <w:t xml:space="preserve">No VIS </w:t>
      </w:r>
      <w:r w:rsidRPr="00894267">
        <w:rPr>
          <w:bCs/>
          <w:szCs w:val="22"/>
        </w:rPr>
        <w:t xml:space="preserve">iniciadas </w:t>
      </w:r>
      <w:r w:rsidR="00100A38">
        <w:rPr>
          <w:bCs/>
          <w:szCs w:val="22"/>
        </w:rPr>
        <w:t>para vivienda  s</w:t>
      </w:r>
      <w:r w:rsidRPr="00894267">
        <w:rPr>
          <w:bCs/>
          <w:szCs w:val="22"/>
        </w:rPr>
        <w:t>egún sistema</w:t>
      </w:r>
      <w:r w:rsidR="00100A38">
        <w:rPr>
          <w:bCs/>
          <w:szCs w:val="22"/>
        </w:rPr>
        <w:t xml:space="preserve"> constructivo.</w:t>
      </w:r>
    </w:p>
    <w:p w:rsidR="00F6760B" w:rsidRPr="00894267" w:rsidRDefault="00100A38" w:rsidP="00894267">
      <w:pPr>
        <w:rPr>
          <w:bCs/>
          <w:szCs w:val="22"/>
        </w:rPr>
      </w:pPr>
      <w:r>
        <w:rPr>
          <w:bCs/>
          <w:szCs w:val="22"/>
        </w:rPr>
        <w:t xml:space="preserve">Armenia. </w:t>
      </w:r>
      <w:r w:rsidR="00F6760B" w:rsidRPr="00894267">
        <w:rPr>
          <w:bCs/>
          <w:szCs w:val="22"/>
        </w:rPr>
        <w:t xml:space="preserve">Año 2013 </w:t>
      </w:r>
    </w:p>
    <w:p w:rsidR="00F6760B" w:rsidRDefault="00F6760B" w:rsidP="00F6760B">
      <w:pPr>
        <w:jc w:val="center"/>
        <w:rPr>
          <w:b/>
          <w:bCs/>
          <w:szCs w:val="22"/>
        </w:rPr>
      </w:pPr>
    </w:p>
    <w:tbl>
      <w:tblPr>
        <w:tblW w:w="891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63"/>
        <w:gridCol w:w="1865"/>
        <w:gridCol w:w="2009"/>
        <w:gridCol w:w="2295"/>
        <w:gridCol w:w="1578"/>
      </w:tblGrid>
      <w:tr w:rsidR="00F6760B" w:rsidRPr="00740600" w:rsidTr="00F6760B">
        <w:trPr>
          <w:trHeight w:val="311"/>
        </w:trPr>
        <w:tc>
          <w:tcPr>
            <w:tcW w:w="1163" w:type="dxa"/>
            <w:vMerge w:val="restart"/>
            <w:tcBorders>
              <w:top w:val="single" w:sz="4" w:space="0" w:color="auto"/>
              <w:bottom w:val="single" w:sz="4" w:space="0" w:color="auto"/>
            </w:tcBorders>
            <w:shd w:val="clear" w:color="auto" w:fill="auto"/>
            <w:vAlign w:val="center"/>
            <w:hideMark/>
          </w:tcPr>
          <w:p w:rsidR="00F6760B" w:rsidRPr="00740600" w:rsidRDefault="00F6760B" w:rsidP="00F6760B">
            <w:pPr>
              <w:jc w:val="center"/>
              <w:rPr>
                <w:b/>
                <w:bCs/>
                <w:color w:val="000000"/>
                <w:sz w:val="20"/>
                <w:lang w:val="es-ES"/>
              </w:rPr>
            </w:pPr>
            <w:r w:rsidRPr="00740600">
              <w:rPr>
                <w:b/>
                <w:bCs/>
                <w:color w:val="000000"/>
                <w:sz w:val="20"/>
                <w:lang w:val="es-ES"/>
              </w:rPr>
              <w:t>AÑO</w:t>
            </w:r>
          </w:p>
        </w:tc>
        <w:tc>
          <w:tcPr>
            <w:tcW w:w="7747" w:type="dxa"/>
            <w:gridSpan w:val="4"/>
            <w:tcBorders>
              <w:top w:val="single" w:sz="4" w:space="0" w:color="auto"/>
              <w:bottom w:val="single" w:sz="4" w:space="0" w:color="auto"/>
            </w:tcBorders>
            <w:shd w:val="clear" w:color="auto" w:fill="auto"/>
            <w:noWrap/>
            <w:vAlign w:val="center"/>
            <w:hideMark/>
          </w:tcPr>
          <w:p w:rsidR="00F6760B" w:rsidRPr="00740600" w:rsidRDefault="00F6760B" w:rsidP="00F6760B">
            <w:pPr>
              <w:jc w:val="center"/>
              <w:rPr>
                <w:b/>
                <w:bCs/>
                <w:color w:val="000000"/>
                <w:sz w:val="20"/>
                <w:lang w:val="es-ES"/>
              </w:rPr>
            </w:pPr>
            <w:r w:rsidRPr="00740600">
              <w:rPr>
                <w:b/>
                <w:bCs/>
                <w:color w:val="000000"/>
                <w:sz w:val="20"/>
              </w:rPr>
              <w:t>NO VIS</w:t>
            </w:r>
          </w:p>
        </w:tc>
      </w:tr>
      <w:tr w:rsidR="00F6760B" w:rsidRPr="00740600" w:rsidTr="00F6760B">
        <w:trPr>
          <w:trHeight w:val="629"/>
        </w:trPr>
        <w:tc>
          <w:tcPr>
            <w:tcW w:w="1163" w:type="dxa"/>
            <w:vMerge/>
            <w:tcBorders>
              <w:top w:val="single" w:sz="4" w:space="0" w:color="auto"/>
              <w:bottom w:val="single" w:sz="4" w:space="0" w:color="auto"/>
            </w:tcBorders>
            <w:shd w:val="clear" w:color="auto" w:fill="auto"/>
            <w:vAlign w:val="center"/>
            <w:hideMark/>
          </w:tcPr>
          <w:p w:rsidR="00F6760B" w:rsidRPr="00740600" w:rsidRDefault="00F6760B" w:rsidP="00F6760B">
            <w:pPr>
              <w:rPr>
                <w:b/>
                <w:bCs/>
                <w:color w:val="000000"/>
                <w:sz w:val="20"/>
                <w:lang w:val="es-ES"/>
              </w:rPr>
            </w:pPr>
          </w:p>
        </w:tc>
        <w:tc>
          <w:tcPr>
            <w:tcW w:w="1865" w:type="dxa"/>
            <w:tcBorders>
              <w:top w:val="single" w:sz="4" w:space="0" w:color="auto"/>
              <w:bottom w:val="single" w:sz="4" w:space="0" w:color="auto"/>
            </w:tcBorders>
            <w:shd w:val="clear" w:color="auto" w:fill="auto"/>
            <w:vAlign w:val="center"/>
            <w:hideMark/>
          </w:tcPr>
          <w:p w:rsidR="00F6760B" w:rsidRPr="00740600" w:rsidRDefault="00EA4CF4" w:rsidP="00C824A6">
            <w:pPr>
              <w:jc w:val="center"/>
              <w:rPr>
                <w:b/>
                <w:bCs/>
                <w:color w:val="000000"/>
                <w:sz w:val="20"/>
                <w:lang w:val="es-ES"/>
              </w:rPr>
            </w:pPr>
            <w:r w:rsidRPr="00740600">
              <w:rPr>
                <w:b/>
                <w:bCs/>
                <w:color w:val="000000"/>
                <w:sz w:val="20"/>
              </w:rPr>
              <w:t>Mampostería  estructural</w:t>
            </w:r>
          </w:p>
        </w:tc>
        <w:tc>
          <w:tcPr>
            <w:tcW w:w="2009" w:type="dxa"/>
            <w:tcBorders>
              <w:top w:val="single" w:sz="4" w:space="0" w:color="auto"/>
              <w:bottom w:val="single" w:sz="4" w:space="0" w:color="auto"/>
            </w:tcBorders>
            <w:shd w:val="clear" w:color="auto" w:fill="auto"/>
            <w:vAlign w:val="center"/>
            <w:hideMark/>
          </w:tcPr>
          <w:p w:rsidR="00F6760B" w:rsidRPr="00740600" w:rsidRDefault="00EA4CF4" w:rsidP="00F6760B">
            <w:pPr>
              <w:jc w:val="center"/>
              <w:rPr>
                <w:b/>
                <w:bCs/>
                <w:color w:val="000000"/>
                <w:sz w:val="20"/>
                <w:lang w:val="es-ES"/>
              </w:rPr>
            </w:pPr>
            <w:r w:rsidRPr="00740600">
              <w:rPr>
                <w:b/>
                <w:bCs/>
                <w:color w:val="000000"/>
                <w:sz w:val="20"/>
              </w:rPr>
              <w:t>Mampostería  confinada</w:t>
            </w:r>
            <w:r w:rsidR="00C336F5">
              <w:rPr>
                <w:rStyle w:val="Refdenotaalpie"/>
                <w:b/>
                <w:bCs/>
                <w:color w:val="000000"/>
                <w:sz w:val="20"/>
              </w:rPr>
              <w:footnoteReference w:id="32"/>
            </w:r>
          </w:p>
        </w:tc>
        <w:tc>
          <w:tcPr>
            <w:tcW w:w="2295" w:type="dxa"/>
            <w:tcBorders>
              <w:top w:val="single" w:sz="4" w:space="0" w:color="auto"/>
              <w:bottom w:val="single" w:sz="4" w:space="0" w:color="auto"/>
            </w:tcBorders>
            <w:shd w:val="clear" w:color="auto" w:fill="auto"/>
            <w:vAlign w:val="center"/>
            <w:hideMark/>
          </w:tcPr>
          <w:p w:rsidR="00F6760B" w:rsidRPr="00740600" w:rsidRDefault="00EA4CF4" w:rsidP="00F6760B">
            <w:pPr>
              <w:jc w:val="center"/>
              <w:rPr>
                <w:b/>
                <w:bCs/>
                <w:color w:val="000000"/>
                <w:sz w:val="20"/>
                <w:lang w:val="es-ES"/>
              </w:rPr>
            </w:pPr>
            <w:r w:rsidRPr="00740600">
              <w:rPr>
                <w:b/>
                <w:bCs/>
                <w:color w:val="000000"/>
                <w:sz w:val="20"/>
              </w:rPr>
              <w:t>Sistemas industrializados</w:t>
            </w:r>
          </w:p>
        </w:tc>
        <w:tc>
          <w:tcPr>
            <w:tcW w:w="1578" w:type="dxa"/>
            <w:tcBorders>
              <w:top w:val="single" w:sz="4" w:space="0" w:color="auto"/>
              <w:bottom w:val="single" w:sz="4" w:space="0" w:color="auto"/>
            </w:tcBorders>
            <w:shd w:val="clear" w:color="auto" w:fill="auto"/>
            <w:noWrap/>
            <w:vAlign w:val="center"/>
            <w:hideMark/>
          </w:tcPr>
          <w:p w:rsidR="00F6760B" w:rsidRPr="00740600" w:rsidRDefault="00EA4CF4" w:rsidP="00F6760B">
            <w:pPr>
              <w:jc w:val="center"/>
              <w:rPr>
                <w:b/>
                <w:bCs/>
                <w:color w:val="000000"/>
                <w:sz w:val="20"/>
                <w:lang w:val="es-ES"/>
              </w:rPr>
            </w:pPr>
            <w:r w:rsidRPr="00740600">
              <w:rPr>
                <w:b/>
                <w:bCs/>
                <w:color w:val="000000"/>
                <w:sz w:val="20"/>
              </w:rPr>
              <w:t>Otros sistemas</w:t>
            </w:r>
          </w:p>
        </w:tc>
      </w:tr>
      <w:tr w:rsidR="00F6760B" w:rsidRPr="00740600" w:rsidTr="00F6760B">
        <w:trPr>
          <w:trHeight w:val="518"/>
        </w:trPr>
        <w:tc>
          <w:tcPr>
            <w:tcW w:w="1163" w:type="dxa"/>
            <w:tcBorders>
              <w:top w:val="single" w:sz="4" w:space="0" w:color="auto"/>
            </w:tcBorders>
            <w:shd w:val="clear" w:color="auto" w:fill="auto"/>
            <w:noWrap/>
            <w:vAlign w:val="center"/>
            <w:hideMark/>
          </w:tcPr>
          <w:p w:rsidR="00F6760B" w:rsidRPr="00740600" w:rsidRDefault="00F6760B" w:rsidP="00F6760B">
            <w:pPr>
              <w:jc w:val="center"/>
              <w:rPr>
                <w:color w:val="000000"/>
                <w:szCs w:val="22"/>
                <w:lang w:val="es-ES"/>
              </w:rPr>
            </w:pPr>
            <w:r w:rsidRPr="00740600">
              <w:rPr>
                <w:color w:val="000000"/>
                <w:sz w:val="22"/>
                <w:szCs w:val="22"/>
                <w:lang w:val="es-ES"/>
              </w:rPr>
              <w:t>2013</w:t>
            </w:r>
          </w:p>
        </w:tc>
        <w:tc>
          <w:tcPr>
            <w:tcW w:w="1865" w:type="dxa"/>
            <w:tcBorders>
              <w:top w:val="single" w:sz="4" w:space="0" w:color="auto"/>
            </w:tcBorders>
            <w:shd w:val="clear" w:color="auto" w:fill="auto"/>
            <w:noWrap/>
            <w:vAlign w:val="center"/>
            <w:hideMark/>
          </w:tcPr>
          <w:p w:rsidR="00F6760B" w:rsidRPr="00740600" w:rsidRDefault="00F6760B" w:rsidP="00F6760B">
            <w:pPr>
              <w:jc w:val="center"/>
              <w:rPr>
                <w:color w:val="000000"/>
                <w:szCs w:val="22"/>
              </w:rPr>
            </w:pPr>
            <w:r w:rsidRPr="00740600">
              <w:rPr>
                <w:color w:val="000000"/>
                <w:sz w:val="22"/>
                <w:szCs w:val="22"/>
              </w:rPr>
              <w:t>36</w:t>
            </w:r>
          </w:p>
        </w:tc>
        <w:tc>
          <w:tcPr>
            <w:tcW w:w="2009" w:type="dxa"/>
            <w:tcBorders>
              <w:top w:val="single" w:sz="4" w:space="0" w:color="auto"/>
            </w:tcBorders>
            <w:shd w:val="clear" w:color="auto" w:fill="auto"/>
            <w:noWrap/>
            <w:vAlign w:val="center"/>
            <w:hideMark/>
          </w:tcPr>
          <w:p w:rsidR="00F6760B" w:rsidRPr="00740600" w:rsidRDefault="00F6760B" w:rsidP="00F6760B">
            <w:pPr>
              <w:jc w:val="center"/>
              <w:rPr>
                <w:color w:val="000000"/>
                <w:szCs w:val="22"/>
              </w:rPr>
            </w:pPr>
            <w:r w:rsidRPr="00740600">
              <w:rPr>
                <w:color w:val="000000"/>
                <w:sz w:val="22"/>
                <w:szCs w:val="22"/>
              </w:rPr>
              <w:t>695</w:t>
            </w:r>
          </w:p>
        </w:tc>
        <w:tc>
          <w:tcPr>
            <w:tcW w:w="2295" w:type="dxa"/>
            <w:tcBorders>
              <w:top w:val="single" w:sz="4" w:space="0" w:color="auto"/>
            </w:tcBorders>
            <w:shd w:val="clear" w:color="auto" w:fill="auto"/>
            <w:noWrap/>
            <w:vAlign w:val="center"/>
            <w:hideMark/>
          </w:tcPr>
          <w:p w:rsidR="00F6760B" w:rsidRPr="00740600" w:rsidRDefault="00F6760B" w:rsidP="00F6760B">
            <w:pPr>
              <w:jc w:val="center"/>
              <w:rPr>
                <w:color w:val="000000"/>
                <w:szCs w:val="22"/>
              </w:rPr>
            </w:pPr>
            <w:r w:rsidRPr="00740600">
              <w:rPr>
                <w:color w:val="000000"/>
                <w:sz w:val="22"/>
                <w:szCs w:val="22"/>
              </w:rPr>
              <w:t>161</w:t>
            </w:r>
          </w:p>
        </w:tc>
        <w:tc>
          <w:tcPr>
            <w:tcW w:w="1578" w:type="dxa"/>
            <w:tcBorders>
              <w:top w:val="single" w:sz="4" w:space="0" w:color="auto"/>
            </w:tcBorders>
            <w:shd w:val="clear" w:color="auto" w:fill="auto"/>
            <w:noWrap/>
            <w:vAlign w:val="center"/>
            <w:hideMark/>
          </w:tcPr>
          <w:p w:rsidR="00F6760B" w:rsidRPr="00740600" w:rsidRDefault="00F6760B" w:rsidP="00F6760B">
            <w:pPr>
              <w:jc w:val="center"/>
              <w:rPr>
                <w:color w:val="000000"/>
                <w:szCs w:val="22"/>
              </w:rPr>
            </w:pPr>
            <w:r w:rsidRPr="00740600">
              <w:rPr>
                <w:color w:val="000000"/>
                <w:sz w:val="22"/>
                <w:szCs w:val="22"/>
              </w:rPr>
              <w:t>1</w:t>
            </w:r>
          </w:p>
        </w:tc>
      </w:tr>
    </w:tbl>
    <w:p w:rsidR="00F6760B" w:rsidRPr="00740600" w:rsidRDefault="00F6760B" w:rsidP="00F6760B">
      <w:pPr>
        <w:rPr>
          <w:sz w:val="12"/>
          <w:szCs w:val="12"/>
        </w:rPr>
      </w:pPr>
    </w:p>
    <w:p w:rsidR="00F6760B" w:rsidRPr="00EA4CF4" w:rsidRDefault="00F6760B" w:rsidP="00F6760B">
      <w:pPr>
        <w:rPr>
          <w:sz w:val="20"/>
          <w:lang w:val="es-ES"/>
        </w:rPr>
      </w:pPr>
      <w:r w:rsidRPr="00EA4CF4">
        <w:rPr>
          <w:sz w:val="16"/>
        </w:rPr>
        <w:t xml:space="preserve">Fuente: </w:t>
      </w:r>
      <w:r w:rsidR="008F5FB2">
        <w:rPr>
          <w:sz w:val="16"/>
        </w:rPr>
        <w:t>DANE</w:t>
      </w:r>
    </w:p>
    <w:p w:rsidR="00F6760B" w:rsidRPr="00EA4CF4" w:rsidRDefault="00F6760B" w:rsidP="00EA4CF4">
      <w:pPr>
        <w:rPr>
          <w:bCs/>
          <w:szCs w:val="22"/>
        </w:rPr>
      </w:pPr>
      <w:r w:rsidRPr="00EA4CF4">
        <w:rPr>
          <w:bCs/>
          <w:szCs w:val="22"/>
        </w:rPr>
        <w:lastRenderedPageBreak/>
        <w:t>Gráfico. 5.11</w:t>
      </w:r>
    </w:p>
    <w:p w:rsidR="00F6760B" w:rsidRPr="00EA4CF4" w:rsidRDefault="00F6760B" w:rsidP="00EA4CF4">
      <w:pPr>
        <w:rPr>
          <w:bCs/>
          <w:szCs w:val="22"/>
        </w:rPr>
      </w:pPr>
      <w:r w:rsidRPr="00EA4CF4">
        <w:rPr>
          <w:bCs/>
          <w:szCs w:val="22"/>
        </w:rPr>
        <w:t>Porcentaje de participación para vivienda</w:t>
      </w:r>
      <w:r w:rsidR="00EA4CF4">
        <w:rPr>
          <w:bCs/>
          <w:szCs w:val="22"/>
        </w:rPr>
        <w:t xml:space="preserve"> No VIS</w:t>
      </w:r>
      <w:r w:rsidRPr="00EA4CF4">
        <w:rPr>
          <w:bCs/>
          <w:szCs w:val="22"/>
        </w:rPr>
        <w:t xml:space="preserve"> iniciada. Según sistema</w:t>
      </w:r>
      <w:r w:rsidR="00EA4CF4">
        <w:rPr>
          <w:bCs/>
          <w:szCs w:val="22"/>
        </w:rPr>
        <w:t xml:space="preserve"> constructivo Armenia. </w:t>
      </w:r>
      <w:r w:rsidRPr="00EA4CF4">
        <w:rPr>
          <w:bCs/>
          <w:szCs w:val="22"/>
        </w:rPr>
        <w:t xml:space="preserve"> Año 2013</w:t>
      </w:r>
    </w:p>
    <w:p w:rsidR="00F6760B" w:rsidRDefault="00F6760B" w:rsidP="00F6760B">
      <w:pPr>
        <w:jc w:val="center"/>
        <w:rPr>
          <w:bCs/>
          <w:szCs w:val="22"/>
        </w:rPr>
      </w:pPr>
    </w:p>
    <w:p w:rsidR="00F6760B" w:rsidRPr="00740600" w:rsidRDefault="00F6760B" w:rsidP="00EA4CF4">
      <w:pPr>
        <w:spacing w:line="360" w:lineRule="auto"/>
      </w:pPr>
      <w:r w:rsidRPr="00740600">
        <w:rPr>
          <w:bCs/>
          <w:szCs w:val="22"/>
        </w:rPr>
        <w:t xml:space="preserve"> </w:t>
      </w:r>
      <w:r w:rsidRPr="00740600">
        <w:rPr>
          <w:noProof/>
        </w:rPr>
        <w:drawing>
          <wp:inline distT="0" distB="0" distL="0" distR="0" wp14:anchorId="7AB09603" wp14:editId="6377DF88">
            <wp:extent cx="4162870" cy="2292824"/>
            <wp:effectExtent l="0" t="0" r="9525" b="12700"/>
            <wp:docPr id="6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6760B" w:rsidRPr="00740600" w:rsidRDefault="00A7165A" w:rsidP="00A7165A">
      <w:pPr>
        <w:spacing w:line="360" w:lineRule="auto"/>
        <w:jc w:val="both"/>
      </w:pPr>
      <w:r>
        <w:rPr>
          <w:sz w:val="20"/>
        </w:rPr>
        <w:t xml:space="preserve">     </w:t>
      </w:r>
      <w:r w:rsidR="00F6760B" w:rsidRPr="00A7165A">
        <w:rPr>
          <w:sz w:val="16"/>
        </w:rPr>
        <w:t xml:space="preserve">Fuente: </w:t>
      </w:r>
      <w:r w:rsidR="008F5FB2">
        <w:rPr>
          <w:sz w:val="16"/>
        </w:rPr>
        <w:t>DANE</w:t>
      </w:r>
    </w:p>
    <w:p w:rsidR="00F6760B" w:rsidRDefault="00F6760B" w:rsidP="00F6760B">
      <w:pPr>
        <w:rPr>
          <w:rStyle w:val="texto2"/>
          <w:rFonts w:eastAsia="Calibri"/>
        </w:rPr>
      </w:pPr>
    </w:p>
    <w:p w:rsidR="00673B22" w:rsidRDefault="00673B22" w:rsidP="00F6760B">
      <w:pPr>
        <w:rPr>
          <w:rStyle w:val="texto2"/>
          <w:rFonts w:eastAsia="Calibri"/>
        </w:rPr>
      </w:pPr>
    </w:p>
    <w:p w:rsidR="00F6760B" w:rsidRPr="005D783D" w:rsidRDefault="00F6760B" w:rsidP="00F6760B">
      <w:pPr>
        <w:jc w:val="both"/>
        <w:rPr>
          <w:rFonts w:eastAsia="Batang"/>
          <w:bCs/>
          <w:szCs w:val="22"/>
        </w:rPr>
      </w:pPr>
      <w:r w:rsidRPr="005D783D">
        <w:rPr>
          <w:rFonts w:eastAsia="Batang"/>
          <w:bCs/>
          <w:szCs w:val="22"/>
        </w:rPr>
        <w:t>Gráfico 5.12</w:t>
      </w:r>
    </w:p>
    <w:p w:rsidR="00F6760B" w:rsidRPr="005D783D" w:rsidRDefault="00F6760B" w:rsidP="00F6760B">
      <w:pPr>
        <w:jc w:val="both"/>
        <w:rPr>
          <w:rFonts w:eastAsia="Batang"/>
          <w:bCs/>
          <w:szCs w:val="22"/>
        </w:rPr>
      </w:pPr>
      <w:r w:rsidRPr="005D783D">
        <w:rPr>
          <w:rFonts w:eastAsia="Batang"/>
          <w:bCs/>
          <w:szCs w:val="22"/>
        </w:rPr>
        <w:t>Valor de créditos individualmente entregados para compra de vivienda</w:t>
      </w:r>
    </w:p>
    <w:p w:rsidR="00F6760B" w:rsidRPr="005D783D" w:rsidRDefault="00F6760B" w:rsidP="00F6760B">
      <w:pPr>
        <w:jc w:val="both"/>
        <w:rPr>
          <w:rFonts w:eastAsia="Batang"/>
          <w:bCs/>
          <w:szCs w:val="22"/>
        </w:rPr>
      </w:pPr>
      <w:r w:rsidRPr="005D783D">
        <w:rPr>
          <w:rFonts w:eastAsia="Batang"/>
          <w:bCs/>
          <w:szCs w:val="22"/>
        </w:rPr>
        <w:t xml:space="preserve"> Año 2012- 2013</w:t>
      </w:r>
    </w:p>
    <w:p w:rsidR="00F6760B" w:rsidRPr="00740600" w:rsidRDefault="00F6760B" w:rsidP="00F6760B">
      <w:pPr>
        <w:rPr>
          <w:vanish/>
          <w:lang w:val="es-ES"/>
        </w:rPr>
      </w:pPr>
    </w:p>
    <w:p w:rsidR="00F6760B" w:rsidRPr="00740600" w:rsidRDefault="00F6760B" w:rsidP="00F6760B">
      <w:pPr>
        <w:rPr>
          <w:lang w:val="es-ES"/>
        </w:rPr>
      </w:pPr>
    </w:p>
    <w:p w:rsidR="00F6760B" w:rsidRPr="00740600" w:rsidRDefault="00F6760B" w:rsidP="00F6760B">
      <w:pPr>
        <w:autoSpaceDE w:val="0"/>
        <w:autoSpaceDN w:val="0"/>
        <w:adjustRightInd w:val="0"/>
        <w:jc w:val="both"/>
        <w:rPr>
          <w:rFonts w:eastAsiaTheme="minorHAnsi"/>
          <w:color w:val="000000"/>
          <w:lang w:val="es-ES" w:eastAsia="en-US"/>
        </w:rPr>
      </w:pPr>
      <w:r w:rsidRPr="00740600">
        <w:rPr>
          <w:rFonts w:eastAsiaTheme="minorHAnsi"/>
          <w:noProof/>
          <w:color w:val="000000"/>
        </w:rPr>
        <w:drawing>
          <wp:inline distT="0" distB="0" distL="0" distR="0" wp14:anchorId="4010029E" wp14:editId="414133FA">
            <wp:extent cx="4457415" cy="2033517"/>
            <wp:effectExtent l="0" t="0" r="19685" b="24130"/>
            <wp:docPr id="6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6760B" w:rsidRPr="00740600" w:rsidRDefault="00F6760B" w:rsidP="00F6760B">
      <w:pPr>
        <w:autoSpaceDE w:val="0"/>
        <w:autoSpaceDN w:val="0"/>
        <w:adjustRightInd w:val="0"/>
        <w:rPr>
          <w:rFonts w:eastAsiaTheme="minorHAnsi"/>
          <w:color w:val="000000"/>
          <w:lang w:val="es-ES" w:eastAsia="en-US"/>
        </w:rPr>
      </w:pPr>
      <w:r w:rsidRPr="00740600">
        <w:rPr>
          <w:sz w:val="20"/>
        </w:rPr>
        <w:t xml:space="preserve">   </w:t>
      </w:r>
      <w:r w:rsidRPr="00F725AA">
        <w:rPr>
          <w:sz w:val="16"/>
        </w:rPr>
        <w:t xml:space="preserve">Fuente: </w:t>
      </w:r>
      <w:r w:rsidR="008F5FB2">
        <w:rPr>
          <w:sz w:val="16"/>
        </w:rPr>
        <w:t>DANE</w:t>
      </w:r>
    </w:p>
    <w:p w:rsidR="00F6760B" w:rsidRPr="00740600" w:rsidRDefault="00F6760B" w:rsidP="00F6760B">
      <w:pPr>
        <w:autoSpaceDE w:val="0"/>
        <w:autoSpaceDN w:val="0"/>
        <w:adjustRightInd w:val="0"/>
        <w:rPr>
          <w:rFonts w:eastAsiaTheme="minorHAnsi"/>
          <w:color w:val="000000"/>
          <w:lang w:val="es-ES" w:eastAsia="en-US"/>
        </w:rPr>
      </w:pPr>
    </w:p>
    <w:p w:rsidR="00F725AA" w:rsidRDefault="00F6760B" w:rsidP="00F6760B">
      <w:pPr>
        <w:pStyle w:val="Default"/>
        <w:spacing w:line="360" w:lineRule="auto"/>
        <w:rPr>
          <w:rFonts w:ascii="Times New Roman" w:eastAsia="Times New Roman" w:hAnsi="Times New Roman" w:cs="Times New Roman"/>
          <w:color w:val="auto"/>
          <w:szCs w:val="20"/>
          <w:lang w:val="es-CO" w:eastAsia="es-ES"/>
        </w:rPr>
      </w:pPr>
      <w:r w:rsidRPr="00740600">
        <w:rPr>
          <w:rFonts w:ascii="Times New Roman" w:hAnsi="Times New Roman" w:cs="Times New Roman"/>
        </w:rPr>
        <w:t xml:space="preserve">     </w:t>
      </w:r>
      <w:r w:rsidRPr="00740600">
        <w:rPr>
          <w:rFonts w:ascii="Times New Roman" w:eastAsia="Times New Roman" w:hAnsi="Times New Roman" w:cs="Times New Roman"/>
          <w:color w:val="auto"/>
          <w:szCs w:val="20"/>
          <w:lang w:val="es-CO" w:eastAsia="es-ES"/>
        </w:rPr>
        <w:t xml:space="preserve">     </w:t>
      </w:r>
    </w:p>
    <w:p w:rsidR="00F6760B" w:rsidRPr="00A36335" w:rsidRDefault="00161BE0" w:rsidP="00A36335">
      <w:pPr>
        <w:pStyle w:val="Default"/>
        <w:spacing w:line="360" w:lineRule="auto"/>
        <w:ind w:firstLine="284"/>
        <w:jc w:val="both"/>
        <w:rPr>
          <w:rFonts w:ascii="Times New Roman" w:hAnsi="Times New Roman" w:cs="Times New Roman"/>
          <w:sz w:val="28"/>
          <w:szCs w:val="28"/>
          <w:lang w:val="es-ES"/>
        </w:rPr>
      </w:pPr>
      <w:r>
        <w:rPr>
          <w:rFonts w:ascii="Times New Roman" w:eastAsia="Times New Roman" w:hAnsi="Times New Roman" w:cs="Times New Roman"/>
          <w:color w:val="auto"/>
          <w:szCs w:val="20"/>
          <w:lang w:val="es-CO" w:eastAsia="es-ES"/>
        </w:rPr>
        <w:t>En el año 2013</w:t>
      </w:r>
      <w:r w:rsidR="00F6760B" w:rsidRPr="00F725AA">
        <w:rPr>
          <w:rFonts w:ascii="Times New Roman" w:eastAsia="Times New Roman" w:hAnsi="Times New Roman" w:cs="Times New Roman"/>
          <w:color w:val="auto"/>
          <w:szCs w:val="20"/>
          <w:lang w:val="es-CO" w:eastAsia="es-ES"/>
        </w:rPr>
        <w:t xml:space="preserve"> se otorgaron </w:t>
      </w:r>
      <w:r>
        <w:rPr>
          <w:rFonts w:ascii="Times New Roman" w:eastAsia="Times New Roman" w:hAnsi="Times New Roman" w:cs="Times New Roman"/>
          <w:color w:val="auto"/>
          <w:szCs w:val="20"/>
          <w:lang w:val="es-CO" w:eastAsia="es-ES"/>
        </w:rPr>
        <w:t xml:space="preserve">a nivel nacional </w:t>
      </w:r>
      <w:r w:rsidR="00F6760B" w:rsidRPr="00F725AA">
        <w:rPr>
          <w:rFonts w:ascii="Times New Roman" w:eastAsia="Times New Roman" w:hAnsi="Times New Roman" w:cs="Times New Roman"/>
          <w:color w:val="auto"/>
          <w:szCs w:val="20"/>
          <w:lang w:val="es-CO" w:eastAsia="es-ES"/>
        </w:rPr>
        <w:t xml:space="preserve">créditos para adquisición de vivienda por valor de </w:t>
      </w:r>
      <w:r w:rsidR="00F725AA" w:rsidRPr="00F725AA">
        <w:rPr>
          <w:rFonts w:ascii="Times New Roman" w:eastAsia="Times New Roman" w:hAnsi="Times New Roman" w:cs="Times New Roman"/>
          <w:color w:val="auto"/>
          <w:szCs w:val="20"/>
          <w:lang w:val="es-CO" w:eastAsia="es-ES"/>
        </w:rPr>
        <w:t>$</w:t>
      </w:r>
      <w:r>
        <w:rPr>
          <w:rFonts w:ascii="Times New Roman" w:eastAsia="Times New Roman" w:hAnsi="Times New Roman" w:cs="Times New Roman"/>
          <w:color w:val="auto"/>
          <w:szCs w:val="20"/>
          <w:lang w:val="es-CO" w:eastAsia="es-ES"/>
        </w:rPr>
        <w:t>6.947.384  millones; es decir, un 19% más que el año anterior</w:t>
      </w:r>
      <w:r w:rsidR="00F6760B" w:rsidRPr="00F725AA">
        <w:rPr>
          <w:rFonts w:ascii="Times New Roman" w:eastAsia="Times New Roman" w:hAnsi="Times New Roman" w:cs="Times New Roman"/>
          <w:color w:val="auto"/>
          <w:szCs w:val="20"/>
          <w:lang w:val="es-CO" w:eastAsia="es-ES"/>
        </w:rPr>
        <w:t xml:space="preserve">. </w:t>
      </w:r>
      <w:r>
        <w:rPr>
          <w:rFonts w:ascii="Times New Roman" w:hAnsi="Times New Roman" w:cs="Times New Roman"/>
        </w:rPr>
        <w:t xml:space="preserve">Por su parte, el valor </w:t>
      </w:r>
      <w:r w:rsidR="00F6760B" w:rsidRPr="00F725AA">
        <w:rPr>
          <w:rFonts w:ascii="Times New Roman" w:hAnsi="Times New Roman" w:cs="Times New Roman"/>
        </w:rPr>
        <w:t xml:space="preserve"> desembolsado para la adquisición de vivienda usada en el país</w:t>
      </w:r>
      <w:r>
        <w:rPr>
          <w:rFonts w:ascii="Times New Roman" w:hAnsi="Times New Roman" w:cs="Times New Roman"/>
        </w:rPr>
        <w:t>, presentó un aumento</w:t>
      </w:r>
      <w:r w:rsidR="00F6760B" w:rsidRPr="00F725AA">
        <w:rPr>
          <w:rFonts w:ascii="Times New Roman" w:hAnsi="Times New Roman" w:cs="Times New Roman"/>
        </w:rPr>
        <w:t xml:space="preserve"> </w:t>
      </w:r>
      <w:r>
        <w:rPr>
          <w:rFonts w:ascii="Times New Roman" w:hAnsi="Times New Roman" w:cs="Times New Roman"/>
        </w:rPr>
        <w:t>del</w:t>
      </w:r>
      <w:r w:rsidR="00F6760B" w:rsidRPr="00F725AA">
        <w:rPr>
          <w:rFonts w:ascii="Times New Roman" w:hAnsi="Times New Roman" w:cs="Times New Roman"/>
        </w:rPr>
        <w:t xml:space="preserve"> 21.8% </w:t>
      </w:r>
      <w:r>
        <w:rPr>
          <w:rFonts w:ascii="Times New Roman" w:hAnsi="Times New Roman" w:cs="Times New Roman"/>
        </w:rPr>
        <w:t xml:space="preserve"> y la vivienda nueva de una </w:t>
      </w:r>
      <w:r w:rsidR="00F6760B" w:rsidRPr="00F725AA">
        <w:rPr>
          <w:rFonts w:ascii="Times New Roman" w:hAnsi="Times New Roman" w:cs="Times New Roman"/>
        </w:rPr>
        <w:t>16.5%.</w:t>
      </w:r>
      <w:r w:rsidR="00A36335">
        <w:rPr>
          <w:rFonts w:ascii="Times New Roman" w:hAnsi="Times New Roman" w:cs="Times New Roman"/>
        </w:rPr>
        <w:t xml:space="preserve"> </w:t>
      </w:r>
      <w:r w:rsidR="00F6760B" w:rsidRPr="00A36335">
        <w:rPr>
          <w:rFonts w:ascii="Times New Roman" w:hAnsi="Times New Roman" w:cs="Times New Roman"/>
        </w:rPr>
        <w:t xml:space="preserve">Durante el cuarto trimestre de 2013, el monto </w:t>
      </w:r>
      <w:r w:rsidR="00F6760B" w:rsidRPr="00A36335">
        <w:rPr>
          <w:rFonts w:ascii="Times New Roman" w:hAnsi="Times New Roman" w:cs="Times New Roman"/>
        </w:rPr>
        <w:lastRenderedPageBreak/>
        <w:t>de los préstamos individuales desembolsados para compra de vivienda nueva y usada alcanzó $17.753 millones de pesos; presentando un crecimiento en comparación con el año anterior del 39,2%.</w:t>
      </w:r>
    </w:p>
    <w:p w:rsidR="00C824A6" w:rsidRDefault="00C824A6" w:rsidP="00C824A6">
      <w:pPr>
        <w:spacing w:line="360" w:lineRule="auto"/>
        <w:jc w:val="both"/>
        <w:rPr>
          <w:lang w:val="es-ES"/>
        </w:rPr>
      </w:pPr>
    </w:p>
    <w:p w:rsidR="00F6760B" w:rsidRDefault="00F6760B" w:rsidP="00F6760B">
      <w:pPr>
        <w:pStyle w:val="Sinespaciado"/>
        <w:spacing w:line="360" w:lineRule="auto"/>
        <w:jc w:val="center"/>
        <w:rPr>
          <w:rFonts w:ascii="Times New Roman" w:eastAsia="Batang" w:hAnsi="Times New Roman"/>
          <w:b/>
          <w:bCs/>
          <w:sz w:val="24"/>
          <w:szCs w:val="24"/>
        </w:rPr>
      </w:pPr>
    </w:p>
    <w:p w:rsidR="00F6760B" w:rsidRPr="005D783D" w:rsidRDefault="00F6760B" w:rsidP="00F6760B">
      <w:pPr>
        <w:pStyle w:val="Sinespaciado"/>
        <w:rPr>
          <w:rFonts w:ascii="Times New Roman" w:eastAsia="Batang" w:hAnsi="Times New Roman"/>
          <w:bCs/>
          <w:sz w:val="24"/>
          <w:szCs w:val="24"/>
        </w:rPr>
      </w:pPr>
      <w:r w:rsidRPr="005D783D">
        <w:rPr>
          <w:rFonts w:ascii="Times New Roman" w:eastAsia="Batang" w:hAnsi="Times New Roman"/>
          <w:bCs/>
          <w:sz w:val="24"/>
          <w:szCs w:val="24"/>
        </w:rPr>
        <w:t>Gráfico 5.13</w:t>
      </w:r>
    </w:p>
    <w:p w:rsidR="00FF73B0" w:rsidRDefault="00F6760B" w:rsidP="00F6760B">
      <w:pPr>
        <w:pStyle w:val="Sinespaciado"/>
        <w:rPr>
          <w:rFonts w:ascii="Times New Roman" w:eastAsia="Batang" w:hAnsi="Times New Roman"/>
          <w:bCs/>
          <w:sz w:val="24"/>
          <w:szCs w:val="24"/>
        </w:rPr>
      </w:pPr>
      <w:r w:rsidRPr="005D783D">
        <w:rPr>
          <w:rFonts w:ascii="Times New Roman" w:eastAsia="Batang" w:hAnsi="Times New Roman"/>
          <w:bCs/>
          <w:sz w:val="24"/>
          <w:szCs w:val="24"/>
        </w:rPr>
        <w:t>Valor de créditos individualmente entre</w:t>
      </w:r>
      <w:r w:rsidR="00FF73B0">
        <w:rPr>
          <w:rFonts w:ascii="Times New Roman" w:eastAsia="Batang" w:hAnsi="Times New Roman"/>
          <w:bCs/>
          <w:sz w:val="24"/>
          <w:szCs w:val="24"/>
        </w:rPr>
        <w:t>gados para compra de vivienda.</w:t>
      </w:r>
    </w:p>
    <w:p w:rsidR="00F6760B" w:rsidRPr="005D783D" w:rsidRDefault="00F6760B" w:rsidP="00F6760B">
      <w:pPr>
        <w:pStyle w:val="Sinespaciado"/>
        <w:rPr>
          <w:rFonts w:ascii="Times New Roman" w:eastAsia="Batang" w:hAnsi="Times New Roman"/>
          <w:bCs/>
          <w:sz w:val="24"/>
          <w:szCs w:val="24"/>
        </w:rPr>
      </w:pPr>
      <w:r w:rsidRPr="005D783D">
        <w:rPr>
          <w:rFonts w:ascii="Times New Roman" w:eastAsia="Batang" w:hAnsi="Times New Roman"/>
          <w:bCs/>
          <w:sz w:val="24"/>
          <w:szCs w:val="24"/>
        </w:rPr>
        <w:t xml:space="preserve">   </w:t>
      </w:r>
    </w:p>
    <w:p w:rsidR="00F6760B" w:rsidRPr="00740600" w:rsidRDefault="00F6760B" w:rsidP="00F6760B">
      <w:pPr>
        <w:pStyle w:val="Sinespaciado"/>
        <w:spacing w:line="360" w:lineRule="auto"/>
        <w:jc w:val="center"/>
        <w:rPr>
          <w:rFonts w:ascii="Times New Roman" w:eastAsia="Times New Roman" w:hAnsi="Times New Roman"/>
          <w:b/>
          <w:color w:val="FF0000"/>
          <w:sz w:val="16"/>
          <w:szCs w:val="16"/>
          <w:lang w:val="es-CO" w:eastAsia="es-ES"/>
        </w:rPr>
      </w:pPr>
      <w:r w:rsidRPr="00740600">
        <w:rPr>
          <w:rFonts w:ascii="Times New Roman" w:eastAsia="Batang" w:hAnsi="Times New Roman"/>
          <w:b/>
          <w:bCs/>
          <w:sz w:val="16"/>
          <w:szCs w:val="16"/>
        </w:rPr>
        <w:t xml:space="preserve">                                                                                                                                                                  (Millones de Pesos)</w:t>
      </w:r>
    </w:p>
    <w:p w:rsidR="00F6760B" w:rsidRPr="00740600" w:rsidRDefault="00F6760B" w:rsidP="00FA20EF">
      <w:pPr>
        <w:pStyle w:val="Sinespaciado"/>
        <w:spacing w:line="360" w:lineRule="auto"/>
        <w:jc w:val="left"/>
        <w:rPr>
          <w:rFonts w:ascii="Times New Roman" w:eastAsia="Times New Roman" w:hAnsi="Times New Roman"/>
          <w:sz w:val="24"/>
          <w:szCs w:val="20"/>
          <w:lang w:val="es-CO" w:eastAsia="es-ES"/>
        </w:rPr>
      </w:pPr>
      <w:r w:rsidRPr="00740600">
        <w:rPr>
          <w:rFonts w:ascii="Times New Roman" w:eastAsia="Times New Roman" w:hAnsi="Times New Roman"/>
          <w:noProof/>
          <w:sz w:val="24"/>
          <w:szCs w:val="24"/>
          <w:lang w:val="es-CO" w:eastAsia="es-CO"/>
        </w:rPr>
        <w:drawing>
          <wp:inline distT="0" distB="0" distL="0" distR="0" wp14:anchorId="6117C009" wp14:editId="672EFCFF">
            <wp:extent cx="5267325" cy="2257425"/>
            <wp:effectExtent l="19050" t="0" r="9525" b="0"/>
            <wp:docPr id="6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6760B" w:rsidRDefault="00F6760B" w:rsidP="00FF73B0">
      <w:pPr>
        <w:pStyle w:val="Sinespaciado"/>
        <w:spacing w:line="360" w:lineRule="auto"/>
        <w:ind w:firstLine="708"/>
        <w:rPr>
          <w:rFonts w:ascii="Times New Roman" w:hAnsi="Times New Roman"/>
          <w:sz w:val="16"/>
        </w:rPr>
      </w:pPr>
      <w:r w:rsidRPr="00FF73B0">
        <w:rPr>
          <w:rFonts w:ascii="Times New Roman" w:hAnsi="Times New Roman"/>
          <w:sz w:val="16"/>
        </w:rPr>
        <w:t xml:space="preserve">Fuente: </w:t>
      </w:r>
      <w:r w:rsidR="008F5FB2">
        <w:rPr>
          <w:rFonts w:ascii="Times New Roman" w:hAnsi="Times New Roman"/>
          <w:sz w:val="16"/>
        </w:rPr>
        <w:t>DANE</w:t>
      </w:r>
    </w:p>
    <w:p w:rsidR="00746FE0" w:rsidRDefault="00746FE0" w:rsidP="00FF73B0">
      <w:pPr>
        <w:pStyle w:val="Sinespaciado"/>
        <w:spacing w:line="360" w:lineRule="auto"/>
        <w:ind w:firstLine="708"/>
        <w:rPr>
          <w:rFonts w:ascii="Times New Roman" w:hAnsi="Times New Roman"/>
          <w:sz w:val="16"/>
        </w:rPr>
      </w:pPr>
    </w:p>
    <w:p w:rsidR="00746FE0" w:rsidRPr="00FF73B0" w:rsidRDefault="00746FE0" w:rsidP="00FF73B0">
      <w:pPr>
        <w:pStyle w:val="Sinespaciado"/>
        <w:spacing w:line="360" w:lineRule="auto"/>
        <w:ind w:firstLine="708"/>
        <w:rPr>
          <w:rFonts w:ascii="Times New Roman" w:eastAsia="Times New Roman" w:hAnsi="Times New Roman"/>
          <w:b/>
          <w:color w:val="FF0000"/>
          <w:sz w:val="20"/>
          <w:szCs w:val="20"/>
          <w:lang w:val="es-CO" w:eastAsia="es-ES"/>
        </w:rPr>
      </w:pPr>
    </w:p>
    <w:p w:rsidR="00F6760B" w:rsidRPr="00740600" w:rsidRDefault="00F6760B" w:rsidP="00F6760B">
      <w:pPr>
        <w:pStyle w:val="Sinespaciado"/>
        <w:spacing w:line="360" w:lineRule="auto"/>
        <w:jc w:val="center"/>
        <w:rPr>
          <w:rFonts w:ascii="Times New Roman" w:eastAsia="Times New Roman" w:hAnsi="Times New Roman"/>
          <w:sz w:val="24"/>
          <w:szCs w:val="20"/>
          <w:lang w:val="es-CO" w:eastAsia="es-ES"/>
        </w:rPr>
      </w:pPr>
      <w:r w:rsidRPr="00740600">
        <w:rPr>
          <w:rFonts w:ascii="Times New Roman" w:eastAsia="Times New Roman" w:hAnsi="Times New Roman"/>
          <w:noProof/>
          <w:sz w:val="24"/>
          <w:szCs w:val="20"/>
          <w:lang w:val="es-CO" w:eastAsia="es-CO"/>
        </w:rPr>
        <w:drawing>
          <wp:inline distT="0" distB="0" distL="0" distR="0" wp14:anchorId="3DE81944" wp14:editId="0C1E15A8">
            <wp:extent cx="2943225" cy="1676400"/>
            <wp:effectExtent l="19050" t="0" r="9525" b="0"/>
            <wp:docPr id="6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6760B" w:rsidRPr="00740600" w:rsidRDefault="00F6760B" w:rsidP="00F6760B">
      <w:pPr>
        <w:pStyle w:val="Sinespaciado"/>
        <w:spacing w:line="360" w:lineRule="auto"/>
        <w:rPr>
          <w:rFonts w:ascii="Times New Roman" w:eastAsia="Times New Roman" w:hAnsi="Times New Roman"/>
          <w:b/>
          <w:color w:val="FF0000"/>
          <w:sz w:val="24"/>
          <w:szCs w:val="20"/>
          <w:lang w:val="es-CO" w:eastAsia="es-ES"/>
        </w:rPr>
      </w:pPr>
      <w:r w:rsidRPr="00740600">
        <w:rPr>
          <w:rFonts w:ascii="Times New Roman" w:hAnsi="Times New Roman"/>
          <w:sz w:val="20"/>
        </w:rPr>
        <w:t xml:space="preserve">                                       </w:t>
      </w:r>
      <w:r w:rsidRPr="00C66E91">
        <w:rPr>
          <w:rFonts w:ascii="Times New Roman" w:hAnsi="Times New Roman"/>
          <w:sz w:val="16"/>
        </w:rPr>
        <w:t xml:space="preserve">Fuente: </w:t>
      </w:r>
      <w:r w:rsidR="008F5FB2">
        <w:rPr>
          <w:rFonts w:ascii="Times New Roman" w:hAnsi="Times New Roman"/>
          <w:sz w:val="16"/>
        </w:rPr>
        <w:t>DANE</w:t>
      </w:r>
    </w:p>
    <w:p w:rsidR="00F6760B" w:rsidRDefault="00F6760B" w:rsidP="00F6760B">
      <w:pPr>
        <w:pStyle w:val="Sinespaciado"/>
        <w:spacing w:line="360" w:lineRule="auto"/>
        <w:jc w:val="center"/>
        <w:rPr>
          <w:rFonts w:ascii="Times New Roman" w:eastAsia="Times New Roman" w:hAnsi="Times New Roman"/>
          <w:sz w:val="24"/>
          <w:szCs w:val="20"/>
          <w:lang w:val="es-CO" w:eastAsia="es-ES"/>
        </w:rPr>
      </w:pPr>
    </w:p>
    <w:p w:rsidR="00084B52" w:rsidRDefault="00084B52" w:rsidP="00F6760B">
      <w:pPr>
        <w:pStyle w:val="Sinespaciado"/>
        <w:spacing w:line="360" w:lineRule="auto"/>
        <w:jc w:val="center"/>
        <w:rPr>
          <w:rFonts w:ascii="Times New Roman" w:eastAsia="Times New Roman" w:hAnsi="Times New Roman"/>
          <w:sz w:val="24"/>
          <w:szCs w:val="20"/>
          <w:lang w:val="es-CO" w:eastAsia="es-ES"/>
        </w:rPr>
      </w:pPr>
    </w:p>
    <w:p w:rsidR="00FF6243" w:rsidRDefault="00FF6243" w:rsidP="00F6760B">
      <w:pPr>
        <w:pStyle w:val="Sinespaciado"/>
        <w:spacing w:line="360" w:lineRule="auto"/>
        <w:jc w:val="center"/>
        <w:rPr>
          <w:rFonts w:ascii="Times New Roman" w:eastAsia="Times New Roman" w:hAnsi="Times New Roman"/>
          <w:sz w:val="24"/>
          <w:szCs w:val="20"/>
          <w:lang w:val="es-CO" w:eastAsia="es-ES"/>
        </w:rPr>
      </w:pPr>
    </w:p>
    <w:p w:rsidR="00FF6243" w:rsidRDefault="00FF6243" w:rsidP="00F6760B">
      <w:pPr>
        <w:pStyle w:val="Sinespaciado"/>
        <w:spacing w:line="360" w:lineRule="auto"/>
        <w:jc w:val="center"/>
        <w:rPr>
          <w:rFonts w:ascii="Times New Roman" w:eastAsia="Times New Roman" w:hAnsi="Times New Roman"/>
          <w:sz w:val="24"/>
          <w:szCs w:val="20"/>
          <w:lang w:val="es-CO" w:eastAsia="es-ES"/>
        </w:rPr>
      </w:pPr>
    </w:p>
    <w:p w:rsidR="00FF6243" w:rsidRDefault="00FA20EF" w:rsidP="00F6760B">
      <w:pPr>
        <w:pStyle w:val="Sinespaciado"/>
        <w:spacing w:line="360" w:lineRule="auto"/>
        <w:jc w:val="center"/>
        <w:rPr>
          <w:rFonts w:ascii="Times New Roman" w:eastAsia="Times New Roman" w:hAnsi="Times New Roman"/>
          <w:sz w:val="24"/>
          <w:szCs w:val="20"/>
          <w:lang w:val="es-CO" w:eastAsia="es-ES"/>
        </w:rPr>
      </w:pPr>
      <w:r>
        <w:rPr>
          <w:rFonts w:ascii="Times New Roman" w:eastAsia="Times New Roman" w:hAnsi="Times New Roman"/>
          <w:noProof/>
          <w:sz w:val="24"/>
          <w:szCs w:val="20"/>
          <w:lang w:val="es-CO" w:eastAsia="es-CO"/>
        </w:rPr>
        <w:lastRenderedPageBreak/>
        <w:drawing>
          <wp:anchor distT="0" distB="0" distL="114300" distR="114300" simplePos="0" relativeHeight="251702272" behindDoc="0" locked="0" layoutInCell="1" allowOverlap="1" wp14:anchorId="4E2C1E66" wp14:editId="0D96FCE9">
            <wp:simplePos x="0" y="0"/>
            <wp:positionH relativeFrom="column">
              <wp:posOffset>-1080135</wp:posOffset>
            </wp:positionH>
            <wp:positionV relativeFrom="paragraph">
              <wp:posOffset>-1080135</wp:posOffset>
            </wp:positionV>
            <wp:extent cx="7772400" cy="10065385"/>
            <wp:effectExtent l="0" t="0" r="0" b="0"/>
            <wp:wrapNone/>
            <wp:docPr id="52" name="Imagen 52" descr="C:\Users\AUXPLANEACION08\Desktop\INFORME FINAL\DISEÑO\6 Comercio 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UXPLANEACION08\Desktop\INFORME FINAL\DISEÑO\6 Comercio Exterior.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772400" cy="1006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243" w:rsidRDefault="00FF6243" w:rsidP="00F6760B">
      <w:pPr>
        <w:pStyle w:val="Sinespaciado"/>
        <w:spacing w:line="360" w:lineRule="auto"/>
        <w:jc w:val="center"/>
        <w:rPr>
          <w:rFonts w:ascii="Times New Roman" w:eastAsia="Times New Roman" w:hAnsi="Times New Roman"/>
          <w:sz w:val="24"/>
          <w:szCs w:val="20"/>
          <w:lang w:val="es-CO" w:eastAsia="es-ES"/>
        </w:rPr>
      </w:pPr>
    </w:p>
    <w:p w:rsidR="00FF6243" w:rsidRDefault="00FF6243" w:rsidP="00F6760B">
      <w:pPr>
        <w:pStyle w:val="Sinespaciado"/>
        <w:spacing w:line="360" w:lineRule="auto"/>
        <w:jc w:val="center"/>
        <w:rPr>
          <w:rFonts w:ascii="Times New Roman" w:eastAsia="Times New Roman" w:hAnsi="Times New Roman"/>
          <w:sz w:val="24"/>
          <w:szCs w:val="20"/>
          <w:lang w:val="es-CO" w:eastAsia="es-ES"/>
        </w:rPr>
      </w:pPr>
    </w:p>
    <w:p w:rsidR="00077BED" w:rsidRDefault="00077BED" w:rsidP="00F6760B">
      <w:pPr>
        <w:pStyle w:val="Sinespaciado"/>
        <w:spacing w:line="360" w:lineRule="auto"/>
        <w:jc w:val="center"/>
        <w:rPr>
          <w:rFonts w:ascii="Times New Roman" w:eastAsia="Times New Roman" w:hAnsi="Times New Roman"/>
          <w:sz w:val="24"/>
          <w:szCs w:val="20"/>
          <w:lang w:val="es-CO" w:eastAsia="es-ES"/>
        </w:rPr>
      </w:pPr>
    </w:p>
    <w:p w:rsidR="00077BED" w:rsidRDefault="00077BED" w:rsidP="00F6760B">
      <w:pPr>
        <w:pStyle w:val="Sinespaciado"/>
        <w:spacing w:line="360" w:lineRule="auto"/>
        <w:jc w:val="center"/>
        <w:rPr>
          <w:rFonts w:ascii="Times New Roman" w:eastAsia="Times New Roman" w:hAnsi="Times New Roman"/>
          <w:sz w:val="24"/>
          <w:szCs w:val="20"/>
          <w:lang w:val="es-CO" w:eastAsia="es-ES"/>
        </w:rPr>
      </w:pPr>
    </w:p>
    <w:p w:rsidR="00EE5A0A" w:rsidRDefault="00EE5A0A" w:rsidP="00F6760B">
      <w:pPr>
        <w:pStyle w:val="Sinespaciado"/>
        <w:spacing w:line="360" w:lineRule="auto"/>
        <w:jc w:val="center"/>
        <w:rPr>
          <w:rFonts w:ascii="Times New Roman" w:eastAsia="Times New Roman" w:hAnsi="Times New Roman"/>
          <w:sz w:val="24"/>
          <w:szCs w:val="20"/>
          <w:lang w:val="es-CO" w:eastAsia="es-ES"/>
        </w:rPr>
      </w:pPr>
    </w:p>
    <w:p w:rsidR="00EE5A0A" w:rsidRDefault="00EE5A0A" w:rsidP="00F6760B">
      <w:pPr>
        <w:pStyle w:val="Sinespaciado"/>
        <w:spacing w:line="360" w:lineRule="auto"/>
        <w:jc w:val="center"/>
        <w:rPr>
          <w:rFonts w:ascii="Times New Roman" w:eastAsia="Times New Roman" w:hAnsi="Times New Roman"/>
          <w:sz w:val="24"/>
          <w:szCs w:val="20"/>
          <w:lang w:val="es-CO" w:eastAsia="es-ES"/>
        </w:rPr>
      </w:pPr>
    </w:p>
    <w:p w:rsidR="00FF6243" w:rsidRDefault="00FF6243" w:rsidP="00F6760B">
      <w:pPr>
        <w:pStyle w:val="Sinespaciado"/>
        <w:spacing w:line="360" w:lineRule="auto"/>
        <w:jc w:val="center"/>
        <w:rPr>
          <w:rFonts w:ascii="Times New Roman" w:eastAsia="Times New Roman" w:hAnsi="Times New Roman"/>
          <w:sz w:val="24"/>
          <w:szCs w:val="20"/>
          <w:lang w:val="es-CO" w:eastAsia="es-ES"/>
        </w:rPr>
      </w:pPr>
    </w:p>
    <w:p w:rsidR="00FF6243" w:rsidRDefault="00FF6243" w:rsidP="00F6760B">
      <w:pPr>
        <w:pStyle w:val="Sinespaciado"/>
        <w:spacing w:line="360" w:lineRule="auto"/>
        <w:jc w:val="center"/>
        <w:rPr>
          <w:rFonts w:ascii="Times New Roman" w:eastAsia="Times New Roman" w:hAnsi="Times New Roman"/>
          <w:sz w:val="24"/>
          <w:szCs w:val="20"/>
          <w:lang w:val="es-CO" w:eastAsia="es-ES"/>
        </w:rPr>
      </w:pPr>
    </w:p>
    <w:p w:rsidR="00AE1FFC" w:rsidRDefault="00AE1FFC" w:rsidP="00F6760B">
      <w:pPr>
        <w:pStyle w:val="Sinespaciado"/>
        <w:spacing w:line="360" w:lineRule="auto"/>
        <w:jc w:val="center"/>
        <w:rPr>
          <w:rFonts w:ascii="Times New Roman" w:eastAsia="Times New Roman" w:hAnsi="Times New Roman"/>
          <w:sz w:val="24"/>
          <w:szCs w:val="20"/>
          <w:lang w:val="es-CO" w:eastAsia="es-ES"/>
        </w:rPr>
      </w:pPr>
    </w:p>
    <w:p w:rsidR="00AE1FFC" w:rsidRDefault="00AE1FFC" w:rsidP="00F6760B">
      <w:pPr>
        <w:pStyle w:val="Sinespaciado"/>
        <w:spacing w:line="360" w:lineRule="auto"/>
        <w:jc w:val="center"/>
        <w:rPr>
          <w:rFonts w:ascii="Times New Roman" w:eastAsia="Times New Roman" w:hAnsi="Times New Roman"/>
          <w:sz w:val="24"/>
          <w:szCs w:val="20"/>
          <w:lang w:val="es-CO" w:eastAsia="es-ES"/>
        </w:rPr>
      </w:pPr>
    </w:p>
    <w:p w:rsidR="00FF6243" w:rsidRDefault="00FF6243" w:rsidP="00F6760B">
      <w:pPr>
        <w:pStyle w:val="Sinespaciado"/>
        <w:spacing w:line="360" w:lineRule="auto"/>
        <w:jc w:val="center"/>
        <w:rPr>
          <w:rFonts w:ascii="Times New Roman" w:eastAsia="Times New Roman" w:hAnsi="Times New Roman"/>
          <w:sz w:val="24"/>
          <w:szCs w:val="20"/>
          <w:lang w:val="es-CO" w:eastAsia="es-ES"/>
        </w:rPr>
      </w:pPr>
    </w:p>
    <w:p w:rsidR="00077BED" w:rsidRDefault="00077BED" w:rsidP="00077BED">
      <w:pPr>
        <w:pStyle w:val="Ttulo1"/>
        <w:ind w:left="2124"/>
        <w:rPr>
          <w:rFonts w:ascii="Times New Roman" w:hAnsi="Times New Roman"/>
          <w:lang w:eastAsia="es-ES"/>
        </w:rPr>
      </w:pPr>
      <w:bookmarkStart w:id="51" w:name="_Toc406754311"/>
      <w:r w:rsidRPr="00077BED">
        <w:rPr>
          <w:rFonts w:ascii="Times New Roman" w:hAnsi="Times New Roman"/>
          <w:lang w:eastAsia="es-ES"/>
        </w:rPr>
        <w:t>6. Comercio Exterior</w:t>
      </w:r>
      <w:bookmarkEnd w:id="51"/>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077BED" w:rsidRDefault="00077BED" w:rsidP="00077BED">
      <w:pPr>
        <w:rPr>
          <w:lang w:val="es-ES" w:eastAsia="es-ES"/>
        </w:rPr>
      </w:pPr>
    </w:p>
    <w:p w:rsidR="00CE4463" w:rsidRPr="005E5D9A" w:rsidRDefault="00EB68D0" w:rsidP="00EB68D0">
      <w:pPr>
        <w:pStyle w:val="Ttulo2"/>
        <w:rPr>
          <w:rFonts w:ascii="Times New Roman" w:hAnsi="Times New Roman" w:cs="Times New Roman"/>
          <w:color w:val="auto"/>
          <w:sz w:val="30"/>
          <w:szCs w:val="30"/>
          <w:lang w:val="es-ES"/>
        </w:rPr>
      </w:pPr>
      <w:bookmarkStart w:id="52" w:name="_Toc406754312"/>
      <w:r w:rsidRPr="005E5D9A">
        <w:rPr>
          <w:rFonts w:ascii="Times New Roman" w:hAnsi="Times New Roman" w:cs="Times New Roman"/>
          <w:color w:val="auto"/>
          <w:sz w:val="30"/>
          <w:szCs w:val="30"/>
          <w:lang w:val="es-ES"/>
        </w:rPr>
        <w:lastRenderedPageBreak/>
        <w:t xml:space="preserve">6.1 </w:t>
      </w:r>
      <w:r w:rsidR="00CE4463" w:rsidRPr="005E5D9A">
        <w:rPr>
          <w:rFonts w:ascii="Times New Roman" w:hAnsi="Times New Roman" w:cs="Times New Roman"/>
          <w:color w:val="auto"/>
          <w:sz w:val="30"/>
          <w:szCs w:val="30"/>
          <w:lang w:val="es-ES"/>
        </w:rPr>
        <w:t>Exportaciones</w:t>
      </w:r>
      <w:bookmarkEnd w:id="52"/>
    </w:p>
    <w:p w:rsidR="00EB68D0" w:rsidRDefault="00EB68D0" w:rsidP="00EB68D0">
      <w:pPr>
        <w:spacing w:line="360" w:lineRule="auto"/>
        <w:jc w:val="both"/>
        <w:rPr>
          <w:lang w:val="es-ES"/>
        </w:rPr>
      </w:pPr>
    </w:p>
    <w:p w:rsidR="00CE4463" w:rsidRDefault="00CE4463" w:rsidP="00EB68D0">
      <w:pPr>
        <w:spacing w:line="360" w:lineRule="auto"/>
        <w:ind w:firstLine="284"/>
        <w:jc w:val="both"/>
        <w:rPr>
          <w:lang w:val="es-ES"/>
        </w:rPr>
      </w:pPr>
      <w:r>
        <w:rPr>
          <w:lang w:val="es-ES"/>
        </w:rPr>
        <w:t xml:space="preserve">El comportamiento del año fiscal 2013 de </w:t>
      </w:r>
      <w:r w:rsidRPr="00872463">
        <w:rPr>
          <w:lang w:val="es-ES"/>
        </w:rPr>
        <w:t xml:space="preserve">las exportaciones del departamento del Quindío se </w:t>
      </w:r>
      <w:r>
        <w:rPr>
          <w:lang w:val="es-ES"/>
        </w:rPr>
        <w:t>centra en el</w:t>
      </w:r>
      <w:r w:rsidRPr="00872463">
        <w:rPr>
          <w:lang w:val="es-ES"/>
        </w:rPr>
        <w:t xml:space="preserve"> café, como producto de las </w:t>
      </w:r>
      <w:r>
        <w:rPr>
          <w:lang w:val="es-ES"/>
        </w:rPr>
        <w:t xml:space="preserve">anteriores </w:t>
      </w:r>
      <w:r w:rsidRPr="00872463">
        <w:rPr>
          <w:lang w:val="es-ES"/>
        </w:rPr>
        <w:t>exportaciones tradicionales de Colombia</w:t>
      </w:r>
      <w:r>
        <w:rPr>
          <w:lang w:val="es-ES"/>
        </w:rPr>
        <w:t>, donde nuestro producto era el centro del crecimiento del producto interno bruto nacional. Además</w:t>
      </w:r>
      <w:r w:rsidR="004529E0">
        <w:rPr>
          <w:lang w:val="es-ES"/>
        </w:rPr>
        <w:t>,</w:t>
      </w:r>
      <w:r>
        <w:rPr>
          <w:lang w:val="es-ES"/>
        </w:rPr>
        <w:t xml:space="preserve"> de complementa con</w:t>
      </w:r>
      <w:r w:rsidRPr="00872463">
        <w:rPr>
          <w:lang w:val="es-ES"/>
        </w:rPr>
        <w:t xml:space="preserve"> </w:t>
      </w:r>
      <w:r>
        <w:rPr>
          <w:lang w:val="es-ES"/>
        </w:rPr>
        <w:t>un análisis</w:t>
      </w:r>
      <w:r w:rsidRPr="00872463">
        <w:rPr>
          <w:lang w:val="es-ES"/>
        </w:rPr>
        <w:t xml:space="preserve"> de las exportaciones </w:t>
      </w:r>
      <w:r>
        <w:rPr>
          <w:lang w:val="es-ES"/>
        </w:rPr>
        <w:t>de los productos</w:t>
      </w:r>
      <w:r w:rsidRPr="00872463">
        <w:rPr>
          <w:lang w:val="es-ES"/>
        </w:rPr>
        <w:t xml:space="preserve"> diferentes al café, al igual que esquemas comparativos entre los departamentos del Eje Cafetero, partiendo en algunos casos de cifras a nivel naci</w:t>
      </w:r>
      <w:r>
        <w:rPr>
          <w:lang w:val="es-ES"/>
        </w:rPr>
        <w:t>onal</w:t>
      </w:r>
      <w:r w:rsidRPr="00872463">
        <w:rPr>
          <w:lang w:val="es-ES"/>
        </w:rPr>
        <w:t>.</w:t>
      </w:r>
    </w:p>
    <w:p w:rsidR="004529E0" w:rsidRDefault="004529E0" w:rsidP="004529E0">
      <w:pPr>
        <w:spacing w:after="200" w:line="360" w:lineRule="auto"/>
        <w:rPr>
          <w:lang w:val="es-ES"/>
        </w:rPr>
      </w:pPr>
    </w:p>
    <w:p w:rsidR="00CE4463" w:rsidRPr="005E5D9A" w:rsidRDefault="004529E0" w:rsidP="004529E0">
      <w:pPr>
        <w:pStyle w:val="Ttulo2"/>
        <w:rPr>
          <w:rFonts w:ascii="Times New Roman" w:hAnsi="Times New Roman" w:cs="Times New Roman"/>
          <w:color w:val="auto"/>
          <w:sz w:val="30"/>
          <w:szCs w:val="30"/>
        </w:rPr>
      </w:pPr>
      <w:bookmarkStart w:id="53" w:name="_Toc406754313"/>
      <w:r w:rsidRPr="005E5D9A">
        <w:rPr>
          <w:rFonts w:ascii="Times New Roman" w:hAnsi="Times New Roman" w:cs="Times New Roman"/>
          <w:color w:val="auto"/>
          <w:sz w:val="30"/>
          <w:szCs w:val="30"/>
          <w:lang w:val="es-ES"/>
        </w:rPr>
        <w:t xml:space="preserve">6.1.1 </w:t>
      </w:r>
      <w:r w:rsidRPr="005E5D9A">
        <w:rPr>
          <w:rFonts w:ascii="Times New Roman" w:hAnsi="Times New Roman" w:cs="Times New Roman"/>
          <w:color w:val="auto"/>
          <w:sz w:val="30"/>
          <w:szCs w:val="30"/>
        </w:rPr>
        <w:t>Exportaciones de café v</w:t>
      </w:r>
      <w:r w:rsidR="00CE4463" w:rsidRPr="005E5D9A">
        <w:rPr>
          <w:rFonts w:ascii="Times New Roman" w:hAnsi="Times New Roman" w:cs="Times New Roman"/>
          <w:color w:val="auto"/>
          <w:sz w:val="30"/>
          <w:szCs w:val="30"/>
        </w:rPr>
        <w:t>erde</w:t>
      </w:r>
      <w:bookmarkEnd w:id="53"/>
    </w:p>
    <w:p w:rsidR="004529E0" w:rsidRDefault="004529E0" w:rsidP="004529E0">
      <w:pPr>
        <w:spacing w:line="360" w:lineRule="auto"/>
        <w:jc w:val="both"/>
        <w:rPr>
          <w:lang w:val="es-ES"/>
        </w:rPr>
      </w:pPr>
    </w:p>
    <w:p w:rsidR="00CE4463" w:rsidRDefault="00CE4463" w:rsidP="006D3D58">
      <w:pPr>
        <w:spacing w:line="360" w:lineRule="auto"/>
        <w:ind w:firstLine="284"/>
        <w:jc w:val="both"/>
        <w:rPr>
          <w:lang w:val="es-ES"/>
        </w:rPr>
      </w:pPr>
      <w:r w:rsidRPr="00D646CC">
        <w:rPr>
          <w:lang w:val="es-ES"/>
        </w:rPr>
        <w:t xml:space="preserve">Según los datos tomados de la </w:t>
      </w:r>
      <w:r w:rsidRPr="00872463">
        <w:rPr>
          <w:lang w:val="es-ES"/>
        </w:rPr>
        <w:t>Federación Nacional de Cafeteros, Colombia en el presente siglo ha tenido un crecimiento sostenido desde el año 2000 hasta el 2008, pasando de 9.206 sacos de café verde hasta los 11.086 sacos</w:t>
      </w:r>
      <w:r w:rsidR="00527376">
        <w:rPr>
          <w:lang w:val="es-ES"/>
        </w:rPr>
        <w:t>;</w:t>
      </w:r>
      <w:r w:rsidRPr="00872463">
        <w:rPr>
          <w:lang w:val="es-ES"/>
        </w:rPr>
        <w:t xml:space="preserve"> respectivamente, siendo el mejor año el 2007 con una producción de 11.301 sacos. Desde el 2009 hasta el 2012,  se presenta una caída significativa al estar la producción anual por debajo de los 8 millones de sacos, siendo el año más bajo el 2012 con 7´169.000 sacos, pero en la vigencia 2013, se presenta de nuevo una producción de 9´672.000 sacos de café verde de 60 kilos, por la ampliación de la frontera agrícola cultivada en café en Colombia, con excepción del Eje Cafetero y el Norte del Valle.</w:t>
      </w:r>
    </w:p>
    <w:p w:rsidR="00AE1FFC" w:rsidRDefault="00AE1FFC" w:rsidP="006D3D58">
      <w:pPr>
        <w:spacing w:line="360" w:lineRule="auto"/>
        <w:ind w:firstLine="284"/>
        <w:jc w:val="both"/>
        <w:rPr>
          <w:lang w:val="es-ES"/>
        </w:rPr>
      </w:pPr>
    </w:p>
    <w:p w:rsidR="00AE1FFC" w:rsidRDefault="00AE1FFC" w:rsidP="00AE1FFC">
      <w:pPr>
        <w:spacing w:line="360" w:lineRule="auto"/>
        <w:ind w:firstLine="284"/>
        <w:jc w:val="both"/>
        <w:rPr>
          <w:lang w:val="es-ES"/>
        </w:rPr>
      </w:pPr>
      <w:r>
        <w:rPr>
          <w:lang w:val="es-ES"/>
        </w:rPr>
        <w:t xml:space="preserve">En el 2007 </w:t>
      </w:r>
      <w:r w:rsidRPr="00872463">
        <w:rPr>
          <w:lang w:val="es-ES"/>
        </w:rPr>
        <w:t>Colombia produjo 10,9 millones de sacos de café, creciendo el 40,6% siendo el incremento más alto de los últimos 36 años, según la Federación Nacional de Cafeteros. Las ventas al exterior aumentaron el 39,2% en el 2013. Los anteriores resultados se dieron en parte por el incremento en la productividad de 14,1 sacos de café verde por hectárea. Así Colombia retomó el tercer lugar en producción mundial después de Brasil y Vietnam.</w:t>
      </w:r>
    </w:p>
    <w:p w:rsidR="00AE1FFC" w:rsidRPr="00872463" w:rsidRDefault="00AE1FFC" w:rsidP="006D3D58">
      <w:pPr>
        <w:spacing w:line="360" w:lineRule="auto"/>
        <w:ind w:firstLine="284"/>
        <w:jc w:val="both"/>
        <w:rPr>
          <w:lang w:val="es-ES"/>
        </w:rPr>
      </w:pPr>
    </w:p>
    <w:p w:rsidR="00CE4463" w:rsidRDefault="00CE4463" w:rsidP="00CE4463">
      <w:pPr>
        <w:jc w:val="center"/>
        <w:rPr>
          <w:b/>
        </w:rPr>
      </w:pPr>
    </w:p>
    <w:p w:rsidR="007E1047" w:rsidRDefault="007E1047" w:rsidP="00CE4463">
      <w:pPr>
        <w:jc w:val="center"/>
        <w:rPr>
          <w:b/>
        </w:rPr>
      </w:pPr>
    </w:p>
    <w:p w:rsidR="007E1047" w:rsidRDefault="007E1047" w:rsidP="00CE4463">
      <w:pPr>
        <w:jc w:val="center"/>
        <w:rPr>
          <w:b/>
        </w:rPr>
      </w:pPr>
    </w:p>
    <w:p w:rsidR="007E1047" w:rsidRDefault="007E1047" w:rsidP="00CE4463">
      <w:pPr>
        <w:jc w:val="center"/>
        <w:rPr>
          <w:b/>
        </w:rPr>
      </w:pPr>
    </w:p>
    <w:p w:rsidR="00CE4463" w:rsidRPr="000379FF" w:rsidRDefault="00CE4463" w:rsidP="000379FF">
      <w:r w:rsidRPr="000379FF">
        <w:lastRenderedPageBreak/>
        <w:t>Gráfico 7.1</w:t>
      </w:r>
    </w:p>
    <w:p w:rsidR="00CE4463" w:rsidRPr="000379FF" w:rsidRDefault="00CE4463" w:rsidP="000379FF">
      <w:r w:rsidRPr="000379FF">
        <w:t xml:space="preserve">Volumen de las exportaciones de café en Colombia </w:t>
      </w:r>
    </w:p>
    <w:p w:rsidR="00CE4463" w:rsidRDefault="00CE4463" w:rsidP="00CE4463">
      <w:r>
        <w:t>Sacos de 60 kilos</w:t>
      </w:r>
      <w:r w:rsidR="000379FF">
        <w:t xml:space="preserve">. </w:t>
      </w:r>
      <w:r w:rsidR="000379FF" w:rsidRPr="000379FF">
        <w:t>2013</w:t>
      </w:r>
    </w:p>
    <w:p w:rsidR="007E1047" w:rsidRPr="009F6B4B" w:rsidRDefault="007E1047" w:rsidP="00CE4463"/>
    <w:p w:rsidR="00CE4463" w:rsidRDefault="00CE4463" w:rsidP="00CE4463">
      <w:pPr>
        <w:tabs>
          <w:tab w:val="left" w:pos="4420"/>
        </w:tabs>
        <w:spacing w:line="360" w:lineRule="auto"/>
        <w:rPr>
          <w:noProof/>
        </w:rPr>
      </w:pPr>
      <w:r>
        <w:rPr>
          <w:noProof/>
        </w:rPr>
        <w:drawing>
          <wp:inline distT="0" distB="0" distL="0" distR="0" wp14:anchorId="464570DA" wp14:editId="710736E8">
            <wp:extent cx="4967785" cy="2579427"/>
            <wp:effectExtent l="0" t="0" r="23495" b="1143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E4463" w:rsidRPr="000379FF" w:rsidRDefault="00CE4463" w:rsidP="00CE4463">
      <w:pPr>
        <w:spacing w:line="360" w:lineRule="auto"/>
        <w:jc w:val="both"/>
        <w:rPr>
          <w:sz w:val="16"/>
          <w:szCs w:val="16"/>
          <w:lang w:val="es-ES"/>
        </w:rPr>
      </w:pPr>
      <w:r w:rsidRPr="000379FF">
        <w:rPr>
          <w:noProof/>
          <w:sz w:val="16"/>
          <w:szCs w:val="16"/>
        </w:rPr>
        <w:t xml:space="preserve">Fuente: </w:t>
      </w:r>
      <w:r w:rsidRPr="000379FF">
        <w:rPr>
          <w:sz w:val="16"/>
          <w:szCs w:val="16"/>
          <w:lang w:val="es-ES"/>
        </w:rPr>
        <w:t>Federación Nacional de Cafeteros</w:t>
      </w:r>
    </w:p>
    <w:p w:rsidR="00CE4463" w:rsidRPr="00872463" w:rsidRDefault="00CE4463" w:rsidP="00CE4463">
      <w:pPr>
        <w:spacing w:line="360" w:lineRule="auto"/>
        <w:jc w:val="both"/>
        <w:rPr>
          <w:lang w:val="es-ES"/>
        </w:rPr>
      </w:pPr>
    </w:p>
    <w:p w:rsidR="007E1047" w:rsidRPr="00872463" w:rsidRDefault="007E1047" w:rsidP="00CE4463">
      <w:pPr>
        <w:spacing w:line="360" w:lineRule="auto"/>
        <w:jc w:val="both"/>
        <w:rPr>
          <w:lang w:val="es-ES"/>
        </w:rPr>
      </w:pPr>
    </w:p>
    <w:p w:rsidR="00CE4463" w:rsidRPr="00872463" w:rsidRDefault="00CE4463" w:rsidP="007E1047">
      <w:pPr>
        <w:spacing w:line="360" w:lineRule="auto"/>
        <w:ind w:firstLine="284"/>
        <w:jc w:val="both"/>
        <w:rPr>
          <w:lang w:val="es-ES"/>
        </w:rPr>
      </w:pPr>
      <w:r w:rsidRPr="00872463">
        <w:rPr>
          <w:lang w:val="es-ES"/>
        </w:rPr>
        <w:t xml:space="preserve">El Quindío renovó 3.236 hectáreas en café con </w:t>
      </w:r>
      <w:r w:rsidR="00022763">
        <w:rPr>
          <w:lang w:val="es-ES"/>
        </w:rPr>
        <w:t>más de 19 millones de árboles, dando mayor relevancia en</w:t>
      </w:r>
      <w:r w:rsidRPr="00872463">
        <w:rPr>
          <w:lang w:val="es-ES"/>
        </w:rPr>
        <w:t xml:space="preserve"> Calarcá con 543 Has., Quimbaya con 379 Has., y</w:t>
      </w:r>
      <w:r w:rsidR="0012201A">
        <w:rPr>
          <w:lang w:val="es-ES"/>
        </w:rPr>
        <w:t xml:space="preserve"> Génova con 363 Has., donde el Eje Cafetero y el N</w:t>
      </w:r>
      <w:r w:rsidRPr="00872463">
        <w:rPr>
          <w:lang w:val="es-ES"/>
        </w:rPr>
        <w:t xml:space="preserve">orte del Valle disminuyeron su área de producción, mientras en Colombia se tienen cultivadas 158.800 Has, área inferior a las cultivadas en el 2012 en </w:t>
      </w:r>
      <w:r w:rsidR="008D7857">
        <w:rPr>
          <w:lang w:val="es-ES"/>
        </w:rPr>
        <w:t>un</w:t>
      </w:r>
      <w:r w:rsidRPr="00872463">
        <w:rPr>
          <w:lang w:val="es-ES"/>
        </w:rPr>
        <w:t xml:space="preserve"> 1,5%, aunque Huila, Boyacá, Cauca, Santander y Cesar crecieron en área cultivada en más del 7%.</w:t>
      </w:r>
    </w:p>
    <w:p w:rsidR="007E1047" w:rsidRDefault="007E1047" w:rsidP="00CE4463">
      <w:pPr>
        <w:spacing w:line="360" w:lineRule="auto"/>
        <w:jc w:val="both"/>
        <w:rPr>
          <w:lang w:val="es-ES"/>
        </w:rPr>
      </w:pPr>
    </w:p>
    <w:p w:rsidR="00CE4463" w:rsidRPr="00872463" w:rsidRDefault="00CE4463" w:rsidP="007E1047">
      <w:pPr>
        <w:spacing w:line="360" w:lineRule="auto"/>
        <w:ind w:firstLine="284"/>
        <w:jc w:val="both"/>
      </w:pPr>
      <w:r w:rsidRPr="00872463">
        <w:rPr>
          <w:lang w:val="es-ES"/>
        </w:rPr>
        <w:t>El departamento del Quindío ha venido descendiendo su área cultiva</w:t>
      </w:r>
      <w:r w:rsidR="006A45B1">
        <w:rPr>
          <w:lang w:val="es-ES"/>
        </w:rPr>
        <w:t>da</w:t>
      </w:r>
      <w:r w:rsidRPr="00872463">
        <w:rPr>
          <w:lang w:val="es-ES"/>
        </w:rPr>
        <w:t xml:space="preserve"> en la presente década al poseer en el 2010, 43.400 has; en 2011, 31.100 Has; en el 2012</w:t>
      </w:r>
      <w:r w:rsidR="006A45B1">
        <w:rPr>
          <w:lang w:val="es-ES"/>
        </w:rPr>
        <w:t>,</w:t>
      </w:r>
      <w:r w:rsidRPr="00872463">
        <w:rPr>
          <w:lang w:val="es-ES"/>
        </w:rPr>
        <w:t xml:space="preserve"> 30.200 Has y en el 2013, 28.900 Has, mostrando una pérdida de áre</w:t>
      </w:r>
      <w:r w:rsidR="006A45B1">
        <w:rPr>
          <w:lang w:val="es-ES"/>
        </w:rPr>
        <w:t>a cultivada en café, de 14.500 H</w:t>
      </w:r>
      <w:r w:rsidRPr="00872463">
        <w:rPr>
          <w:lang w:val="es-ES"/>
        </w:rPr>
        <w:t>as, equivalentes al 50,2% del área cultivada a diciembre de 2013, por lo que el Quindío en café representa el 1</w:t>
      </w:r>
      <w:r w:rsidR="006A45B1">
        <w:rPr>
          <w:lang w:val="es-ES"/>
        </w:rPr>
        <w:t xml:space="preserve">8,2% del Eje Cafetero, y el 3% </w:t>
      </w:r>
      <w:r w:rsidRPr="00872463">
        <w:rPr>
          <w:lang w:val="es-ES"/>
        </w:rPr>
        <w:t xml:space="preserve">del área nacional que posee 974.000 hectáreas cultivadas, según la Federación Nacional de Cafeteros, </w:t>
      </w:r>
      <w:r w:rsidRPr="00872463">
        <w:t>donde el Quindío fue el departamento que más creció en los despachos de café.</w:t>
      </w:r>
    </w:p>
    <w:p w:rsidR="00CE4463" w:rsidRPr="00EE1681" w:rsidRDefault="00CE4463" w:rsidP="00EE1681">
      <w:r w:rsidRPr="00EE1681">
        <w:lastRenderedPageBreak/>
        <w:t>Gráfico 7.2</w:t>
      </w:r>
    </w:p>
    <w:p w:rsidR="00EE1681" w:rsidRDefault="00CE4463" w:rsidP="00EE1681">
      <w:r w:rsidRPr="00EE1681">
        <w:t xml:space="preserve">Volumen de las exportaciones de café en el Eje Cafetero </w:t>
      </w:r>
    </w:p>
    <w:p w:rsidR="00CE4463" w:rsidRPr="00EE1681" w:rsidRDefault="00CE4463" w:rsidP="00EE1681">
      <w:r w:rsidRPr="00EE1681">
        <w:t>2013</w:t>
      </w:r>
    </w:p>
    <w:p w:rsidR="00CE4463" w:rsidRDefault="00CE4463" w:rsidP="00EE1681">
      <w:pPr>
        <w:rPr>
          <w:b/>
        </w:rPr>
      </w:pPr>
      <w:r>
        <w:rPr>
          <w:noProof/>
        </w:rPr>
        <w:drawing>
          <wp:inline distT="0" distB="0" distL="0" distR="0" wp14:anchorId="052EDFD3" wp14:editId="724D5CB1">
            <wp:extent cx="4192438" cy="2303252"/>
            <wp:effectExtent l="0" t="0" r="17780" b="20955"/>
            <wp:docPr id="2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01932" w:rsidRPr="00EE1681" w:rsidRDefault="00401932" w:rsidP="00401932">
      <w:pPr>
        <w:spacing w:line="480" w:lineRule="auto"/>
        <w:jc w:val="both"/>
        <w:rPr>
          <w:color w:val="000000"/>
          <w:sz w:val="16"/>
          <w:szCs w:val="16"/>
          <w:lang w:val="es-ES" w:eastAsia="es-ES"/>
        </w:rPr>
      </w:pPr>
      <w:r w:rsidRPr="00EE1681">
        <w:rPr>
          <w:color w:val="000000"/>
          <w:sz w:val="16"/>
          <w:szCs w:val="16"/>
          <w:lang w:val="es-ES" w:eastAsia="es-ES"/>
        </w:rPr>
        <w:t xml:space="preserve">Fuente: </w:t>
      </w:r>
      <w:r w:rsidR="008F5FB2">
        <w:rPr>
          <w:color w:val="000000"/>
          <w:sz w:val="16"/>
          <w:szCs w:val="16"/>
          <w:lang w:val="es-ES" w:eastAsia="es-ES"/>
        </w:rPr>
        <w:t>DANE</w:t>
      </w:r>
      <w:r w:rsidRPr="00EE1681">
        <w:rPr>
          <w:color w:val="000000"/>
          <w:sz w:val="16"/>
          <w:szCs w:val="16"/>
          <w:lang w:val="es-ES" w:eastAsia="es-ES"/>
        </w:rPr>
        <w:t xml:space="preserve"> - DIAN. Cálculos Centro Regional de Estudios Económicos, Manizales. Banco de la República</w:t>
      </w:r>
    </w:p>
    <w:p w:rsidR="00CE4463" w:rsidRDefault="00CE4463" w:rsidP="00CE4463">
      <w:pPr>
        <w:spacing w:line="360" w:lineRule="auto"/>
        <w:jc w:val="center"/>
      </w:pPr>
    </w:p>
    <w:p w:rsidR="00E019F2" w:rsidRDefault="00E019F2" w:rsidP="00CE4463">
      <w:pPr>
        <w:spacing w:line="360" w:lineRule="auto"/>
        <w:jc w:val="center"/>
      </w:pPr>
    </w:p>
    <w:p w:rsidR="00CE4463" w:rsidRPr="005E5D9A" w:rsidRDefault="005E5D9A" w:rsidP="005E5D9A">
      <w:pPr>
        <w:pStyle w:val="Ttulo2"/>
        <w:rPr>
          <w:rFonts w:ascii="Times New Roman" w:hAnsi="Times New Roman" w:cs="Times New Roman"/>
          <w:color w:val="auto"/>
          <w:sz w:val="30"/>
          <w:szCs w:val="30"/>
        </w:rPr>
      </w:pPr>
      <w:bookmarkStart w:id="54" w:name="_Toc396892884"/>
      <w:bookmarkStart w:id="55" w:name="_Toc406754314"/>
      <w:r>
        <w:rPr>
          <w:rFonts w:ascii="Times New Roman" w:hAnsi="Times New Roman" w:cs="Times New Roman"/>
          <w:color w:val="auto"/>
          <w:sz w:val="30"/>
          <w:szCs w:val="30"/>
        </w:rPr>
        <w:t xml:space="preserve">6.1.2 </w:t>
      </w:r>
      <w:r w:rsidR="00CE4463" w:rsidRPr="005E5D9A">
        <w:rPr>
          <w:rFonts w:ascii="Times New Roman" w:hAnsi="Times New Roman" w:cs="Times New Roman"/>
          <w:color w:val="auto"/>
          <w:sz w:val="30"/>
          <w:szCs w:val="30"/>
        </w:rPr>
        <w:t>Valor de las Exportaciones de café</w:t>
      </w:r>
      <w:bookmarkEnd w:id="54"/>
      <w:r w:rsidR="00CE4463" w:rsidRPr="005E5D9A">
        <w:rPr>
          <w:rFonts w:ascii="Times New Roman" w:hAnsi="Times New Roman" w:cs="Times New Roman"/>
          <w:color w:val="auto"/>
          <w:sz w:val="30"/>
          <w:szCs w:val="30"/>
        </w:rPr>
        <w:t xml:space="preserve"> en Colombia</w:t>
      </w:r>
      <w:bookmarkEnd w:id="55"/>
    </w:p>
    <w:p w:rsidR="005E5D9A" w:rsidRDefault="005E5D9A" w:rsidP="00CE4463">
      <w:pPr>
        <w:spacing w:line="360" w:lineRule="auto"/>
        <w:jc w:val="both"/>
      </w:pPr>
    </w:p>
    <w:p w:rsidR="00CE4463" w:rsidRPr="001A0169" w:rsidRDefault="00CE4463" w:rsidP="00DD3F20">
      <w:pPr>
        <w:spacing w:line="360" w:lineRule="auto"/>
        <w:ind w:firstLine="284"/>
        <w:jc w:val="both"/>
        <w:rPr>
          <w:lang w:val="es-ES"/>
        </w:rPr>
      </w:pPr>
      <w:r w:rsidRPr="001A0169">
        <w:rPr>
          <w:lang w:val="es-ES"/>
        </w:rPr>
        <w:t>Las exportaciones de café colombiano tienen dos variables altamente significativas que inciden en los valores exportados. La primera</w:t>
      </w:r>
      <w:r w:rsidR="00817335">
        <w:rPr>
          <w:lang w:val="es-ES"/>
        </w:rPr>
        <w:t>,</w:t>
      </w:r>
      <w:r w:rsidRPr="001A0169">
        <w:rPr>
          <w:lang w:val="es-ES"/>
        </w:rPr>
        <w:t xml:space="preserve"> corresponde al volumen de café producido por las 561 mil familias productoras de café y la segunda</w:t>
      </w:r>
      <w:r w:rsidR="00817335">
        <w:rPr>
          <w:lang w:val="es-ES"/>
        </w:rPr>
        <w:t>,</w:t>
      </w:r>
      <w:r w:rsidRPr="001A0169">
        <w:rPr>
          <w:lang w:val="es-ES"/>
        </w:rPr>
        <w:t xml:space="preserve"> es el precio internacional del grano que tiene una alta incidencia en el precio interno.</w:t>
      </w:r>
    </w:p>
    <w:p w:rsidR="00E019F2" w:rsidRDefault="00E019F2" w:rsidP="00817335">
      <w:pPr>
        <w:spacing w:line="360" w:lineRule="auto"/>
        <w:ind w:firstLine="284"/>
        <w:jc w:val="both"/>
        <w:rPr>
          <w:lang w:val="es-ES"/>
        </w:rPr>
      </w:pPr>
    </w:p>
    <w:p w:rsidR="00CE4463" w:rsidRDefault="00CE4463" w:rsidP="00817335">
      <w:pPr>
        <w:spacing w:line="360" w:lineRule="auto"/>
        <w:ind w:firstLine="284"/>
        <w:jc w:val="both"/>
        <w:rPr>
          <w:lang w:val="es-ES"/>
        </w:rPr>
      </w:pPr>
      <w:r w:rsidRPr="00872463">
        <w:rPr>
          <w:lang w:val="es-ES"/>
        </w:rPr>
        <w:t>El comportamiento de las exportaciones de café, expresado en millones de dólares, ha venido creciendo en el siglo 20, superando los mil millones de dólares, a excepción de las vigencias 2001 a 2003, siendo el 2001 el de menores exportaciones del grano con 865 millones de dólares y el mayor valor se registró en el 2011 con 2.847 millones de dólares.</w:t>
      </w:r>
      <w:r w:rsidR="00C241A4">
        <w:rPr>
          <w:lang w:val="es-ES"/>
        </w:rPr>
        <w:t xml:space="preserve"> </w:t>
      </w:r>
      <w:r w:rsidRPr="00872463">
        <w:rPr>
          <w:lang w:val="es-ES"/>
        </w:rPr>
        <w:t>Durante la vigencia 2013 se exportaron en Colombia 2.158 millones de dólares, de los cuales el 25,2% se realizaron desde la Federación Nacional de Cafeteros y el 74,8% desde los exportadores particulares.</w:t>
      </w:r>
    </w:p>
    <w:p w:rsidR="004E7B57" w:rsidRDefault="004E7B57" w:rsidP="00817335">
      <w:pPr>
        <w:spacing w:line="360" w:lineRule="auto"/>
        <w:ind w:firstLine="284"/>
        <w:jc w:val="both"/>
        <w:rPr>
          <w:lang w:val="es-ES"/>
        </w:rPr>
      </w:pPr>
    </w:p>
    <w:p w:rsidR="00411FCF" w:rsidRDefault="00411FCF" w:rsidP="00817335">
      <w:pPr>
        <w:spacing w:line="360" w:lineRule="auto"/>
        <w:ind w:firstLine="284"/>
        <w:jc w:val="both"/>
        <w:rPr>
          <w:lang w:val="es-ES"/>
        </w:rPr>
      </w:pPr>
    </w:p>
    <w:p w:rsidR="00CE4463" w:rsidRDefault="00CE4463" w:rsidP="004E7B57">
      <w:r w:rsidRPr="00872463">
        <w:lastRenderedPageBreak/>
        <w:t xml:space="preserve">Gráfico </w:t>
      </w:r>
      <w:r w:rsidR="004E7B57">
        <w:t>7.3</w:t>
      </w:r>
    </w:p>
    <w:p w:rsidR="004E7B57" w:rsidRDefault="004E7B57" w:rsidP="004E7B57">
      <w:r>
        <w:t>Valor de las Exportaciones de Café</w:t>
      </w:r>
    </w:p>
    <w:p w:rsidR="00AB0B41" w:rsidRPr="00872463" w:rsidRDefault="00AB0B41" w:rsidP="004E7B57">
      <w:r>
        <w:t>2000-2013</w:t>
      </w:r>
    </w:p>
    <w:p w:rsidR="00CE4463" w:rsidRDefault="00E019F2" w:rsidP="00EE62DE">
      <w:pPr>
        <w:pStyle w:val="Prrafodelista"/>
        <w:spacing w:line="360" w:lineRule="auto"/>
        <w:ind w:left="1428"/>
        <w:rPr>
          <w:lang w:val="es-ES"/>
        </w:rPr>
      </w:pPr>
      <w:r>
        <w:rPr>
          <w:noProof/>
        </w:rPr>
        <w:drawing>
          <wp:anchor distT="0" distB="0" distL="114300" distR="114300" simplePos="0" relativeHeight="251669504" behindDoc="0" locked="0" layoutInCell="1" allowOverlap="1" wp14:anchorId="75407A79" wp14:editId="45A76F10">
            <wp:simplePos x="0" y="0"/>
            <wp:positionH relativeFrom="column">
              <wp:posOffset>6350</wp:posOffset>
            </wp:positionH>
            <wp:positionV relativeFrom="paragraph">
              <wp:posOffset>119380</wp:posOffset>
            </wp:positionV>
            <wp:extent cx="4528820" cy="2553335"/>
            <wp:effectExtent l="0" t="0" r="24130" b="18415"/>
            <wp:wrapSquare wrapText="bothSides"/>
            <wp:docPr id="60" name="Gráfico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rsidR="00CE4463" w:rsidRDefault="00CE4463" w:rsidP="00CE4463">
      <w:pPr>
        <w:spacing w:line="360" w:lineRule="auto"/>
        <w:ind w:firstLine="708"/>
        <w:jc w:val="both"/>
        <w:rPr>
          <w:lang w:val="es-ES"/>
        </w:rPr>
      </w:pPr>
    </w:p>
    <w:p w:rsidR="00E019F2" w:rsidRPr="00E019F2" w:rsidRDefault="00E019F2" w:rsidP="00E019F2">
      <w:pPr>
        <w:spacing w:after="200" w:line="360" w:lineRule="auto"/>
        <w:ind w:left="1134"/>
        <w:rPr>
          <w:b/>
          <w:sz w:val="30"/>
          <w:szCs w:val="30"/>
        </w:rPr>
      </w:pPr>
    </w:p>
    <w:p w:rsidR="00E019F2" w:rsidRDefault="00E019F2" w:rsidP="00E019F2">
      <w:pPr>
        <w:spacing w:after="200" w:line="360" w:lineRule="auto"/>
        <w:ind w:left="1701"/>
        <w:rPr>
          <w:b/>
          <w:sz w:val="30"/>
          <w:szCs w:val="30"/>
        </w:rPr>
      </w:pPr>
    </w:p>
    <w:p w:rsidR="00E019F2" w:rsidRDefault="00E019F2" w:rsidP="00E019F2">
      <w:pPr>
        <w:spacing w:after="200" w:line="360" w:lineRule="auto"/>
        <w:ind w:left="1701"/>
        <w:rPr>
          <w:b/>
          <w:sz w:val="30"/>
          <w:szCs w:val="30"/>
        </w:rPr>
      </w:pPr>
    </w:p>
    <w:p w:rsidR="00E019F2" w:rsidRDefault="00E019F2" w:rsidP="00E019F2">
      <w:pPr>
        <w:spacing w:after="200" w:line="360" w:lineRule="auto"/>
        <w:ind w:left="1701"/>
        <w:rPr>
          <w:b/>
          <w:sz w:val="30"/>
          <w:szCs w:val="30"/>
        </w:rPr>
      </w:pPr>
    </w:p>
    <w:p w:rsidR="00E019F2" w:rsidRDefault="00E019F2" w:rsidP="00E019F2">
      <w:pPr>
        <w:spacing w:after="200" w:line="360" w:lineRule="auto"/>
        <w:ind w:left="1701"/>
        <w:rPr>
          <w:b/>
          <w:sz w:val="30"/>
          <w:szCs w:val="30"/>
        </w:rPr>
      </w:pPr>
    </w:p>
    <w:p w:rsidR="00E019F2" w:rsidRDefault="00E019F2" w:rsidP="00E019F2">
      <w:pPr>
        <w:spacing w:after="200" w:line="360" w:lineRule="auto"/>
        <w:jc w:val="both"/>
        <w:rPr>
          <w:b/>
          <w:sz w:val="30"/>
          <w:szCs w:val="30"/>
        </w:rPr>
      </w:pPr>
      <w:r w:rsidRPr="00EE1681">
        <w:rPr>
          <w:color w:val="000000"/>
          <w:sz w:val="16"/>
          <w:szCs w:val="16"/>
          <w:lang w:val="es-ES" w:eastAsia="es-ES"/>
        </w:rPr>
        <w:t xml:space="preserve">Fuente: </w:t>
      </w:r>
      <w:r w:rsidR="008F5FB2">
        <w:rPr>
          <w:color w:val="000000"/>
          <w:sz w:val="16"/>
          <w:szCs w:val="16"/>
          <w:lang w:val="es-ES" w:eastAsia="es-ES"/>
        </w:rPr>
        <w:t>DANE</w:t>
      </w:r>
      <w:r w:rsidRPr="00EE1681">
        <w:rPr>
          <w:color w:val="000000"/>
          <w:sz w:val="16"/>
          <w:szCs w:val="16"/>
          <w:lang w:val="es-ES" w:eastAsia="es-ES"/>
        </w:rPr>
        <w:t xml:space="preserve"> - DIAN.</w:t>
      </w:r>
    </w:p>
    <w:p w:rsidR="00411FCF" w:rsidRDefault="00411FCF" w:rsidP="004A0277"/>
    <w:p w:rsidR="00CE4463" w:rsidRPr="00D646CC" w:rsidRDefault="00783A66" w:rsidP="004A0277">
      <w:r>
        <w:t>Tabla</w:t>
      </w:r>
      <w:r w:rsidR="00CE4463" w:rsidRPr="00D646CC">
        <w:t xml:space="preserve"> </w:t>
      </w:r>
      <w:r w:rsidR="00CE4463">
        <w:t>7.</w:t>
      </w:r>
      <w:r w:rsidR="00D0546B">
        <w:t>2</w:t>
      </w:r>
    </w:p>
    <w:p w:rsidR="00CE4463" w:rsidRDefault="004A0277" w:rsidP="004A0277">
      <w:bookmarkStart w:id="56" w:name="_Toc396892885"/>
      <w:r>
        <w:t xml:space="preserve">Valor de las </w:t>
      </w:r>
      <w:r w:rsidR="00CE4463" w:rsidRPr="0061365E">
        <w:t>Exportaciones del Quindío</w:t>
      </w:r>
      <w:r>
        <w:t>.</w:t>
      </w:r>
      <w:r w:rsidR="00CE4463" w:rsidRPr="0061365E">
        <w:t xml:space="preserve"> </w:t>
      </w:r>
      <w:r w:rsidRPr="00872463">
        <w:rPr>
          <w:bCs/>
          <w:color w:val="000000"/>
        </w:rPr>
        <w:t>Miles de dólares FOB</w:t>
      </w:r>
    </w:p>
    <w:p w:rsidR="00CE4463" w:rsidRDefault="00CE4463" w:rsidP="004A0277">
      <w:r w:rsidRPr="00D8108D">
        <w:t>2011-2013</w:t>
      </w:r>
      <w:bookmarkEnd w:id="56"/>
    </w:p>
    <w:p w:rsidR="004A0277" w:rsidRPr="00D8108D" w:rsidRDefault="004A0277" w:rsidP="004A0277">
      <w:pPr>
        <w:rPr>
          <w:b/>
        </w:rPr>
      </w:pPr>
    </w:p>
    <w:tbl>
      <w:tblPr>
        <w:tblW w:w="8206" w:type="dxa"/>
        <w:tblInd w:w="55" w:type="dxa"/>
        <w:tblCellMar>
          <w:left w:w="70" w:type="dxa"/>
          <w:right w:w="70" w:type="dxa"/>
        </w:tblCellMar>
        <w:tblLook w:val="04A0" w:firstRow="1" w:lastRow="0" w:firstColumn="1" w:lastColumn="0" w:noHBand="0" w:noVBand="1"/>
      </w:tblPr>
      <w:tblGrid>
        <w:gridCol w:w="1181"/>
        <w:gridCol w:w="3569"/>
        <w:gridCol w:w="1268"/>
        <w:gridCol w:w="1268"/>
        <w:gridCol w:w="920"/>
      </w:tblGrid>
      <w:tr w:rsidR="00CE4463" w:rsidRPr="004A0277" w:rsidTr="00411FCF">
        <w:trPr>
          <w:trHeight w:val="315"/>
          <w:tblHeader/>
        </w:trPr>
        <w:tc>
          <w:tcPr>
            <w:tcW w:w="1181" w:type="dxa"/>
            <w:vMerge w:val="restart"/>
            <w:tcBorders>
              <w:top w:val="single" w:sz="4" w:space="0" w:color="auto"/>
              <w:left w:val="nil"/>
              <w:bottom w:val="single" w:sz="8" w:space="0" w:color="000000"/>
              <w:right w:val="nil"/>
            </w:tcBorders>
            <w:shd w:val="clear" w:color="auto" w:fill="auto"/>
            <w:noWrap/>
            <w:vAlign w:val="center"/>
            <w:hideMark/>
          </w:tcPr>
          <w:p w:rsidR="00CE4463" w:rsidRPr="004A0277" w:rsidRDefault="00CE4463" w:rsidP="004A0277">
            <w:pPr>
              <w:spacing w:line="360" w:lineRule="auto"/>
              <w:jc w:val="center"/>
              <w:rPr>
                <w:b/>
                <w:bCs/>
                <w:color w:val="000000"/>
                <w:sz w:val="20"/>
                <w:szCs w:val="20"/>
              </w:rPr>
            </w:pPr>
            <w:r w:rsidRPr="004A0277">
              <w:rPr>
                <w:b/>
                <w:bCs/>
                <w:color w:val="000000"/>
                <w:sz w:val="20"/>
                <w:szCs w:val="20"/>
              </w:rPr>
              <w:t>PARTIDA</w:t>
            </w:r>
          </w:p>
        </w:tc>
        <w:tc>
          <w:tcPr>
            <w:tcW w:w="3569" w:type="dxa"/>
            <w:vMerge w:val="restart"/>
            <w:tcBorders>
              <w:top w:val="single" w:sz="4" w:space="0" w:color="auto"/>
              <w:left w:val="nil"/>
              <w:bottom w:val="single" w:sz="8" w:space="0" w:color="000000"/>
              <w:right w:val="nil"/>
            </w:tcBorders>
            <w:shd w:val="clear" w:color="auto" w:fill="auto"/>
            <w:noWrap/>
            <w:vAlign w:val="center"/>
            <w:hideMark/>
          </w:tcPr>
          <w:p w:rsidR="00CE4463" w:rsidRPr="004A0277" w:rsidRDefault="00CE4463" w:rsidP="004A0277">
            <w:pPr>
              <w:spacing w:line="360" w:lineRule="auto"/>
              <w:jc w:val="center"/>
              <w:rPr>
                <w:b/>
                <w:bCs/>
                <w:color w:val="000000"/>
                <w:sz w:val="20"/>
                <w:szCs w:val="20"/>
              </w:rPr>
            </w:pPr>
            <w:r w:rsidRPr="004A0277">
              <w:rPr>
                <w:b/>
                <w:bCs/>
                <w:color w:val="000000"/>
                <w:sz w:val="20"/>
                <w:szCs w:val="20"/>
              </w:rPr>
              <w:t>PRODUCTOS</w:t>
            </w:r>
          </w:p>
        </w:tc>
        <w:tc>
          <w:tcPr>
            <w:tcW w:w="3456" w:type="dxa"/>
            <w:gridSpan w:val="3"/>
            <w:tcBorders>
              <w:top w:val="single" w:sz="8" w:space="0" w:color="auto"/>
              <w:left w:val="nil"/>
              <w:bottom w:val="single" w:sz="8" w:space="0" w:color="auto"/>
              <w:right w:val="nil"/>
            </w:tcBorders>
            <w:shd w:val="clear" w:color="auto" w:fill="auto"/>
            <w:noWrap/>
            <w:vAlign w:val="center"/>
            <w:hideMark/>
          </w:tcPr>
          <w:p w:rsidR="00CE4463" w:rsidRPr="004A0277" w:rsidRDefault="00CE4463" w:rsidP="004A0277">
            <w:pPr>
              <w:jc w:val="center"/>
              <w:rPr>
                <w:b/>
                <w:color w:val="000000"/>
                <w:sz w:val="20"/>
                <w:szCs w:val="20"/>
              </w:rPr>
            </w:pPr>
            <w:r w:rsidRPr="004A0277">
              <w:rPr>
                <w:b/>
                <w:color w:val="000000"/>
                <w:sz w:val="20"/>
                <w:szCs w:val="20"/>
              </w:rPr>
              <w:t>AÑO</w:t>
            </w:r>
          </w:p>
        </w:tc>
      </w:tr>
      <w:tr w:rsidR="00CE4463" w:rsidRPr="004A0277" w:rsidTr="00411FCF">
        <w:trPr>
          <w:trHeight w:val="492"/>
          <w:tblHeader/>
        </w:trPr>
        <w:tc>
          <w:tcPr>
            <w:tcW w:w="1181" w:type="dxa"/>
            <w:vMerge/>
            <w:tcBorders>
              <w:left w:val="nil"/>
              <w:bottom w:val="single" w:sz="8" w:space="0" w:color="000000"/>
              <w:right w:val="nil"/>
            </w:tcBorders>
            <w:vAlign w:val="center"/>
            <w:hideMark/>
          </w:tcPr>
          <w:p w:rsidR="00CE4463" w:rsidRPr="004A0277" w:rsidRDefault="00CE4463" w:rsidP="004A0277">
            <w:pPr>
              <w:spacing w:line="360" w:lineRule="auto"/>
              <w:jc w:val="center"/>
              <w:rPr>
                <w:b/>
                <w:bCs/>
                <w:color w:val="000000"/>
                <w:sz w:val="20"/>
                <w:szCs w:val="20"/>
              </w:rPr>
            </w:pPr>
          </w:p>
        </w:tc>
        <w:tc>
          <w:tcPr>
            <w:tcW w:w="3569" w:type="dxa"/>
            <w:vMerge/>
            <w:tcBorders>
              <w:left w:val="nil"/>
              <w:bottom w:val="single" w:sz="8" w:space="0" w:color="000000"/>
              <w:right w:val="nil"/>
            </w:tcBorders>
            <w:vAlign w:val="center"/>
            <w:hideMark/>
          </w:tcPr>
          <w:p w:rsidR="00CE4463" w:rsidRPr="004A0277" w:rsidRDefault="00CE4463" w:rsidP="004A0277">
            <w:pPr>
              <w:spacing w:line="360" w:lineRule="auto"/>
              <w:jc w:val="center"/>
              <w:rPr>
                <w:b/>
                <w:bCs/>
                <w:color w:val="000000"/>
                <w:sz w:val="20"/>
                <w:szCs w:val="20"/>
              </w:rPr>
            </w:pPr>
          </w:p>
        </w:tc>
        <w:tc>
          <w:tcPr>
            <w:tcW w:w="1268" w:type="dxa"/>
            <w:tcBorders>
              <w:top w:val="nil"/>
              <w:left w:val="nil"/>
              <w:bottom w:val="single" w:sz="8" w:space="0" w:color="auto"/>
              <w:right w:val="nil"/>
            </w:tcBorders>
            <w:shd w:val="clear" w:color="auto" w:fill="auto"/>
            <w:noWrap/>
            <w:vAlign w:val="center"/>
            <w:hideMark/>
          </w:tcPr>
          <w:p w:rsidR="00CE4463" w:rsidRPr="004A0277" w:rsidRDefault="00CE4463" w:rsidP="004A0277">
            <w:pPr>
              <w:jc w:val="center"/>
              <w:rPr>
                <w:b/>
                <w:bCs/>
                <w:color w:val="000000"/>
                <w:sz w:val="20"/>
                <w:szCs w:val="20"/>
              </w:rPr>
            </w:pPr>
            <w:r w:rsidRPr="004A0277">
              <w:rPr>
                <w:b/>
                <w:bCs/>
                <w:color w:val="000000"/>
                <w:sz w:val="20"/>
                <w:szCs w:val="20"/>
              </w:rPr>
              <w:t>2011</w:t>
            </w:r>
          </w:p>
        </w:tc>
        <w:tc>
          <w:tcPr>
            <w:tcW w:w="1268" w:type="dxa"/>
            <w:tcBorders>
              <w:top w:val="nil"/>
              <w:left w:val="nil"/>
              <w:bottom w:val="single" w:sz="8" w:space="0" w:color="auto"/>
              <w:right w:val="nil"/>
            </w:tcBorders>
            <w:shd w:val="clear" w:color="auto" w:fill="auto"/>
            <w:noWrap/>
            <w:vAlign w:val="center"/>
            <w:hideMark/>
          </w:tcPr>
          <w:p w:rsidR="00CE4463" w:rsidRPr="004A0277" w:rsidRDefault="00CE4463" w:rsidP="004A0277">
            <w:pPr>
              <w:jc w:val="center"/>
              <w:rPr>
                <w:b/>
                <w:bCs/>
                <w:color w:val="000000"/>
                <w:sz w:val="20"/>
                <w:szCs w:val="20"/>
              </w:rPr>
            </w:pPr>
            <w:r w:rsidRPr="004A0277">
              <w:rPr>
                <w:b/>
                <w:bCs/>
                <w:color w:val="000000"/>
                <w:sz w:val="20"/>
                <w:szCs w:val="20"/>
              </w:rPr>
              <w:t>2012</w:t>
            </w:r>
          </w:p>
        </w:tc>
        <w:tc>
          <w:tcPr>
            <w:tcW w:w="920" w:type="dxa"/>
            <w:tcBorders>
              <w:top w:val="nil"/>
              <w:left w:val="nil"/>
              <w:bottom w:val="single" w:sz="8" w:space="0" w:color="auto"/>
              <w:right w:val="nil"/>
            </w:tcBorders>
            <w:shd w:val="clear" w:color="auto" w:fill="auto"/>
            <w:noWrap/>
            <w:vAlign w:val="center"/>
            <w:hideMark/>
          </w:tcPr>
          <w:p w:rsidR="00CE4463" w:rsidRPr="004A0277" w:rsidRDefault="00CE4463" w:rsidP="004A0277">
            <w:pPr>
              <w:jc w:val="center"/>
              <w:rPr>
                <w:b/>
                <w:bCs/>
                <w:color w:val="000000"/>
                <w:sz w:val="20"/>
                <w:szCs w:val="20"/>
              </w:rPr>
            </w:pPr>
            <w:r w:rsidRPr="004A0277">
              <w:rPr>
                <w:b/>
                <w:bCs/>
                <w:color w:val="000000"/>
                <w:sz w:val="20"/>
                <w:szCs w:val="20"/>
              </w:rPr>
              <w:t>2013</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901</w:t>
            </w:r>
          </w:p>
        </w:tc>
        <w:tc>
          <w:tcPr>
            <w:tcW w:w="3569" w:type="dxa"/>
            <w:tcBorders>
              <w:top w:val="single" w:sz="8" w:space="0" w:color="000000"/>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Café y/o productos del café</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171.193</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160.562</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203.095</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4104</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Cueros curtidos</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669</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199</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550</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805</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Cítricos</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7</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70</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 xml:space="preserve"> 9021</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Artículos y aparatos de ortopedia</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219</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411</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7308</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Construcciones</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27</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606</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9403</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Demás muebles</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396</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207</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198</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7419</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Las demás manufacturas de cobre</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394</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7610</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Construcciones</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8</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192</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1905</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Productos de panadería</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2</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4</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3</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9018</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instrumentos de medicina</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14</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104</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3304</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Preparaciones de belleza</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4</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13</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33</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4909</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Tarjetas postales</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2</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lastRenderedPageBreak/>
              <w:t>4819</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Cajas o bolsas de papel</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2</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4901</w:t>
            </w:r>
          </w:p>
        </w:tc>
        <w:tc>
          <w:tcPr>
            <w:tcW w:w="3569"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color w:val="000000"/>
                <w:sz w:val="20"/>
                <w:szCs w:val="20"/>
              </w:rPr>
            </w:pPr>
            <w:r w:rsidRPr="004A0277">
              <w:rPr>
                <w:color w:val="000000"/>
                <w:sz w:val="20"/>
                <w:szCs w:val="20"/>
              </w:rPr>
              <w:t>Libros o folletos</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6</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25</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w:t>
            </w:r>
          </w:p>
        </w:tc>
      </w:tr>
      <w:tr w:rsidR="00CE4463" w:rsidRPr="004A0277" w:rsidTr="004A0277">
        <w:trPr>
          <w:trHeight w:val="300"/>
        </w:trPr>
        <w:tc>
          <w:tcPr>
            <w:tcW w:w="1181" w:type="dxa"/>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bCs/>
                <w:color w:val="000000"/>
                <w:sz w:val="20"/>
                <w:szCs w:val="20"/>
              </w:rPr>
            </w:pPr>
            <w:r w:rsidRPr="004A0277">
              <w:rPr>
                <w:bCs/>
                <w:color w:val="000000"/>
                <w:sz w:val="20"/>
                <w:szCs w:val="20"/>
              </w:rPr>
              <w:t>Subtotal</w:t>
            </w:r>
          </w:p>
        </w:tc>
        <w:tc>
          <w:tcPr>
            <w:tcW w:w="3569" w:type="dxa"/>
            <w:tcBorders>
              <w:top w:val="nil"/>
              <w:left w:val="nil"/>
              <w:bottom w:val="nil"/>
              <w:right w:val="nil"/>
            </w:tcBorders>
            <w:shd w:val="clear" w:color="auto" w:fill="auto"/>
            <w:noWrap/>
            <w:vAlign w:val="bottom"/>
            <w:hideMark/>
          </w:tcPr>
          <w:p w:rsidR="00CE4463" w:rsidRPr="004A0277" w:rsidRDefault="00CE4463" w:rsidP="008D6FDD">
            <w:pPr>
              <w:spacing w:line="360" w:lineRule="auto"/>
              <w:jc w:val="both"/>
              <w:rPr>
                <w:color w:val="000000"/>
                <w:sz w:val="20"/>
                <w:szCs w:val="20"/>
              </w:rPr>
            </w:pP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172.311</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161.243</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205.663</w:t>
            </w:r>
          </w:p>
        </w:tc>
      </w:tr>
      <w:tr w:rsidR="00CE4463" w:rsidRPr="004A0277" w:rsidTr="004A0277">
        <w:trPr>
          <w:trHeight w:val="300"/>
        </w:trPr>
        <w:tc>
          <w:tcPr>
            <w:tcW w:w="4750" w:type="dxa"/>
            <w:gridSpan w:val="2"/>
            <w:tcBorders>
              <w:top w:val="nil"/>
              <w:left w:val="nil"/>
              <w:bottom w:val="nil"/>
              <w:right w:val="nil"/>
            </w:tcBorders>
            <w:shd w:val="clear" w:color="auto" w:fill="auto"/>
            <w:noWrap/>
            <w:vAlign w:val="center"/>
            <w:hideMark/>
          </w:tcPr>
          <w:p w:rsidR="00CE4463" w:rsidRPr="004A0277" w:rsidRDefault="00CE4463" w:rsidP="008D6FDD">
            <w:pPr>
              <w:spacing w:line="360" w:lineRule="auto"/>
              <w:jc w:val="both"/>
              <w:rPr>
                <w:bCs/>
                <w:color w:val="000000"/>
                <w:sz w:val="20"/>
                <w:szCs w:val="20"/>
              </w:rPr>
            </w:pPr>
            <w:r w:rsidRPr="004A0277">
              <w:rPr>
                <w:bCs/>
                <w:color w:val="000000"/>
                <w:sz w:val="20"/>
                <w:szCs w:val="20"/>
              </w:rPr>
              <w:t>Exportaciones del Departamento del Quindío</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180.038</w:t>
            </w:r>
          </w:p>
        </w:tc>
        <w:tc>
          <w:tcPr>
            <w:tcW w:w="1268"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163.951</w:t>
            </w:r>
          </w:p>
        </w:tc>
        <w:tc>
          <w:tcPr>
            <w:tcW w:w="920" w:type="dxa"/>
            <w:tcBorders>
              <w:top w:val="nil"/>
              <w:left w:val="nil"/>
              <w:bottom w:val="nil"/>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207.040</w:t>
            </w:r>
          </w:p>
        </w:tc>
      </w:tr>
      <w:tr w:rsidR="00CE4463" w:rsidRPr="004A0277" w:rsidTr="004A0277">
        <w:trPr>
          <w:trHeight w:val="315"/>
        </w:trPr>
        <w:tc>
          <w:tcPr>
            <w:tcW w:w="4750" w:type="dxa"/>
            <w:gridSpan w:val="2"/>
            <w:tcBorders>
              <w:top w:val="nil"/>
              <w:left w:val="nil"/>
              <w:bottom w:val="single" w:sz="8" w:space="0" w:color="auto"/>
              <w:right w:val="nil"/>
            </w:tcBorders>
            <w:shd w:val="clear" w:color="auto" w:fill="auto"/>
            <w:noWrap/>
            <w:vAlign w:val="center"/>
            <w:hideMark/>
          </w:tcPr>
          <w:p w:rsidR="00CE4463" w:rsidRPr="004A0277" w:rsidRDefault="00CE4463" w:rsidP="008D6FDD">
            <w:pPr>
              <w:spacing w:line="360" w:lineRule="auto"/>
              <w:jc w:val="both"/>
              <w:rPr>
                <w:bCs/>
                <w:color w:val="000000"/>
                <w:sz w:val="20"/>
                <w:szCs w:val="20"/>
              </w:rPr>
            </w:pPr>
            <w:r w:rsidRPr="004A0277">
              <w:rPr>
                <w:bCs/>
                <w:color w:val="000000"/>
                <w:sz w:val="20"/>
                <w:szCs w:val="20"/>
              </w:rPr>
              <w:t>Participación</w:t>
            </w:r>
          </w:p>
        </w:tc>
        <w:tc>
          <w:tcPr>
            <w:tcW w:w="1268" w:type="dxa"/>
            <w:tcBorders>
              <w:top w:val="nil"/>
              <w:left w:val="nil"/>
              <w:bottom w:val="single" w:sz="8" w:space="0" w:color="auto"/>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95,70%</w:t>
            </w:r>
          </w:p>
        </w:tc>
        <w:tc>
          <w:tcPr>
            <w:tcW w:w="1268" w:type="dxa"/>
            <w:tcBorders>
              <w:top w:val="nil"/>
              <w:left w:val="nil"/>
              <w:bottom w:val="single" w:sz="8" w:space="0" w:color="auto"/>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98,30%</w:t>
            </w:r>
          </w:p>
        </w:tc>
        <w:tc>
          <w:tcPr>
            <w:tcW w:w="920" w:type="dxa"/>
            <w:tcBorders>
              <w:top w:val="nil"/>
              <w:left w:val="nil"/>
              <w:bottom w:val="single" w:sz="8" w:space="0" w:color="auto"/>
              <w:right w:val="nil"/>
            </w:tcBorders>
            <w:shd w:val="clear" w:color="auto" w:fill="auto"/>
            <w:noWrap/>
            <w:vAlign w:val="center"/>
            <w:hideMark/>
          </w:tcPr>
          <w:p w:rsidR="00CE4463" w:rsidRPr="004A0277" w:rsidRDefault="00CE4463" w:rsidP="004A0277">
            <w:pPr>
              <w:spacing w:line="360" w:lineRule="auto"/>
              <w:jc w:val="center"/>
              <w:rPr>
                <w:color w:val="000000"/>
                <w:sz w:val="20"/>
                <w:szCs w:val="20"/>
              </w:rPr>
            </w:pPr>
            <w:r w:rsidRPr="004A0277">
              <w:rPr>
                <w:color w:val="000000"/>
                <w:sz w:val="20"/>
                <w:szCs w:val="20"/>
              </w:rPr>
              <w:t>99,30%</w:t>
            </w:r>
          </w:p>
        </w:tc>
      </w:tr>
    </w:tbl>
    <w:p w:rsidR="00F36944" w:rsidRPr="00F36944" w:rsidRDefault="00F36944" w:rsidP="00CE4463">
      <w:pPr>
        <w:spacing w:line="360" w:lineRule="auto"/>
        <w:jc w:val="both"/>
        <w:rPr>
          <w:sz w:val="16"/>
          <w:szCs w:val="16"/>
          <w:lang w:val="es-ES"/>
        </w:rPr>
      </w:pPr>
      <w:r w:rsidRPr="00F36944">
        <w:rPr>
          <w:color w:val="000000"/>
          <w:sz w:val="16"/>
          <w:szCs w:val="16"/>
        </w:rPr>
        <w:t xml:space="preserve">Fuente: </w:t>
      </w:r>
      <w:r w:rsidR="008F5FB2">
        <w:rPr>
          <w:color w:val="000000"/>
          <w:sz w:val="16"/>
          <w:szCs w:val="16"/>
        </w:rPr>
        <w:t>DANE</w:t>
      </w:r>
      <w:r w:rsidRPr="00F36944">
        <w:rPr>
          <w:color w:val="000000"/>
          <w:sz w:val="16"/>
          <w:szCs w:val="16"/>
        </w:rPr>
        <w:t xml:space="preserve"> – DIAN. Modificado por Observatorio Departamental del Quindío</w:t>
      </w:r>
    </w:p>
    <w:p w:rsidR="00F36944" w:rsidRDefault="00F36944" w:rsidP="00CE4463">
      <w:pPr>
        <w:spacing w:line="360" w:lineRule="auto"/>
        <w:jc w:val="both"/>
        <w:rPr>
          <w:lang w:val="es-ES"/>
        </w:rPr>
      </w:pPr>
    </w:p>
    <w:p w:rsidR="00CE4463" w:rsidRDefault="00CE4463" w:rsidP="00F36944">
      <w:pPr>
        <w:spacing w:line="360" w:lineRule="auto"/>
        <w:ind w:firstLine="284"/>
        <w:jc w:val="both"/>
        <w:rPr>
          <w:lang w:val="es-ES"/>
        </w:rPr>
      </w:pPr>
      <w:r w:rsidRPr="00D8108D">
        <w:rPr>
          <w:lang w:val="es-ES"/>
        </w:rPr>
        <w:t>El</w:t>
      </w:r>
      <w:r w:rsidR="00C22122">
        <w:rPr>
          <w:lang w:val="es-ES"/>
        </w:rPr>
        <w:t xml:space="preserve"> anterior panorama nos muestra </w:t>
      </w:r>
      <w:r w:rsidRPr="00D8108D">
        <w:rPr>
          <w:lang w:val="es-ES"/>
        </w:rPr>
        <w:t>tímidas exportaciones diferentes a café desde el Quindío hacia Estados Unidos, Ecuador, Perú y Rusia, dejando en el café más del 97% del total de sus exportaciones, lo que requiere para el departamento del Quindío de políticas encaminadas al fortalecimiento del comercio exterior no tradicional, que faciliten romper el esquema de producción para atender la demanda doméstica aprovechando las ventajas comparativas que nos da la naturaleza y comenzar a desarrollar ventajas competitivas que ofrecen los diferentes tratados de libre comercio</w:t>
      </w:r>
      <w:r>
        <w:rPr>
          <w:lang w:val="es-ES"/>
        </w:rPr>
        <w:t>.</w:t>
      </w:r>
    </w:p>
    <w:p w:rsidR="00F36944" w:rsidRDefault="00F36944" w:rsidP="00CE4463">
      <w:pPr>
        <w:spacing w:line="360" w:lineRule="auto"/>
        <w:jc w:val="both"/>
        <w:rPr>
          <w:lang w:val="es-ES"/>
        </w:rPr>
      </w:pPr>
    </w:p>
    <w:p w:rsidR="00CE4463" w:rsidRDefault="00CE4463" w:rsidP="00C22122">
      <w:pPr>
        <w:spacing w:line="360" w:lineRule="auto"/>
        <w:ind w:firstLine="284"/>
        <w:jc w:val="both"/>
        <w:rPr>
          <w:lang w:val="es-ES"/>
        </w:rPr>
      </w:pPr>
      <w:r>
        <w:rPr>
          <w:lang w:val="es-ES"/>
        </w:rPr>
        <w:t>P</w:t>
      </w:r>
      <w:r w:rsidRPr="00D8108D">
        <w:rPr>
          <w:lang w:val="es-ES"/>
        </w:rPr>
        <w:t xml:space="preserve">ara participar de la dinámica en que han incursionado los otros dos departamentos del Eje Cafetero, con las consecuencias positivas en generación de empleo y participación del PIB regional y nacional, frente a las ventajas negativas que se generan en el medio ambiente, </w:t>
      </w:r>
      <w:r w:rsidR="00AB0B41">
        <w:rPr>
          <w:lang w:val="es-ES"/>
        </w:rPr>
        <w:t>se hace</w:t>
      </w:r>
      <w:r w:rsidRPr="00D8108D">
        <w:rPr>
          <w:lang w:val="es-ES"/>
        </w:rPr>
        <w:t xml:space="preserve"> necesario </w:t>
      </w:r>
      <w:r w:rsidR="00AB0B41">
        <w:rPr>
          <w:lang w:val="es-ES"/>
        </w:rPr>
        <w:t>realizar un comparativo</w:t>
      </w:r>
      <w:r w:rsidRPr="00D8108D">
        <w:rPr>
          <w:lang w:val="es-ES"/>
        </w:rPr>
        <w:t xml:space="preserve"> </w:t>
      </w:r>
      <w:r w:rsidR="00AB0B41">
        <w:rPr>
          <w:lang w:val="es-ES"/>
        </w:rPr>
        <w:t>a manera de relación</w:t>
      </w:r>
      <w:r w:rsidRPr="00D8108D">
        <w:rPr>
          <w:lang w:val="es-ES"/>
        </w:rPr>
        <w:t xml:space="preserve"> costo beneficio </w:t>
      </w:r>
      <w:r w:rsidR="009F4C4E">
        <w:rPr>
          <w:lang w:val="es-ES"/>
        </w:rPr>
        <w:t>en el que se refleje como evidencia las diferencias presentadas entre los mismos</w:t>
      </w:r>
      <w:r w:rsidRPr="00D8108D">
        <w:rPr>
          <w:lang w:val="es-ES"/>
        </w:rPr>
        <w:t>.</w:t>
      </w:r>
    </w:p>
    <w:p w:rsidR="00CE4463" w:rsidRPr="00D8108D" w:rsidRDefault="00CE4463" w:rsidP="00CE4463">
      <w:pPr>
        <w:spacing w:line="360" w:lineRule="auto"/>
        <w:jc w:val="both"/>
        <w:rPr>
          <w:lang w:val="es-ES"/>
        </w:rPr>
      </w:pPr>
    </w:p>
    <w:p w:rsidR="008D6FDD" w:rsidRDefault="00F060F2" w:rsidP="00C22122">
      <w:bookmarkStart w:id="57" w:name="_Toc396892886"/>
      <w:r>
        <w:t xml:space="preserve">Tabla 7.3 </w:t>
      </w:r>
    </w:p>
    <w:p w:rsidR="00CE4463" w:rsidRDefault="00CE4463" w:rsidP="00C22122">
      <w:r w:rsidRPr="0079738E">
        <w:t>Exportaciones Regionales 2013</w:t>
      </w:r>
      <w:bookmarkEnd w:id="57"/>
    </w:p>
    <w:p w:rsidR="00CE4463" w:rsidRDefault="00CE4463" w:rsidP="00CE4463">
      <w:pPr>
        <w:spacing w:line="360" w:lineRule="auto"/>
        <w:jc w:val="both"/>
      </w:pPr>
      <w:r w:rsidRPr="00872463">
        <w:t>Miles de dólares FOB</w:t>
      </w:r>
    </w:p>
    <w:tbl>
      <w:tblPr>
        <w:tblW w:w="9074" w:type="dxa"/>
        <w:tblLook w:val="04A0" w:firstRow="1" w:lastRow="0" w:firstColumn="1" w:lastColumn="0" w:noHBand="0" w:noVBand="1"/>
      </w:tblPr>
      <w:tblGrid>
        <w:gridCol w:w="2268"/>
        <w:gridCol w:w="2268"/>
        <w:gridCol w:w="2269"/>
        <w:gridCol w:w="2269"/>
      </w:tblGrid>
      <w:tr w:rsidR="00996CC1" w:rsidRPr="00996CC1" w:rsidTr="00FC5F7C">
        <w:trPr>
          <w:trHeight w:val="352"/>
        </w:trPr>
        <w:tc>
          <w:tcPr>
            <w:tcW w:w="2268" w:type="dxa"/>
            <w:tcBorders>
              <w:top w:val="single" w:sz="4" w:space="0" w:color="auto"/>
              <w:bottom w:val="single" w:sz="4" w:space="0" w:color="auto"/>
            </w:tcBorders>
            <w:vAlign w:val="center"/>
          </w:tcPr>
          <w:p w:rsidR="00996CC1" w:rsidRPr="00FC5F7C" w:rsidRDefault="00996CC1" w:rsidP="00FA3BD0">
            <w:pPr>
              <w:rPr>
                <w:b/>
                <w:sz w:val="20"/>
                <w:szCs w:val="20"/>
              </w:rPr>
            </w:pPr>
            <w:r w:rsidRPr="00FC5F7C">
              <w:rPr>
                <w:b/>
                <w:sz w:val="20"/>
                <w:szCs w:val="20"/>
              </w:rPr>
              <w:t>REGIÓN</w:t>
            </w:r>
          </w:p>
        </w:tc>
        <w:tc>
          <w:tcPr>
            <w:tcW w:w="2268" w:type="dxa"/>
            <w:tcBorders>
              <w:top w:val="single" w:sz="4" w:space="0" w:color="auto"/>
              <w:bottom w:val="single" w:sz="4" w:space="0" w:color="auto"/>
            </w:tcBorders>
            <w:vAlign w:val="center"/>
          </w:tcPr>
          <w:p w:rsidR="00996CC1" w:rsidRPr="00FC5F7C" w:rsidRDefault="00996CC1" w:rsidP="00FC5F7C">
            <w:pPr>
              <w:jc w:val="center"/>
              <w:rPr>
                <w:b/>
                <w:sz w:val="20"/>
                <w:szCs w:val="20"/>
              </w:rPr>
            </w:pPr>
            <w:r w:rsidRPr="00FC5F7C">
              <w:rPr>
                <w:b/>
                <w:sz w:val="20"/>
                <w:szCs w:val="20"/>
              </w:rPr>
              <w:t>TOTAL</w:t>
            </w:r>
          </w:p>
        </w:tc>
        <w:tc>
          <w:tcPr>
            <w:tcW w:w="2269" w:type="dxa"/>
            <w:tcBorders>
              <w:top w:val="single" w:sz="4" w:space="0" w:color="auto"/>
              <w:bottom w:val="single" w:sz="4" w:space="0" w:color="auto"/>
            </w:tcBorders>
            <w:vAlign w:val="center"/>
          </w:tcPr>
          <w:p w:rsidR="00996CC1" w:rsidRPr="00FC5F7C" w:rsidRDefault="00996CC1" w:rsidP="00FC5F7C">
            <w:pPr>
              <w:jc w:val="center"/>
              <w:rPr>
                <w:b/>
                <w:sz w:val="20"/>
                <w:szCs w:val="20"/>
              </w:rPr>
            </w:pPr>
            <w:r w:rsidRPr="00FC5F7C">
              <w:rPr>
                <w:b/>
                <w:sz w:val="20"/>
                <w:szCs w:val="20"/>
              </w:rPr>
              <w:t>CAFÉ VERDE</w:t>
            </w:r>
          </w:p>
        </w:tc>
        <w:tc>
          <w:tcPr>
            <w:tcW w:w="2269" w:type="dxa"/>
            <w:tcBorders>
              <w:top w:val="single" w:sz="4" w:space="0" w:color="auto"/>
              <w:bottom w:val="single" w:sz="4" w:space="0" w:color="auto"/>
            </w:tcBorders>
            <w:vAlign w:val="center"/>
          </w:tcPr>
          <w:p w:rsidR="00996CC1" w:rsidRPr="00FC5F7C" w:rsidRDefault="00996CC1" w:rsidP="00FC5F7C">
            <w:pPr>
              <w:jc w:val="center"/>
              <w:rPr>
                <w:b/>
                <w:sz w:val="20"/>
                <w:szCs w:val="20"/>
              </w:rPr>
            </w:pPr>
            <w:r w:rsidRPr="00FC5F7C">
              <w:rPr>
                <w:b/>
                <w:sz w:val="20"/>
                <w:szCs w:val="20"/>
              </w:rPr>
              <w:t>SIN CAFÉ VERDE</w:t>
            </w:r>
          </w:p>
        </w:tc>
      </w:tr>
      <w:tr w:rsidR="00996CC1" w:rsidRPr="00996CC1" w:rsidTr="00FC5F7C">
        <w:trPr>
          <w:trHeight w:val="374"/>
        </w:trPr>
        <w:tc>
          <w:tcPr>
            <w:tcW w:w="2268" w:type="dxa"/>
            <w:tcBorders>
              <w:top w:val="single" w:sz="4" w:space="0" w:color="auto"/>
            </w:tcBorders>
          </w:tcPr>
          <w:p w:rsidR="00996CC1" w:rsidRPr="00996CC1" w:rsidRDefault="00996CC1" w:rsidP="00996CC1">
            <w:pPr>
              <w:jc w:val="both"/>
              <w:rPr>
                <w:sz w:val="20"/>
                <w:szCs w:val="20"/>
              </w:rPr>
            </w:pPr>
            <w:r w:rsidRPr="00996CC1">
              <w:rPr>
                <w:sz w:val="20"/>
                <w:szCs w:val="20"/>
              </w:rPr>
              <w:t>Eje Cafetero</w:t>
            </w:r>
          </w:p>
        </w:tc>
        <w:tc>
          <w:tcPr>
            <w:tcW w:w="2268" w:type="dxa"/>
            <w:tcBorders>
              <w:top w:val="single" w:sz="4" w:space="0" w:color="auto"/>
            </w:tcBorders>
          </w:tcPr>
          <w:p w:rsidR="00996CC1" w:rsidRPr="00996CC1" w:rsidRDefault="00996CC1" w:rsidP="00FC5F7C">
            <w:pPr>
              <w:jc w:val="center"/>
              <w:rPr>
                <w:sz w:val="20"/>
                <w:szCs w:val="20"/>
              </w:rPr>
            </w:pPr>
            <w:r w:rsidRPr="00996CC1">
              <w:rPr>
                <w:sz w:val="20"/>
                <w:szCs w:val="20"/>
              </w:rPr>
              <w:t>1.352.872</w:t>
            </w:r>
          </w:p>
        </w:tc>
        <w:tc>
          <w:tcPr>
            <w:tcW w:w="2269" w:type="dxa"/>
            <w:tcBorders>
              <w:top w:val="single" w:sz="4" w:space="0" w:color="auto"/>
            </w:tcBorders>
          </w:tcPr>
          <w:p w:rsidR="00996CC1" w:rsidRPr="00996CC1" w:rsidRDefault="00996CC1" w:rsidP="00FC5F7C">
            <w:pPr>
              <w:jc w:val="center"/>
              <w:rPr>
                <w:sz w:val="20"/>
                <w:szCs w:val="20"/>
              </w:rPr>
            </w:pPr>
            <w:r w:rsidRPr="00996CC1">
              <w:rPr>
                <w:sz w:val="20"/>
                <w:szCs w:val="20"/>
              </w:rPr>
              <w:t>786.949</w:t>
            </w:r>
          </w:p>
        </w:tc>
        <w:tc>
          <w:tcPr>
            <w:tcW w:w="2269" w:type="dxa"/>
            <w:tcBorders>
              <w:top w:val="single" w:sz="4" w:space="0" w:color="auto"/>
            </w:tcBorders>
          </w:tcPr>
          <w:p w:rsidR="00996CC1" w:rsidRPr="00996CC1" w:rsidRDefault="00996CC1" w:rsidP="00FC5F7C">
            <w:pPr>
              <w:jc w:val="center"/>
              <w:rPr>
                <w:sz w:val="20"/>
                <w:szCs w:val="20"/>
              </w:rPr>
            </w:pPr>
            <w:r w:rsidRPr="00996CC1">
              <w:rPr>
                <w:sz w:val="20"/>
                <w:szCs w:val="20"/>
              </w:rPr>
              <w:t>565.923</w:t>
            </w:r>
          </w:p>
        </w:tc>
      </w:tr>
      <w:tr w:rsidR="00996CC1" w:rsidRPr="00996CC1" w:rsidTr="00FC5F7C">
        <w:trPr>
          <w:trHeight w:val="374"/>
        </w:trPr>
        <w:tc>
          <w:tcPr>
            <w:tcW w:w="2268" w:type="dxa"/>
          </w:tcPr>
          <w:p w:rsidR="00996CC1" w:rsidRPr="00996CC1" w:rsidRDefault="00996CC1" w:rsidP="00996CC1">
            <w:pPr>
              <w:jc w:val="both"/>
              <w:rPr>
                <w:sz w:val="20"/>
                <w:szCs w:val="20"/>
              </w:rPr>
            </w:pPr>
            <w:r w:rsidRPr="00996CC1">
              <w:rPr>
                <w:sz w:val="20"/>
                <w:szCs w:val="20"/>
              </w:rPr>
              <w:t>Caldas</w:t>
            </w:r>
          </w:p>
        </w:tc>
        <w:tc>
          <w:tcPr>
            <w:tcW w:w="2268" w:type="dxa"/>
          </w:tcPr>
          <w:p w:rsidR="00996CC1" w:rsidRPr="00996CC1" w:rsidRDefault="00996CC1" w:rsidP="00FC5F7C">
            <w:pPr>
              <w:jc w:val="center"/>
              <w:rPr>
                <w:sz w:val="20"/>
                <w:szCs w:val="20"/>
              </w:rPr>
            </w:pPr>
            <w:r w:rsidRPr="00996CC1">
              <w:rPr>
                <w:sz w:val="20"/>
                <w:szCs w:val="20"/>
              </w:rPr>
              <w:t>673.165</w:t>
            </w:r>
          </w:p>
        </w:tc>
        <w:tc>
          <w:tcPr>
            <w:tcW w:w="2269" w:type="dxa"/>
          </w:tcPr>
          <w:p w:rsidR="00996CC1" w:rsidRPr="00996CC1" w:rsidRDefault="00996CC1" w:rsidP="00FC5F7C">
            <w:pPr>
              <w:jc w:val="center"/>
              <w:rPr>
                <w:sz w:val="20"/>
                <w:szCs w:val="20"/>
              </w:rPr>
            </w:pPr>
            <w:r w:rsidRPr="00996CC1">
              <w:rPr>
                <w:sz w:val="20"/>
                <w:szCs w:val="20"/>
              </w:rPr>
              <w:t>249.219</w:t>
            </w:r>
          </w:p>
        </w:tc>
        <w:tc>
          <w:tcPr>
            <w:tcW w:w="2269" w:type="dxa"/>
          </w:tcPr>
          <w:p w:rsidR="00996CC1" w:rsidRPr="00996CC1" w:rsidRDefault="00996CC1" w:rsidP="00FC5F7C">
            <w:pPr>
              <w:jc w:val="center"/>
              <w:rPr>
                <w:sz w:val="20"/>
                <w:szCs w:val="20"/>
              </w:rPr>
            </w:pPr>
            <w:r w:rsidRPr="00996CC1">
              <w:rPr>
                <w:sz w:val="20"/>
                <w:szCs w:val="20"/>
              </w:rPr>
              <w:t>378.946</w:t>
            </w:r>
          </w:p>
        </w:tc>
      </w:tr>
      <w:tr w:rsidR="00996CC1" w:rsidRPr="00996CC1" w:rsidTr="00FC5F7C">
        <w:trPr>
          <w:trHeight w:val="374"/>
        </w:trPr>
        <w:tc>
          <w:tcPr>
            <w:tcW w:w="2268" w:type="dxa"/>
          </w:tcPr>
          <w:p w:rsidR="00996CC1" w:rsidRPr="00996CC1" w:rsidRDefault="00996CC1" w:rsidP="00996CC1">
            <w:pPr>
              <w:jc w:val="both"/>
              <w:rPr>
                <w:sz w:val="20"/>
                <w:szCs w:val="20"/>
              </w:rPr>
            </w:pPr>
            <w:r w:rsidRPr="00996CC1">
              <w:rPr>
                <w:sz w:val="20"/>
                <w:szCs w:val="20"/>
              </w:rPr>
              <w:t>Risaralda</w:t>
            </w:r>
          </w:p>
        </w:tc>
        <w:tc>
          <w:tcPr>
            <w:tcW w:w="2268" w:type="dxa"/>
          </w:tcPr>
          <w:p w:rsidR="00996CC1" w:rsidRPr="00996CC1" w:rsidRDefault="00996CC1" w:rsidP="00FC5F7C">
            <w:pPr>
              <w:jc w:val="center"/>
              <w:rPr>
                <w:sz w:val="20"/>
                <w:szCs w:val="20"/>
              </w:rPr>
            </w:pPr>
            <w:r w:rsidRPr="00996CC1">
              <w:rPr>
                <w:sz w:val="20"/>
                <w:szCs w:val="20"/>
              </w:rPr>
              <w:t>472.667</w:t>
            </w:r>
          </w:p>
        </w:tc>
        <w:tc>
          <w:tcPr>
            <w:tcW w:w="2269" w:type="dxa"/>
          </w:tcPr>
          <w:p w:rsidR="00996CC1" w:rsidRPr="00996CC1" w:rsidRDefault="00996CC1" w:rsidP="00FC5F7C">
            <w:pPr>
              <w:jc w:val="center"/>
              <w:rPr>
                <w:sz w:val="20"/>
                <w:szCs w:val="20"/>
              </w:rPr>
            </w:pPr>
            <w:r w:rsidRPr="00996CC1">
              <w:rPr>
                <w:sz w:val="20"/>
                <w:szCs w:val="20"/>
              </w:rPr>
              <w:t>290.128</w:t>
            </w:r>
          </w:p>
        </w:tc>
        <w:tc>
          <w:tcPr>
            <w:tcW w:w="2269" w:type="dxa"/>
          </w:tcPr>
          <w:p w:rsidR="00996CC1" w:rsidRPr="00996CC1" w:rsidRDefault="00996CC1" w:rsidP="00FC5F7C">
            <w:pPr>
              <w:jc w:val="center"/>
              <w:rPr>
                <w:sz w:val="20"/>
                <w:szCs w:val="20"/>
              </w:rPr>
            </w:pPr>
            <w:r w:rsidRPr="00996CC1">
              <w:rPr>
                <w:sz w:val="20"/>
                <w:szCs w:val="20"/>
              </w:rPr>
              <w:t>182.539</w:t>
            </w:r>
          </w:p>
        </w:tc>
      </w:tr>
      <w:tr w:rsidR="00996CC1" w:rsidRPr="00996CC1" w:rsidTr="00FC5F7C">
        <w:trPr>
          <w:trHeight w:val="397"/>
        </w:trPr>
        <w:tc>
          <w:tcPr>
            <w:tcW w:w="2268" w:type="dxa"/>
            <w:tcBorders>
              <w:bottom w:val="single" w:sz="4" w:space="0" w:color="auto"/>
            </w:tcBorders>
          </w:tcPr>
          <w:p w:rsidR="00996CC1" w:rsidRPr="00996CC1" w:rsidRDefault="00996CC1" w:rsidP="00996CC1">
            <w:pPr>
              <w:jc w:val="both"/>
              <w:rPr>
                <w:sz w:val="20"/>
                <w:szCs w:val="20"/>
              </w:rPr>
            </w:pPr>
            <w:r w:rsidRPr="00996CC1">
              <w:rPr>
                <w:sz w:val="20"/>
                <w:szCs w:val="20"/>
              </w:rPr>
              <w:t>Quindío</w:t>
            </w:r>
          </w:p>
        </w:tc>
        <w:tc>
          <w:tcPr>
            <w:tcW w:w="2268" w:type="dxa"/>
            <w:tcBorders>
              <w:bottom w:val="single" w:sz="4" w:space="0" w:color="auto"/>
            </w:tcBorders>
          </w:tcPr>
          <w:p w:rsidR="00996CC1" w:rsidRPr="00996CC1" w:rsidRDefault="00996CC1" w:rsidP="00FC5F7C">
            <w:pPr>
              <w:jc w:val="center"/>
              <w:rPr>
                <w:sz w:val="20"/>
                <w:szCs w:val="20"/>
              </w:rPr>
            </w:pPr>
            <w:r w:rsidRPr="00996CC1">
              <w:rPr>
                <w:sz w:val="20"/>
                <w:szCs w:val="20"/>
              </w:rPr>
              <w:t>207.040</w:t>
            </w:r>
          </w:p>
        </w:tc>
        <w:tc>
          <w:tcPr>
            <w:tcW w:w="2269" w:type="dxa"/>
            <w:tcBorders>
              <w:bottom w:val="single" w:sz="4" w:space="0" w:color="auto"/>
            </w:tcBorders>
          </w:tcPr>
          <w:p w:rsidR="00996CC1" w:rsidRPr="00996CC1" w:rsidRDefault="00996CC1" w:rsidP="00FC5F7C">
            <w:pPr>
              <w:jc w:val="center"/>
              <w:rPr>
                <w:sz w:val="20"/>
                <w:szCs w:val="20"/>
              </w:rPr>
            </w:pPr>
            <w:r w:rsidRPr="00996CC1">
              <w:rPr>
                <w:sz w:val="20"/>
                <w:szCs w:val="20"/>
              </w:rPr>
              <w:t>202.602</w:t>
            </w:r>
          </w:p>
        </w:tc>
        <w:tc>
          <w:tcPr>
            <w:tcW w:w="2269" w:type="dxa"/>
            <w:tcBorders>
              <w:bottom w:val="single" w:sz="4" w:space="0" w:color="auto"/>
            </w:tcBorders>
          </w:tcPr>
          <w:p w:rsidR="00996CC1" w:rsidRPr="00996CC1" w:rsidRDefault="00996CC1" w:rsidP="00FC5F7C">
            <w:pPr>
              <w:jc w:val="center"/>
              <w:rPr>
                <w:sz w:val="20"/>
                <w:szCs w:val="20"/>
              </w:rPr>
            </w:pPr>
            <w:r w:rsidRPr="00996CC1">
              <w:rPr>
                <w:sz w:val="20"/>
                <w:szCs w:val="20"/>
              </w:rPr>
              <w:t>4.438</w:t>
            </w:r>
          </w:p>
        </w:tc>
      </w:tr>
    </w:tbl>
    <w:p w:rsidR="00996CC1" w:rsidRPr="00996CC1" w:rsidRDefault="00CE4463" w:rsidP="00CE4463">
      <w:pPr>
        <w:spacing w:line="360" w:lineRule="auto"/>
        <w:jc w:val="both"/>
        <w:rPr>
          <w:sz w:val="16"/>
          <w:szCs w:val="16"/>
          <w:lang w:val="es-ES" w:eastAsia="es-ES"/>
        </w:rPr>
      </w:pPr>
      <w:r w:rsidRPr="00996CC1">
        <w:rPr>
          <w:sz w:val="16"/>
          <w:szCs w:val="16"/>
          <w:lang w:val="es-ES" w:eastAsia="es-ES"/>
        </w:rPr>
        <w:t xml:space="preserve">Fuente: </w:t>
      </w:r>
      <w:r w:rsidR="008F5FB2">
        <w:rPr>
          <w:sz w:val="16"/>
          <w:szCs w:val="16"/>
          <w:lang w:val="es-ES" w:eastAsia="es-ES"/>
        </w:rPr>
        <w:t>DANE</w:t>
      </w:r>
      <w:r w:rsidRPr="00996CC1">
        <w:rPr>
          <w:sz w:val="16"/>
          <w:szCs w:val="16"/>
          <w:lang w:val="es-ES" w:eastAsia="es-ES"/>
        </w:rPr>
        <w:t xml:space="preserve"> - DIAN. Cálculos Centro Regional de Estudios Económicos, Ma</w:t>
      </w:r>
      <w:r w:rsidR="00996CC1" w:rsidRPr="00996CC1">
        <w:rPr>
          <w:sz w:val="16"/>
          <w:szCs w:val="16"/>
          <w:lang w:val="es-ES" w:eastAsia="es-ES"/>
        </w:rPr>
        <w:t>nizales. Banco de la República y elaboración propia.</w:t>
      </w:r>
    </w:p>
    <w:p w:rsidR="00CE4463" w:rsidRDefault="00CE4463" w:rsidP="00E42C35">
      <w:pPr>
        <w:spacing w:line="360" w:lineRule="auto"/>
        <w:jc w:val="both"/>
        <w:rPr>
          <w:lang w:val="es-ES"/>
        </w:rPr>
      </w:pPr>
      <w:r w:rsidRPr="00872463">
        <w:rPr>
          <w:sz w:val="20"/>
          <w:szCs w:val="20"/>
          <w:lang w:val="es-ES" w:eastAsia="es-ES"/>
        </w:rPr>
        <w:lastRenderedPageBreak/>
        <w:t xml:space="preserve">    </w:t>
      </w:r>
      <w:r w:rsidRPr="006F2903">
        <w:rPr>
          <w:lang w:val="es-ES"/>
        </w:rPr>
        <w:t xml:space="preserve">Al revisar el comportamiento de las exportaciones del Quindío en el 2013, expresadas en dólares FOB, crecieron las </w:t>
      </w:r>
      <w:r>
        <w:rPr>
          <w:lang w:val="es-ES"/>
        </w:rPr>
        <w:t>de</w:t>
      </w:r>
      <w:r w:rsidRPr="006F2903">
        <w:rPr>
          <w:lang w:val="es-ES"/>
        </w:rPr>
        <w:t xml:space="preserve"> </w:t>
      </w:r>
      <w:r>
        <w:rPr>
          <w:lang w:val="es-ES"/>
        </w:rPr>
        <w:t>café</w:t>
      </w:r>
      <w:r w:rsidR="000A65E2">
        <w:rPr>
          <w:lang w:val="es-ES"/>
        </w:rPr>
        <w:t xml:space="preserve">, pero descendieron las </w:t>
      </w:r>
      <w:r>
        <w:rPr>
          <w:lang w:val="es-ES"/>
        </w:rPr>
        <w:t>exportaciones sin café</w:t>
      </w:r>
      <w:r w:rsidR="000400EB">
        <w:rPr>
          <w:lang w:val="es-ES"/>
        </w:rPr>
        <w:t>, cuyo c</w:t>
      </w:r>
      <w:r w:rsidRPr="006F2903">
        <w:rPr>
          <w:lang w:val="es-ES"/>
        </w:rPr>
        <w:t>onsolidado del reporte</w:t>
      </w:r>
      <w:r>
        <w:rPr>
          <w:lang w:val="es-ES"/>
        </w:rPr>
        <w:t>,</w:t>
      </w:r>
      <w:r w:rsidRPr="006F2903">
        <w:rPr>
          <w:lang w:val="es-ES"/>
        </w:rPr>
        <w:t xml:space="preserve"> arroja datos importantes para tomar medidas tendientes a mejorar el panorama de</w:t>
      </w:r>
      <w:r>
        <w:rPr>
          <w:lang w:val="es-ES"/>
        </w:rPr>
        <w:t>l</w:t>
      </w:r>
      <w:r w:rsidRPr="006F2903">
        <w:rPr>
          <w:lang w:val="es-ES"/>
        </w:rPr>
        <w:t xml:space="preserve"> comercio exterior el año 2014. El informe conocido por PROEXPORT</w:t>
      </w:r>
      <w:r>
        <w:rPr>
          <w:lang w:val="es-ES"/>
        </w:rPr>
        <w:t xml:space="preserve"> (hoy PROCOLOMBIA)</w:t>
      </w:r>
      <w:r w:rsidRPr="006F2903">
        <w:rPr>
          <w:lang w:val="es-ES"/>
        </w:rPr>
        <w:t xml:space="preserve"> frente al comportamiento de las exportaciones en el Quindío entrega unos datos que son importantes a la hora de tomar medidas y acciones.</w:t>
      </w:r>
    </w:p>
    <w:p w:rsidR="00CE4463" w:rsidRDefault="00CE4463" w:rsidP="00CE4463">
      <w:pPr>
        <w:spacing w:line="360" w:lineRule="auto"/>
        <w:jc w:val="both"/>
        <w:rPr>
          <w:lang w:val="es-ES"/>
        </w:rPr>
      </w:pPr>
    </w:p>
    <w:p w:rsidR="00E42C35" w:rsidRPr="006F2903" w:rsidRDefault="00E42C35" w:rsidP="00CE4463">
      <w:pPr>
        <w:spacing w:line="360" w:lineRule="auto"/>
        <w:jc w:val="both"/>
        <w:rPr>
          <w:lang w:val="es-ES"/>
        </w:rPr>
      </w:pPr>
    </w:p>
    <w:p w:rsidR="00CE4463" w:rsidRPr="004526A1" w:rsidRDefault="004526A1" w:rsidP="004526A1">
      <w:pPr>
        <w:pStyle w:val="Ttulo2"/>
        <w:rPr>
          <w:rFonts w:ascii="Times New Roman" w:hAnsi="Times New Roman" w:cs="Times New Roman"/>
          <w:color w:val="auto"/>
          <w:sz w:val="30"/>
          <w:szCs w:val="30"/>
        </w:rPr>
      </w:pPr>
      <w:bookmarkStart w:id="58" w:name="_Toc396892887"/>
      <w:bookmarkStart w:id="59" w:name="_Toc406754315"/>
      <w:r>
        <w:rPr>
          <w:rFonts w:ascii="Times New Roman" w:hAnsi="Times New Roman" w:cs="Times New Roman"/>
          <w:color w:val="auto"/>
          <w:sz w:val="30"/>
          <w:szCs w:val="30"/>
        </w:rPr>
        <w:t>6.</w:t>
      </w:r>
      <w:r w:rsidR="00F35C6D">
        <w:rPr>
          <w:rFonts w:ascii="Times New Roman" w:hAnsi="Times New Roman" w:cs="Times New Roman"/>
          <w:color w:val="auto"/>
          <w:sz w:val="30"/>
          <w:szCs w:val="30"/>
        </w:rPr>
        <w:t>1.3</w:t>
      </w:r>
      <w:r>
        <w:rPr>
          <w:rFonts w:ascii="Times New Roman" w:hAnsi="Times New Roman" w:cs="Times New Roman"/>
          <w:color w:val="auto"/>
          <w:sz w:val="30"/>
          <w:szCs w:val="30"/>
        </w:rPr>
        <w:t xml:space="preserve"> </w:t>
      </w:r>
      <w:r w:rsidR="00CE4463" w:rsidRPr="004526A1">
        <w:rPr>
          <w:rFonts w:ascii="Times New Roman" w:hAnsi="Times New Roman" w:cs="Times New Roman"/>
          <w:color w:val="auto"/>
          <w:sz w:val="30"/>
          <w:szCs w:val="30"/>
        </w:rPr>
        <w:t>Destino de las Exportaciones del Quindío 2013</w:t>
      </w:r>
      <w:bookmarkEnd w:id="58"/>
      <w:bookmarkEnd w:id="59"/>
    </w:p>
    <w:p w:rsidR="004526A1" w:rsidRDefault="004526A1" w:rsidP="00CE4463">
      <w:pPr>
        <w:spacing w:line="360" w:lineRule="auto"/>
        <w:jc w:val="both"/>
      </w:pPr>
    </w:p>
    <w:p w:rsidR="00CE4463" w:rsidRDefault="00CE4463" w:rsidP="00CE4463">
      <w:pPr>
        <w:spacing w:line="360" w:lineRule="auto"/>
        <w:jc w:val="both"/>
        <w:rPr>
          <w:lang w:val="es-ES"/>
        </w:rPr>
      </w:pPr>
      <w:r w:rsidRPr="006F2903">
        <w:rPr>
          <w:lang w:val="es-ES"/>
        </w:rPr>
        <w:t xml:space="preserve">En 2013, las exportaciones </w:t>
      </w:r>
      <w:r>
        <w:rPr>
          <w:lang w:val="es-ES"/>
        </w:rPr>
        <w:t xml:space="preserve">reportadas por </w:t>
      </w:r>
      <w:r w:rsidR="000400EB">
        <w:rPr>
          <w:lang w:val="es-ES"/>
        </w:rPr>
        <w:t>el Quindío fueron de US $</w:t>
      </w:r>
      <w:r w:rsidRPr="006F2903">
        <w:rPr>
          <w:lang w:val="es-ES"/>
        </w:rPr>
        <w:t>207,0 millones, presentando una variación del 26,3% respecto al 2012</w:t>
      </w:r>
      <w:r>
        <w:rPr>
          <w:lang w:val="es-ES"/>
        </w:rPr>
        <w:t>, donde</w:t>
      </w:r>
      <w:r w:rsidRPr="006F2903">
        <w:rPr>
          <w:lang w:val="es-ES"/>
        </w:rPr>
        <w:t xml:space="preserve"> Estados Unidos sigue siendo el principal aliado estratégico a nivel departamental, al adquirir nuestros productos por más de </w:t>
      </w:r>
      <w:r w:rsidR="000400EB">
        <w:rPr>
          <w:lang w:val="es-ES"/>
        </w:rPr>
        <w:t>US $</w:t>
      </w:r>
      <w:r w:rsidRPr="006F2903">
        <w:rPr>
          <w:lang w:val="es-ES"/>
        </w:rPr>
        <w:t>102 millones, con una participación del 49.3%, lo que muestra la poca diversidad de la demanda internacional de nuestra canasta exportadora.</w:t>
      </w:r>
    </w:p>
    <w:p w:rsidR="00E42C35" w:rsidRDefault="00E42C35" w:rsidP="001816E5">
      <w:pPr>
        <w:rPr>
          <w:lang w:val="es-ES"/>
        </w:rPr>
      </w:pPr>
    </w:p>
    <w:p w:rsidR="00CE4463" w:rsidRPr="001816E5" w:rsidRDefault="00CE4463" w:rsidP="001816E5">
      <w:pPr>
        <w:rPr>
          <w:lang w:val="es-ES"/>
        </w:rPr>
      </w:pPr>
      <w:r w:rsidRPr="001816E5">
        <w:rPr>
          <w:lang w:val="es-ES"/>
        </w:rPr>
        <w:t>Gráfico 7.3</w:t>
      </w:r>
    </w:p>
    <w:p w:rsidR="00CE4463" w:rsidRDefault="00CE4463" w:rsidP="001816E5">
      <w:pPr>
        <w:rPr>
          <w:lang w:val="es-ES"/>
        </w:rPr>
      </w:pPr>
      <w:r w:rsidRPr="001816E5">
        <w:rPr>
          <w:lang w:val="es-ES"/>
        </w:rPr>
        <w:t>Destino de las exportaciones del Quindío</w:t>
      </w:r>
    </w:p>
    <w:p w:rsidR="001816E5" w:rsidRDefault="001816E5" w:rsidP="001816E5">
      <w:pPr>
        <w:rPr>
          <w:lang w:val="es-ES"/>
        </w:rPr>
      </w:pPr>
      <w:r>
        <w:rPr>
          <w:lang w:val="es-ES"/>
        </w:rPr>
        <w:t>2013</w:t>
      </w:r>
    </w:p>
    <w:p w:rsidR="001816E5" w:rsidRPr="001816E5" w:rsidRDefault="001816E5" w:rsidP="001816E5">
      <w:pPr>
        <w:rPr>
          <w:lang w:val="es-ES"/>
        </w:rPr>
      </w:pPr>
    </w:p>
    <w:p w:rsidR="00CE4463" w:rsidRDefault="00CE4463" w:rsidP="001816E5">
      <w:pPr>
        <w:tabs>
          <w:tab w:val="left" w:pos="4420"/>
        </w:tabs>
        <w:rPr>
          <w:noProof/>
        </w:rPr>
      </w:pPr>
      <w:r>
        <w:rPr>
          <w:noProof/>
        </w:rPr>
        <w:drawing>
          <wp:inline distT="0" distB="0" distL="0" distR="0" wp14:anchorId="6229FE66" wp14:editId="00116EAB">
            <wp:extent cx="3985404" cy="2216988"/>
            <wp:effectExtent l="0" t="0" r="15240" b="12065"/>
            <wp:docPr id="62" name="Gráfico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E4463" w:rsidRPr="001816E5" w:rsidRDefault="001816E5" w:rsidP="001816E5">
      <w:pPr>
        <w:autoSpaceDE w:val="0"/>
        <w:autoSpaceDN w:val="0"/>
        <w:adjustRightInd w:val="0"/>
        <w:jc w:val="both"/>
        <w:rPr>
          <w:color w:val="000000"/>
          <w:sz w:val="16"/>
          <w:szCs w:val="16"/>
        </w:rPr>
      </w:pPr>
      <w:r>
        <w:rPr>
          <w:color w:val="000000"/>
          <w:sz w:val="16"/>
          <w:szCs w:val="16"/>
        </w:rPr>
        <w:t xml:space="preserve">    </w:t>
      </w:r>
      <w:r w:rsidR="00CE4463" w:rsidRPr="001816E5">
        <w:rPr>
          <w:color w:val="000000"/>
          <w:sz w:val="16"/>
          <w:szCs w:val="16"/>
        </w:rPr>
        <w:t xml:space="preserve">Fuente: </w:t>
      </w:r>
      <w:r w:rsidR="008F5FB2">
        <w:rPr>
          <w:color w:val="000000"/>
          <w:sz w:val="16"/>
          <w:szCs w:val="16"/>
        </w:rPr>
        <w:t>DANE</w:t>
      </w:r>
      <w:r w:rsidR="00CE4463" w:rsidRPr="001816E5">
        <w:rPr>
          <w:color w:val="000000"/>
          <w:sz w:val="16"/>
          <w:szCs w:val="16"/>
        </w:rPr>
        <w:t xml:space="preserve"> – DIAN</w:t>
      </w:r>
    </w:p>
    <w:p w:rsidR="00CE4463" w:rsidRDefault="00CE4463" w:rsidP="00CE4463">
      <w:pPr>
        <w:autoSpaceDE w:val="0"/>
        <w:autoSpaceDN w:val="0"/>
        <w:adjustRightInd w:val="0"/>
        <w:spacing w:line="480" w:lineRule="auto"/>
        <w:jc w:val="both"/>
        <w:rPr>
          <w:color w:val="000000"/>
        </w:rPr>
      </w:pPr>
    </w:p>
    <w:p w:rsidR="00E42C35" w:rsidRPr="00872463" w:rsidRDefault="00E42C35" w:rsidP="00CE4463">
      <w:pPr>
        <w:autoSpaceDE w:val="0"/>
        <w:autoSpaceDN w:val="0"/>
        <w:adjustRightInd w:val="0"/>
        <w:spacing w:line="480" w:lineRule="auto"/>
        <w:jc w:val="both"/>
        <w:rPr>
          <w:color w:val="000000"/>
        </w:rPr>
      </w:pPr>
    </w:p>
    <w:p w:rsidR="00CE4463" w:rsidRDefault="00CE4463" w:rsidP="001816E5">
      <w:pPr>
        <w:spacing w:line="360" w:lineRule="auto"/>
        <w:ind w:firstLine="284"/>
        <w:jc w:val="both"/>
        <w:rPr>
          <w:lang w:val="es-ES"/>
        </w:rPr>
      </w:pPr>
      <w:r w:rsidRPr="006F2903">
        <w:rPr>
          <w:lang w:val="es-ES"/>
        </w:rPr>
        <w:lastRenderedPageBreak/>
        <w:t xml:space="preserve">Estados Unidos es el mayor consumidor de productos exportados, desde una población de 318 millones de habitantes, de las cuales el 82% vive en las zonas urbanas y tiene un crecimiento poblacional esperado del 0,7% para el 2014 y su composición demográfica muestra que el 20% de la población es de 0 a 14 años; el 66% de 15 a 64 años y el 14% son mayores de 65 años. Según datos 2013, EEUU posee un PIB de </w:t>
      </w:r>
      <w:r w:rsidR="00583583">
        <w:rPr>
          <w:lang w:val="es-ES"/>
        </w:rPr>
        <w:t>US $</w:t>
      </w:r>
      <w:r w:rsidRPr="006F2903">
        <w:rPr>
          <w:lang w:val="es-ES"/>
        </w:rPr>
        <w:t xml:space="preserve">16,7 billones, con un PIB per cápita de </w:t>
      </w:r>
      <w:r w:rsidR="00583583">
        <w:rPr>
          <w:lang w:val="es-ES"/>
        </w:rPr>
        <w:t>US $</w:t>
      </w:r>
      <w:r w:rsidRPr="006F2903">
        <w:rPr>
          <w:lang w:val="es-ES"/>
        </w:rPr>
        <w:t>52.800 y una tasa de desempleo del 7,3%.</w:t>
      </w:r>
    </w:p>
    <w:p w:rsidR="00CE4463" w:rsidRDefault="00CE4463" w:rsidP="00CE4463">
      <w:pPr>
        <w:spacing w:line="360" w:lineRule="auto"/>
        <w:jc w:val="center"/>
        <w:rPr>
          <w:lang w:val="es-ES"/>
        </w:rPr>
      </w:pPr>
    </w:p>
    <w:p w:rsidR="00CE4463" w:rsidRPr="008D6FDD" w:rsidRDefault="008D6FDD" w:rsidP="008D6FDD">
      <w:pPr>
        <w:rPr>
          <w:lang w:val="es-ES"/>
        </w:rPr>
      </w:pPr>
      <w:r>
        <w:rPr>
          <w:lang w:val="es-ES"/>
        </w:rPr>
        <w:t>Tabla</w:t>
      </w:r>
      <w:r w:rsidR="00CE4463" w:rsidRPr="008D6FDD">
        <w:rPr>
          <w:lang w:val="es-ES"/>
        </w:rPr>
        <w:t xml:space="preserve"> 7.4</w:t>
      </w:r>
    </w:p>
    <w:p w:rsidR="00CE4463" w:rsidRPr="008D6FDD" w:rsidRDefault="00CE4463" w:rsidP="008D6FDD">
      <w:pPr>
        <w:rPr>
          <w:lang w:val="es-ES"/>
        </w:rPr>
      </w:pPr>
      <w:r w:rsidRPr="008D6FDD">
        <w:rPr>
          <w:lang w:val="es-ES"/>
        </w:rPr>
        <w:t>Principales destinos de las exportaciones</w:t>
      </w:r>
    </w:p>
    <w:p w:rsidR="00CE4463" w:rsidRPr="008D6FDD" w:rsidRDefault="00CE4463" w:rsidP="008D6FDD">
      <w:pPr>
        <w:rPr>
          <w:lang w:val="es-ES"/>
        </w:rPr>
      </w:pPr>
      <w:r w:rsidRPr="008D6FDD">
        <w:rPr>
          <w:lang w:val="es-ES"/>
        </w:rPr>
        <w:t>2013</w:t>
      </w:r>
    </w:p>
    <w:p w:rsidR="00CE4463" w:rsidRDefault="00CE4463" w:rsidP="00CE4463">
      <w:pPr>
        <w:spacing w:line="360" w:lineRule="auto"/>
        <w:jc w:val="center"/>
        <w:rPr>
          <w:lang w:val="es-ES"/>
        </w:rPr>
      </w:pPr>
    </w:p>
    <w:tbl>
      <w:tblPr>
        <w:tblW w:w="6716" w:type="dxa"/>
        <w:tblInd w:w="55" w:type="dxa"/>
        <w:tblCellMar>
          <w:left w:w="70" w:type="dxa"/>
          <w:right w:w="70" w:type="dxa"/>
        </w:tblCellMar>
        <w:tblLook w:val="04A0" w:firstRow="1" w:lastRow="0" w:firstColumn="1" w:lastColumn="0" w:noHBand="0" w:noVBand="1"/>
      </w:tblPr>
      <w:tblGrid>
        <w:gridCol w:w="2011"/>
        <w:gridCol w:w="1711"/>
        <w:gridCol w:w="2994"/>
      </w:tblGrid>
      <w:tr w:rsidR="00CE4463" w:rsidRPr="008D6FDD" w:rsidTr="00E42C35">
        <w:trPr>
          <w:trHeight w:val="317"/>
          <w:tblHeader/>
        </w:trPr>
        <w:tc>
          <w:tcPr>
            <w:tcW w:w="2011" w:type="dxa"/>
            <w:tcBorders>
              <w:top w:val="single" w:sz="4" w:space="0" w:color="auto"/>
              <w:left w:val="nil"/>
              <w:bottom w:val="single" w:sz="4" w:space="0" w:color="auto"/>
              <w:right w:val="nil"/>
            </w:tcBorders>
            <w:shd w:val="clear" w:color="auto" w:fill="auto"/>
            <w:noWrap/>
            <w:vAlign w:val="center"/>
            <w:hideMark/>
          </w:tcPr>
          <w:p w:rsidR="00CE4463" w:rsidRPr="008D6FDD" w:rsidRDefault="00CE4463" w:rsidP="00EE5A0A">
            <w:pPr>
              <w:jc w:val="center"/>
              <w:rPr>
                <w:b/>
                <w:color w:val="000000"/>
                <w:sz w:val="20"/>
                <w:szCs w:val="20"/>
              </w:rPr>
            </w:pPr>
            <w:r w:rsidRPr="008D6FDD">
              <w:rPr>
                <w:b/>
                <w:color w:val="000000"/>
                <w:sz w:val="20"/>
                <w:szCs w:val="20"/>
              </w:rPr>
              <w:t>PRODUCTO</w:t>
            </w:r>
          </w:p>
        </w:tc>
        <w:tc>
          <w:tcPr>
            <w:tcW w:w="1711" w:type="dxa"/>
            <w:tcBorders>
              <w:top w:val="single" w:sz="4" w:space="0" w:color="auto"/>
              <w:left w:val="nil"/>
              <w:bottom w:val="single" w:sz="4" w:space="0" w:color="auto"/>
              <w:right w:val="nil"/>
            </w:tcBorders>
            <w:shd w:val="clear" w:color="auto" w:fill="auto"/>
            <w:noWrap/>
            <w:vAlign w:val="center"/>
            <w:hideMark/>
          </w:tcPr>
          <w:p w:rsidR="00CE4463" w:rsidRPr="008D6FDD" w:rsidRDefault="00CE4463" w:rsidP="00EE5A0A">
            <w:pPr>
              <w:jc w:val="center"/>
              <w:rPr>
                <w:b/>
                <w:color w:val="000000"/>
                <w:sz w:val="20"/>
                <w:szCs w:val="20"/>
              </w:rPr>
            </w:pPr>
            <w:r w:rsidRPr="008D6FDD">
              <w:rPr>
                <w:b/>
                <w:color w:val="000000"/>
                <w:sz w:val="20"/>
                <w:szCs w:val="20"/>
              </w:rPr>
              <w:t>FOB US$ 2013*</w:t>
            </w:r>
          </w:p>
        </w:tc>
        <w:tc>
          <w:tcPr>
            <w:tcW w:w="2994" w:type="dxa"/>
            <w:tcBorders>
              <w:top w:val="single" w:sz="4" w:space="0" w:color="auto"/>
              <w:left w:val="nil"/>
              <w:bottom w:val="single" w:sz="4" w:space="0" w:color="auto"/>
              <w:right w:val="nil"/>
            </w:tcBorders>
            <w:shd w:val="clear" w:color="auto" w:fill="auto"/>
            <w:vAlign w:val="center"/>
            <w:hideMark/>
          </w:tcPr>
          <w:p w:rsidR="00CE4463" w:rsidRPr="008D6FDD" w:rsidRDefault="008D6FDD" w:rsidP="00EE5A0A">
            <w:pPr>
              <w:jc w:val="center"/>
              <w:rPr>
                <w:b/>
                <w:color w:val="000000"/>
                <w:sz w:val="20"/>
                <w:szCs w:val="20"/>
              </w:rPr>
            </w:pPr>
            <w:r w:rsidRPr="008D6FDD">
              <w:rPr>
                <w:b/>
                <w:color w:val="000000"/>
                <w:sz w:val="20"/>
                <w:szCs w:val="20"/>
              </w:rPr>
              <w:t>Principales destinos de exportación</w:t>
            </w:r>
          </w:p>
        </w:tc>
      </w:tr>
      <w:tr w:rsidR="00CE4463" w:rsidRPr="008D6FDD" w:rsidTr="00E42C35">
        <w:trPr>
          <w:trHeight w:val="159"/>
        </w:trPr>
        <w:tc>
          <w:tcPr>
            <w:tcW w:w="2011" w:type="dxa"/>
            <w:vMerge w:val="restart"/>
            <w:tcBorders>
              <w:top w:val="nil"/>
              <w:left w:val="nil"/>
              <w:bottom w:val="nil"/>
              <w:right w:val="nil"/>
            </w:tcBorders>
            <w:shd w:val="clear" w:color="auto" w:fill="auto"/>
            <w:noWrap/>
            <w:vAlign w:val="center"/>
            <w:hideMark/>
          </w:tcPr>
          <w:p w:rsidR="00CE4463" w:rsidRPr="008D6FDD" w:rsidRDefault="00CE4463" w:rsidP="008D6FDD">
            <w:pPr>
              <w:spacing w:line="360" w:lineRule="auto"/>
              <w:jc w:val="both"/>
              <w:rPr>
                <w:color w:val="000000"/>
                <w:sz w:val="20"/>
                <w:szCs w:val="20"/>
              </w:rPr>
            </w:pPr>
            <w:r w:rsidRPr="008D6FDD">
              <w:rPr>
                <w:color w:val="000000"/>
                <w:sz w:val="20"/>
                <w:szCs w:val="20"/>
              </w:rPr>
              <w:t>Artesanías</w:t>
            </w:r>
          </w:p>
        </w:tc>
        <w:tc>
          <w:tcPr>
            <w:tcW w:w="1711" w:type="dxa"/>
            <w:vMerge w:val="restart"/>
            <w:tcBorders>
              <w:top w:val="nil"/>
              <w:left w:val="nil"/>
              <w:bottom w:val="nil"/>
              <w:right w:val="nil"/>
            </w:tcBorders>
            <w:shd w:val="clear" w:color="auto" w:fill="auto"/>
            <w:vAlign w:val="center"/>
            <w:hideMark/>
          </w:tcPr>
          <w:p w:rsidR="00CE4463" w:rsidRPr="008D6FDD" w:rsidRDefault="00CE4463" w:rsidP="008D6FDD">
            <w:pPr>
              <w:spacing w:line="360" w:lineRule="auto"/>
              <w:jc w:val="center"/>
              <w:rPr>
                <w:color w:val="000000"/>
                <w:sz w:val="20"/>
                <w:szCs w:val="20"/>
              </w:rPr>
            </w:pPr>
            <w:r w:rsidRPr="008D6FDD">
              <w:rPr>
                <w:color w:val="000000"/>
                <w:sz w:val="20"/>
                <w:szCs w:val="20"/>
              </w:rPr>
              <w:t>8.613</w:t>
            </w: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Panamá</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Suiza</w:t>
            </w:r>
          </w:p>
        </w:tc>
      </w:tr>
      <w:tr w:rsidR="00CE4463" w:rsidRPr="008D6FDD" w:rsidTr="00E42C35">
        <w:trPr>
          <w:trHeight w:val="222"/>
        </w:trPr>
        <w:tc>
          <w:tcPr>
            <w:tcW w:w="2011" w:type="dxa"/>
            <w:vMerge w:val="restart"/>
            <w:tcBorders>
              <w:top w:val="nil"/>
              <w:left w:val="nil"/>
              <w:bottom w:val="nil"/>
              <w:right w:val="nil"/>
            </w:tcBorders>
            <w:shd w:val="clear" w:color="auto" w:fill="auto"/>
            <w:noWrap/>
            <w:vAlign w:val="center"/>
            <w:hideMark/>
          </w:tcPr>
          <w:p w:rsidR="00CE4463" w:rsidRPr="008D6FDD" w:rsidRDefault="00CE4463" w:rsidP="008D6FDD">
            <w:pPr>
              <w:spacing w:line="360" w:lineRule="auto"/>
              <w:jc w:val="both"/>
              <w:rPr>
                <w:color w:val="000000"/>
                <w:sz w:val="20"/>
                <w:szCs w:val="20"/>
              </w:rPr>
            </w:pPr>
            <w:r w:rsidRPr="008D6FDD">
              <w:rPr>
                <w:color w:val="000000"/>
                <w:sz w:val="20"/>
                <w:szCs w:val="20"/>
              </w:rPr>
              <w:t>Autopartes</w:t>
            </w:r>
          </w:p>
        </w:tc>
        <w:tc>
          <w:tcPr>
            <w:tcW w:w="1711" w:type="dxa"/>
            <w:vMerge w:val="restart"/>
            <w:tcBorders>
              <w:top w:val="nil"/>
              <w:left w:val="nil"/>
              <w:bottom w:val="nil"/>
              <w:right w:val="nil"/>
            </w:tcBorders>
            <w:shd w:val="clear" w:color="auto" w:fill="auto"/>
            <w:vAlign w:val="center"/>
            <w:hideMark/>
          </w:tcPr>
          <w:p w:rsidR="00CE4463" w:rsidRPr="008D6FDD" w:rsidRDefault="00CE4463" w:rsidP="008D6FDD">
            <w:pPr>
              <w:spacing w:line="360" w:lineRule="auto"/>
              <w:jc w:val="center"/>
              <w:rPr>
                <w:color w:val="000000"/>
                <w:sz w:val="20"/>
                <w:szCs w:val="20"/>
              </w:rPr>
            </w:pPr>
            <w:r w:rsidRPr="008D6FDD">
              <w:rPr>
                <w:color w:val="000000"/>
                <w:sz w:val="20"/>
                <w:szCs w:val="20"/>
              </w:rPr>
              <w:t>65.067</w:t>
            </w: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Perú</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Suiza</w:t>
            </w:r>
          </w:p>
        </w:tc>
      </w:tr>
      <w:tr w:rsidR="00CE4463" w:rsidRPr="008D6FDD" w:rsidTr="00E42C35">
        <w:trPr>
          <w:trHeight w:val="222"/>
        </w:trPr>
        <w:tc>
          <w:tcPr>
            <w:tcW w:w="2011" w:type="dxa"/>
            <w:vMerge w:val="restart"/>
            <w:tcBorders>
              <w:top w:val="nil"/>
              <w:left w:val="nil"/>
              <w:bottom w:val="nil"/>
              <w:right w:val="nil"/>
            </w:tcBorders>
            <w:shd w:val="clear" w:color="auto" w:fill="auto"/>
            <w:vAlign w:val="center"/>
            <w:hideMark/>
          </w:tcPr>
          <w:p w:rsidR="00CE4463" w:rsidRPr="008D6FDD" w:rsidRDefault="00CE4463" w:rsidP="008D6FDD">
            <w:pPr>
              <w:spacing w:line="360" w:lineRule="auto"/>
              <w:jc w:val="both"/>
              <w:rPr>
                <w:color w:val="000000"/>
                <w:sz w:val="20"/>
                <w:szCs w:val="20"/>
              </w:rPr>
            </w:pPr>
            <w:r w:rsidRPr="008D6FDD">
              <w:rPr>
                <w:color w:val="000000"/>
                <w:sz w:val="20"/>
                <w:szCs w:val="20"/>
              </w:rPr>
              <w:t>Muebles y madera</w:t>
            </w:r>
          </w:p>
        </w:tc>
        <w:tc>
          <w:tcPr>
            <w:tcW w:w="1711" w:type="dxa"/>
            <w:vMerge w:val="restart"/>
            <w:tcBorders>
              <w:top w:val="nil"/>
              <w:left w:val="nil"/>
              <w:bottom w:val="nil"/>
              <w:right w:val="nil"/>
            </w:tcBorders>
            <w:shd w:val="clear" w:color="auto" w:fill="auto"/>
            <w:noWrap/>
            <w:vAlign w:val="center"/>
            <w:hideMark/>
          </w:tcPr>
          <w:p w:rsidR="00CE4463" w:rsidRPr="008D6FDD" w:rsidRDefault="00CE4463" w:rsidP="008D6FDD">
            <w:pPr>
              <w:spacing w:line="360" w:lineRule="auto"/>
              <w:jc w:val="center"/>
              <w:rPr>
                <w:color w:val="000000"/>
                <w:sz w:val="20"/>
                <w:szCs w:val="20"/>
              </w:rPr>
            </w:pPr>
            <w:r w:rsidRPr="008D6FDD">
              <w:rPr>
                <w:color w:val="000000"/>
                <w:sz w:val="20"/>
                <w:szCs w:val="20"/>
              </w:rPr>
              <w:t>247.337</w:t>
            </w: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Panamá</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Aruba</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Haití</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Perú</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Suiza</w:t>
            </w:r>
          </w:p>
        </w:tc>
      </w:tr>
      <w:tr w:rsidR="00CE4463" w:rsidRPr="008D6FDD" w:rsidTr="00E42C35">
        <w:trPr>
          <w:trHeight w:val="222"/>
        </w:trPr>
        <w:tc>
          <w:tcPr>
            <w:tcW w:w="2011" w:type="dxa"/>
            <w:vMerge w:val="restart"/>
            <w:tcBorders>
              <w:top w:val="nil"/>
              <w:left w:val="nil"/>
              <w:bottom w:val="nil"/>
              <w:right w:val="nil"/>
            </w:tcBorders>
            <w:shd w:val="clear" w:color="auto" w:fill="auto"/>
            <w:vAlign w:val="center"/>
            <w:hideMark/>
          </w:tcPr>
          <w:p w:rsidR="00CE4463" w:rsidRPr="008D6FDD" w:rsidRDefault="00CE4463" w:rsidP="008D6FDD">
            <w:pPr>
              <w:spacing w:line="360" w:lineRule="auto"/>
              <w:jc w:val="both"/>
              <w:rPr>
                <w:color w:val="000000"/>
                <w:sz w:val="20"/>
                <w:szCs w:val="20"/>
              </w:rPr>
            </w:pPr>
            <w:r w:rsidRPr="008D6FDD">
              <w:rPr>
                <w:color w:val="000000"/>
                <w:sz w:val="20"/>
                <w:szCs w:val="20"/>
              </w:rPr>
              <w:t>Derivados del café</w:t>
            </w:r>
          </w:p>
        </w:tc>
        <w:tc>
          <w:tcPr>
            <w:tcW w:w="1711" w:type="dxa"/>
            <w:vMerge w:val="restart"/>
            <w:tcBorders>
              <w:top w:val="nil"/>
              <w:left w:val="nil"/>
              <w:bottom w:val="nil"/>
              <w:right w:val="nil"/>
            </w:tcBorders>
            <w:shd w:val="clear" w:color="auto" w:fill="auto"/>
            <w:noWrap/>
            <w:vAlign w:val="center"/>
            <w:hideMark/>
          </w:tcPr>
          <w:p w:rsidR="00CE4463" w:rsidRPr="008D6FDD" w:rsidRDefault="00CE4463" w:rsidP="008D6FDD">
            <w:pPr>
              <w:spacing w:line="360" w:lineRule="auto"/>
              <w:jc w:val="center"/>
              <w:rPr>
                <w:color w:val="000000"/>
                <w:sz w:val="20"/>
                <w:szCs w:val="20"/>
              </w:rPr>
            </w:pPr>
            <w:r w:rsidRPr="008D6FDD">
              <w:rPr>
                <w:color w:val="000000"/>
                <w:sz w:val="20"/>
                <w:szCs w:val="20"/>
              </w:rPr>
              <w:t>493.772</w:t>
            </w: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Estados Unidos</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Rusia</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Perú</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El Salvador</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Costa Rica</w:t>
            </w:r>
          </w:p>
        </w:tc>
      </w:tr>
      <w:tr w:rsidR="00CE4463" w:rsidRPr="008D6FDD" w:rsidTr="00E42C35">
        <w:trPr>
          <w:trHeight w:val="317"/>
        </w:trPr>
        <w:tc>
          <w:tcPr>
            <w:tcW w:w="2011" w:type="dxa"/>
            <w:tcBorders>
              <w:top w:val="nil"/>
              <w:left w:val="nil"/>
              <w:bottom w:val="nil"/>
              <w:right w:val="nil"/>
            </w:tcBorders>
            <w:shd w:val="clear" w:color="auto" w:fill="auto"/>
            <w:vAlign w:val="center"/>
            <w:hideMark/>
          </w:tcPr>
          <w:p w:rsidR="00CE4463" w:rsidRPr="008D6FDD" w:rsidRDefault="00CE4463" w:rsidP="008D6FDD">
            <w:pPr>
              <w:spacing w:line="360" w:lineRule="auto"/>
              <w:jc w:val="both"/>
              <w:rPr>
                <w:color w:val="000000"/>
                <w:sz w:val="20"/>
                <w:szCs w:val="20"/>
              </w:rPr>
            </w:pPr>
            <w:r w:rsidRPr="008D6FDD">
              <w:rPr>
                <w:color w:val="000000"/>
                <w:sz w:val="20"/>
                <w:szCs w:val="20"/>
              </w:rPr>
              <w:t>Frutas frescas (excepto banano)</w:t>
            </w:r>
          </w:p>
        </w:tc>
        <w:tc>
          <w:tcPr>
            <w:tcW w:w="1711" w:type="dxa"/>
            <w:tcBorders>
              <w:top w:val="nil"/>
              <w:left w:val="nil"/>
              <w:bottom w:val="nil"/>
              <w:right w:val="nil"/>
            </w:tcBorders>
            <w:shd w:val="clear" w:color="auto" w:fill="auto"/>
            <w:noWrap/>
            <w:vAlign w:val="center"/>
            <w:hideMark/>
          </w:tcPr>
          <w:p w:rsidR="00CE4463" w:rsidRPr="008D6FDD" w:rsidRDefault="00CE4463" w:rsidP="008D6FDD">
            <w:pPr>
              <w:spacing w:line="360" w:lineRule="auto"/>
              <w:jc w:val="center"/>
              <w:rPr>
                <w:color w:val="000000"/>
                <w:sz w:val="20"/>
                <w:szCs w:val="20"/>
              </w:rPr>
            </w:pPr>
            <w:r w:rsidRPr="008D6FDD">
              <w:rPr>
                <w:color w:val="000000"/>
                <w:sz w:val="20"/>
                <w:szCs w:val="20"/>
              </w:rPr>
              <w:t>70.000</w:t>
            </w:r>
          </w:p>
        </w:tc>
        <w:tc>
          <w:tcPr>
            <w:tcW w:w="2994" w:type="dxa"/>
            <w:tcBorders>
              <w:top w:val="nil"/>
              <w:left w:val="nil"/>
              <w:bottom w:val="nil"/>
              <w:right w:val="nil"/>
            </w:tcBorders>
            <w:shd w:val="clear" w:color="auto" w:fill="auto"/>
            <w:noWrap/>
            <w:vAlign w:val="center"/>
            <w:hideMark/>
          </w:tcPr>
          <w:p w:rsidR="00CE4463" w:rsidRPr="008D6FDD" w:rsidRDefault="00CE4463" w:rsidP="008D6FDD">
            <w:pPr>
              <w:spacing w:line="360" w:lineRule="auto"/>
              <w:jc w:val="center"/>
              <w:rPr>
                <w:color w:val="000000"/>
                <w:sz w:val="20"/>
                <w:szCs w:val="20"/>
              </w:rPr>
            </w:pPr>
            <w:r w:rsidRPr="008D6FDD">
              <w:rPr>
                <w:color w:val="000000"/>
                <w:sz w:val="20"/>
                <w:szCs w:val="20"/>
              </w:rPr>
              <w:t>Ecuador</w:t>
            </w:r>
          </w:p>
        </w:tc>
      </w:tr>
      <w:tr w:rsidR="00CE4463" w:rsidRPr="008D6FDD" w:rsidTr="00E42C35">
        <w:trPr>
          <w:trHeight w:val="214"/>
        </w:trPr>
        <w:tc>
          <w:tcPr>
            <w:tcW w:w="2011" w:type="dxa"/>
            <w:vMerge w:val="restart"/>
            <w:tcBorders>
              <w:top w:val="nil"/>
              <w:left w:val="nil"/>
              <w:bottom w:val="nil"/>
              <w:right w:val="nil"/>
            </w:tcBorders>
            <w:shd w:val="clear" w:color="auto" w:fill="auto"/>
            <w:vAlign w:val="center"/>
            <w:hideMark/>
          </w:tcPr>
          <w:p w:rsidR="00CE4463" w:rsidRPr="008D6FDD" w:rsidRDefault="00CE4463" w:rsidP="008D6FDD">
            <w:pPr>
              <w:spacing w:line="360" w:lineRule="auto"/>
              <w:jc w:val="both"/>
              <w:rPr>
                <w:color w:val="000000"/>
                <w:sz w:val="20"/>
                <w:szCs w:val="20"/>
              </w:rPr>
            </w:pPr>
            <w:r w:rsidRPr="008D6FDD">
              <w:rPr>
                <w:color w:val="000000"/>
                <w:sz w:val="20"/>
                <w:szCs w:val="20"/>
              </w:rPr>
              <w:t>Frutas y hortalizas procesadas</w:t>
            </w:r>
          </w:p>
        </w:tc>
        <w:tc>
          <w:tcPr>
            <w:tcW w:w="1711" w:type="dxa"/>
            <w:vMerge w:val="restart"/>
            <w:tcBorders>
              <w:top w:val="nil"/>
              <w:left w:val="nil"/>
              <w:bottom w:val="nil"/>
              <w:right w:val="nil"/>
            </w:tcBorders>
            <w:shd w:val="clear" w:color="auto" w:fill="auto"/>
            <w:noWrap/>
            <w:vAlign w:val="center"/>
            <w:hideMark/>
          </w:tcPr>
          <w:p w:rsidR="00CE4463" w:rsidRPr="008D6FDD" w:rsidRDefault="00CE4463" w:rsidP="008D6FDD">
            <w:pPr>
              <w:spacing w:line="360" w:lineRule="auto"/>
              <w:jc w:val="center"/>
              <w:rPr>
                <w:color w:val="000000"/>
                <w:sz w:val="20"/>
                <w:szCs w:val="20"/>
              </w:rPr>
            </w:pPr>
            <w:r w:rsidRPr="008D6FDD">
              <w:rPr>
                <w:color w:val="000000"/>
                <w:sz w:val="20"/>
                <w:szCs w:val="20"/>
              </w:rPr>
              <w:t>70.974</w:t>
            </w: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Países bajos</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Estados Unidos</w:t>
            </w:r>
          </w:p>
        </w:tc>
      </w:tr>
      <w:tr w:rsidR="00CE4463" w:rsidRPr="008D6FDD" w:rsidTr="00E42C35">
        <w:trPr>
          <w:trHeight w:val="159"/>
        </w:trPr>
        <w:tc>
          <w:tcPr>
            <w:tcW w:w="2011" w:type="dxa"/>
            <w:vMerge/>
            <w:tcBorders>
              <w:top w:val="nil"/>
              <w:left w:val="nil"/>
              <w:bottom w:val="nil"/>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nil"/>
              <w:right w:val="nil"/>
            </w:tcBorders>
            <w:vAlign w:val="center"/>
            <w:hideMark/>
          </w:tcPr>
          <w:p w:rsidR="00CE4463" w:rsidRPr="008D6FDD" w:rsidRDefault="00CE4463" w:rsidP="008D6FDD">
            <w:pPr>
              <w:spacing w:line="360" w:lineRule="auto"/>
              <w:jc w:val="center"/>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Rusia</w:t>
            </w:r>
          </w:p>
        </w:tc>
      </w:tr>
      <w:tr w:rsidR="00CE4463" w:rsidRPr="008D6FDD" w:rsidTr="00E42C35">
        <w:trPr>
          <w:trHeight w:val="230"/>
        </w:trPr>
        <w:tc>
          <w:tcPr>
            <w:tcW w:w="2011" w:type="dxa"/>
            <w:vMerge w:val="restart"/>
            <w:tcBorders>
              <w:top w:val="nil"/>
              <w:left w:val="nil"/>
              <w:bottom w:val="single" w:sz="4" w:space="0" w:color="000000"/>
              <w:right w:val="nil"/>
            </w:tcBorders>
            <w:shd w:val="clear" w:color="auto" w:fill="auto"/>
            <w:vAlign w:val="center"/>
            <w:hideMark/>
          </w:tcPr>
          <w:p w:rsidR="00CE4463" w:rsidRPr="008D6FDD" w:rsidRDefault="00CE4463" w:rsidP="008D6FDD">
            <w:pPr>
              <w:spacing w:line="360" w:lineRule="auto"/>
              <w:jc w:val="both"/>
              <w:rPr>
                <w:color w:val="000000"/>
                <w:sz w:val="20"/>
                <w:szCs w:val="20"/>
              </w:rPr>
            </w:pPr>
            <w:r w:rsidRPr="008D6FDD">
              <w:rPr>
                <w:color w:val="000000"/>
                <w:sz w:val="20"/>
                <w:szCs w:val="20"/>
              </w:rPr>
              <w:t>Editorial</w:t>
            </w:r>
          </w:p>
        </w:tc>
        <w:tc>
          <w:tcPr>
            <w:tcW w:w="1711" w:type="dxa"/>
            <w:vMerge w:val="restart"/>
            <w:tcBorders>
              <w:top w:val="nil"/>
              <w:left w:val="nil"/>
              <w:bottom w:val="single" w:sz="4" w:space="0" w:color="000000"/>
              <w:right w:val="nil"/>
            </w:tcBorders>
            <w:shd w:val="clear" w:color="auto" w:fill="auto"/>
            <w:noWrap/>
            <w:vAlign w:val="center"/>
            <w:hideMark/>
          </w:tcPr>
          <w:p w:rsidR="00CE4463" w:rsidRPr="008D6FDD" w:rsidRDefault="00CE4463" w:rsidP="008D6FDD">
            <w:pPr>
              <w:spacing w:line="360" w:lineRule="auto"/>
              <w:jc w:val="center"/>
              <w:rPr>
                <w:color w:val="000000"/>
                <w:sz w:val="20"/>
                <w:szCs w:val="20"/>
              </w:rPr>
            </w:pPr>
            <w:r w:rsidRPr="008D6FDD">
              <w:rPr>
                <w:color w:val="000000"/>
                <w:sz w:val="20"/>
                <w:szCs w:val="20"/>
              </w:rPr>
              <w:t>1.206</w:t>
            </w: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Ecuador</w:t>
            </w:r>
          </w:p>
        </w:tc>
      </w:tr>
      <w:tr w:rsidR="00CE4463" w:rsidRPr="008D6FDD" w:rsidTr="00E42C35">
        <w:trPr>
          <w:trHeight w:val="159"/>
        </w:trPr>
        <w:tc>
          <w:tcPr>
            <w:tcW w:w="2011" w:type="dxa"/>
            <w:vMerge/>
            <w:tcBorders>
              <w:top w:val="nil"/>
              <w:left w:val="nil"/>
              <w:bottom w:val="single" w:sz="4" w:space="0" w:color="000000"/>
              <w:right w:val="nil"/>
            </w:tcBorders>
            <w:vAlign w:val="center"/>
            <w:hideMark/>
          </w:tcPr>
          <w:p w:rsidR="00CE4463" w:rsidRPr="008D6FDD" w:rsidRDefault="00CE4463" w:rsidP="008D6FDD">
            <w:pPr>
              <w:spacing w:line="360" w:lineRule="auto"/>
              <w:jc w:val="both"/>
              <w:rPr>
                <w:color w:val="000000"/>
                <w:sz w:val="20"/>
                <w:szCs w:val="20"/>
              </w:rPr>
            </w:pPr>
          </w:p>
        </w:tc>
        <w:tc>
          <w:tcPr>
            <w:tcW w:w="1711" w:type="dxa"/>
            <w:vMerge/>
            <w:tcBorders>
              <w:top w:val="nil"/>
              <w:left w:val="nil"/>
              <w:bottom w:val="single" w:sz="4" w:space="0" w:color="000000"/>
              <w:right w:val="nil"/>
            </w:tcBorders>
            <w:vAlign w:val="center"/>
            <w:hideMark/>
          </w:tcPr>
          <w:p w:rsidR="00CE4463" w:rsidRPr="008D6FDD" w:rsidRDefault="00CE4463" w:rsidP="008D6FDD">
            <w:pPr>
              <w:spacing w:line="360" w:lineRule="auto"/>
              <w:jc w:val="both"/>
              <w:rPr>
                <w:color w:val="000000"/>
                <w:sz w:val="20"/>
                <w:szCs w:val="20"/>
              </w:rPr>
            </w:pPr>
          </w:p>
        </w:tc>
        <w:tc>
          <w:tcPr>
            <w:tcW w:w="2994" w:type="dxa"/>
            <w:tcBorders>
              <w:top w:val="nil"/>
              <w:left w:val="nil"/>
              <w:bottom w:val="single" w:sz="4" w:space="0" w:color="auto"/>
              <w:right w:val="nil"/>
            </w:tcBorders>
            <w:shd w:val="clear" w:color="auto" w:fill="auto"/>
            <w:noWrap/>
            <w:vAlign w:val="bottom"/>
            <w:hideMark/>
          </w:tcPr>
          <w:p w:rsidR="00CE4463" w:rsidRPr="008D6FDD" w:rsidRDefault="00CE4463" w:rsidP="008D6FDD">
            <w:pPr>
              <w:spacing w:line="360" w:lineRule="auto"/>
              <w:jc w:val="center"/>
              <w:rPr>
                <w:color w:val="000000"/>
                <w:sz w:val="20"/>
                <w:szCs w:val="20"/>
              </w:rPr>
            </w:pPr>
            <w:r w:rsidRPr="008D6FDD">
              <w:rPr>
                <w:color w:val="000000"/>
                <w:sz w:val="20"/>
                <w:szCs w:val="20"/>
              </w:rPr>
              <w:t>Perú</w:t>
            </w:r>
          </w:p>
        </w:tc>
      </w:tr>
      <w:tr w:rsidR="00CE4463" w:rsidRPr="008D6FDD" w:rsidTr="00E42C35">
        <w:trPr>
          <w:trHeight w:val="159"/>
        </w:trPr>
        <w:tc>
          <w:tcPr>
            <w:tcW w:w="2011" w:type="dxa"/>
            <w:tcBorders>
              <w:top w:val="nil"/>
              <w:left w:val="nil"/>
              <w:bottom w:val="nil"/>
              <w:right w:val="nil"/>
            </w:tcBorders>
            <w:shd w:val="clear" w:color="auto" w:fill="auto"/>
            <w:noWrap/>
            <w:vAlign w:val="bottom"/>
            <w:hideMark/>
          </w:tcPr>
          <w:p w:rsidR="00CE4463" w:rsidRPr="00B17585" w:rsidRDefault="00CE4463" w:rsidP="008D6FDD">
            <w:pPr>
              <w:spacing w:line="360" w:lineRule="auto"/>
              <w:jc w:val="both"/>
              <w:rPr>
                <w:color w:val="000000"/>
                <w:sz w:val="16"/>
                <w:szCs w:val="16"/>
              </w:rPr>
            </w:pPr>
            <w:r w:rsidRPr="00B17585">
              <w:rPr>
                <w:color w:val="000000"/>
                <w:sz w:val="16"/>
                <w:szCs w:val="16"/>
              </w:rPr>
              <w:t>Fuente: PROEXPORT</w:t>
            </w:r>
          </w:p>
        </w:tc>
        <w:tc>
          <w:tcPr>
            <w:tcW w:w="1711"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both"/>
              <w:rPr>
                <w:color w:val="000000"/>
                <w:sz w:val="20"/>
                <w:szCs w:val="20"/>
              </w:rPr>
            </w:pPr>
          </w:p>
        </w:tc>
        <w:tc>
          <w:tcPr>
            <w:tcW w:w="2994" w:type="dxa"/>
            <w:tcBorders>
              <w:top w:val="nil"/>
              <w:left w:val="nil"/>
              <w:bottom w:val="nil"/>
              <w:right w:val="nil"/>
            </w:tcBorders>
            <w:shd w:val="clear" w:color="auto" w:fill="auto"/>
            <w:noWrap/>
            <w:vAlign w:val="bottom"/>
            <w:hideMark/>
          </w:tcPr>
          <w:p w:rsidR="00CE4463" w:rsidRPr="008D6FDD" w:rsidRDefault="00CE4463" w:rsidP="008D6FDD">
            <w:pPr>
              <w:spacing w:line="360" w:lineRule="auto"/>
              <w:jc w:val="both"/>
              <w:rPr>
                <w:color w:val="000000"/>
                <w:sz w:val="20"/>
                <w:szCs w:val="20"/>
              </w:rPr>
            </w:pPr>
          </w:p>
        </w:tc>
      </w:tr>
    </w:tbl>
    <w:p w:rsidR="00CE4463" w:rsidRDefault="00CE4463" w:rsidP="00CE4463">
      <w:pPr>
        <w:spacing w:line="360" w:lineRule="auto"/>
        <w:jc w:val="center"/>
        <w:rPr>
          <w:lang w:val="es-ES"/>
        </w:rPr>
      </w:pPr>
    </w:p>
    <w:p w:rsidR="00CE4463" w:rsidRDefault="00B17585" w:rsidP="00B17585">
      <w:pPr>
        <w:spacing w:line="360" w:lineRule="auto"/>
        <w:ind w:firstLine="284"/>
        <w:jc w:val="both"/>
        <w:rPr>
          <w:lang w:val="es-ES"/>
        </w:rPr>
      </w:pPr>
      <w:r>
        <w:rPr>
          <w:lang w:val="es-ES"/>
        </w:rPr>
        <w:lastRenderedPageBreak/>
        <w:t xml:space="preserve">De acuerdo con </w:t>
      </w:r>
      <w:proofErr w:type="spellStart"/>
      <w:r>
        <w:rPr>
          <w:lang w:val="es-ES"/>
        </w:rPr>
        <w:t>Porexport</w:t>
      </w:r>
      <w:proofErr w:type="spellEnd"/>
      <w:r>
        <w:rPr>
          <w:lang w:val="es-ES"/>
        </w:rPr>
        <w:t>,  f</w:t>
      </w:r>
      <w:r w:rsidR="00CE4463" w:rsidRPr="006E34FF">
        <w:rPr>
          <w:lang w:val="es-ES"/>
        </w:rPr>
        <w:t>rente al TLC firmado entre Colombia y los Estados Unidos, el Quindío posee 7 nuevas empresas de los sectores: agroindustria, autopartes, muebles y madera, textiles y confecciones, vehículos y de otros medios de transporte, que exportaron hacia Estados Unidos en aprovechamiento de la entrada en vigencia del tratado firmado. Bajo condiciones similares se deben aprovechar las oportunidades de exportación que brindan entre otros, los acuerdos comerciales con</w:t>
      </w:r>
      <w:r>
        <w:rPr>
          <w:lang w:val="es-ES"/>
        </w:rPr>
        <w:t xml:space="preserve"> la Unión Europea y con Canadá.</w:t>
      </w:r>
    </w:p>
    <w:p w:rsidR="00CE4463" w:rsidRDefault="00CE4463" w:rsidP="00CE4463">
      <w:pPr>
        <w:spacing w:line="360" w:lineRule="auto"/>
        <w:jc w:val="center"/>
        <w:rPr>
          <w:lang w:val="es-ES"/>
        </w:rPr>
      </w:pPr>
    </w:p>
    <w:p w:rsidR="00CE2502" w:rsidRDefault="00CE2502" w:rsidP="00CE4463">
      <w:pPr>
        <w:spacing w:line="360" w:lineRule="auto"/>
        <w:jc w:val="center"/>
        <w:rPr>
          <w:lang w:val="es-ES"/>
        </w:rPr>
      </w:pPr>
    </w:p>
    <w:p w:rsidR="00CE4463" w:rsidRPr="00CE2502" w:rsidRDefault="00783A66" w:rsidP="00CE2502">
      <w:pPr>
        <w:rPr>
          <w:lang w:val="es-ES"/>
        </w:rPr>
      </w:pPr>
      <w:r>
        <w:rPr>
          <w:lang w:val="es-ES"/>
        </w:rPr>
        <w:t>Tabla</w:t>
      </w:r>
      <w:r w:rsidR="00CE4463" w:rsidRPr="00CE2502">
        <w:rPr>
          <w:lang w:val="es-ES"/>
        </w:rPr>
        <w:t xml:space="preserve"> 7.5</w:t>
      </w:r>
    </w:p>
    <w:p w:rsidR="00CE4463" w:rsidRPr="00CE2502" w:rsidRDefault="00CE4463" w:rsidP="00CE2502">
      <w:pPr>
        <w:rPr>
          <w:lang w:val="es-ES"/>
        </w:rPr>
      </w:pPr>
      <w:r w:rsidRPr="00CE2502">
        <w:rPr>
          <w:lang w:val="es-ES"/>
        </w:rPr>
        <w:t>Exportaciones por grupos de productos</w:t>
      </w:r>
      <w:r w:rsidR="00CE2502">
        <w:rPr>
          <w:lang w:val="es-ES"/>
        </w:rPr>
        <w:t>. M</w:t>
      </w:r>
      <w:proofErr w:type="spellStart"/>
      <w:r w:rsidR="00CE2502" w:rsidRPr="00872463">
        <w:rPr>
          <w:color w:val="000000"/>
        </w:rPr>
        <w:t>iles</w:t>
      </w:r>
      <w:proofErr w:type="spellEnd"/>
      <w:r w:rsidR="00CE2502" w:rsidRPr="00872463">
        <w:rPr>
          <w:color w:val="000000"/>
        </w:rPr>
        <w:t xml:space="preserve"> de dólares FOB</w:t>
      </w:r>
    </w:p>
    <w:p w:rsidR="00CE4463" w:rsidRDefault="00CE4463" w:rsidP="00CE2502">
      <w:pPr>
        <w:rPr>
          <w:lang w:val="es-ES"/>
        </w:rPr>
      </w:pPr>
      <w:r w:rsidRPr="00CE2502">
        <w:rPr>
          <w:lang w:val="es-ES"/>
        </w:rPr>
        <w:t>2012-2013</w:t>
      </w:r>
    </w:p>
    <w:p w:rsidR="00CE2502" w:rsidRPr="00CE2502" w:rsidRDefault="00CE2502" w:rsidP="00CE2502">
      <w:pPr>
        <w:rPr>
          <w:lang w:val="es-ES"/>
        </w:rPr>
      </w:pPr>
    </w:p>
    <w:tbl>
      <w:tblPr>
        <w:tblW w:w="8594" w:type="dxa"/>
        <w:tblInd w:w="55" w:type="dxa"/>
        <w:tblCellMar>
          <w:left w:w="70" w:type="dxa"/>
          <w:right w:w="70" w:type="dxa"/>
        </w:tblCellMar>
        <w:tblLook w:val="04A0" w:firstRow="1" w:lastRow="0" w:firstColumn="1" w:lastColumn="0" w:noHBand="0" w:noVBand="1"/>
      </w:tblPr>
      <w:tblGrid>
        <w:gridCol w:w="2872"/>
        <w:gridCol w:w="929"/>
        <w:gridCol w:w="1141"/>
        <w:gridCol w:w="1502"/>
        <w:gridCol w:w="2150"/>
      </w:tblGrid>
      <w:tr w:rsidR="00CE4463" w:rsidRPr="00CE2502" w:rsidTr="00335172">
        <w:trPr>
          <w:trHeight w:val="939"/>
        </w:trPr>
        <w:tc>
          <w:tcPr>
            <w:tcW w:w="2872" w:type="dxa"/>
            <w:vMerge w:val="restart"/>
            <w:tcBorders>
              <w:top w:val="single" w:sz="4" w:space="0" w:color="auto"/>
              <w:bottom w:val="single" w:sz="4" w:space="0" w:color="auto"/>
            </w:tcBorders>
            <w:shd w:val="clear" w:color="auto" w:fill="auto"/>
            <w:noWrap/>
            <w:vAlign w:val="center"/>
            <w:hideMark/>
          </w:tcPr>
          <w:p w:rsidR="00CE4463" w:rsidRPr="00CE2502" w:rsidRDefault="00CE4463" w:rsidP="008D6FDD">
            <w:pPr>
              <w:spacing w:line="360" w:lineRule="auto"/>
              <w:jc w:val="both"/>
              <w:rPr>
                <w:b/>
                <w:color w:val="000000"/>
                <w:sz w:val="20"/>
                <w:szCs w:val="20"/>
              </w:rPr>
            </w:pPr>
            <w:r w:rsidRPr="00CE2502">
              <w:rPr>
                <w:b/>
                <w:color w:val="000000"/>
                <w:sz w:val="20"/>
                <w:szCs w:val="20"/>
              </w:rPr>
              <w:t>GRUPOS DE PRODUCTOS</w:t>
            </w:r>
          </w:p>
        </w:tc>
        <w:tc>
          <w:tcPr>
            <w:tcW w:w="2070" w:type="dxa"/>
            <w:gridSpan w:val="2"/>
            <w:tcBorders>
              <w:top w:val="single" w:sz="4" w:space="0" w:color="auto"/>
              <w:bottom w:val="single" w:sz="4" w:space="0" w:color="auto"/>
            </w:tcBorders>
            <w:shd w:val="clear" w:color="auto" w:fill="auto"/>
            <w:noWrap/>
            <w:vAlign w:val="center"/>
            <w:hideMark/>
          </w:tcPr>
          <w:p w:rsidR="00CE4463" w:rsidRPr="00CE2502" w:rsidRDefault="00CE4463" w:rsidP="00CE2502">
            <w:pPr>
              <w:spacing w:line="360" w:lineRule="auto"/>
              <w:jc w:val="center"/>
              <w:rPr>
                <w:b/>
                <w:color w:val="000000"/>
                <w:sz w:val="20"/>
                <w:szCs w:val="20"/>
              </w:rPr>
            </w:pPr>
            <w:r w:rsidRPr="00CE2502">
              <w:rPr>
                <w:b/>
                <w:color w:val="000000"/>
                <w:sz w:val="20"/>
                <w:szCs w:val="20"/>
              </w:rPr>
              <w:t>AÑO</w:t>
            </w:r>
          </w:p>
        </w:tc>
        <w:tc>
          <w:tcPr>
            <w:tcW w:w="1502" w:type="dxa"/>
            <w:vMerge w:val="restart"/>
            <w:tcBorders>
              <w:top w:val="single" w:sz="4" w:space="0" w:color="auto"/>
              <w:bottom w:val="single" w:sz="4" w:space="0" w:color="auto"/>
            </w:tcBorders>
            <w:shd w:val="clear" w:color="auto" w:fill="auto"/>
            <w:vAlign w:val="center"/>
            <w:hideMark/>
          </w:tcPr>
          <w:p w:rsidR="00CE4463" w:rsidRPr="00CE2502" w:rsidRDefault="00CE4463" w:rsidP="00CE2502">
            <w:pPr>
              <w:spacing w:line="360" w:lineRule="auto"/>
              <w:jc w:val="center"/>
              <w:rPr>
                <w:b/>
                <w:color w:val="000000"/>
                <w:sz w:val="20"/>
                <w:szCs w:val="20"/>
              </w:rPr>
            </w:pPr>
            <w:r w:rsidRPr="00CE2502">
              <w:rPr>
                <w:b/>
                <w:color w:val="000000"/>
                <w:sz w:val="20"/>
                <w:szCs w:val="20"/>
              </w:rPr>
              <w:t>VARIACIÓN %</w:t>
            </w:r>
          </w:p>
        </w:tc>
        <w:tc>
          <w:tcPr>
            <w:tcW w:w="2150" w:type="dxa"/>
            <w:vMerge w:val="restart"/>
            <w:tcBorders>
              <w:top w:val="single" w:sz="4" w:space="0" w:color="auto"/>
              <w:bottom w:val="single" w:sz="4" w:space="0" w:color="auto"/>
            </w:tcBorders>
            <w:shd w:val="clear" w:color="auto" w:fill="auto"/>
            <w:vAlign w:val="center"/>
            <w:hideMark/>
          </w:tcPr>
          <w:p w:rsidR="00CE4463" w:rsidRPr="00CE2502" w:rsidRDefault="00CE4463" w:rsidP="00CE2502">
            <w:pPr>
              <w:spacing w:line="360" w:lineRule="auto"/>
              <w:jc w:val="center"/>
              <w:rPr>
                <w:b/>
                <w:color w:val="000000"/>
                <w:sz w:val="20"/>
                <w:szCs w:val="20"/>
              </w:rPr>
            </w:pPr>
            <w:r w:rsidRPr="00CE2502">
              <w:rPr>
                <w:b/>
                <w:color w:val="000000"/>
                <w:sz w:val="20"/>
                <w:szCs w:val="20"/>
              </w:rPr>
              <w:t>PARCTICIPACIÓN % 2013</w:t>
            </w:r>
          </w:p>
        </w:tc>
      </w:tr>
      <w:tr w:rsidR="00CE4463" w:rsidRPr="00CE2502" w:rsidTr="00335172">
        <w:trPr>
          <w:trHeight w:val="506"/>
        </w:trPr>
        <w:tc>
          <w:tcPr>
            <w:tcW w:w="2872" w:type="dxa"/>
            <w:vMerge/>
            <w:tcBorders>
              <w:top w:val="single" w:sz="4" w:space="0" w:color="auto"/>
              <w:bottom w:val="single" w:sz="4" w:space="0" w:color="auto"/>
            </w:tcBorders>
            <w:vAlign w:val="center"/>
            <w:hideMark/>
          </w:tcPr>
          <w:p w:rsidR="00CE4463" w:rsidRPr="00CE2502" w:rsidRDefault="00CE4463" w:rsidP="008D6FDD">
            <w:pPr>
              <w:spacing w:line="360" w:lineRule="auto"/>
              <w:jc w:val="both"/>
              <w:rPr>
                <w:color w:val="000000"/>
                <w:sz w:val="20"/>
                <w:szCs w:val="20"/>
              </w:rPr>
            </w:pPr>
          </w:p>
        </w:tc>
        <w:tc>
          <w:tcPr>
            <w:tcW w:w="929" w:type="dxa"/>
            <w:tcBorders>
              <w:top w:val="single" w:sz="4" w:space="0" w:color="auto"/>
              <w:bottom w:val="single" w:sz="4" w:space="0" w:color="auto"/>
            </w:tcBorders>
            <w:shd w:val="clear" w:color="auto" w:fill="auto"/>
            <w:noWrap/>
            <w:vAlign w:val="center"/>
            <w:hideMark/>
          </w:tcPr>
          <w:p w:rsidR="00CE4463" w:rsidRPr="00CE2502" w:rsidRDefault="00CE4463" w:rsidP="00CE2502">
            <w:pPr>
              <w:spacing w:line="360" w:lineRule="auto"/>
              <w:jc w:val="center"/>
              <w:rPr>
                <w:b/>
                <w:color w:val="000000"/>
                <w:sz w:val="20"/>
                <w:szCs w:val="20"/>
              </w:rPr>
            </w:pPr>
            <w:r w:rsidRPr="00CE2502">
              <w:rPr>
                <w:b/>
                <w:color w:val="000000"/>
                <w:sz w:val="20"/>
                <w:szCs w:val="20"/>
              </w:rPr>
              <w:t>2012</w:t>
            </w:r>
          </w:p>
        </w:tc>
        <w:tc>
          <w:tcPr>
            <w:tcW w:w="1141" w:type="dxa"/>
            <w:tcBorders>
              <w:top w:val="single" w:sz="4" w:space="0" w:color="auto"/>
              <w:bottom w:val="single" w:sz="4" w:space="0" w:color="auto"/>
            </w:tcBorders>
            <w:shd w:val="clear" w:color="auto" w:fill="auto"/>
            <w:noWrap/>
            <w:vAlign w:val="center"/>
            <w:hideMark/>
          </w:tcPr>
          <w:p w:rsidR="00CE4463" w:rsidRPr="00CE2502" w:rsidRDefault="00CE4463" w:rsidP="00CE2502">
            <w:pPr>
              <w:spacing w:line="360" w:lineRule="auto"/>
              <w:jc w:val="center"/>
              <w:rPr>
                <w:b/>
                <w:color w:val="000000"/>
                <w:sz w:val="20"/>
                <w:szCs w:val="20"/>
              </w:rPr>
            </w:pPr>
            <w:r w:rsidRPr="00CE2502">
              <w:rPr>
                <w:b/>
                <w:color w:val="000000"/>
                <w:sz w:val="20"/>
                <w:szCs w:val="20"/>
              </w:rPr>
              <w:t>2013</w:t>
            </w:r>
          </w:p>
        </w:tc>
        <w:tc>
          <w:tcPr>
            <w:tcW w:w="1502" w:type="dxa"/>
            <w:vMerge/>
            <w:tcBorders>
              <w:bottom w:val="single" w:sz="4" w:space="0" w:color="auto"/>
            </w:tcBorders>
            <w:vAlign w:val="center"/>
            <w:hideMark/>
          </w:tcPr>
          <w:p w:rsidR="00CE4463" w:rsidRPr="00CE2502" w:rsidRDefault="00CE4463" w:rsidP="008D6FDD">
            <w:pPr>
              <w:spacing w:line="360" w:lineRule="auto"/>
              <w:jc w:val="both"/>
              <w:rPr>
                <w:color w:val="000000"/>
                <w:sz w:val="20"/>
                <w:szCs w:val="20"/>
              </w:rPr>
            </w:pPr>
          </w:p>
        </w:tc>
        <w:tc>
          <w:tcPr>
            <w:tcW w:w="2150" w:type="dxa"/>
            <w:vMerge/>
            <w:tcBorders>
              <w:bottom w:val="single" w:sz="4" w:space="0" w:color="auto"/>
            </w:tcBorders>
            <w:vAlign w:val="center"/>
            <w:hideMark/>
          </w:tcPr>
          <w:p w:rsidR="00CE4463" w:rsidRPr="00CE2502" w:rsidRDefault="00CE4463" w:rsidP="008D6FDD">
            <w:pPr>
              <w:spacing w:line="360" w:lineRule="auto"/>
              <w:jc w:val="both"/>
              <w:rPr>
                <w:color w:val="000000"/>
                <w:sz w:val="20"/>
                <w:szCs w:val="20"/>
              </w:rPr>
            </w:pPr>
          </w:p>
        </w:tc>
      </w:tr>
      <w:tr w:rsidR="00CE4463" w:rsidRPr="00CE2502" w:rsidTr="00335172">
        <w:trPr>
          <w:trHeight w:val="506"/>
        </w:trPr>
        <w:tc>
          <w:tcPr>
            <w:tcW w:w="2872" w:type="dxa"/>
            <w:tcBorders>
              <w:top w:val="single" w:sz="4" w:space="0" w:color="auto"/>
            </w:tcBorders>
            <w:shd w:val="clear" w:color="auto" w:fill="auto"/>
            <w:noWrap/>
            <w:vAlign w:val="center"/>
            <w:hideMark/>
          </w:tcPr>
          <w:p w:rsidR="00CE4463" w:rsidRPr="00CE2502" w:rsidRDefault="00CE4463" w:rsidP="008D6FDD">
            <w:pPr>
              <w:spacing w:line="360" w:lineRule="auto"/>
              <w:jc w:val="both"/>
              <w:rPr>
                <w:bCs/>
                <w:color w:val="000000"/>
                <w:sz w:val="20"/>
                <w:szCs w:val="20"/>
              </w:rPr>
            </w:pPr>
            <w:r w:rsidRPr="00CE2502">
              <w:rPr>
                <w:bCs/>
                <w:color w:val="000000"/>
                <w:sz w:val="20"/>
                <w:szCs w:val="20"/>
              </w:rPr>
              <w:t>No Minero -energético</w:t>
            </w:r>
          </w:p>
        </w:tc>
        <w:tc>
          <w:tcPr>
            <w:tcW w:w="929" w:type="dxa"/>
            <w:tcBorders>
              <w:top w:val="single" w:sz="4" w:space="0" w:color="auto"/>
            </w:tcBorders>
            <w:shd w:val="clear" w:color="auto" w:fill="auto"/>
            <w:noWrap/>
            <w:vAlign w:val="center"/>
            <w:hideMark/>
          </w:tcPr>
          <w:p w:rsidR="00CE4463" w:rsidRPr="00CE2502" w:rsidRDefault="00CE4463" w:rsidP="00CE2502">
            <w:pPr>
              <w:spacing w:line="360" w:lineRule="auto"/>
              <w:jc w:val="center"/>
              <w:rPr>
                <w:bCs/>
                <w:color w:val="000000"/>
                <w:sz w:val="20"/>
                <w:szCs w:val="20"/>
              </w:rPr>
            </w:pPr>
            <w:r w:rsidRPr="00CE2502">
              <w:rPr>
                <w:bCs/>
                <w:color w:val="000000"/>
                <w:sz w:val="20"/>
                <w:szCs w:val="20"/>
              </w:rPr>
              <w:t>163.951</w:t>
            </w:r>
          </w:p>
        </w:tc>
        <w:tc>
          <w:tcPr>
            <w:tcW w:w="1141" w:type="dxa"/>
            <w:tcBorders>
              <w:top w:val="single" w:sz="4" w:space="0" w:color="auto"/>
            </w:tcBorders>
            <w:shd w:val="clear" w:color="auto" w:fill="auto"/>
            <w:noWrap/>
            <w:vAlign w:val="center"/>
            <w:hideMark/>
          </w:tcPr>
          <w:p w:rsidR="00CE4463" w:rsidRPr="00CE2502" w:rsidRDefault="00CE4463" w:rsidP="00CE2502">
            <w:pPr>
              <w:spacing w:line="360" w:lineRule="auto"/>
              <w:jc w:val="center"/>
              <w:rPr>
                <w:bCs/>
                <w:color w:val="000000"/>
                <w:sz w:val="20"/>
                <w:szCs w:val="20"/>
              </w:rPr>
            </w:pPr>
            <w:r w:rsidRPr="00CE2502">
              <w:rPr>
                <w:bCs/>
                <w:color w:val="000000"/>
                <w:sz w:val="20"/>
                <w:szCs w:val="20"/>
              </w:rPr>
              <w:t>207.040</w:t>
            </w:r>
          </w:p>
        </w:tc>
        <w:tc>
          <w:tcPr>
            <w:tcW w:w="1502" w:type="dxa"/>
            <w:tcBorders>
              <w:top w:val="single" w:sz="4" w:space="0" w:color="auto"/>
            </w:tcBorders>
            <w:shd w:val="clear" w:color="auto" w:fill="auto"/>
            <w:noWrap/>
            <w:vAlign w:val="center"/>
            <w:hideMark/>
          </w:tcPr>
          <w:p w:rsidR="00CE4463" w:rsidRPr="00CE2502" w:rsidRDefault="00CE4463" w:rsidP="00CE2502">
            <w:pPr>
              <w:spacing w:line="360" w:lineRule="auto"/>
              <w:jc w:val="center"/>
              <w:rPr>
                <w:bCs/>
                <w:color w:val="000000"/>
                <w:sz w:val="20"/>
                <w:szCs w:val="20"/>
              </w:rPr>
            </w:pPr>
            <w:r w:rsidRPr="00CE2502">
              <w:rPr>
                <w:bCs/>
                <w:color w:val="000000"/>
                <w:sz w:val="20"/>
                <w:szCs w:val="20"/>
              </w:rPr>
              <w:t>26,30%</w:t>
            </w:r>
          </w:p>
        </w:tc>
        <w:tc>
          <w:tcPr>
            <w:tcW w:w="2150" w:type="dxa"/>
            <w:tcBorders>
              <w:top w:val="single" w:sz="4" w:space="0" w:color="auto"/>
            </w:tcBorders>
            <w:shd w:val="clear" w:color="auto" w:fill="auto"/>
            <w:noWrap/>
            <w:vAlign w:val="center"/>
            <w:hideMark/>
          </w:tcPr>
          <w:p w:rsidR="00CE4463" w:rsidRPr="00CE2502" w:rsidRDefault="00CE4463" w:rsidP="00CE2502">
            <w:pPr>
              <w:spacing w:line="360" w:lineRule="auto"/>
              <w:jc w:val="center"/>
              <w:rPr>
                <w:bCs/>
                <w:color w:val="000000"/>
                <w:sz w:val="20"/>
                <w:szCs w:val="20"/>
              </w:rPr>
            </w:pPr>
            <w:r w:rsidRPr="00CE2502">
              <w:rPr>
                <w:bCs/>
                <w:color w:val="000000"/>
                <w:sz w:val="20"/>
                <w:szCs w:val="20"/>
              </w:rPr>
              <w:t>100,00%</w:t>
            </w:r>
          </w:p>
        </w:tc>
      </w:tr>
      <w:tr w:rsidR="00CE4463" w:rsidRPr="00CE2502" w:rsidTr="00335172">
        <w:trPr>
          <w:trHeight w:val="506"/>
        </w:trPr>
        <w:tc>
          <w:tcPr>
            <w:tcW w:w="2872" w:type="dxa"/>
            <w:shd w:val="clear" w:color="auto" w:fill="auto"/>
            <w:noWrap/>
            <w:vAlign w:val="center"/>
            <w:hideMark/>
          </w:tcPr>
          <w:p w:rsidR="00CE4463" w:rsidRPr="00CE2502" w:rsidRDefault="00CE4463" w:rsidP="008D6FDD">
            <w:pPr>
              <w:spacing w:line="360" w:lineRule="auto"/>
              <w:jc w:val="both"/>
              <w:rPr>
                <w:color w:val="000000"/>
                <w:sz w:val="20"/>
                <w:szCs w:val="20"/>
              </w:rPr>
            </w:pPr>
            <w:r w:rsidRPr="00CE2502">
              <w:rPr>
                <w:color w:val="000000"/>
                <w:sz w:val="20"/>
                <w:szCs w:val="20"/>
              </w:rPr>
              <w:t>Agropecuarios</w:t>
            </w:r>
          </w:p>
        </w:tc>
        <w:tc>
          <w:tcPr>
            <w:tcW w:w="929"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160.012</w:t>
            </w:r>
          </w:p>
        </w:tc>
        <w:tc>
          <w:tcPr>
            <w:tcW w:w="1141"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202.779</w:t>
            </w:r>
          </w:p>
        </w:tc>
        <w:tc>
          <w:tcPr>
            <w:tcW w:w="1502"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26,70%</w:t>
            </w:r>
          </w:p>
        </w:tc>
        <w:tc>
          <w:tcPr>
            <w:tcW w:w="2150"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97,90%</w:t>
            </w:r>
          </w:p>
        </w:tc>
      </w:tr>
      <w:tr w:rsidR="00CE4463" w:rsidRPr="00CE2502" w:rsidTr="00335172">
        <w:trPr>
          <w:trHeight w:val="506"/>
        </w:trPr>
        <w:tc>
          <w:tcPr>
            <w:tcW w:w="2872" w:type="dxa"/>
            <w:shd w:val="clear" w:color="auto" w:fill="auto"/>
            <w:noWrap/>
            <w:vAlign w:val="center"/>
            <w:hideMark/>
          </w:tcPr>
          <w:p w:rsidR="00CE4463" w:rsidRPr="00CE2502" w:rsidRDefault="00CE4463" w:rsidP="008D6FDD">
            <w:pPr>
              <w:spacing w:line="360" w:lineRule="auto"/>
              <w:jc w:val="both"/>
              <w:rPr>
                <w:color w:val="000000"/>
                <w:sz w:val="20"/>
                <w:szCs w:val="20"/>
              </w:rPr>
            </w:pPr>
            <w:r w:rsidRPr="00CE2502">
              <w:rPr>
                <w:color w:val="000000"/>
                <w:sz w:val="20"/>
                <w:szCs w:val="20"/>
              </w:rPr>
              <w:t>Agroindustriales</w:t>
            </w:r>
          </w:p>
        </w:tc>
        <w:tc>
          <w:tcPr>
            <w:tcW w:w="929"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855</w:t>
            </w:r>
          </w:p>
        </w:tc>
        <w:tc>
          <w:tcPr>
            <w:tcW w:w="1141"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580</w:t>
            </w:r>
          </w:p>
        </w:tc>
        <w:tc>
          <w:tcPr>
            <w:tcW w:w="1502"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-32,20%</w:t>
            </w:r>
          </w:p>
        </w:tc>
        <w:tc>
          <w:tcPr>
            <w:tcW w:w="2150"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0,30%</w:t>
            </w:r>
          </w:p>
        </w:tc>
      </w:tr>
      <w:tr w:rsidR="00CE4463" w:rsidRPr="00CE2502" w:rsidTr="00335172">
        <w:trPr>
          <w:trHeight w:val="506"/>
        </w:trPr>
        <w:tc>
          <w:tcPr>
            <w:tcW w:w="2872" w:type="dxa"/>
            <w:shd w:val="clear" w:color="auto" w:fill="auto"/>
            <w:noWrap/>
            <w:vAlign w:val="center"/>
            <w:hideMark/>
          </w:tcPr>
          <w:p w:rsidR="00CE4463" w:rsidRPr="00CE2502" w:rsidRDefault="00CE4463" w:rsidP="008D6FDD">
            <w:pPr>
              <w:spacing w:line="360" w:lineRule="auto"/>
              <w:jc w:val="both"/>
              <w:rPr>
                <w:color w:val="000000"/>
                <w:sz w:val="20"/>
                <w:szCs w:val="20"/>
              </w:rPr>
            </w:pPr>
            <w:r w:rsidRPr="00CE2502">
              <w:rPr>
                <w:color w:val="000000"/>
                <w:sz w:val="20"/>
                <w:szCs w:val="20"/>
              </w:rPr>
              <w:t>Industria liviana</w:t>
            </w:r>
          </w:p>
        </w:tc>
        <w:tc>
          <w:tcPr>
            <w:tcW w:w="929"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2.701</w:t>
            </w:r>
          </w:p>
        </w:tc>
        <w:tc>
          <w:tcPr>
            <w:tcW w:w="1141"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1.817</w:t>
            </w:r>
          </w:p>
        </w:tc>
        <w:tc>
          <w:tcPr>
            <w:tcW w:w="1502"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-32,70%</w:t>
            </w:r>
          </w:p>
        </w:tc>
        <w:tc>
          <w:tcPr>
            <w:tcW w:w="2150"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0,90%</w:t>
            </w:r>
          </w:p>
        </w:tc>
      </w:tr>
      <w:tr w:rsidR="00CE4463" w:rsidRPr="00CE2502" w:rsidTr="00335172">
        <w:trPr>
          <w:trHeight w:val="506"/>
        </w:trPr>
        <w:tc>
          <w:tcPr>
            <w:tcW w:w="2872" w:type="dxa"/>
            <w:shd w:val="clear" w:color="auto" w:fill="auto"/>
            <w:noWrap/>
            <w:vAlign w:val="center"/>
            <w:hideMark/>
          </w:tcPr>
          <w:p w:rsidR="00CE4463" w:rsidRPr="00CE2502" w:rsidRDefault="00CE4463" w:rsidP="008D6FDD">
            <w:pPr>
              <w:spacing w:line="360" w:lineRule="auto"/>
              <w:jc w:val="both"/>
              <w:rPr>
                <w:color w:val="000000"/>
                <w:sz w:val="20"/>
                <w:szCs w:val="20"/>
              </w:rPr>
            </w:pPr>
            <w:r w:rsidRPr="00CE2502">
              <w:rPr>
                <w:color w:val="000000"/>
                <w:sz w:val="20"/>
                <w:szCs w:val="20"/>
              </w:rPr>
              <w:t>Industria básica</w:t>
            </w:r>
          </w:p>
        </w:tc>
        <w:tc>
          <w:tcPr>
            <w:tcW w:w="929"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52</w:t>
            </w:r>
          </w:p>
        </w:tc>
        <w:tc>
          <w:tcPr>
            <w:tcW w:w="1141"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1.327</w:t>
            </w:r>
          </w:p>
        </w:tc>
        <w:tc>
          <w:tcPr>
            <w:tcW w:w="1502" w:type="dxa"/>
            <w:shd w:val="clear" w:color="auto" w:fill="auto"/>
            <w:noWrap/>
            <w:vAlign w:val="center"/>
            <w:hideMark/>
          </w:tcPr>
          <w:p w:rsidR="00CE4463" w:rsidRPr="00CE2502" w:rsidRDefault="003458C3" w:rsidP="00CE2502">
            <w:pPr>
              <w:spacing w:line="360" w:lineRule="auto"/>
              <w:jc w:val="center"/>
              <w:rPr>
                <w:color w:val="000000"/>
                <w:sz w:val="20"/>
                <w:szCs w:val="20"/>
              </w:rPr>
            </w:pPr>
            <w:r>
              <w:rPr>
                <w:color w:val="000000"/>
                <w:sz w:val="20"/>
                <w:szCs w:val="20"/>
              </w:rPr>
              <w:t>2452</w:t>
            </w:r>
            <w:r w:rsidR="00CE4463" w:rsidRPr="00CE2502">
              <w:rPr>
                <w:color w:val="000000"/>
                <w:sz w:val="20"/>
                <w:szCs w:val="20"/>
              </w:rPr>
              <w:t>%</w:t>
            </w:r>
          </w:p>
        </w:tc>
        <w:tc>
          <w:tcPr>
            <w:tcW w:w="2150"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0,60%</w:t>
            </w:r>
          </w:p>
        </w:tc>
      </w:tr>
      <w:tr w:rsidR="00CE4463" w:rsidRPr="00CE2502" w:rsidTr="00335172">
        <w:trPr>
          <w:trHeight w:val="506"/>
        </w:trPr>
        <w:tc>
          <w:tcPr>
            <w:tcW w:w="2872" w:type="dxa"/>
            <w:shd w:val="clear" w:color="auto" w:fill="auto"/>
            <w:noWrap/>
            <w:vAlign w:val="center"/>
            <w:hideMark/>
          </w:tcPr>
          <w:p w:rsidR="00CE4463" w:rsidRPr="00CE2502" w:rsidRDefault="00CE4463" w:rsidP="008D6FDD">
            <w:pPr>
              <w:spacing w:line="360" w:lineRule="auto"/>
              <w:jc w:val="both"/>
              <w:rPr>
                <w:color w:val="000000"/>
                <w:sz w:val="20"/>
                <w:szCs w:val="20"/>
              </w:rPr>
            </w:pPr>
            <w:r w:rsidRPr="00CE2502">
              <w:rPr>
                <w:color w:val="000000"/>
                <w:sz w:val="20"/>
                <w:szCs w:val="20"/>
              </w:rPr>
              <w:t>Maquinaria y equipo</w:t>
            </w:r>
          </w:p>
        </w:tc>
        <w:tc>
          <w:tcPr>
            <w:tcW w:w="929"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316</w:t>
            </w:r>
          </w:p>
        </w:tc>
        <w:tc>
          <w:tcPr>
            <w:tcW w:w="1141"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533</w:t>
            </w:r>
          </w:p>
        </w:tc>
        <w:tc>
          <w:tcPr>
            <w:tcW w:w="1502"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68,70%</w:t>
            </w:r>
          </w:p>
        </w:tc>
        <w:tc>
          <w:tcPr>
            <w:tcW w:w="2150"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0,30%</w:t>
            </w:r>
          </w:p>
        </w:tc>
      </w:tr>
      <w:tr w:rsidR="00CE4463" w:rsidRPr="00CE2502" w:rsidTr="00335172">
        <w:trPr>
          <w:trHeight w:val="605"/>
        </w:trPr>
        <w:tc>
          <w:tcPr>
            <w:tcW w:w="2872" w:type="dxa"/>
            <w:shd w:val="clear" w:color="auto" w:fill="auto"/>
            <w:noWrap/>
            <w:vAlign w:val="center"/>
            <w:hideMark/>
          </w:tcPr>
          <w:p w:rsidR="00CE4463" w:rsidRPr="00CE2502" w:rsidRDefault="00CE4463" w:rsidP="008D6FDD">
            <w:pPr>
              <w:spacing w:line="360" w:lineRule="auto"/>
              <w:jc w:val="both"/>
              <w:rPr>
                <w:color w:val="000000"/>
                <w:sz w:val="20"/>
                <w:szCs w:val="20"/>
              </w:rPr>
            </w:pPr>
            <w:r w:rsidRPr="00CE2502">
              <w:rPr>
                <w:color w:val="000000"/>
                <w:sz w:val="20"/>
                <w:szCs w:val="20"/>
              </w:rPr>
              <w:t>Industria Automotriz</w:t>
            </w:r>
          </w:p>
        </w:tc>
        <w:tc>
          <w:tcPr>
            <w:tcW w:w="929"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w:t>
            </w:r>
          </w:p>
        </w:tc>
        <w:tc>
          <w:tcPr>
            <w:tcW w:w="1141"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4</w:t>
            </w:r>
          </w:p>
        </w:tc>
        <w:tc>
          <w:tcPr>
            <w:tcW w:w="1502"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0,00%</w:t>
            </w:r>
          </w:p>
        </w:tc>
        <w:tc>
          <w:tcPr>
            <w:tcW w:w="2150" w:type="dxa"/>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0,00%</w:t>
            </w:r>
          </w:p>
        </w:tc>
      </w:tr>
      <w:tr w:rsidR="00CE4463" w:rsidRPr="00CE2502" w:rsidTr="00335172">
        <w:trPr>
          <w:trHeight w:val="176"/>
        </w:trPr>
        <w:tc>
          <w:tcPr>
            <w:tcW w:w="2872" w:type="dxa"/>
            <w:tcBorders>
              <w:bottom w:val="single" w:sz="4" w:space="0" w:color="auto"/>
            </w:tcBorders>
            <w:shd w:val="clear" w:color="auto" w:fill="auto"/>
            <w:noWrap/>
            <w:vAlign w:val="center"/>
            <w:hideMark/>
          </w:tcPr>
          <w:p w:rsidR="00CE4463" w:rsidRPr="00CE2502" w:rsidRDefault="00CE4463" w:rsidP="008D6FDD">
            <w:pPr>
              <w:spacing w:line="360" w:lineRule="auto"/>
              <w:jc w:val="both"/>
              <w:rPr>
                <w:color w:val="000000"/>
                <w:sz w:val="20"/>
                <w:szCs w:val="20"/>
              </w:rPr>
            </w:pPr>
            <w:r w:rsidRPr="00CE2502">
              <w:rPr>
                <w:color w:val="000000"/>
                <w:sz w:val="20"/>
                <w:szCs w:val="20"/>
              </w:rPr>
              <w:t>demás productos</w:t>
            </w:r>
          </w:p>
        </w:tc>
        <w:tc>
          <w:tcPr>
            <w:tcW w:w="929" w:type="dxa"/>
            <w:tcBorders>
              <w:bottom w:val="single" w:sz="4" w:space="0" w:color="auto"/>
            </w:tcBorders>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15</w:t>
            </w:r>
          </w:p>
        </w:tc>
        <w:tc>
          <w:tcPr>
            <w:tcW w:w="1141" w:type="dxa"/>
            <w:tcBorders>
              <w:bottom w:val="single" w:sz="4" w:space="0" w:color="auto"/>
            </w:tcBorders>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w:t>
            </w:r>
          </w:p>
        </w:tc>
        <w:tc>
          <w:tcPr>
            <w:tcW w:w="1502" w:type="dxa"/>
            <w:tcBorders>
              <w:bottom w:val="single" w:sz="4" w:space="0" w:color="auto"/>
            </w:tcBorders>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-100,00%</w:t>
            </w:r>
          </w:p>
        </w:tc>
        <w:tc>
          <w:tcPr>
            <w:tcW w:w="2150" w:type="dxa"/>
            <w:tcBorders>
              <w:bottom w:val="single" w:sz="4" w:space="0" w:color="auto"/>
            </w:tcBorders>
            <w:shd w:val="clear" w:color="auto" w:fill="auto"/>
            <w:noWrap/>
            <w:vAlign w:val="center"/>
            <w:hideMark/>
          </w:tcPr>
          <w:p w:rsidR="00CE4463" w:rsidRPr="00CE2502" w:rsidRDefault="00CE4463" w:rsidP="00CE2502">
            <w:pPr>
              <w:spacing w:line="360" w:lineRule="auto"/>
              <w:jc w:val="center"/>
              <w:rPr>
                <w:color w:val="000000"/>
                <w:sz w:val="20"/>
                <w:szCs w:val="20"/>
              </w:rPr>
            </w:pPr>
            <w:r w:rsidRPr="00CE2502">
              <w:rPr>
                <w:color w:val="000000"/>
                <w:sz w:val="20"/>
                <w:szCs w:val="20"/>
              </w:rPr>
              <w:t>0,00%</w:t>
            </w:r>
          </w:p>
        </w:tc>
      </w:tr>
    </w:tbl>
    <w:p w:rsidR="00652C28" w:rsidRPr="00652C28" w:rsidRDefault="00652C28" w:rsidP="00652C28">
      <w:pPr>
        <w:jc w:val="both"/>
        <w:rPr>
          <w:color w:val="000000"/>
          <w:sz w:val="16"/>
          <w:szCs w:val="16"/>
        </w:rPr>
      </w:pPr>
      <w:r w:rsidRPr="00652C28">
        <w:rPr>
          <w:color w:val="000000"/>
          <w:sz w:val="16"/>
          <w:szCs w:val="16"/>
        </w:rPr>
        <w:t xml:space="preserve">Fuente: </w:t>
      </w:r>
      <w:r w:rsidR="008F5FB2">
        <w:rPr>
          <w:color w:val="000000"/>
          <w:sz w:val="16"/>
          <w:szCs w:val="16"/>
        </w:rPr>
        <w:t>DANE</w:t>
      </w:r>
      <w:r w:rsidRPr="00652C28">
        <w:rPr>
          <w:color w:val="000000"/>
          <w:sz w:val="16"/>
          <w:szCs w:val="16"/>
        </w:rPr>
        <w:t xml:space="preserve"> - DIAN. Cálculos OEE MINCIT.</w:t>
      </w:r>
    </w:p>
    <w:p w:rsidR="00652C28" w:rsidRPr="00652C28" w:rsidRDefault="00652C28" w:rsidP="00652C28">
      <w:pPr>
        <w:jc w:val="both"/>
        <w:rPr>
          <w:color w:val="000000"/>
          <w:sz w:val="16"/>
          <w:szCs w:val="16"/>
        </w:rPr>
      </w:pPr>
      <w:r w:rsidRPr="00652C28">
        <w:rPr>
          <w:color w:val="000000"/>
          <w:sz w:val="16"/>
          <w:szCs w:val="16"/>
        </w:rPr>
        <w:t>Nota: según clasificación Ministerio de Comercio, Industria y Turismo</w:t>
      </w:r>
    </w:p>
    <w:p w:rsidR="00652C28" w:rsidRDefault="00652C28" w:rsidP="00652C28">
      <w:pPr>
        <w:spacing w:line="360" w:lineRule="auto"/>
        <w:jc w:val="both"/>
        <w:rPr>
          <w:color w:val="000000"/>
          <w:sz w:val="20"/>
          <w:szCs w:val="20"/>
        </w:rPr>
      </w:pPr>
    </w:p>
    <w:p w:rsidR="00652C28" w:rsidRDefault="00652C28" w:rsidP="00652C28">
      <w:pPr>
        <w:spacing w:line="360" w:lineRule="auto"/>
        <w:jc w:val="both"/>
        <w:rPr>
          <w:color w:val="000000"/>
          <w:sz w:val="20"/>
          <w:szCs w:val="20"/>
        </w:rPr>
      </w:pPr>
    </w:p>
    <w:p w:rsidR="00F31846" w:rsidRDefault="00F31846" w:rsidP="00652C28">
      <w:pPr>
        <w:spacing w:line="360" w:lineRule="auto"/>
        <w:jc w:val="both"/>
        <w:rPr>
          <w:color w:val="000000"/>
          <w:sz w:val="20"/>
          <w:szCs w:val="20"/>
        </w:rPr>
      </w:pPr>
    </w:p>
    <w:p w:rsidR="00F31846" w:rsidRDefault="00F31846" w:rsidP="00652C28">
      <w:pPr>
        <w:spacing w:line="360" w:lineRule="auto"/>
        <w:jc w:val="both"/>
        <w:rPr>
          <w:color w:val="000000"/>
          <w:sz w:val="20"/>
          <w:szCs w:val="20"/>
        </w:rPr>
      </w:pPr>
    </w:p>
    <w:p w:rsidR="00F31846" w:rsidRDefault="00F31846" w:rsidP="00652C28">
      <w:pPr>
        <w:spacing w:line="360" w:lineRule="auto"/>
        <w:jc w:val="both"/>
        <w:rPr>
          <w:color w:val="000000"/>
          <w:sz w:val="20"/>
          <w:szCs w:val="20"/>
        </w:rPr>
      </w:pPr>
    </w:p>
    <w:p w:rsidR="00F31846" w:rsidRDefault="00F31846" w:rsidP="00652C28">
      <w:pPr>
        <w:spacing w:line="360" w:lineRule="auto"/>
        <w:jc w:val="both"/>
        <w:rPr>
          <w:color w:val="000000"/>
          <w:sz w:val="20"/>
          <w:szCs w:val="20"/>
        </w:rPr>
      </w:pPr>
    </w:p>
    <w:p w:rsidR="00652C28" w:rsidRPr="00672327" w:rsidRDefault="00652C28" w:rsidP="00672327">
      <w:pPr>
        <w:jc w:val="both"/>
        <w:rPr>
          <w:color w:val="000000"/>
          <w:szCs w:val="20"/>
        </w:rPr>
      </w:pPr>
      <w:r w:rsidRPr="00672327">
        <w:rPr>
          <w:color w:val="000000"/>
          <w:szCs w:val="20"/>
        </w:rPr>
        <w:lastRenderedPageBreak/>
        <w:t>Gráfico 7.4</w:t>
      </w:r>
    </w:p>
    <w:p w:rsidR="00672327" w:rsidRDefault="00652C28" w:rsidP="00672327">
      <w:pPr>
        <w:jc w:val="both"/>
        <w:rPr>
          <w:color w:val="000000"/>
          <w:szCs w:val="20"/>
        </w:rPr>
      </w:pPr>
      <w:r w:rsidRPr="00672327">
        <w:rPr>
          <w:color w:val="000000"/>
          <w:szCs w:val="20"/>
        </w:rPr>
        <w:t xml:space="preserve">Participación </w:t>
      </w:r>
      <w:r w:rsidR="00672327" w:rsidRPr="00672327">
        <w:rPr>
          <w:color w:val="000000"/>
          <w:szCs w:val="20"/>
        </w:rPr>
        <w:t>% según grupo de productos.</w:t>
      </w:r>
    </w:p>
    <w:p w:rsidR="00652C28" w:rsidRPr="00672327" w:rsidRDefault="00672327" w:rsidP="00672327">
      <w:pPr>
        <w:jc w:val="both"/>
        <w:rPr>
          <w:color w:val="000000"/>
          <w:szCs w:val="20"/>
        </w:rPr>
      </w:pPr>
      <w:r w:rsidRPr="00672327">
        <w:rPr>
          <w:color w:val="000000"/>
          <w:szCs w:val="20"/>
        </w:rPr>
        <w:t>2013</w:t>
      </w:r>
    </w:p>
    <w:p w:rsidR="00652C28" w:rsidRDefault="00652C28" w:rsidP="00652C28">
      <w:pPr>
        <w:spacing w:line="360" w:lineRule="auto"/>
        <w:jc w:val="both"/>
        <w:rPr>
          <w:color w:val="000000"/>
          <w:sz w:val="20"/>
          <w:szCs w:val="20"/>
        </w:rPr>
      </w:pPr>
    </w:p>
    <w:p w:rsidR="00652C28" w:rsidRPr="00652C28" w:rsidRDefault="00652C28" w:rsidP="00CE4463">
      <w:pPr>
        <w:spacing w:line="360" w:lineRule="auto"/>
        <w:jc w:val="both"/>
      </w:pPr>
      <w:r w:rsidRPr="00CE2502">
        <w:rPr>
          <w:noProof/>
          <w:sz w:val="20"/>
          <w:szCs w:val="20"/>
        </w:rPr>
        <w:drawing>
          <wp:inline distT="0" distB="0" distL="0" distR="0" wp14:anchorId="76BCE33C" wp14:editId="47666EA1">
            <wp:extent cx="4580255" cy="2074545"/>
            <wp:effectExtent l="0" t="0" r="10795" b="20955"/>
            <wp:docPr id="69" name="Gráfico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72327" w:rsidRPr="00652C28" w:rsidRDefault="00672327" w:rsidP="00672327">
      <w:pPr>
        <w:jc w:val="both"/>
        <w:rPr>
          <w:color w:val="000000"/>
          <w:sz w:val="16"/>
          <w:szCs w:val="16"/>
        </w:rPr>
      </w:pPr>
      <w:r w:rsidRPr="00652C28">
        <w:rPr>
          <w:color w:val="000000"/>
          <w:sz w:val="16"/>
          <w:szCs w:val="16"/>
        </w:rPr>
        <w:t xml:space="preserve">Fuente: </w:t>
      </w:r>
      <w:r w:rsidR="008F5FB2">
        <w:rPr>
          <w:color w:val="000000"/>
          <w:sz w:val="16"/>
          <w:szCs w:val="16"/>
        </w:rPr>
        <w:t>DANE</w:t>
      </w:r>
      <w:r w:rsidRPr="00652C28">
        <w:rPr>
          <w:color w:val="000000"/>
          <w:sz w:val="16"/>
          <w:szCs w:val="16"/>
        </w:rPr>
        <w:t xml:space="preserve"> - DIAN. Cálculos OEE MINCIT.</w:t>
      </w:r>
    </w:p>
    <w:p w:rsidR="00652C28" w:rsidRDefault="00652C28" w:rsidP="00CE4463">
      <w:pPr>
        <w:spacing w:line="360" w:lineRule="auto"/>
        <w:jc w:val="both"/>
      </w:pPr>
    </w:p>
    <w:p w:rsidR="00672327" w:rsidRDefault="00672327" w:rsidP="00CE4463">
      <w:pPr>
        <w:spacing w:line="360" w:lineRule="auto"/>
        <w:jc w:val="both"/>
      </w:pPr>
    </w:p>
    <w:p w:rsidR="00CE4463" w:rsidRDefault="00CE4463" w:rsidP="00672327">
      <w:pPr>
        <w:spacing w:line="360" w:lineRule="auto"/>
        <w:ind w:firstLine="284"/>
        <w:jc w:val="both"/>
        <w:rPr>
          <w:lang w:val="es-ES"/>
        </w:rPr>
      </w:pPr>
      <w:r w:rsidRPr="007878F2">
        <w:rPr>
          <w:lang w:val="es-ES"/>
        </w:rPr>
        <w:t>La participación regional del departamento del Quindío representa el 0.8% con 4,53 millones de dólares, toda vez que el Eje Cafetero exportó 565,9 millones de dólares.</w:t>
      </w:r>
      <w:r w:rsidR="00672327">
        <w:rPr>
          <w:lang w:val="es-ES"/>
        </w:rPr>
        <w:t xml:space="preserve"> </w:t>
      </w:r>
      <w:r w:rsidRPr="007878F2">
        <w:rPr>
          <w:lang w:val="es-ES"/>
        </w:rPr>
        <w:t>El 98% de las exportaciones del Quindío durante la vigencia 2013, correspondieron al sector agropecuario, donde el 95,7% se derivan del café, de los 207 millones de dólares que exportó el departamento, dejando el 2,1% a los sectores: agroindustrial, industria liviana, industria básica, equivalentes a 4,2 millones de dólares, mostrando que se depende del café verde.</w:t>
      </w:r>
    </w:p>
    <w:p w:rsidR="00CE4463" w:rsidRDefault="00CE4463" w:rsidP="00CE4463">
      <w:pPr>
        <w:tabs>
          <w:tab w:val="left" w:pos="4420"/>
        </w:tabs>
        <w:spacing w:line="360" w:lineRule="auto"/>
        <w:jc w:val="center"/>
        <w:rPr>
          <w:noProof/>
        </w:rPr>
      </w:pPr>
    </w:p>
    <w:p w:rsidR="00CE4463" w:rsidRDefault="00E94626" w:rsidP="00E94626">
      <w:pPr>
        <w:pStyle w:val="Ttulo2"/>
      </w:pPr>
      <w:bookmarkStart w:id="60" w:name="_Toc406754316"/>
      <w:r>
        <w:rPr>
          <w:rFonts w:ascii="Times New Roman" w:hAnsi="Times New Roman" w:cs="Times New Roman"/>
          <w:color w:val="auto"/>
          <w:sz w:val="30"/>
          <w:szCs w:val="30"/>
        </w:rPr>
        <w:t xml:space="preserve">6.2 </w:t>
      </w:r>
      <w:r w:rsidR="00CE4463" w:rsidRPr="00E94626">
        <w:rPr>
          <w:rFonts w:ascii="Times New Roman" w:hAnsi="Times New Roman" w:cs="Times New Roman"/>
          <w:color w:val="auto"/>
          <w:sz w:val="30"/>
          <w:szCs w:val="30"/>
        </w:rPr>
        <w:t>Importaciones</w:t>
      </w:r>
      <w:bookmarkEnd w:id="60"/>
    </w:p>
    <w:p w:rsidR="00E94626" w:rsidRDefault="00E94626" w:rsidP="00CE4463">
      <w:pPr>
        <w:spacing w:line="360" w:lineRule="auto"/>
        <w:jc w:val="both"/>
        <w:rPr>
          <w:lang w:val="es-ES"/>
        </w:rPr>
      </w:pPr>
    </w:p>
    <w:p w:rsidR="00CE4463" w:rsidRDefault="00CE4463" w:rsidP="00520833">
      <w:pPr>
        <w:spacing w:line="360" w:lineRule="auto"/>
        <w:ind w:firstLine="284"/>
        <w:jc w:val="both"/>
        <w:rPr>
          <w:lang w:val="es-ES"/>
        </w:rPr>
      </w:pPr>
      <w:r w:rsidRPr="007878F2">
        <w:rPr>
          <w:lang w:val="es-ES"/>
        </w:rPr>
        <w:t>La balanza comercial del Quindío en productos diferentes al café ha sido negativa, toda vez que son mucho mayores las importaciones a la</w:t>
      </w:r>
      <w:r w:rsidR="00520833">
        <w:rPr>
          <w:lang w:val="es-ES"/>
        </w:rPr>
        <w:t xml:space="preserve">s exportaciones en valores CIF. En </w:t>
      </w:r>
      <w:r w:rsidRPr="007878F2">
        <w:rPr>
          <w:lang w:val="es-ES"/>
        </w:rPr>
        <w:t xml:space="preserve">el Eje Cafetero, se registraron compras al exterior por 887 millones de dólares CIF, con una disminución del 12,9% frente al 2012, que venía de un crecimiento del 20% de los tres años anteriores. </w:t>
      </w:r>
      <w:r w:rsidR="00520833">
        <w:rPr>
          <w:lang w:val="es-ES"/>
        </w:rPr>
        <w:t>Esta</w:t>
      </w:r>
      <w:r w:rsidRPr="007878F2">
        <w:rPr>
          <w:lang w:val="es-ES"/>
        </w:rPr>
        <w:t xml:space="preserve"> disminución</w:t>
      </w:r>
      <w:r w:rsidR="00520833">
        <w:rPr>
          <w:lang w:val="es-ES"/>
        </w:rPr>
        <w:t>,</w:t>
      </w:r>
      <w:r w:rsidRPr="007878F2">
        <w:rPr>
          <w:lang w:val="es-ES"/>
        </w:rPr>
        <w:t xml:space="preserve"> estuvo influenciada por la baja en las importaciones de café </w:t>
      </w:r>
      <w:r w:rsidRPr="007878F2">
        <w:rPr>
          <w:lang w:val="es-ES"/>
        </w:rPr>
        <w:lastRenderedPageBreak/>
        <w:t xml:space="preserve">verde de Ecuador, Perú y Brasil al pasar de 61,7 millones de dólares CIF a solo 12,7 millones de dólares. </w:t>
      </w:r>
    </w:p>
    <w:p w:rsidR="00520833" w:rsidRDefault="00520833" w:rsidP="00520833">
      <w:pPr>
        <w:spacing w:line="360" w:lineRule="auto"/>
        <w:ind w:firstLine="284"/>
        <w:jc w:val="both"/>
        <w:rPr>
          <w:lang w:val="es-ES"/>
        </w:rPr>
      </w:pPr>
    </w:p>
    <w:p w:rsidR="00CE4463" w:rsidRDefault="00CE4463" w:rsidP="00520833">
      <w:pPr>
        <w:spacing w:line="360" w:lineRule="auto"/>
        <w:ind w:firstLine="284"/>
        <w:jc w:val="both"/>
        <w:rPr>
          <w:lang w:val="es-ES"/>
        </w:rPr>
      </w:pPr>
      <w:r w:rsidRPr="007878F2">
        <w:rPr>
          <w:lang w:val="es-ES"/>
        </w:rPr>
        <w:t>La participación por departamentos en importaciones CIF 2013 presentó que el Quindío fue el menor importador con US$ 71.3 millones que representan el 8,04% de la región, por la disminución del 28,6% frente a lo importado en 2012, lo que muestra en la balanza la gran diferencia frente a los 4,2 millones de dólares en exportaciones no tradicionales, con una relación de 6 a 100 (por cada 100 dólares que se importan, se exportan 6 dólares en el departamento).</w:t>
      </w:r>
    </w:p>
    <w:p w:rsidR="00CE4463" w:rsidRDefault="00CE4463" w:rsidP="00CE4463">
      <w:pPr>
        <w:spacing w:line="360" w:lineRule="auto"/>
        <w:jc w:val="both"/>
        <w:rPr>
          <w:lang w:val="es-ES"/>
        </w:rPr>
      </w:pPr>
    </w:p>
    <w:p w:rsidR="00CE4463" w:rsidRPr="007C3338" w:rsidRDefault="00783A66" w:rsidP="007C3338">
      <w:pPr>
        <w:rPr>
          <w:lang w:val="es-ES"/>
        </w:rPr>
      </w:pPr>
      <w:r>
        <w:rPr>
          <w:lang w:val="es-ES"/>
        </w:rPr>
        <w:t>Tabla</w:t>
      </w:r>
      <w:r w:rsidR="00CE4463" w:rsidRPr="007C3338">
        <w:rPr>
          <w:lang w:val="es-ES"/>
        </w:rPr>
        <w:t xml:space="preserve"> 7.6</w:t>
      </w:r>
    </w:p>
    <w:p w:rsidR="00CE4463" w:rsidRPr="007C3338" w:rsidRDefault="00CE4463" w:rsidP="007C3338">
      <w:pPr>
        <w:rPr>
          <w:lang w:val="es-ES"/>
        </w:rPr>
      </w:pPr>
      <w:r w:rsidRPr="007C3338">
        <w:rPr>
          <w:lang w:val="es-ES"/>
        </w:rPr>
        <w:t>Principales productos de Importación</w:t>
      </w:r>
    </w:p>
    <w:p w:rsidR="00CE4463" w:rsidRPr="007C3338" w:rsidRDefault="00CE4463" w:rsidP="007C3338">
      <w:pPr>
        <w:rPr>
          <w:lang w:val="es-ES"/>
        </w:rPr>
      </w:pPr>
      <w:r w:rsidRPr="007C3338">
        <w:rPr>
          <w:lang w:val="es-ES"/>
        </w:rPr>
        <w:t>2011-2013</w:t>
      </w:r>
    </w:p>
    <w:tbl>
      <w:tblPr>
        <w:tblW w:w="9021" w:type="dxa"/>
        <w:tblInd w:w="55" w:type="dxa"/>
        <w:tblCellMar>
          <w:left w:w="70" w:type="dxa"/>
          <w:right w:w="70" w:type="dxa"/>
        </w:tblCellMar>
        <w:tblLook w:val="04A0" w:firstRow="1" w:lastRow="0" w:firstColumn="1" w:lastColumn="0" w:noHBand="0" w:noVBand="1"/>
      </w:tblPr>
      <w:tblGrid>
        <w:gridCol w:w="1070"/>
        <w:gridCol w:w="4605"/>
        <w:gridCol w:w="1271"/>
        <w:gridCol w:w="1271"/>
        <w:gridCol w:w="804"/>
      </w:tblGrid>
      <w:tr w:rsidR="00CE4463" w:rsidRPr="007C3338" w:rsidTr="00335172">
        <w:trPr>
          <w:trHeight w:val="307"/>
        </w:trPr>
        <w:tc>
          <w:tcPr>
            <w:tcW w:w="9021" w:type="dxa"/>
            <w:gridSpan w:val="5"/>
            <w:tcBorders>
              <w:top w:val="nil"/>
              <w:left w:val="nil"/>
              <w:bottom w:val="single" w:sz="8" w:space="0" w:color="auto"/>
              <w:right w:val="nil"/>
            </w:tcBorders>
            <w:shd w:val="clear" w:color="auto" w:fill="auto"/>
            <w:noWrap/>
            <w:vAlign w:val="center"/>
            <w:hideMark/>
          </w:tcPr>
          <w:p w:rsidR="00CE4463" w:rsidRPr="007C3338" w:rsidRDefault="00CE4463" w:rsidP="006B4CB2">
            <w:pPr>
              <w:jc w:val="right"/>
              <w:rPr>
                <w:bCs/>
                <w:color w:val="000000"/>
                <w:sz w:val="20"/>
                <w:szCs w:val="20"/>
              </w:rPr>
            </w:pPr>
            <w:r w:rsidRPr="007C3338">
              <w:rPr>
                <w:bCs/>
                <w:color w:val="000000"/>
                <w:sz w:val="20"/>
                <w:szCs w:val="20"/>
              </w:rPr>
              <w:t>Miles de dólares CIF</w:t>
            </w:r>
          </w:p>
        </w:tc>
      </w:tr>
      <w:tr w:rsidR="00CE4463" w:rsidRPr="007C3338" w:rsidTr="00335172">
        <w:trPr>
          <w:trHeight w:val="65"/>
        </w:trPr>
        <w:tc>
          <w:tcPr>
            <w:tcW w:w="1070" w:type="dxa"/>
            <w:vMerge w:val="restart"/>
            <w:tcBorders>
              <w:top w:val="nil"/>
              <w:left w:val="nil"/>
              <w:bottom w:val="single" w:sz="8" w:space="0" w:color="000000"/>
              <w:right w:val="nil"/>
            </w:tcBorders>
            <w:shd w:val="clear" w:color="auto" w:fill="auto"/>
            <w:noWrap/>
            <w:vAlign w:val="center"/>
            <w:hideMark/>
          </w:tcPr>
          <w:p w:rsidR="00CE4463" w:rsidRPr="007C3338" w:rsidRDefault="00CE4463" w:rsidP="006B4CB2">
            <w:pPr>
              <w:jc w:val="both"/>
              <w:rPr>
                <w:b/>
                <w:bCs/>
                <w:color w:val="000000"/>
                <w:sz w:val="20"/>
                <w:szCs w:val="20"/>
              </w:rPr>
            </w:pPr>
            <w:r w:rsidRPr="007C3338">
              <w:rPr>
                <w:b/>
                <w:bCs/>
                <w:color w:val="000000"/>
                <w:sz w:val="20"/>
                <w:szCs w:val="20"/>
              </w:rPr>
              <w:t>PARTIDA</w:t>
            </w:r>
          </w:p>
        </w:tc>
        <w:tc>
          <w:tcPr>
            <w:tcW w:w="4605" w:type="dxa"/>
            <w:vMerge w:val="restart"/>
            <w:tcBorders>
              <w:top w:val="nil"/>
              <w:left w:val="nil"/>
              <w:bottom w:val="single" w:sz="8" w:space="0" w:color="000000"/>
              <w:right w:val="nil"/>
            </w:tcBorders>
            <w:shd w:val="clear" w:color="auto" w:fill="auto"/>
            <w:noWrap/>
            <w:vAlign w:val="center"/>
            <w:hideMark/>
          </w:tcPr>
          <w:p w:rsidR="00CE4463" w:rsidRPr="007C3338" w:rsidRDefault="00CE4463" w:rsidP="006B4CB2">
            <w:pPr>
              <w:jc w:val="both"/>
              <w:rPr>
                <w:b/>
                <w:bCs/>
                <w:color w:val="000000"/>
                <w:sz w:val="20"/>
                <w:szCs w:val="20"/>
              </w:rPr>
            </w:pPr>
            <w:r w:rsidRPr="007C3338">
              <w:rPr>
                <w:b/>
                <w:bCs/>
                <w:color w:val="000000"/>
                <w:sz w:val="20"/>
                <w:szCs w:val="20"/>
              </w:rPr>
              <w:t xml:space="preserve"> PRODUCTOS</w:t>
            </w:r>
          </w:p>
        </w:tc>
        <w:tc>
          <w:tcPr>
            <w:tcW w:w="3345" w:type="dxa"/>
            <w:gridSpan w:val="3"/>
            <w:tcBorders>
              <w:top w:val="single" w:sz="8" w:space="0" w:color="auto"/>
              <w:left w:val="nil"/>
              <w:bottom w:val="single" w:sz="8" w:space="0" w:color="auto"/>
              <w:right w:val="nil"/>
            </w:tcBorders>
            <w:shd w:val="clear" w:color="auto" w:fill="auto"/>
            <w:noWrap/>
            <w:vAlign w:val="center"/>
            <w:hideMark/>
          </w:tcPr>
          <w:p w:rsidR="00CE4463" w:rsidRPr="007C3338" w:rsidRDefault="00CE4463" w:rsidP="006B4CB2">
            <w:pPr>
              <w:jc w:val="center"/>
              <w:rPr>
                <w:b/>
                <w:color w:val="000000"/>
                <w:sz w:val="20"/>
                <w:szCs w:val="20"/>
              </w:rPr>
            </w:pPr>
            <w:r w:rsidRPr="007C3338">
              <w:rPr>
                <w:b/>
                <w:color w:val="000000"/>
                <w:sz w:val="20"/>
                <w:szCs w:val="20"/>
              </w:rPr>
              <w:t>AÑO</w:t>
            </w:r>
          </w:p>
        </w:tc>
      </w:tr>
      <w:tr w:rsidR="00CE4463" w:rsidRPr="007C3338" w:rsidTr="00335172">
        <w:trPr>
          <w:trHeight w:val="307"/>
        </w:trPr>
        <w:tc>
          <w:tcPr>
            <w:tcW w:w="1070" w:type="dxa"/>
            <w:vMerge/>
            <w:tcBorders>
              <w:top w:val="nil"/>
              <w:left w:val="nil"/>
              <w:bottom w:val="single" w:sz="8" w:space="0" w:color="000000"/>
              <w:right w:val="nil"/>
            </w:tcBorders>
            <w:vAlign w:val="center"/>
            <w:hideMark/>
          </w:tcPr>
          <w:p w:rsidR="00CE4463" w:rsidRPr="007C3338" w:rsidRDefault="00CE4463" w:rsidP="006B4CB2">
            <w:pPr>
              <w:jc w:val="both"/>
              <w:rPr>
                <w:b/>
                <w:bCs/>
                <w:color w:val="000000"/>
                <w:sz w:val="20"/>
                <w:szCs w:val="20"/>
              </w:rPr>
            </w:pPr>
          </w:p>
        </w:tc>
        <w:tc>
          <w:tcPr>
            <w:tcW w:w="4605" w:type="dxa"/>
            <w:vMerge/>
            <w:tcBorders>
              <w:top w:val="nil"/>
              <w:left w:val="nil"/>
              <w:bottom w:val="single" w:sz="8" w:space="0" w:color="000000"/>
              <w:right w:val="nil"/>
            </w:tcBorders>
            <w:vAlign w:val="center"/>
            <w:hideMark/>
          </w:tcPr>
          <w:p w:rsidR="00CE4463" w:rsidRPr="007C3338" w:rsidRDefault="00CE4463" w:rsidP="006B4CB2">
            <w:pPr>
              <w:jc w:val="both"/>
              <w:rPr>
                <w:b/>
                <w:bCs/>
                <w:color w:val="000000"/>
                <w:sz w:val="20"/>
                <w:szCs w:val="20"/>
              </w:rPr>
            </w:pPr>
          </w:p>
        </w:tc>
        <w:tc>
          <w:tcPr>
            <w:tcW w:w="1271" w:type="dxa"/>
            <w:tcBorders>
              <w:top w:val="nil"/>
              <w:left w:val="nil"/>
              <w:bottom w:val="single" w:sz="8" w:space="0" w:color="auto"/>
              <w:right w:val="nil"/>
            </w:tcBorders>
            <w:shd w:val="clear" w:color="auto" w:fill="auto"/>
            <w:noWrap/>
            <w:vAlign w:val="center"/>
            <w:hideMark/>
          </w:tcPr>
          <w:p w:rsidR="00CE4463" w:rsidRPr="007C3338" w:rsidRDefault="00CE4463" w:rsidP="006B4CB2">
            <w:pPr>
              <w:jc w:val="center"/>
              <w:rPr>
                <w:b/>
                <w:bCs/>
                <w:color w:val="000000"/>
                <w:sz w:val="20"/>
                <w:szCs w:val="20"/>
              </w:rPr>
            </w:pPr>
            <w:r w:rsidRPr="007C3338">
              <w:rPr>
                <w:b/>
                <w:bCs/>
                <w:color w:val="000000"/>
                <w:sz w:val="20"/>
                <w:szCs w:val="20"/>
              </w:rPr>
              <w:t>2011</w:t>
            </w:r>
          </w:p>
        </w:tc>
        <w:tc>
          <w:tcPr>
            <w:tcW w:w="1271" w:type="dxa"/>
            <w:tcBorders>
              <w:top w:val="nil"/>
              <w:left w:val="nil"/>
              <w:bottom w:val="single" w:sz="8" w:space="0" w:color="auto"/>
              <w:right w:val="nil"/>
            </w:tcBorders>
            <w:shd w:val="clear" w:color="auto" w:fill="auto"/>
            <w:noWrap/>
            <w:vAlign w:val="center"/>
            <w:hideMark/>
          </w:tcPr>
          <w:p w:rsidR="00CE4463" w:rsidRPr="007C3338" w:rsidRDefault="00CE4463" w:rsidP="006B4CB2">
            <w:pPr>
              <w:jc w:val="center"/>
              <w:rPr>
                <w:b/>
                <w:bCs/>
                <w:color w:val="000000"/>
                <w:sz w:val="20"/>
                <w:szCs w:val="20"/>
              </w:rPr>
            </w:pPr>
            <w:r w:rsidRPr="007C3338">
              <w:rPr>
                <w:b/>
                <w:bCs/>
                <w:color w:val="000000"/>
                <w:sz w:val="20"/>
                <w:szCs w:val="20"/>
              </w:rPr>
              <w:t>2012</w:t>
            </w:r>
          </w:p>
        </w:tc>
        <w:tc>
          <w:tcPr>
            <w:tcW w:w="802" w:type="dxa"/>
            <w:tcBorders>
              <w:top w:val="nil"/>
              <w:left w:val="nil"/>
              <w:bottom w:val="single" w:sz="8" w:space="0" w:color="auto"/>
              <w:right w:val="nil"/>
            </w:tcBorders>
            <w:shd w:val="clear" w:color="auto" w:fill="auto"/>
            <w:noWrap/>
            <w:vAlign w:val="center"/>
            <w:hideMark/>
          </w:tcPr>
          <w:p w:rsidR="00CE4463" w:rsidRPr="007C3338" w:rsidRDefault="00CE4463" w:rsidP="006B4CB2">
            <w:pPr>
              <w:jc w:val="center"/>
              <w:rPr>
                <w:b/>
                <w:bCs/>
                <w:color w:val="000000"/>
                <w:sz w:val="20"/>
                <w:szCs w:val="20"/>
              </w:rPr>
            </w:pPr>
            <w:r w:rsidRPr="007C3338">
              <w:rPr>
                <w:b/>
                <w:bCs/>
                <w:color w:val="000000"/>
                <w:sz w:val="20"/>
                <w:szCs w:val="20"/>
              </w:rPr>
              <w:t>2013</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6908</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Placas de cerámica barnizada</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13.204</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12.788</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16.955</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6907</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placas de cerámica sin barniz</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1.141</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3.364</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3.463</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8409</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Partes de motores</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3.769</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3.035</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2.675</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3203</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Material colorante vegetal o animal</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1.396</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874</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561</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1511</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Aceite de palma</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7.341</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2.659</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253</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4010</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Correas transportadoras</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377</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562</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453</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901</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Café y/o productos de café</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2.271</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32.766</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7.034</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6910</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proofErr w:type="spellStart"/>
            <w:r w:rsidRPr="007C3338">
              <w:rPr>
                <w:color w:val="000000"/>
                <w:sz w:val="20"/>
                <w:szCs w:val="20"/>
              </w:rPr>
              <w:t>Fragaderos</w:t>
            </w:r>
            <w:proofErr w:type="spellEnd"/>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1.111</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2.316</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1.827</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8428</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Máquinas de elevación</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53</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56</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87</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4410</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Tableros de partículas</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89</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18</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426</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7607</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Hojas y tiras, delgadas, de aluminio</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659</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454</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546</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2915</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 xml:space="preserve">Ácidos </w:t>
            </w:r>
            <w:proofErr w:type="spellStart"/>
            <w:r w:rsidRPr="007C3338">
              <w:rPr>
                <w:color w:val="000000"/>
                <w:sz w:val="20"/>
                <w:szCs w:val="20"/>
              </w:rPr>
              <w:t>monocarbolíxicos</w:t>
            </w:r>
            <w:proofErr w:type="spellEnd"/>
            <w:r w:rsidRPr="007C3338">
              <w:rPr>
                <w:color w:val="000000"/>
                <w:sz w:val="20"/>
                <w:szCs w:val="20"/>
              </w:rPr>
              <w:t xml:space="preserve"> </w:t>
            </w:r>
            <w:proofErr w:type="spellStart"/>
            <w:r w:rsidRPr="007C3338">
              <w:rPr>
                <w:color w:val="000000"/>
                <w:sz w:val="20"/>
                <w:szCs w:val="20"/>
              </w:rPr>
              <w:t>acíclicos</w:t>
            </w:r>
            <w:proofErr w:type="spellEnd"/>
            <w:r w:rsidRPr="007C3338">
              <w:rPr>
                <w:color w:val="000000"/>
                <w:sz w:val="20"/>
                <w:szCs w:val="20"/>
              </w:rPr>
              <w:t xml:space="preserve"> saturados</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467</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384</w:t>
            </w:r>
          </w:p>
        </w:tc>
      </w:tr>
      <w:tr w:rsidR="00CE4463" w:rsidRPr="007C3338" w:rsidTr="00335172">
        <w:trPr>
          <w:trHeight w:val="293"/>
        </w:trPr>
        <w:tc>
          <w:tcPr>
            <w:tcW w:w="1070"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8438</w:t>
            </w:r>
          </w:p>
        </w:tc>
        <w:tc>
          <w:tcPr>
            <w:tcW w:w="4605" w:type="dxa"/>
            <w:tcBorders>
              <w:top w:val="nil"/>
              <w:left w:val="nil"/>
              <w:bottom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otras máquinas</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2</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25</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14</w:t>
            </w:r>
          </w:p>
        </w:tc>
      </w:tr>
      <w:tr w:rsidR="00CE4463" w:rsidRPr="007C3338" w:rsidTr="00335172">
        <w:trPr>
          <w:trHeight w:val="293"/>
        </w:trPr>
        <w:tc>
          <w:tcPr>
            <w:tcW w:w="1070" w:type="dxa"/>
            <w:tcBorders>
              <w:top w:val="nil"/>
              <w:left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2923</w:t>
            </w:r>
          </w:p>
        </w:tc>
        <w:tc>
          <w:tcPr>
            <w:tcW w:w="4605" w:type="dxa"/>
            <w:tcBorders>
              <w:top w:val="nil"/>
              <w:left w:val="nil"/>
              <w:right w:val="nil"/>
            </w:tcBorders>
            <w:shd w:val="clear" w:color="auto" w:fill="auto"/>
            <w:noWrap/>
            <w:vAlign w:val="bottom"/>
            <w:hideMark/>
          </w:tcPr>
          <w:p w:rsidR="00CE4463" w:rsidRPr="007C3338" w:rsidRDefault="00CE4463" w:rsidP="006B4CB2">
            <w:pPr>
              <w:jc w:val="both"/>
              <w:rPr>
                <w:color w:val="000000"/>
                <w:sz w:val="20"/>
                <w:szCs w:val="20"/>
              </w:rPr>
            </w:pPr>
          </w:p>
        </w:tc>
        <w:tc>
          <w:tcPr>
            <w:tcW w:w="1271" w:type="dxa"/>
            <w:tcBorders>
              <w:top w:val="nil"/>
              <w:left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33</w:t>
            </w:r>
          </w:p>
        </w:tc>
        <w:tc>
          <w:tcPr>
            <w:tcW w:w="1271" w:type="dxa"/>
            <w:tcBorders>
              <w:top w:val="nil"/>
              <w:left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w:t>
            </w:r>
          </w:p>
        </w:tc>
        <w:tc>
          <w:tcPr>
            <w:tcW w:w="802" w:type="dxa"/>
            <w:tcBorders>
              <w:top w:val="nil"/>
              <w:left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18</w:t>
            </w:r>
          </w:p>
        </w:tc>
      </w:tr>
      <w:tr w:rsidR="00CE4463" w:rsidRPr="007C3338" w:rsidTr="00335172">
        <w:trPr>
          <w:trHeight w:val="307"/>
        </w:trPr>
        <w:tc>
          <w:tcPr>
            <w:tcW w:w="1070" w:type="dxa"/>
            <w:tcBorders>
              <w:top w:val="nil"/>
              <w:left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3901</w:t>
            </w:r>
          </w:p>
        </w:tc>
        <w:tc>
          <w:tcPr>
            <w:tcW w:w="4605" w:type="dxa"/>
            <w:tcBorders>
              <w:top w:val="nil"/>
              <w:left w:val="nil"/>
              <w:right w:val="nil"/>
            </w:tcBorders>
            <w:shd w:val="clear" w:color="auto" w:fill="auto"/>
            <w:noWrap/>
            <w:vAlign w:val="center"/>
            <w:hideMark/>
          </w:tcPr>
          <w:p w:rsidR="00CE4463" w:rsidRPr="007C3338" w:rsidRDefault="00CE4463" w:rsidP="006B4CB2">
            <w:pPr>
              <w:jc w:val="both"/>
              <w:rPr>
                <w:color w:val="000000"/>
                <w:sz w:val="20"/>
                <w:szCs w:val="20"/>
              </w:rPr>
            </w:pPr>
            <w:r w:rsidRPr="007C3338">
              <w:rPr>
                <w:color w:val="000000"/>
                <w:sz w:val="20"/>
                <w:szCs w:val="20"/>
              </w:rPr>
              <w:t>Polímeros de etileno</w:t>
            </w:r>
          </w:p>
        </w:tc>
        <w:tc>
          <w:tcPr>
            <w:tcW w:w="1271" w:type="dxa"/>
            <w:tcBorders>
              <w:top w:val="nil"/>
              <w:left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382</w:t>
            </w:r>
          </w:p>
        </w:tc>
        <w:tc>
          <w:tcPr>
            <w:tcW w:w="1271" w:type="dxa"/>
            <w:tcBorders>
              <w:top w:val="nil"/>
              <w:left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472</w:t>
            </w:r>
          </w:p>
        </w:tc>
        <w:tc>
          <w:tcPr>
            <w:tcW w:w="802" w:type="dxa"/>
            <w:tcBorders>
              <w:top w:val="nil"/>
              <w:left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668</w:t>
            </w:r>
          </w:p>
        </w:tc>
      </w:tr>
      <w:tr w:rsidR="00CE4463" w:rsidRPr="007C3338" w:rsidTr="00335172">
        <w:trPr>
          <w:trHeight w:val="293"/>
        </w:trPr>
        <w:tc>
          <w:tcPr>
            <w:tcW w:w="1070" w:type="dxa"/>
            <w:tcBorders>
              <w:left w:val="nil"/>
              <w:bottom w:val="nil"/>
              <w:right w:val="nil"/>
            </w:tcBorders>
            <w:shd w:val="clear" w:color="auto" w:fill="auto"/>
            <w:noWrap/>
            <w:vAlign w:val="center"/>
            <w:hideMark/>
          </w:tcPr>
          <w:p w:rsidR="00CE4463" w:rsidRPr="00123E91" w:rsidRDefault="00CE4463" w:rsidP="006B4CB2">
            <w:pPr>
              <w:jc w:val="both"/>
              <w:rPr>
                <w:b/>
                <w:bCs/>
                <w:color w:val="000000"/>
                <w:sz w:val="20"/>
                <w:szCs w:val="20"/>
              </w:rPr>
            </w:pPr>
            <w:r w:rsidRPr="00123E91">
              <w:rPr>
                <w:b/>
                <w:bCs/>
                <w:color w:val="000000"/>
                <w:sz w:val="20"/>
                <w:szCs w:val="20"/>
              </w:rPr>
              <w:t>Subtotal</w:t>
            </w:r>
          </w:p>
        </w:tc>
        <w:tc>
          <w:tcPr>
            <w:tcW w:w="4605" w:type="dxa"/>
            <w:tcBorders>
              <w:left w:val="nil"/>
              <w:bottom w:val="nil"/>
              <w:right w:val="nil"/>
            </w:tcBorders>
            <w:shd w:val="clear" w:color="auto" w:fill="auto"/>
            <w:noWrap/>
            <w:vAlign w:val="bottom"/>
            <w:hideMark/>
          </w:tcPr>
          <w:p w:rsidR="00CE4463" w:rsidRPr="00123E91" w:rsidRDefault="00CE4463" w:rsidP="006B4CB2">
            <w:pPr>
              <w:jc w:val="both"/>
              <w:rPr>
                <w:b/>
                <w:color w:val="000000"/>
                <w:sz w:val="20"/>
                <w:szCs w:val="20"/>
              </w:rPr>
            </w:pPr>
          </w:p>
        </w:tc>
        <w:tc>
          <w:tcPr>
            <w:tcW w:w="1271" w:type="dxa"/>
            <w:tcBorders>
              <w:left w:val="nil"/>
              <w:bottom w:val="nil"/>
              <w:right w:val="nil"/>
            </w:tcBorders>
            <w:shd w:val="clear" w:color="auto" w:fill="auto"/>
            <w:noWrap/>
            <w:vAlign w:val="center"/>
            <w:hideMark/>
          </w:tcPr>
          <w:p w:rsidR="00CE4463" w:rsidRPr="00123E91" w:rsidRDefault="00CE4463" w:rsidP="006B4CB2">
            <w:pPr>
              <w:jc w:val="center"/>
              <w:rPr>
                <w:b/>
                <w:color w:val="000000"/>
                <w:sz w:val="20"/>
                <w:szCs w:val="20"/>
              </w:rPr>
            </w:pPr>
            <w:r w:rsidRPr="00123E91">
              <w:rPr>
                <w:b/>
                <w:color w:val="000000"/>
                <w:sz w:val="20"/>
                <w:szCs w:val="20"/>
              </w:rPr>
              <w:t>31.828</w:t>
            </w:r>
          </w:p>
        </w:tc>
        <w:tc>
          <w:tcPr>
            <w:tcW w:w="1271" w:type="dxa"/>
            <w:tcBorders>
              <w:left w:val="nil"/>
              <w:bottom w:val="nil"/>
              <w:right w:val="nil"/>
            </w:tcBorders>
            <w:shd w:val="clear" w:color="auto" w:fill="auto"/>
            <w:noWrap/>
            <w:vAlign w:val="center"/>
            <w:hideMark/>
          </w:tcPr>
          <w:p w:rsidR="00CE4463" w:rsidRPr="00123E91" w:rsidRDefault="00CE4463" w:rsidP="006B4CB2">
            <w:pPr>
              <w:jc w:val="center"/>
              <w:rPr>
                <w:b/>
                <w:color w:val="000000"/>
                <w:sz w:val="20"/>
                <w:szCs w:val="20"/>
              </w:rPr>
            </w:pPr>
            <w:r w:rsidRPr="00123E91">
              <w:rPr>
                <w:b/>
                <w:color w:val="000000"/>
                <w:sz w:val="20"/>
                <w:szCs w:val="20"/>
              </w:rPr>
              <w:t>59.831</w:t>
            </w:r>
          </w:p>
        </w:tc>
        <w:tc>
          <w:tcPr>
            <w:tcW w:w="802" w:type="dxa"/>
            <w:tcBorders>
              <w:left w:val="nil"/>
              <w:bottom w:val="nil"/>
              <w:right w:val="nil"/>
            </w:tcBorders>
            <w:shd w:val="clear" w:color="auto" w:fill="auto"/>
            <w:noWrap/>
            <w:vAlign w:val="center"/>
            <w:hideMark/>
          </w:tcPr>
          <w:p w:rsidR="00CE4463" w:rsidRPr="00123E91" w:rsidRDefault="00CE4463" w:rsidP="006B4CB2">
            <w:pPr>
              <w:jc w:val="center"/>
              <w:rPr>
                <w:b/>
                <w:color w:val="000000"/>
                <w:sz w:val="20"/>
                <w:szCs w:val="20"/>
              </w:rPr>
            </w:pPr>
            <w:r w:rsidRPr="00123E91">
              <w:rPr>
                <w:b/>
                <w:color w:val="000000"/>
                <w:sz w:val="20"/>
                <w:szCs w:val="20"/>
              </w:rPr>
              <w:t>35.364</w:t>
            </w:r>
          </w:p>
        </w:tc>
      </w:tr>
      <w:tr w:rsidR="00CE4463" w:rsidRPr="007C3338" w:rsidTr="00335172">
        <w:trPr>
          <w:trHeight w:val="293"/>
        </w:trPr>
        <w:tc>
          <w:tcPr>
            <w:tcW w:w="5675" w:type="dxa"/>
            <w:gridSpan w:val="2"/>
            <w:tcBorders>
              <w:top w:val="nil"/>
              <w:left w:val="nil"/>
              <w:bottom w:val="nil"/>
              <w:right w:val="nil"/>
            </w:tcBorders>
            <w:shd w:val="clear" w:color="auto" w:fill="auto"/>
            <w:noWrap/>
            <w:vAlign w:val="center"/>
            <w:hideMark/>
          </w:tcPr>
          <w:p w:rsidR="00CE4463" w:rsidRPr="007C3338" w:rsidRDefault="00CE4463" w:rsidP="006B4CB2">
            <w:pPr>
              <w:jc w:val="both"/>
              <w:rPr>
                <w:bCs/>
                <w:color w:val="000000"/>
                <w:sz w:val="20"/>
                <w:szCs w:val="20"/>
              </w:rPr>
            </w:pPr>
            <w:r w:rsidRPr="007C3338">
              <w:rPr>
                <w:bCs/>
                <w:color w:val="000000"/>
                <w:sz w:val="20"/>
                <w:szCs w:val="20"/>
              </w:rPr>
              <w:t>Participación</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44,50%</w:t>
            </w:r>
          </w:p>
        </w:tc>
        <w:tc>
          <w:tcPr>
            <w:tcW w:w="1271"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59,90%</w:t>
            </w:r>
          </w:p>
        </w:tc>
        <w:tc>
          <w:tcPr>
            <w:tcW w:w="802" w:type="dxa"/>
            <w:tcBorders>
              <w:top w:val="nil"/>
              <w:left w:val="nil"/>
              <w:bottom w:val="nil"/>
              <w:right w:val="nil"/>
            </w:tcBorders>
            <w:shd w:val="clear" w:color="auto" w:fill="auto"/>
            <w:noWrap/>
            <w:vAlign w:val="center"/>
            <w:hideMark/>
          </w:tcPr>
          <w:p w:rsidR="00CE4463" w:rsidRPr="007C3338" w:rsidRDefault="00CE4463" w:rsidP="006B4CB2">
            <w:pPr>
              <w:jc w:val="center"/>
              <w:rPr>
                <w:color w:val="000000"/>
                <w:sz w:val="20"/>
                <w:szCs w:val="20"/>
              </w:rPr>
            </w:pPr>
            <w:r w:rsidRPr="007C3338">
              <w:rPr>
                <w:color w:val="000000"/>
                <w:sz w:val="20"/>
                <w:szCs w:val="20"/>
              </w:rPr>
              <w:t>49,60%</w:t>
            </w:r>
          </w:p>
        </w:tc>
      </w:tr>
      <w:tr w:rsidR="00CE4463" w:rsidRPr="007C3338" w:rsidTr="00335172">
        <w:trPr>
          <w:trHeight w:val="307"/>
        </w:trPr>
        <w:tc>
          <w:tcPr>
            <w:tcW w:w="5675" w:type="dxa"/>
            <w:gridSpan w:val="2"/>
            <w:tcBorders>
              <w:top w:val="nil"/>
              <w:left w:val="nil"/>
              <w:bottom w:val="single" w:sz="8" w:space="0" w:color="auto"/>
              <w:right w:val="nil"/>
            </w:tcBorders>
            <w:shd w:val="clear" w:color="auto" w:fill="auto"/>
            <w:noWrap/>
            <w:vAlign w:val="center"/>
            <w:hideMark/>
          </w:tcPr>
          <w:p w:rsidR="00CE4463" w:rsidRPr="00123E91" w:rsidRDefault="00CE4463" w:rsidP="006B4CB2">
            <w:pPr>
              <w:jc w:val="both"/>
              <w:rPr>
                <w:b/>
                <w:bCs/>
                <w:color w:val="000000"/>
                <w:sz w:val="20"/>
                <w:szCs w:val="20"/>
              </w:rPr>
            </w:pPr>
            <w:r w:rsidRPr="00123E91">
              <w:rPr>
                <w:b/>
                <w:bCs/>
                <w:color w:val="000000"/>
                <w:sz w:val="20"/>
                <w:szCs w:val="20"/>
              </w:rPr>
              <w:t>Importaciones del Departamento del Quindío</w:t>
            </w:r>
          </w:p>
        </w:tc>
        <w:tc>
          <w:tcPr>
            <w:tcW w:w="1271" w:type="dxa"/>
            <w:tcBorders>
              <w:top w:val="nil"/>
              <w:left w:val="nil"/>
              <w:bottom w:val="single" w:sz="8" w:space="0" w:color="auto"/>
              <w:right w:val="nil"/>
            </w:tcBorders>
            <w:shd w:val="clear" w:color="auto" w:fill="auto"/>
            <w:noWrap/>
            <w:vAlign w:val="center"/>
            <w:hideMark/>
          </w:tcPr>
          <w:p w:rsidR="00CE4463" w:rsidRPr="00123E91" w:rsidRDefault="00CE4463" w:rsidP="006B4CB2">
            <w:pPr>
              <w:jc w:val="center"/>
              <w:rPr>
                <w:b/>
                <w:color w:val="000000"/>
                <w:sz w:val="20"/>
                <w:szCs w:val="20"/>
              </w:rPr>
            </w:pPr>
            <w:r w:rsidRPr="00123E91">
              <w:rPr>
                <w:b/>
                <w:color w:val="000000"/>
                <w:sz w:val="20"/>
                <w:szCs w:val="20"/>
              </w:rPr>
              <w:t>71.495</w:t>
            </w:r>
          </w:p>
        </w:tc>
        <w:tc>
          <w:tcPr>
            <w:tcW w:w="1271" w:type="dxa"/>
            <w:tcBorders>
              <w:top w:val="nil"/>
              <w:left w:val="nil"/>
              <w:bottom w:val="single" w:sz="8" w:space="0" w:color="auto"/>
              <w:right w:val="nil"/>
            </w:tcBorders>
            <w:shd w:val="clear" w:color="auto" w:fill="auto"/>
            <w:noWrap/>
            <w:vAlign w:val="center"/>
            <w:hideMark/>
          </w:tcPr>
          <w:p w:rsidR="00CE4463" w:rsidRPr="00123E91" w:rsidRDefault="00CE4463" w:rsidP="006B4CB2">
            <w:pPr>
              <w:jc w:val="center"/>
              <w:rPr>
                <w:b/>
                <w:color w:val="000000"/>
                <w:sz w:val="20"/>
                <w:szCs w:val="20"/>
              </w:rPr>
            </w:pPr>
            <w:r w:rsidRPr="00123E91">
              <w:rPr>
                <w:b/>
                <w:color w:val="000000"/>
                <w:sz w:val="20"/>
                <w:szCs w:val="20"/>
              </w:rPr>
              <w:t>99.880</w:t>
            </w:r>
          </w:p>
        </w:tc>
        <w:tc>
          <w:tcPr>
            <w:tcW w:w="802" w:type="dxa"/>
            <w:tcBorders>
              <w:top w:val="nil"/>
              <w:left w:val="nil"/>
              <w:bottom w:val="single" w:sz="8" w:space="0" w:color="auto"/>
              <w:right w:val="nil"/>
            </w:tcBorders>
            <w:shd w:val="clear" w:color="auto" w:fill="auto"/>
            <w:noWrap/>
            <w:vAlign w:val="center"/>
            <w:hideMark/>
          </w:tcPr>
          <w:p w:rsidR="00CE4463" w:rsidRPr="00123E91" w:rsidRDefault="00CE4463" w:rsidP="006B4CB2">
            <w:pPr>
              <w:jc w:val="center"/>
              <w:rPr>
                <w:b/>
                <w:color w:val="000000"/>
                <w:sz w:val="20"/>
                <w:szCs w:val="20"/>
              </w:rPr>
            </w:pPr>
            <w:r w:rsidRPr="00123E91">
              <w:rPr>
                <w:b/>
                <w:color w:val="000000"/>
                <w:sz w:val="20"/>
                <w:szCs w:val="20"/>
              </w:rPr>
              <w:t>71.281</w:t>
            </w:r>
          </w:p>
        </w:tc>
      </w:tr>
    </w:tbl>
    <w:p w:rsidR="00CE4463" w:rsidRPr="006B4CB2" w:rsidRDefault="00CE4463" w:rsidP="00CE4463">
      <w:pPr>
        <w:spacing w:line="360" w:lineRule="auto"/>
        <w:rPr>
          <w:sz w:val="16"/>
          <w:szCs w:val="16"/>
        </w:rPr>
      </w:pPr>
      <w:r w:rsidRPr="006B4CB2">
        <w:rPr>
          <w:sz w:val="16"/>
          <w:szCs w:val="16"/>
        </w:rPr>
        <w:t xml:space="preserve">Fuente: </w:t>
      </w:r>
      <w:r w:rsidR="008F5FB2">
        <w:rPr>
          <w:sz w:val="16"/>
          <w:szCs w:val="16"/>
        </w:rPr>
        <w:t>DANE</w:t>
      </w:r>
      <w:r w:rsidRPr="006B4CB2">
        <w:rPr>
          <w:sz w:val="16"/>
          <w:szCs w:val="16"/>
        </w:rPr>
        <w:t xml:space="preserve"> DIAN Consolidado Banco de la República</w:t>
      </w:r>
    </w:p>
    <w:p w:rsidR="00123E91" w:rsidRDefault="00123E91" w:rsidP="00CE4463">
      <w:pPr>
        <w:spacing w:line="360" w:lineRule="auto"/>
        <w:jc w:val="both"/>
      </w:pPr>
    </w:p>
    <w:p w:rsidR="00CE4463" w:rsidRDefault="00CE4463" w:rsidP="00526B74">
      <w:pPr>
        <w:spacing w:line="360" w:lineRule="auto"/>
        <w:ind w:firstLine="284"/>
        <w:jc w:val="both"/>
      </w:pPr>
      <w:r w:rsidRPr="00872463">
        <w:lastRenderedPageBreak/>
        <w:t>En 2011, las importaciones fueron U$ 71,5 millones, que pasaron al U$99,9 millones en el 2012 con un crecimiento del 40%, pero para el 2013, las importaciones del Quindío volvieron a los niveles dados en el 2011 con 71,3 millones de dólares.</w:t>
      </w:r>
    </w:p>
    <w:p w:rsidR="00335172" w:rsidRDefault="00335172" w:rsidP="00526B74">
      <w:pPr>
        <w:spacing w:line="360" w:lineRule="auto"/>
        <w:ind w:firstLine="284"/>
        <w:jc w:val="both"/>
      </w:pPr>
    </w:p>
    <w:p w:rsidR="00CE4463" w:rsidRPr="006B4CB2" w:rsidRDefault="006B4CB2" w:rsidP="006B4CB2">
      <w:pPr>
        <w:pStyle w:val="Ttulo2"/>
        <w:rPr>
          <w:rFonts w:ascii="Times New Roman" w:hAnsi="Times New Roman" w:cs="Times New Roman"/>
          <w:color w:val="auto"/>
          <w:sz w:val="30"/>
          <w:szCs w:val="30"/>
        </w:rPr>
      </w:pPr>
      <w:bookmarkStart w:id="61" w:name="_Toc406754317"/>
      <w:r>
        <w:rPr>
          <w:rFonts w:ascii="Times New Roman" w:hAnsi="Times New Roman" w:cs="Times New Roman"/>
          <w:color w:val="auto"/>
          <w:sz w:val="30"/>
          <w:szCs w:val="30"/>
        </w:rPr>
        <w:t xml:space="preserve">6.3 </w:t>
      </w:r>
      <w:r w:rsidR="00CE4463" w:rsidRPr="006B4CB2">
        <w:rPr>
          <w:rFonts w:ascii="Times New Roman" w:hAnsi="Times New Roman" w:cs="Times New Roman"/>
          <w:color w:val="auto"/>
          <w:sz w:val="30"/>
          <w:szCs w:val="30"/>
        </w:rPr>
        <w:t>Balanza Comercial</w:t>
      </w:r>
      <w:bookmarkEnd w:id="61"/>
    </w:p>
    <w:p w:rsidR="006B4CB2" w:rsidRDefault="006B4CB2" w:rsidP="00CE4463">
      <w:pPr>
        <w:spacing w:line="360" w:lineRule="auto"/>
        <w:jc w:val="both"/>
      </w:pPr>
    </w:p>
    <w:p w:rsidR="00CE4463" w:rsidRDefault="00CE4463" w:rsidP="006B4CB2">
      <w:pPr>
        <w:spacing w:line="360" w:lineRule="auto"/>
        <w:ind w:firstLine="284"/>
        <w:jc w:val="both"/>
      </w:pPr>
      <w:r w:rsidRPr="00813F68">
        <w:t xml:space="preserve">El Eje Cafetero presentó en el 2013, una balanza comercial de 516 millones de dólares FOB, creciendo </w:t>
      </w:r>
      <w:r w:rsidR="00B04BFA">
        <w:t>un</w:t>
      </w:r>
      <w:r w:rsidRPr="00813F68">
        <w:t xml:space="preserve"> 17,9% frente al año 2012 con 437,5 millones de dólares FOB, donde el Quindío mostró un crecimiento del 99,0% al pasar de 71,7 en el 2012 a 142,6 millones de dólares FOB en el 2013 en sus exportaciones totales, dados por la diferencia entre las exportaciones y las importaciones, lo que representó una participación del 27,6% dentro de la región.</w:t>
      </w:r>
    </w:p>
    <w:p w:rsidR="00CE4463" w:rsidRDefault="00CE4463" w:rsidP="00CE4463">
      <w:pPr>
        <w:spacing w:line="360" w:lineRule="auto"/>
        <w:jc w:val="both"/>
      </w:pPr>
    </w:p>
    <w:p w:rsidR="00CE4463" w:rsidRDefault="00CE4463" w:rsidP="00CE4463">
      <w:pPr>
        <w:spacing w:line="360" w:lineRule="auto"/>
        <w:jc w:val="both"/>
      </w:pPr>
    </w:p>
    <w:p w:rsidR="00CE4463" w:rsidRDefault="00CE4463" w:rsidP="00CE4463">
      <w:pPr>
        <w:spacing w:line="360" w:lineRule="auto"/>
        <w:jc w:val="both"/>
      </w:pPr>
    </w:p>
    <w:p w:rsidR="00CE4463" w:rsidRDefault="00CE4463" w:rsidP="00CE4463">
      <w:pPr>
        <w:spacing w:line="360" w:lineRule="auto"/>
        <w:jc w:val="both"/>
      </w:pPr>
    </w:p>
    <w:p w:rsidR="00CE4463" w:rsidRDefault="00CE4463" w:rsidP="00CE4463">
      <w:pPr>
        <w:spacing w:line="360" w:lineRule="auto"/>
        <w:jc w:val="both"/>
      </w:pPr>
    </w:p>
    <w:p w:rsidR="00CE4463" w:rsidRDefault="00CE4463" w:rsidP="00CE4463">
      <w:pPr>
        <w:spacing w:line="360" w:lineRule="auto"/>
        <w:jc w:val="both"/>
      </w:pPr>
    </w:p>
    <w:p w:rsidR="006D55D9" w:rsidRDefault="006D55D9" w:rsidP="00CE4463">
      <w:pPr>
        <w:spacing w:line="360" w:lineRule="auto"/>
        <w:jc w:val="both"/>
      </w:pPr>
    </w:p>
    <w:p w:rsidR="00CE4463" w:rsidRDefault="00CE4463" w:rsidP="00CE4463">
      <w:pPr>
        <w:spacing w:line="360" w:lineRule="auto"/>
        <w:jc w:val="both"/>
      </w:pPr>
    </w:p>
    <w:p w:rsidR="00CE4463" w:rsidRDefault="00CE4463" w:rsidP="00CE4463">
      <w:pPr>
        <w:spacing w:line="360" w:lineRule="auto"/>
        <w:jc w:val="both"/>
      </w:pPr>
    </w:p>
    <w:p w:rsidR="00CE4463" w:rsidRDefault="00CE4463" w:rsidP="00CE4463">
      <w:pPr>
        <w:spacing w:line="360" w:lineRule="auto"/>
        <w:jc w:val="both"/>
      </w:pPr>
    </w:p>
    <w:p w:rsidR="00CE4463" w:rsidRDefault="00CE4463"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1D4492" w:rsidP="00CE4463">
      <w:pPr>
        <w:spacing w:line="360" w:lineRule="auto"/>
        <w:jc w:val="both"/>
      </w:pPr>
      <w:r>
        <w:rPr>
          <w:noProof/>
        </w:rPr>
        <w:lastRenderedPageBreak/>
        <w:drawing>
          <wp:anchor distT="0" distB="0" distL="114300" distR="114300" simplePos="0" relativeHeight="251703296" behindDoc="0" locked="0" layoutInCell="1" allowOverlap="1">
            <wp:simplePos x="0" y="0"/>
            <wp:positionH relativeFrom="column">
              <wp:posOffset>-1080135</wp:posOffset>
            </wp:positionH>
            <wp:positionV relativeFrom="paragraph">
              <wp:posOffset>-1080135</wp:posOffset>
            </wp:positionV>
            <wp:extent cx="7772400" cy="10065385"/>
            <wp:effectExtent l="0" t="0" r="0" b="0"/>
            <wp:wrapNone/>
            <wp:docPr id="79" name="Imagen 79" descr="C:\Users\AUXPLANEACION08\Desktop\INFORME FINAL\DISEÑO\7   Finanzas Públ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UXPLANEACION08\Desktop\INFORME FINAL\DISEÑO\7   Finanzas Públicas.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772400" cy="1006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335172" w:rsidRDefault="00335172" w:rsidP="00CE4463">
      <w:pPr>
        <w:spacing w:line="360" w:lineRule="auto"/>
        <w:jc w:val="both"/>
      </w:pPr>
    </w:p>
    <w:p w:rsidR="00CE4463" w:rsidRDefault="00CE4463" w:rsidP="00CE4463">
      <w:pPr>
        <w:spacing w:line="360" w:lineRule="auto"/>
        <w:jc w:val="both"/>
      </w:pPr>
    </w:p>
    <w:p w:rsidR="00CE4463" w:rsidRDefault="00CE4463" w:rsidP="00CE4463">
      <w:pPr>
        <w:spacing w:line="360" w:lineRule="auto"/>
        <w:jc w:val="both"/>
      </w:pPr>
    </w:p>
    <w:p w:rsidR="00CE4463" w:rsidRDefault="00CE4463" w:rsidP="00CE4463">
      <w:pPr>
        <w:spacing w:line="360" w:lineRule="auto"/>
        <w:jc w:val="both"/>
        <w:rPr>
          <w:lang w:val="es-ES"/>
        </w:rPr>
      </w:pPr>
    </w:p>
    <w:p w:rsidR="002C0732" w:rsidRDefault="002C0732" w:rsidP="002C0732">
      <w:pPr>
        <w:pStyle w:val="Ttulo1"/>
        <w:ind w:left="2124"/>
        <w:rPr>
          <w:rFonts w:ascii="Times New Roman" w:hAnsi="Times New Roman"/>
        </w:rPr>
      </w:pPr>
      <w:bookmarkStart w:id="62" w:name="_Toc406754318"/>
      <w:r w:rsidRPr="002C0732">
        <w:rPr>
          <w:rFonts w:ascii="Times New Roman" w:hAnsi="Times New Roman"/>
        </w:rPr>
        <w:t>7</w:t>
      </w:r>
      <w:r>
        <w:rPr>
          <w:rFonts w:ascii="Times New Roman" w:hAnsi="Times New Roman"/>
        </w:rPr>
        <w:t xml:space="preserve">  </w:t>
      </w:r>
      <w:r w:rsidRPr="002C0732">
        <w:rPr>
          <w:rFonts w:ascii="Times New Roman" w:hAnsi="Times New Roman"/>
        </w:rPr>
        <w:t xml:space="preserve"> Finanzas Públicas</w:t>
      </w:r>
      <w:bookmarkEnd w:id="62"/>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38757C" w:rsidRDefault="0038757C" w:rsidP="0038757C">
      <w:pPr>
        <w:rPr>
          <w:lang w:val="es-ES"/>
        </w:rPr>
      </w:pPr>
    </w:p>
    <w:p w:rsidR="00B40925" w:rsidRPr="00D646CC" w:rsidRDefault="00B40925" w:rsidP="00B40925">
      <w:pPr>
        <w:spacing w:line="360" w:lineRule="auto"/>
        <w:rPr>
          <w:lang w:val="es-ES"/>
        </w:rPr>
      </w:pPr>
    </w:p>
    <w:p w:rsidR="00B40925" w:rsidRPr="00D646CC" w:rsidRDefault="00CB6957" w:rsidP="00D84CEB">
      <w:pPr>
        <w:spacing w:line="360" w:lineRule="auto"/>
        <w:ind w:firstLine="284"/>
        <w:jc w:val="both"/>
        <w:rPr>
          <w:lang w:val="es-ES"/>
        </w:rPr>
      </w:pPr>
      <w:r>
        <w:rPr>
          <w:lang w:val="es-ES"/>
        </w:rPr>
        <w:lastRenderedPageBreak/>
        <w:t>En</w:t>
      </w:r>
      <w:r w:rsidR="00B40925">
        <w:rPr>
          <w:lang w:val="es-ES"/>
        </w:rPr>
        <w:t xml:space="preserve"> el</w:t>
      </w:r>
      <w:r>
        <w:rPr>
          <w:lang w:val="es-ES"/>
        </w:rPr>
        <w:t xml:space="preserve"> presente capítulo, </w:t>
      </w:r>
      <w:r w:rsidR="00B40925">
        <w:rPr>
          <w:lang w:val="es-ES"/>
        </w:rPr>
        <w:t>se aborda la información sobre el comp</w:t>
      </w:r>
      <w:r w:rsidR="00B40925" w:rsidRPr="00D646CC">
        <w:rPr>
          <w:lang w:val="es-ES"/>
        </w:rPr>
        <w:t xml:space="preserve">ortamiento de las </w:t>
      </w:r>
      <w:r w:rsidR="00B40925">
        <w:rPr>
          <w:lang w:val="es-ES"/>
        </w:rPr>
        <w:t>finanzas públicas de las entidades descentralizadas y hospitales, relacionados con el gobierno central y universidades ubicadas en el departamento</w:t>
      </w:r>
      <w:r w:rsidR="00B40925" w:rsidRPr="00D646CC">
        <w:rPr>
          <w:lang w:val="es-ES"/>
        </w:rPr>
        <w:t>.</w:t>
      </w:r>
      <w:r w:rsidR="00B40925">
        <w:rPr>
          <w:lang w:val="es-ES"/>
        </w:rPr>
        <w:t xml:space="preserve"> El </w:t>
      </w:r>
      <w:r>
        <w:rPr>
          <w:lang w:val="es-ES"/>
        </w:rPr>
        <w:t>análisis descriptivo</w:t>
      </w:r>
      <w:r w:rsidR="00B40925">
        <w:rPr>
          <w:lang w:val="es-ES"/>
        </w:rPr>
        <w:t xml:space="preserve"> se centra en comportamiento </w:t>
      </w:r>
      <w:r w:rsidR="00835C1C">
        <w:rPr>
          <w:lang w:val="es-ES"/>
        </w:rPr>
        <w:t>de los ingresos y egresos</w:t>
      </w:r>
      <w:r w:rsidR="00B40925">
        <w:rPr>
          <w:lang w:val="es-ES"/>
        </w:rPr>
        <w:t xml:space="preserve"> de cada entidad y la eficacia en el manejo de los egresos, que permitan la toma de decisiones en cumplimiento de los objetivos del Plan de Desarrollo.</w:t>
      </w:r>
    </w:p>
    <w:p w:rsidR="00B40925" w:rsidRDefault="00B40925" w:rsidP="00B40925">
      <w:pPr>
        <w:spacing w:line="360" w:lineRule="auto"/>
        <w:ind w:firstLine="708"/>
        <w:jc w:val="both"/>
        <w:rPr>
          <w:lang w:val="es-ES"/>
        </w:rPr>
      </w:pPr>
    </w:p>
    <w:p w:rsidR="00B40925" w:rsidRPr="00CB6957" w:rsidRDefault="00CB6957" w:rsidP="00CB6957">
      <w:pPr>
        <w:pStyle w:val="Ttulo2"/>
        <w:rPr>
          <w:rFonts w:ascii="Times New Roman" w:hAnsi="Times New Roman" w:cs="Times New Roman"/>
          <w:color w:val="auto"/>
          <w:sz w:val="30"/>
          <w:szCs w:val="30"/>
          <w:lang w:val="es-ES"/>
        </w:rPr>
      </w:pPr>
      <w:bookmarkStart w:id="63" w:name="_Toc406754319"/>
      <w:r>
        <w:rPr>
          <w:rFonts w:ascii="Times New Roman" w:hAnsi="Times New Roman" w:cs="Times New Roman"/>
          <w:color w:val="auto"/>
          <w:sz w:val="30"/>
          <w:szCs w:val="30"/>
          <w:lang w:val="es-ES"/>
        </w:rPr>
        <w:t xml:space="preserve">7.1 </w:t>
      </w:r>
      <w:r w:rsidR="00B40925" w:rsidRPr="00CB6957">
        <w:rPr>
          <w:rFonts w:ascii="Times New Roman" w:hAnsi="Times New Roman" w:cs="Times New Roman"/>
          <w:color w:val="auto"/>
          <w:sz w:val="30"/>
          <w:szCs w:val="30"/>
          <w:lang w:val="es-ES"/>
        </w:rPr>
        <w:t>Administración Central</w:t>
      </w:r>
      <w:bookmarkEnd w:id="63"/>
    </w:p>
    <w:p w:rsidR="00CB6957" w:rsidRDefault="00CB6957" w:rsidP="00B40925">
      <w:pPr>
        <w:spacing w:line="360" w:lineRule="auto"/>
        <w:ind w:firstLine="708"/>
        <w:jc w:val="both"/>
        <w:rPr>
          <w:lang w:val="es-ES"/>
        </w:rPr>
      </w:pPr>
    </w:p>
    <w:p w:rsidR="00B40925" w:rsidRDefault="00B40925" w:rsidP="00CB6957">
      <w:pPr>
        <w:spacing w:line="360" w:lineRule="auto"/>
        <w:ind w:firstLine="284"/>
        <w:jc w:val="both"/>
        <w:rPr>
          <w:lang w:val="es-ES"/>
        </w:rPr>
      </w:pPr>
      <w:r>
        <w:rPr>
          <w:lang w:val="es-ES"/>
        </w:rPr>
        <w:t xml:space="preserve">El comportamiento del año fiscal 2013 del departamento del Quindío, presenta un incremento del 8,3% en el presupuesto inicial frente a la vigencia 2012, pero el presupuesto definitivo 2013 </w:t>
      </w:r>
      <w:r w:rsidR="00C76BEB">
        <w:rPr>
          <w:lang w:val="es-ES"/>
        </w:rPr>
        <w:t xml:space="preserve">estuvo por encima del 100% </w:t>
      </w:r>
      <w:r>
        <w:rPr>
          <w:lang w:val="es-ES"/>
        </w:rPr>
        <w:t xml:space="preserve">del inicial y creció </w:t>
      </w:r>
      <w:r w:rsidR="00683C74">
        <w:rPr>
          <w:lang w:val="es-ES"/>
        </w:rPr>
        <w:t>un 53% frente al definitivo 2012;</w:t>
      </w:r>
      <w:r>
        <w:rPr>
          <w:lang w:val="es-ES"/>
        </w:rPr>
        <w:t xml:space="preserve"> aunque la ej</w:t>
      </w:r>
      <w:r w:rsidR="00683C74">
        <w:rPr>
          <w:lang w:val="es-ES"/>
        </w:rPr>
        <w:t>ecución de ingresos fue del 84%;</w:t>
      </w:r>
      <w:r>
        <w:rPr>
          <w:lang w:val="es-ES"/>
        </w:rPr>
        <w:t xml:space="preserve"> </w:t>
      </w:r>
      <w:r w:rsidR="00683C74">
        <w:rPr>
          <w:lang w:val="es-ES"/>
        </w:rPr>
        <w:t>es decir, un</w:t>
      </w:r>
      <w:r>
        <w:rPr>
          <w:lang w:val="es-ES"/>
        </w:rPr>
        <w:t xml:space="preserve"> 38% menos que en el 2012</w:t>
      </w:r>
      <w:r w:rsidR="00683C74">
        <w:rPr>
          <w:lang w:val="es-ES"/>
        </w:rPr>
        <w:t>;</w:t>
      </w:r>
      <w:r>
        <w:rPr>
          <w:lang w:val="es-ES"/>
        </w:rPr>
        <w:t xml:space="preserve"> </w:t>
      </w:r>
      <w:r w:rsidR="00683C74">
        <w:rPr>
          <w:lang w:val="es-ES"/>
        </w:rPr>
        <w:t>no obstante,</w:t>
      </w:r>
      <w:r>
        <w:rPr>
          <w:lang w:val="es-ES"/>
        </w:rPr>
        <w:t xml:space="preserve"> fue eficaz en la ejecución de egresos que creció el 16% frente a la ejecución 2012.</w:t>
      </w:r>
    </w:p>
    <w:p w:rsidR="00CB6957" w:rsidRDefault="00CB6957" w:rsidP="00CB6957">
      <w:pPr>
        <w:spacing w:line="360" w:lineRule="auto"/>
        <w:ind w:firstLine="284"/>
        <w:jc w:val="both"/>
        <w:rPr>
          <w:lang w:val="es-ES"/>
        </w:rPr>
      </w:pPr>
    </w:p>
    <w:p w:rsidR="00B40925" w:rsidRPr="00CB6957" w:rsidRDefault="00360208" w:rsidP="00CB6957">
      <w:r>
        <w:t>Tabla</w:t>
      </w:r>
      <w:r w:rsidR="00B40925" w:rsidRPr="00CB6957">
        <w:t xml:space="preserve"> 7.1</w:t>
      </w:r>
    </w:p>
    <w:p w:rsidR="00B40925" w:rsidRPr="00CB6957" w:rsidRDefault="00B40925" w:rsidP="00CB6957">
      <w:r w:rsidRPr="00CB6957">
        <w:t>Presupuesto de ingresos y gastos del departamento del Quindío</w:t>
      </w:r>
      <w:r w:rsidR="00CB6957">
        <w:t>. Miles pesos.</w:t>
      </w:r>
    </w:p>
    <w:p w:rsidR="00B40925" w:rsidRDefault="00B40925" w:rsidP="00CB6957">
      <w:r w:rsidRPr="00CB6957">
        <w:t>2012-2013</w:t>
      </w:r>
    </w:p>
    <w:p w:rsidR="00CB6957" w:rsidRPr="00CB6957" w:rsidRDefault="00CB6957" w:rsidP="00CB6957"/>
    <w:tbl>
      <w:tblPr>
        <w:tblW w:w="8821" w:type="dxa"/>
        <w:tblInd w:w="55" w:type="dxa"/>
        <w:tblBorders>
          <w:top w:val="single" w:sz="4" w:space="0" w:color="auto"/>
        </w:tblBorders>
        <w:tblCellMar>
          <w:left w:w="70" w:type="dxa"/>
          <w:right w:w="70" w:type="dxa"/>
        </w:tblCellMar>
        <w:tblLook w:val="04A0" w:firstRow="1" w:lastRow="0" w:firstColumn="1" w:lastColumn="0" w:noHBand="0" w:noVBand="1"/>
      </w:tblPr>
      <w:tblGrid>
        <w:gridCol w:w="2130"/>
        <w:gridCol w:w="1669"/>
        <w:gridCol w:w="877"/>
        <w:gridCol w:w="1591"/>
        <w:gridCol w:w="690"/>
        <w:gridCol w:w="1864"/>
      </w:tblGrid>
      <w:tr w:rsidR="00B40925" w:rsidRPr="00CB6957" w:rsidTr="00CB6957">
        <w:trPr>
          <w:trHeight w:val="1268"/>
        </w:trPr>
        <w:tc>
          <w:tcPr>
            <w:tcW w:w="2130" w:type="dxa"/>
            <w:tcBorders>
              <w:top w:val="single" w:sz="4" w:space="0" w:color="auto"/>
              <w:bottom w:val="single" w:sz="4" w:space="0" w:color="auto"/>
            </w:tcBorders>
            <w:shd w:val="clear" w:color="auto" w:fill="auto"/>
            <w:vAlign w:val="center"/>
            <w:hideMark/>
          </w:tcPr>
          <w:p w:rsidR="00B40925" w:rsidRPr="00CB6957" w:rsidRDefault="00B40925" w:rsidP="00A52EA0">
            <w:pPr>
              <w:spacing w:line="360" w:lineRule="auto"/>
              <w:jc w:val="center"/>
              <w:rPr>
                <w:b/>
                <w:bCs/>
                <w:color w:val="000000"/>
                <w:sz w:val="20"/>
                <w:szCs w:val="20"/>
              </w:rPr>
            </w:pPr>
            <w:r w:rsidRPr="00CB6957">
              <w:rPr>
                <w:b/>
                <w:bCs/>
                <w:color w:val="000000"/>
                <w:sz w:val="20"/>
                <w:szCs w:val="20"/>
              </w:rPr>
              <w:t>CONCEPTO</w:t>
            </w:r>
          </w:p>
        </w:tc>
        <w:tc>
          <w:tcPr>
            <w:tcW w:w="1669" w:type="dxa"/>
            <w:tcBorders>
              <w:top w:val="single" w:sz="4" w:space="0" w:color="auto"/>
              <w:bottom w:val="single" w:sz="4" w:space="0" w:color="auto"/>
            </w:tcBorders>
            <w:shd w:val="clear" w:color="auto" w:fill="auto"/>
            <w:vAlign w:val="center"/>
            <w:hideMark/>
          </w:tcPr>
          <w:p w:rsidR="00B40925" w:rsidRPr="00CB6957" w:rsidRDefault="00B40925" w:rsidP="00A52EA0">
            <w:pPr>
              <w:spacing w:line="360" w:lineRule="auto"/>
              <w:jc w:val="center"/>
              <w:rPr>
                <w:b/>
                <w:bCs/>
                <w:color w:val="000000"/>
                <w:sz w:val="20"/>
                <w:szCs w:val="20"/>
              </w:rPr>
            </w:pPr>
            <w:r w:rsidRPr="00CB6957">
              <w:rPr>
                <w:b/>
                <w:bCs/>
                <w:color w:val="000000"/>
                <w:sz w:val="20"/>
                <w:szCs w:val="20"/>
              </w:rPr>
              <w:t>VALOR EJECUTADO 2012</w:t>
            </w:r>
          </w:p>
        </w:tc>
        <w:tc>
          <w:tcPr>
            <w:tcW w:w="877" w:type="dxa"/>
            <w:tcBorders>
              <w:top w:val="single" w:sz="4" w:space="0" w:color="auto"/>
              <w:bottom w:val="single" w:sz="4" w:space="0" w:color="auto"/>
            </w:tcBorders>
            <w:shd w:val="clear" w:color="auto" w:fill="auto"/>
            <w:vAlign w:val="center"/>
            <w:hideMark/>
          </w:tcPr>
          <w:p w:rsidR="00B40925" w:rsidRPr="00CB6957" w:rsidRDefault="00B40925" w:rsidP="00A52EA0">
            <w:pPr>
              <w:spacing w:line="360" w:lineRule="auto"/>
              <w:jc w:val="center"/>
              <w:rPr>
                <w:b/>
                <w:bCs/>
                <w:color w:val="000000"/>
                <w:sz w:val="20"/>
                <w:szCs w:val="20"/>
              </w:rPr>
            </w:pPr>
            <w:r w:rsidRPr="00CB6957">
              <w:rPr>
                <w:b/>
                <w:bCs/>
                <w:color w:val="000000"/>
                <w:sz w:val="20"/>
                <w:szCs w:val="20"/>
              </w:rPr>
              <w:t>%</w:t>
            </w:r>
          </w:p>
        </w:tc>
        <w:tc>
          <w:tcPr>
            <w:tcW w:w="1591" w:type="dxa"/>
            <w:tcBorders>
              <w:top w:val="single" w:sz="4" w:space="0" w:color="auto"/>
              <w:bottom w:val="single" w:sz="4" w:space="0" w:color="auto"/>
            </w:tcBorders>
            <w:shd w:val="clear" w:color="auto" w:fill="auto"/>
            <w:vAlign w:val="center"/>
            <w:hideMark/>
          </w:tcPr>
          <w:p w:rsidR="00B40925" w:rsidRPr="00CB6957" w:rsidRDefault="00B40925" w:rsidP="00A52EA0">
            <w:pPr>
              <w:spacing w:line="360" w:lineRule="auto"/>
              <w:jc w:val="center"/>
              <w:rPr>
                <w:b/>
                <w:bCs/>
                <w:color w:val="000000"/>
                <w:sz w:val="20"/>
                <w:szCs w:val="20"/>
              </w:rPr>
            </w:pPr>
            <w:r w:rsidRPr="00CB6957">
              <w:rPr>
                <w:b/>
                <w:bCs/>
                <w:color w:val="000000"/>
                <w:sz w:val="20"/>
                <w:szCs w:val="20"/>
              </w:rPr>
              <w:t>VALOR EJECUTADO 2013</w:t>
            </w:r>
          </w:p>
        </w:tc>
        <w:tc>
          <w:tcPr>
            <w:tcW w:w="690" w:type="dxa"/>
            <w:tcBorders>
              <w:top w:val="single" w:sz="4" w:space="0" w:color="auto"/>
              <w:bottom w:val="single" w:sz="4" w:space="0" w:color="auto"/>
            </w:tcBorders>
            <w:shd w:val="clear" w:color="auto" w:fill="auto"/>
            <w:vAlign w:val="center"/>
            <w:hideMark/>
          </w:tcPr>
          <w:p w:rsidR="00B40925" w:rsidRPr="00CB6957" w:rsidRDefault="00B40925" w:rsidP="00A52EA0">
            <w:pPr>
              <w:spacing w:line="360" w:lineRule="auto"/>
              <w:jc w:val="center"/>
              <w:rPr>
                <w:b/>
                <w:bCs/>
                <w:color w:val="000000"/>
                <w:sz w:val="20"/>
                <w:szCs w:val="20"/>
              </w:rPr>
            </w:pPr>
            <w:r w:rsidRPr="00CB6957">
              <w:rPr>
                <w:b/>
                <w:bCs/>
                <w:color w:val="000000"/>
                <w:sz w:val="20"/>
                <w:szCs w:val="20"/>
              </w:rPr>
              <w:t>%</w:t>
            </w:r>
          </w:p>
        </w:tc>
        <w:tc>
          <w:tcPr>
            <w:tcW w:w="1864" w:type="dxa"/>
            <w:tcBorders>
              <w:top w:val="single" w:sz="4" w:space="0" w:color="auto"/>
              <w:bottom w:val="single" w:sz="4" w:space="0" w:color="auto"/>
            </w:tcBorders>
            <w:shd w:val="clear" w:color="auto" w:fill="auto"/>
            <w:vAlign w:val="center"/>
            <w:hideMark/>
          </w:tcPr>
          <w:p w:rsidR="00B40925" w:rsidRPr="00CB6957" w:rsidRDefault="00B40925" w:rsidP="00A52EA0">
            <w:pPr>
              <w:spacing w:line="360" w:lineRule="auto"/>
              <w:jc w:val="center"/>
              <w:rPr>
                <w:b/>
                <w:bCs/>
                <w:color w:val="000000"/>
                <w:sz w:val="20"/>
                <w:szCs w:val="20"/>
              </w:rPr>
            </w:pPr>
            <w:r w:rsidRPr="00CB6957">
              <w:rPr>
                <w:b/>
                <w:bCs/>
                <w:color w:val="000000"/>
                <w:sz w:val="20"/>
                <w:szCs w:val="20"/>
              </w:rPr>
              <w:t>VARIACIÓN%</w:t>
            </w:r>
          </w:p>
        </w:tc>
      </w:tr>
      <w:tr w:rsidR="00B40925" w:rsidRPr="00CB6957" w:rsidTr="00CB6957">
        <w:trPr>
          <w:trHeight w:val="450"/>
        </w:trPr>
        <w:tc>
          <w:tcPr>
            <w:tcW w:w="2130" w:type="dxa"/>
            <w:tcBorders>
              <w:top w:val="single" w:sz="4" w:space="0" w:color="auto"/>
            </w:tcBorders>
            <w:shd w:val="clear" w:color="auto" w:fill="auto"/>
            <w:vAlign w:val="center"/>
            <w:hideMark/>
          </w:tcPr>
          <w:p w:rsidR="00B40925" w:rsidRPr="00CB6957" w:rsidRDefault="00B40925" w:rsidP="00A52EA0">
            <w:pPr>
              <w:spacing w:line="360" w:lineRule="auto"/>
              <w:rPr>
                <w:color w:val="000000"/>
                <w:sz w:val="20"/>
                <w:szCs w:val="20"/>
              </w:rPr>
            </w:pPr>
            <w:r w:rsidRPr="00CB6957">
              <w:rPr>
                <w:color w:val="000000"/>
                <w:sz w:val="20"/>
                <w:szCs w:val="20"/>
              </w:rPr>
              <w:t>Presupuesto Inicial</w:t>
            </w:r>
          </w:p>
        </w:tc>
        <w:tc>
          <w:tcPr>
            <w:tcW w:w="1669" w:type="dxa"/>
            <w:tcBorders>
              <w:top w:val="single" w:sz="4" w:space="0" w:color="auto"/>
            </w:tcBorders>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166.655.138</w:t>
            </w:r>
          </w:p>
        </w:tc>
        <w:tc>
          <w:tcPr>
            <w:tcW w:w="877" w:type="dxa"/>
            <w:tcBorders>
              <w:top w:val="single" w:sz="4" w:space="0" w:color="auto"/>
            </w:tcBorders>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100,0</w:t>
            </w:r>
          </w:p>
        </w:tc>
        <w:tc>
          <w:tcPr>
            <w:tcW w:w="1591" w:type="dxa"/>
            <w:tcBorders>
              <w:top w:val="single" w:sz="4" w:space="0" w:color="auto"/>
            </w:tcBorders>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180.538.404</w:t>
            </w:r>
          </w:p>
        </w:tc>
        <w:tc>
          <w:tcPr>
            <w:tcW w:w="690" w:type="dxa"/>
            <w:tcBorders>
              <w:top w:val="single" w:sz="4" w:space="0" w:color="auto"/>
            </w:tcBorders>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100,0</w:t>
            </w:r>
          </w:p>
        </w:tc>
        <w:tc>
          <w:tcPr>
            <w:tcW w:w="1864" w:type="dxa"/>
            <w:tcBorders>
              <w:top w:val="single" w:sz="4" w:space="0" w:color="auto"/>
            </w:tcBorders>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8,3</w:t>
            </w:r>
          </w:p>
        </w:tc>
      </w:tr>
      <w:tr w:rsidR="00B40925" w:rsidRPr="00CB6957" w:rsidTr="00CB6957">
        <w:trPr>
          <w:trHeight w:val="450"/>
        </w:trPr>
        <w:tc>
          <w:tcPr>
            <w:tcW w:w="2130" w:type="dxa"/>
            <w:shd w:val="clear" w:color="auto" w:fill="auto"/>
            <w:vAlign w:val="center"/>
            <w:hideMark/>
          </w:tcPr>
          <w:p w:rsidR="00B40925" w:rsidRPr="00CB6957" w:rsidRDefault="00B40925" w:rsidP="00A52EA0">
            <w:pPr>
              <w:spacing w:line="360" w:lineRule="auto"/>
              <w:rPr>
                <w:color w:val="000000"/>
                <w:sz w:val="20"/>
                <w:szCs w:val="20"/>
              </w:rPr>
            </w:pPr>
            <w:r w:rsidRPr="00CB6957">
              <w:rPr>
                <w:color w:val="000000"/>
                <w:sz w:val="20"/>
                <w:szCs w:val="20"/>
              </w:rPr>
              <w:t>Presupuesto Definitivo</w:t>
            </w:r>
          </w:p>
        </w:tc>
        <w:tc>
          <w:tcPr>
            <w:tcW w:w="1669" w:type="dxa"/>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243.778.512</w:t>
            </w:r>
          </w:p>
        </w:tc>
        <w:tc>
          <w:tcPr>
            <w:tcW w:w="877" w:type="dxa"/>
            <w:shd w:val="clear" w:color="auto" w:fill="auto"/>
            <w:vAlign w:val="center"/>
            <w:hideMark/>
          </w:tcPr>
          <w:p w:rsidR="00B40925" w:rsidRPr="00CB6957" w:rsidRDefault="00B40925" w:rsidP="00A52EA0">
            <w:pPr>
              <w:spacing w:line="360" w:lineRule="auto"/>
              <w:jc w:val="center"/>
              <w:rPr>
                <w:sz w:val="20"/>
                <w:szCs w:val="20"/>
              </w:rPr>
            </w:pPr>
            <w:r w:rsidRPr="00CB6957">
              <w:rPr>
                <w:sz w:val="20"/>
                <w:szCs w:val="20"/>
              </w:rPr>
              <w:t>146,3</w:t>
            </w:r>
          </w:p>
        </w:tc>
        <w:tc>
          <w:tcPr>
            <w:tcW w:w="1591" w:type="dxa"/>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372.665.308</w:t>
            </w:r>
          </w:p>
        </w:tc>
        <w:tc>
          <w:tcPr>
            <w:tcW w:w="690" w:type="dxa"/>
            <w:shd w:val="clear" w:color="auto" w:fill="auto"/>
            <w:vAlign w:val="center"/>
            <w:hideMark/>
          </w:tcPr>
          <w:p w:rsidR="00B40925" w:rsidRPr="00CB6957" w:rsidRDefault="00B40925" w:rsidP="00A52EA0">
            <w:pPr>
              <w:spacing w:line="360" w:lineRule="auto"/>
              <w:jc w:val="center"/>
              <w:rPr>
                <w:sz w:val="20"/>
                <w:szCs w:val="20"/>
              </w:rPr>
            </w:pPr>
            <w:r w:rsidRPr="00CB6957">
              <w:rPr>
                <w:sz w:val="20"/>
                <w:szCs w:val="20"/>
              </w:rPr>
              <w:t>206,4</w:t>
            </w:r>
          </w:p>
        </w:tc>
        <w:tc>
          <w:tcPr>
            <w:tcW w:w="1864" w:type="dxa"/>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52,9</w:t>
            </w:r>
          </w:p>
        </w:tc>
      </w:tr>
      <w:tr w:rsidR="00B40925" w:rsidRPr="00CB6957" w:rsidTr="00CB6957">
        <w:trPr>
          <w:trHeight w:val="450"/>
        </w:trPr>
        <w:tc>
          <w:tcPr>
            <w:tcW w:w="2130" w:type="dxa"/>
            <w:tcBorders>
              <w:bottom w:val="nil"/>
            </w:tcBorders>
            <w:shd w:val="clear" w:color="auto" w:fill="auto"/>
            <w:vAlign w:val="center"/>
            <w:hideMark/>
          </w:tcPr>
          <w:p w:rsidR="00B40925" w:rsidRPr="00CB6957" w:rsidRDefault="00B40925" w:rsidP="00A52EA0">
            <w:pPr>
              <w:spacing w:line="360" w:lineRule="auto"/>
              <w:rPr>
                <w:color w:val="000000"/>
                <w:sz w:val="20"/>
                <w:szCs w:val="20"/>
              </w:rPr>
            </w:pPr>
            <w:r w:rsidRPr="00CB6957">
              <w:rPr>
                <w:color w:val="000000"/>
                <w:sz w:val="20"/>
                <w:szCs w:val="20"/>
              </w:rPr>
              <w:t>Ejecución de Ingresos</w:t>
            </w:r>
          </w:p>
        </w:tc>
        <w:tc>
          <w:tcPr>
            <w:tcW w:w="1669" w:type="dxa"/>
            <w:tcBorders>
              <w:bottom w:val="nil"/>
            </w:tcBorders>
            <w:shd w:val="clear" w:color="auto" w:fill="auto"/>
            <w:vAlign w:val="center"/>
            <w:hideMark/>
          </w:tcPr>
          <w:p w:rsidR="00B40925" w:rsidRPr="00CB6957" w:rsidRDefault="00B40925" w:rsidP="00A52EA0">
            <w:pPr>
              <w:spacing w:line="360" w:lineRule="auto"/>
              <w:jc w:val="center"/>
              <w:rPr>
                <w:sz w:val="20"/>
                <w:szCs w:val="20"/>
              </w:rPr>
            </w:pPr>
            <w:r w:rsidRPr="00CB6957">
              <w:rPr>
                <w:sz w:val="20"/>
                <w:szCs w:val="20"/>
              </w:rPr>
              <w:t>243.953.396</w:t>
            </w:r>
          </w:p>
        </w:tc>
        <w:tc>
          <w:tcPr>
            <w:tcW w:w="877" w:type="dxa"/>
            <w:tcBorders>
              <w:bottom w:val="nil"/>
            </w:tcBorders>
            <w:shd w:val="clear" w:color="auto" w:fill="auto"/>
            <w:vAlign w:val="center"/>
            <w:hideMark/>
          </w:tcPr>
          <w:p w:rsidR="00B40925" w:rsidRPr="00CB6957" w:rsidRDefault="00B40925" w:rsidP="00A52EA0">
            <w:pPr>
              <w:spacing w:line="360" w:lineRule="auto"/>
              <w:jc w:val="center"/>
              <w:rPr>
                <w:sz w:val="20"/>
                <w:szCs w:val="20"/>
              </w:rPr>
            </w:pPr>
            <w:r w:rsidRPr="00CB6957">
              <w:rPr>
                <w:sz w:val="20"/>
                <w:szCs w:val="20"/>
              </w:rPr>
              <w:t>146,4</w:t>
            </w:r>
          </w:p>
        </w:tc>
        <w:tc>
          <w:tcPr>
            <w:tcW w:w="1591" w:type="dxa"/>
            <w:tcBorders>
              <w:bottom w:val="nil"/>
            </w:tcBorders>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151.231.133</w:t>
            </w:r>
          </w:p>
        </w:tc>
        <w:tc>
          <w:tcPr>
            <w:tcW w:w="690" w:type="dxa"/>
            <w:tcBorders>
              <w:bottom w:val="nil"/>
            </w:tcBorders>
            <w:shd w:val="clear" w:color="auto" w:fill="auto"/>
            <w:vAlign w:val="center"/>
            <w:hideMark/>
          </w:tcPr>
          <w:p w:rsidR="00B40925" w:rsidRPr="00CB6957" w:rsidRDefault="00B40925" w:rsidP="00A52EA0">
            <w:pPr>
              <w:spacing w:line="360" w:lineRule="auto"/>
              <w:jc w:val="center"/>
              <w:rPr>
                <w:sz w:val="20"/>
                <w:szCs w:val="20"/>
              </w:rPr>
            </w:pPr>
            <w:r w:rsidRPr="00CB6957">
              <w:rPr>
                <w:sz w:val="20"/>
                <w:szCs w:val="20"/>
              </w:rPr>
              <w:t>83,8</w:t>
            </w:r>
          </w:p>
        </w:tc>
        <w:tc>
          <w:tcPr>
            <w:tcW w:w="1864" w:type="dxa"/>
            <w:tcBorders>
              <w:bottom w:val="nil"/>
            </w:tcBorders>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-38,0</w:t>
            </w:r>
          </w:p>
        </w:tc>
      </w:tr>
      <w:tr w:rsidR="00B40925" w:rsidRPr="00CB6957" w:rsidTr="00CB6957">
        <w:trPr>
          <w:trHeight w:val="450"/>
        </w:trPr>
        <w:tc>
          <w:tcPr>
            <w:tcW w:w="2130" w:type="dxa"/>
            <w:tcBorders>
              <w:top w:val="nil"/>
              <w:bottom w:val="single" w:sz="4" w:space="0" w:color="auto"/>
            </w:tcBorders>
            <w:shd w:val="clear" w:color="auto" w:fill="auto"/>
            <w:vAlign w:val="center"/>
            <w:hideMark/>
          </w:tcPr>
          <w:p w:rsidR="00B40925" w:rsidRPr="00CB6957" w:rsidRDefault="00B40925" w:rsidP="00A52EA0">
            <w:pPr>
              <w:spacing w:line="360" w:lineRule="auto"/>
              <w:rPr>
                <w:color w:val="000000"/>
                <w:sz w:val="20"/>
                <w:szCs w:val="20"/>
              </w:rPr>
            </w:pPr>
            <w:r w:rsidRPr="00CB6957">
              <w:rPr>
                <w:color w:val="000000"/>
                <w:sz w:val="20"/>
                <w:szCs w:val="20"/>
              </w:rPr>
              <w:t>Ejecución de Egresos</w:t>
            </w:r>
          </w:p>
        </w:tc>
        <w:tc>
          <w:tcPr>
            <w:tcW w:w="1669" w:type="dxa"/>
            <w:tcBorders>
              <w:top w:val="nil"/>
              <w:bottom w:val="single" w:sz="4" w:space="0" w:color="auto"/>
            </w:tcBorders>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193.397.623</w:t>
            </w:r>
          </w:p>
        </w:tc>
        <w:tc>
          <w:tcPr>
            <w:tcW w:w="877" w:type="dxa"/>
            <w:tcBorders>
              <w:top w:val="nil"/>
              <w:bottom w:val="single" w:sz="4" w:space="0" w:color="auto"/>
            </w:tcBorders>
            <w:shd w:val="clear" w:color="auto" w:fill="auto"/>
            <w:vAlign w:val="center"/>
            <w:hideMark/>
          </w:tcPr>
          <w:p w:rsidR="00B40925" w:rsidRPr="00CB6957" w:rsidRDefault="00B40925" w:rsidP="00A52EA0">
            <w:pPr>
              <w:spacing w:line="360" w:lineRule="auto"/>
              <w:jc w:val="center"/>
              <w:rPr>
                <w:sz w:val="20"/>
                <w:szCs w:val="20"/>
              </w:rPr>
            </w:pPr>
            <w:r w:rsidRPr="00CB6957">
              <w:rPr>
                <w:sz w:val="20"/>
                <w:szCs w:val="20"/>
              </w:rPr>
              <w:t>116,0</w:t>
            </w:r>
          </w:p>
        </w:tc>
        <w:tc>
          <w:tcPr>
            <w:tcW w:w="1591" w:type="dxa"/>
            <w:tcBorders>
              <w:top w:val="nil"/>
              <w:bottom w:val="single" w:sz="4" w:space="0" w:color="auto"/>
            </w:tcBorders>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224.412.837</w:t>
            </w:r>
          </w:p>
        </w:tc>
        <w:tc>
          <w:tcPr>
            <w:tcW w:w="690" w:type="dxa"/>
            <w:tcBorders>
              <w:top w:val="nil"/>
              <w:bottom w:val="single" w:sz="4" w:space="0" w:color="auto"/>
            </w:tcBorders>
            <w:shd w:val="clear" w:color="auto" w:fill="auto"/>
            <w:vAlign w:val="center"/>
            <w:hideMark/>
          </w:tcPr>
          <w:p w:rsidR="00B40925" w:rsidRPr="00CB6957" w:rsidRDefault="00B40925" w:rsidP="00A52EA0">
            <w:pPr>
              <w:spacing w:line="360" w:lineRule="auto"/>
              <w:jc w:val="center"/>
              <w:rPr>
                <w:sz w:val="20"/>
                <w:szCs w:val="20"/>
              </w:rPr>
            </w:pPr>
            <w:r w:rsidRPr="00CB6957">
              <w:rPr>
                <w:sz w:val="20"/>
                <w:szCs w:val="20"/>
              </w:rPr>
              <w:t>124,3</w:t>
            </w:r>
          </w:p>
        </w:tc>
        <w:tc>
          <w:tcPr>
            <w:tcW w:w="1864" w:type="dxa"/>
            <w:tcBorders>
              <w:top w:val="nil"/>
              <w:bottom w:val="single" w:sz="4" w:space="0" w:color="auto"/>
            </w:tcBorders>
            <w:shd w:val="clear" w:color="auto" w:fill="auto"/>
            <w:vAlign w:val="center"/>
            <w:hideMark/>
          </w:tcPr>
          <w:p w:rsidR="00B40925" w:rsidRPr="00CB6957" w:rsidRDefault="00B40925" w:rsidP="00A52EA0">
            <w:pPr>
              <w:spacing w:line="360" w:lineRule="auto"/>
              <w:jc w:val="center"/>
              <w:rPr>
                <w:color w:val="000000"/>
                <w:sz w:val="20"/>
                <w:szCs w:val="20"/>
              </w:rPr>
            </w:pPr>
            <w:r w:rsidRPr="00CB6957">
              <w:rPr>
                <w:color w:val="000000"/>
                <w:sz w:val="20"/>
                <w:szCs w:val="20"/>
              </w:rPr>
              <w:t>16,0</w:t>
            </w:r>
          </w:p>
        </w:tc>
      </w:tr>
    </w:tbl>
    <w:p w:rsidR="00B40925" w:rsidRPr="00CB6957" w:rsidRDefault="00CB6957" w:rsidP="00CB6957">
      <w:pPr>
        <w:spacing w:line="360" w:lineRule="auto"/>
        <w:jc w:val="both"/>
        <w:rPr>
          <w:sz w:val="20"/>
          <w:lang w:val="es-ES"/>
        </w:rPr>
      </w:pPr>
      <w:r w:rsidRPr="00CB6957">
        <w:rPr>
          <w:iCs/>
          <w:color w:val="000000"/>
          <w:sz w:val="16"/>
          <w:szCs w:val="20"/>
        </w:rPr>
        <w:t>Fuente: Dirección Financiera – Secretaría de Hacienda Departamental</w:t>
      </w:r>
    </w:p>
    <w:p w:rsidR="00B40925" w:rsidRDefault="00B40925" w:rsidP="00B40925">
      <w:pPr>
        <w:spacing w:line="360" w:lineRule="auto"/>
        <w:ind w:firstLine="708"/>
        <w:jc w:val="both"/>
        <w:rPr>
          <w:lang w:val="es-ES"/>
        </w:rPr>
      </w:pPr>
    </w:p>
    <w:p w:rsidR="00CB6957" w:rsidRDefault="00CB6957" w:rsidP="00B40925">
      <w:pPr>
        <w:spacing w:line="360" w:lineRule="auto"/>
        <w:ind w:firstLine="708"/>
        <w:jc w:val="both"/>
        <w:rPr>
          <w:lang w:val="es-ES"/>
        </w:rPr>
      </w:pPr>
    </w:p>
    <w:p w:rsidR="00CB6957" w:rsidRDefault="00CB6957" w:rsidP="00B40925">
      <w:pPr>
        <w:spacing w:line="360" w:lineRule="auto"/>
        <w:ind w:firstLine="708"/>
        <w:jc w:val="both"/>
        <w:rPr>
          <w:lang w:val="es-ES"/>
        </w:rPr>
      </w:pPr>
    </w:p>
    <w:p w:rsidR="00B40925" w:rsidRPr="00360208" w:rsidRDefault="00360208" w:rsidP="00360208">
      <w:pPr>
        <w:pStyle w:val="Ttulo2"/>
        <w:rPr>
          <w:rFonts w:ascii="Times New Roman" w:hAnsi="Times New Roman" w:cs="Times New Roman"/>
          <w:color w:val="auto"/>
          <w:sz w:val="30"/>
          <w:szCs w:val="30"/>
        </w:rPr>
      </w:pPr>
      <w:bookmarkStart w:id="64" w:name="_Toc406754320"/>
      <w:r w:rsidRPr="00360208">
        <w:rPr>
          <w:rFonts w:ascii="Times New Roman" w:hAnsi="Times New Roman" w:cs="Times New Roman"/>
          <w:color w:val="auto"/>
          <w:sz w:val="30"/>
          <w:szCs w:val="30"/>
        </w:rPr>
        <w:lastRenderedPageBreak/>
        <w:t xml:space="preserve">7.1.1 </w:t>
      </w:r>
      <w:r w:rsidR="00B40925" w:rsidRPr="00360208">
        <w:rPr>
          <w:rFonts w:ascii="Times New Roman" w:hAnsi="Times New Roman" w:cs="Times New Roman"/>
          <w:color w:val="auto"/>
          <w:sz w:val="30"/>
          <w:szCs w:val="30"/>
        </w:rPr>
        <w:t>Ejecución de ingresos</w:t>
      </w:r>
      <w:bookmarkEnd w:id="64"/>
    </w:p>
    <w:p w:rsidR="00360208" w:rsidRDefault="00360208" w:rsidP="00B40925">
      <w:pPr>
        <w:spacing w:line="360" w:lineRule="auto"/>
        <w:jc w:val="both"/>
        <w:rPr>
          <w:lang w:val="es-ES"/>
        </w:rPr>
      </w:pPr>
    </w:p>
    <w:p w:rsidR="00B40925" w:rsidRDefault="00B40925" w:rsidP="00360208">
      <w:pPr>
        <w:spacing w:line="360" w:lineRule="auto"/>
        <w:ind w:firstLine="284"/>
        <w:jc w:val="both"/>
        <w:rPr>
          <w:lang w:val="es-ES"/>
        </w:rPr>
      </w:pPr>
      <w:r w:rsidRPr="00D646CC">
        <w:rPr>
          <w:lang w:val="es-ES"/>
        </w:rPr>
        <w:t xml:space="preserve">Según los datos tomados de la </w:t>
      </w:r>
      <w:r>
        <w:rPr>
          <w:lang w:val="es-ES"/>
        </w:rPr>
        <w:t>Secretaría de Hacienda</w:t>
      </w:r>
      <w:r w:rsidRPr="00D646CC">
        <w:rPr>
          <w:lang w:val="es-ES"/>
        </w:rPr>
        <w:t xml:space="preserve">, </w:t>
      </w:r>
      <w:r>
        <w:rPr>
          <w:lang w:val="es-ES"/>
        </w:rPr>
        <w:t>el Quindío</w:t>
      </w:r>
      <w:r w:rsidRPr="00D646CC">
        <w:rPr>
          <w:lang w:val="es-ES"/>
        </w:rPr>
        <w:t xml:space="preserve"> present</w:t>
      </w:r>
      <w:r>
        <w:rPr>
          <w:lang w:val="es-ES"/>
        </w:rPr>
        <w:t>a</w:t>
      </w:r>
      <w:r w:rsidRPr="00D646CC">
        <w:rPr>
          <w:lang w:val="es-ES"/>
        </w:rPr>
        <w:t xml:space="preserve"> </w:t>
      </w:r>
      <w:r>
        <w:rPr>
          <w:lang w:val="es-ES"/>
        </w:rPr>
        <w:t>un crecimiento en los ingresos corrientes del 55% en el 2013 frente a la vigencia 2012, donde el recaudo fue del 86,6% y la participación de los ingresos tributarios fue 59%, de los no tributarios del 16% y los recursos del capital aportaron el 46% de la ejecución.</w:t>
      </w:r>
    </w:p>
    <w:p w:rsidR="00360208" w:rsidRDefault="00360208" w:rsidP="00B40925">
      <w:pPr>
        <w:spacing w:line="360" w:lineRule="auto"/>
        <w:jc w:val="center"/>
        <w:rPr>
          <w:b/>
        </w:rPr>
      </w:pPr>
    </w:p>
    <w:p w:rsidR="00B40925" w:rsidRPr="00360208" w:rsidRDefault="00B40925" w:rsidP="00360208">
      <w:r w:rsidRPr="00360208">
        <w:t>Gráfico 7.1</w:t>
      </w:r>
    </w:p>
    <w:p w:rsidR="00360208" w:rsidRDefault="00B40925" w:rsidP="00360208">
      <w:r w:rsidRPr="00360208">
        <w:t>Ejecución Presupuestal  del Quindío</w:t>
      </w:r>
    </w:p>
    <w:p w:rsidR="00B40925" w:rsidRPr="00360208" w:rsidRDefault="00B40925" w:rsidP="00360208">
      <w:r w:rsidRPr="00360208">
        <w:t xml:space="preserve"> 2012-2013</w:t>
      </w:r>
    </w:p>
    <w:p w:rsidR="00B40925" w:rsidRPr="009E7C1B" w:rsidRDefault="00B40925" w:rsidP="00B40925">
      <w:pPr>
        <w:spacing w:line="360" w:lineRule="auto"/>
        <w:rPr>
          <w:sz w:val="8"/>
        </w:rPr>
      </w:pPr>
    </w:p>
    <w:p w:rsidR="00B40925" w:rsidRDefault="00B40925" w:rsidP="00B40925">
      <w:pPr>
        <w:tabs>
          <w:tab w:val="left" w:pos="4420"/>
        </w:tabs>
        <w:spacing w:line="360" w:lineRule="auto"/>
        <w:rPr>
          <w:noProof/>
        </w:rPr>
      </w:pPr>
      <w:r>
        <w:rPr>
          <w:noProof/>
        </w:rPr>
        <w:drawing>
          <wp:inline distT="0" distB="0" distL="0" distR="0" wp14:anchorId="7702098C" wp14:editId="24354336">
            <wp:extent cx="4675517" cy="2475782"/>
            <wp:effectExtent l="0" t="0" r="10795" b="20320"/>
            <wp:docPr id="61" name="Gráfico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40925" w:rsidRPr="00360208" w:rsidRDefault="00360208" w:rsidP="00B40925">
      <w:pPr>
        <w:tabs>
          <w:tab w:val="left" w:pos="4420"/>
        </w:tabs>
        <w:spacing w:line="360" w:lineRule="auto"/>
        <w:rPr>
          <w:noProof/>
          <w:sz w:val="16"/>
        </w:rPr>
      </w:pPr>
      <w:r>
        <w:rPr>
          <w:noProof/>
          <w:sz w:val="16"/>
        </w:rPr>
        <w:t xml:space="preserve">       </w:t>
      </w:r>
      <w:r w:rsidR="00B40925" w:rsidRPr="00360208">
        <w:rPr>
          <w:noProof/>
          <w:sz w:val="16"/>
        </w:rPr>
        <w:t>Fuente: Secretaría de Hacienda Departamental</w:t>
      </w:r>
    </w:p>
    <w:p w:rsidR="00B40925" w:rsidRDefault="00B40925" w:rsidP="00B40925">
      <w:pPr>
        <w:tabs>
          <w:tab w:val="left" w:pos="4420"/>
        </w:tabs>
        <w:spacing w:line="360" w:lineRule="auto"/>
        <w:rPr>
          <w:noProof/>
        </w:rPr>
      </w:pPr>
    </w:p>
    <w:p w:rsidR="00B40925" w:rsidRPr="00847920" w:rsidRDefault="00B40925" w:rsidP="00847920">
      <w:pPr>
        <w:spacing w:line="360" w:lineRule="auto"/>
        <w:rPr>
          <w:szCs w:val="42"/>
        </w:rPr>
      </w:pPr>
    </w:p>
    <w:p w:rsidR="00B40925" w:rsidRPr="009E7C1B" w:rsidRDefault="00847920" w:rsidP="009E7C1B">
      <w:pPr>
        <w:pStyle w:val="Ttulo2"/>
        <w:rPr>
          <w:rFonts w:ascii="Times New Roman" w:hAnsi="Times New Roman" w:cs="Times New Roman"/>
          <w:color w:val="auto"/>
          <w:sz w:val="30"/>
          <w:szCs w:val="30"/>
        </w:rPr>
      </w:pPr>
      <w:bookmarkStart w:id="65" w:name="_Toc406754321"/>
      <w:r>
        <w:rPr>
          <w:rFonts w:ascii="Times New Roman" w:hAnsi="Times New Roman" w:cs="Times New Roman"/>
          <w:color w:val="auto"/>
          <w:sz w:val="30"/>
          <w:szCs w:val="30"/>
        </w:rPr>
        <w:t>7.2.</w:t>
      </w:r>
      <w:r w:rsidR="009E7C1B" w:rsidRPr="009E7C1B">
        <w:rPr>
          <w:rFonts w:ascii="Times New Roman" w:hAnsi="Times New Roman" w:cs="Times New Roman"/>
          <w:color w:val="auto"/>
          <w:sz w:val="30"/>
          <w:szCs w:val="30"/>
        </w:rPr>
        <w:t xml:space="preserve"> </w:t>
      </w:r>
      <w:r w:rsidR="00B40925" w:rsidRPr="009E7C1B">
        <w:rPr>
          <w:rFonts w:ascii="Times New Roman" w:hAnsi="Times New Roman" w:cs="Times New Roman"/>
          <w:color w:val="auto"/>
          <w:sz w:val="30"/>
          <w:szCs w:val="30"/>
        </w:rPr>
        <w:t>Lotería del Quindío</w:t>
      </w:r>
      <w:bookmarkEnd w:id="65"/>
    </w:p>
    <w:p w:rsidR="009E7C1B" w:rsidRDefault="009E7C1B" w:rsidP="00B40925">
      <w:pPr>
        <w:spacing w:line="360" w:lineRule="auto"/>
        <w:jc w:val="both"/>
        <w:rPr>
          <w:lang w:val="es-ES"/>
        </w:rPr>
      </w:pPr>
    </w:p>
    <w:p w:rsidR="00B40925" w:rsidRDefault="00E6265F" w:rsidP="009E7C1B">
      <w:pPr>
        <w:spacing w:line="360" w:lineRule="auto"/>
        <w:ind w:firstLine="284"/>
        <w:jc w:val="both"/>
        <w:rPr>
          <w:lang w:val="es-ES"/>
        </w:rPr>
      </w:pPr>
      <w:r w:rsidRPr="00E6265F">
        <w:rPr>
          <w:lang w:val="es-ES"/>
        </w:rPr>
        <w:t>La lotería del Quindío presentó durante la vigencia 2013 una ejecución de 2,7% de ingresos inferior a la ejecutada en el 2012, como reflejo de una disminución en las ventas de lotería ordinaria del 0,5% y en apuestas permanentes de más del 50%, efecto que fue amortiguado con un incremento en ingresos financieros y en LOTIQUINDÍO, cercano al 40% en ambos casos.</w:t>
      </w:r>
    </w:p>
    <w:p w:rsidR="00847920" w:rsidRPr="001C6F67" w:rsidRDefault="00847920" w:rsidP="009E7C1B">
      <w:pPr>
        <w:spacing w:line="360" w:lineRule="auto"/>
        <w:ind w:firstLine="284"/>
        <w:jc w:val="both"/>
        <w:rPr>
          <w:lang w:val="es-ES"/>
        </w:rPr>
      </w:pPr>
    </w:p>
    <w:p w:rsidR="00B40925" w:rsidRPr="00D646CC" w:rsidRDefault="00783A66" w:rsidP="009E7C1B">
      <w:r>
        <w:lastRenderedPageBreak/>
        <w:t>Tabla</w:t>
      </w:r>
      <w:r w:rsidR="00B40925">
        <w:t xml:space="preserve"> 7.2</w:t>
      </w:r>
    </w:p>
    <w:p w:rsidR="00B40925" w:rsidRPr="009E7C1B" w:rsidRDefault="00B40925" w:rsidP="009E7C1B">
      <w:r w:rsidRPr="009E7C1B">
        <w:t>Ejecución Presupuestal de ingresos y gastos de la Lotería del Quindío</w:t>
      </w:r>
      <w:r w:rsidR="009E7C1B">
        <w:t>. Miles de pesos</w:t>
      </w:r>
      <w:r w:rsidR="000F4B66">
        <w:rPr>
          <w:rStyle w:val="Refdenotaalpie"/>
        </w:rPr>
        <w:footnoteReference w:id="33"/>
      </w:r>
    </w:p>
    <w:p w:rsidR="00B40925" w:rsidRDefault="00B40925" w:rsidP="009E7C1B">
      <w:r>
        <w:t>2012-2013</w:t>
      </w:r>
    </w:p>
    <w:p w:rsidR="009E7C1B" w:rsidRDefault="009E7C1B" w:rsidP="009E7C1B"/>
    <w:tbl>
      <w:tblPr>
        <w:tblW w:w="8454" w:type="dxa"/>
        <w:tblInd w:w="55" w:type="dxa"/>
        <w:tblCellMar>
          <w:left w:w="70" w:type="dxa"/>
          <w:right w:w="70" w:type="dxa"/>
        </w:tblCellMar>
        <w:tblLook w:val="04A0" w:firstRow="1" w:lastRow="0" w:firstColumn="1" w:lastColumn="0" w:noHBand="0" w:noVBand="1"/>
      </w:tblPr>
      <w:tblGrid>
        <w:gridCol w:w="2979"/>
        <w:gridCol w:w="1912"/>
        <w:gridCol w:w="1912"/>
        <w:gridCol w:w="1651"/>
      </w:tblGrid>
      <w:tr w:rsidR="000F4B66" w:rsidRPr="000F4B66" w:rsidTr="00847920">
        <w:trPr>
          <w:trHeight w:val="817"/>
        </w:trPr>
        <w:tc>
          <w:tcPr>
            <w:tcW w:w="2979" w:type="dxa"/>
            <w:tcBorders>
              <w:top w:val="single" w:sz="4" w:space="0" w:color="auto"/>
              <w:left w:val="nil"/>
              <w:bottom w:val="double" w:sz="6" w:space="0" w:color="auto"/>
              <w:right w:val="nil"/>
            </w:tcBorders>
            <w:shd w:val="clear" w:color="auto" w:fill="auto"/>
            <w:noWrap/>
            <w:vAlign w:val="center"/>
            <w:hideMark/>
          </w:tcPr>
          <w:p w:rsidR="000F4B66" w:rsidRPr="000F4B66" w:rsidRDefault="000F4B66" w:rsidP="000F4B66">
            <w:pPr>
              <w:jc w:val="center"/>
              <w:rPr>
                <w:b/>
                <w:bCs/>
                <w:color w:val="000000"/>
                <w:sz w:val="20"/>
                <w:szCs w:val="20"/>
                <w:lang w:val="es-ES" w:eastAsia="es-ES"/>
              </w:rPr>
            </w:pPr>
            <w:r w:rsidRPr="000F4B66">
              <w:rPr>
                <w:b/>
                <w:bCs/>
                <w:color w:val="000000"/>
                <w:sz w:val="20"/>
                <w:szCs w:val="20"/>
                <w:lang w:eastAsia="es-ES"/>
              </w:rPr>
              <w:t>Factores económicos</w:t>
            </w:r>
          </w:p>
        </w:tc>
        <w:tc>
          <w:tcPr>
            <w:tcW w:w="1912" w:type="dxa"/>
            <w:tcBorders>
              <w:top w:val="single" w:sz="4" w:space="0" w:color="auto"/>
              <w:left w:val="nil"/>
              <w:bottom w:val="double" w:sz="6" w:space="0" w:color="auto"/>
              <w:right w:val="nil"/>
            </w:tcBorders>
            <w:shd w:val="clear" w:color="auto" w:fill="auto"/>
            <w:noWrap/>
            <w:vAlign w:val="center"/>
            <w:hideMark/>
          </w:tcPr>
          <w:p w:rsidR="000F4B66" w:rsidRPr="000F4B66" w:rsidRDefault="000F4B66" w:rsidP="000F4B66">
            <w:pPr>
              <w:jc w:val="center"/>
              <w:rPr>
                <w:b/>
                <w:bCs/>
                <w:color w:val="000000"/>
                <w:sz w:val="20"/>
                <w:szCs w:val="20"/>
                <w:lang w:val="es-ES" w:eastAsia="es-ES"/>
              </w:rPr>
            </w:pPr>
            <w:r w:rsidRPr="000F4B66">
              <w:rPr>
                <w:b/>
                <w:bCs/>
                <w:color w:val="000000"/>
                <w:sz w:val="20"/>
                <w:szCs w:val="20"/>
                <w:lang w:eastAsia="es-ES"/>
              </w:rPr>
              <w:t>Ejecutado 2012</w:t>
            </w:r>
          </w:p>
        </w:tc>
        <w:tc>
          <w:tcPr>
            <w:tcW w:w="1912" w:type="dxa"/>
            <w:tcBorders>
              <w:top w:val="single" w:sz="4" w:space="0" w:color="auto"/>
              <w:left w:val="nil"/>
              <w:bottom w:val="double" w:sz="6" w:space="0" w:color="auto"/>
              <w:right w:val="nil"/>
            </w:tcBorders>
            <w:shd w:val="clear" w:color="auto" w:fill="auto"/>
            <w:noWrap/>
            <w:vAlign w:val="center"/>
            <w:hideMark/>
          </w:tcPr>
          <w:p w:rsidR="000F4B66" w:rsidRPr="000F4B66" w:rsidRDefault="000F4B66" w:rsidP="000F4B66">
            <w:pPr>
              <w:jc w:val="center"/>
              <w:rPr>
                <w:b/>
                <w:bCs/>
                <w:color w:val="000000"/>
                <w:sz w:val="20"/>
                <w:szCs w:val="20"/>
                <w:lang w:val="es-ES" w:eastAsia="es-ES"/>
              </w:rPr>
            </w:pPr>
            <w:r w:rsidRPr="000F4B66">
              <w:rPr>
                <w:b/>
                <w:bCs/>
                <w:color w:val="000000"/>
                <w:sz w:val="20"/>
                <w:szCs w:val="20"/>
                <w:lang w:eastAsia="es-ES"/>
              </w:rPr>
              <w:t>Ejecutado 2013</w:t>
            </w:r>
          </w:p>
        </w:tc>
        <w:tc>
          <w:tcPr>
            <w:tcW w:w="1651" w:type="dxa"/>
            <w:tcBorders>
              <w:top w:val="single" w:sz="4" w:space="0" w:color="auto"/>
              <w:left w:val="nil"/>
              <w:bottom w:val="double" w:sz="6" w:space="0" w:color="auto"/>
              <w:right w:val="nil"/>
            </w:tcBorders>
            <w:shd w:val="clear" w:color="auto" w:fill="auto"/>
            <w:noWrap/>
            <w:vAlign w:val="center"/>
            <w:hideMark/>
          </w:tcPr>
          <w:p w:rsidR="000F4B66" w:rsidRPr="000F4B66" w:rsidRDefault="000F4B66" w:rsidP="000F4B66">
            <w:pPr>
              <w:jc w:val="center"/>
              <w:rPr>
                <w:b/>
                <w:bCs/>
                <w:color w:val="000000"/>
                <w:sz w:val="20"/>
                <w:szCs w:val="20"/>
                <w:lang w:val="es-ES" w:eastAsia="es-ES"/>
              </w:rPr>
            </w:pPr>
            <w:r w:rsidRPr="000F4B66">
              <w:rPr>
                <w:b/>
                <w:bCs/>
                <w:color w:val="000000"/>
                <w:sz w:val="20"/>
                <w:szCs w:val="20"/>
                <w:lang w:eastAsia="es-ES"/>
              </w:rPr>
              <w:t>Variación %</w:t>
            </w:r>
          </w:p>
        </w:tc>
      </w:tr>
      <w:tr w:rsidR="000F4B66" w:rsidRPr="000F4B66" w:rsidTr="00847920">
        <w:trPr>
          <w:trHeight w:val="429"/>
        </w:trPr>
        <w:tc>
          <w:tcPr>
            <w:tcW w:w="2979" w:type="dxa"/>
            <w:tcBorders>
              <w:top w:val="nil"/>
              <w:left w:val="nil"/>
              <w:bottom w:val="nil"/>
              <w:right w:val="nil"/>
            </w:tcBorders>
            <w:shd w:val="clear" w:color="auto" w:fill="auto"/>
            <w:noWrap/>
            <w:vAlign w:val="center"/>
            <w:hideMark/>
          </w:tcPr>
          <w:p w:rsidR="000F4B66" w:rsidRPr="000F4B66" w:rsidRDefault="000F4B66" w:rsidP="000F4B66">
            <w:pPr>
              <w:rPr>
                <w:color w:val="000000"/>
                <w:sz w:val="20"/>
                <w:szCs w:val="20"/>
                <w:lang w:val="es-ES" w:eastAsia="es-ES"/>
              </w:rPr>
            </w:pPr>
            <w:r w:rsidRPr="000F4B66">
              <w:rPr>
                <w:color w:val="000000"/>
                <w:sz w:val="20"/>
                <w:szCs w:val="20"/>
                <w:lang w:eastAsia="es-ES"/>
              </w:rPr>
              <w:t>TOTAL INGRESOS</w:t>
            </w:r>
          </w:p>
        </w:tc>
        <w:tc>
          <w:tcPr>
            <w:tcW w:w="1912" w:type="dxa"/>
            <w:tcBorders>
              <w:top w:val="nil"/>
              <w:left w:val="nil"/>
              <w:bottom w:val="nil"/>
              <w:right w:val="nil"/>
            </w:tcBorders>
            <w:shd w:val="clear" w:color="auto" w:fill="auto"/>
            <w:noWrap/>
            <w:vAlign w:val="center"/>
            <w:hideMark/>
          </w:tcPr>
          <w:p w:rsidR="000F4B66" w:rsidRPr="000F4B66" w:rsidRDefault="000F4B66" w:rsidP="000F4B66">
            <w:pPr>
              <w:jc w:val="right"/>
              <w:rPr>
                <w:color w:val="000000"/>
                <w:sz w:val="20"/>
                <w:szCs w:val="20"/>
                <w:lang w:val="es-ES" w:eastAsia="es-ES"/>
              </w:rPr>
            </w:pPr>
            <w:r w:rsidRPr="000F4B66">
              <w:rPr>
                <w:color w:val="000000"/>
                <w:sz w:val="20"/>
                <w:szCs w:val="20"/>
                <w:lang w:eastAsia="es-ES"/>
              </w:rPr>
              <w:t>12.500.340</w:t>
            </w:r>
          </w:p>
        </w:tc>
        <w:tc>
          <w:tcPr>
            <w:tcW w:w="1912" w:type="dxa"/>
            <w:tcBorders>
              <w:top w:val="nil"/>
              <w:left w:val="nil"/>
              <w:bottom w:val="nil"/>
              <w:right w:val="nil"/>
            </w:tcBorders>
            <w:shd w:val="clear" w:color="auto" w:fill="auto"/>
            <w:noWrap/>
            <w:vAlign w:val="center"/>
            <w:hideMark/>
          </w:tcPr>
          <w:p w:rsidR="000F4B66" w:rsidRPr="000F4B66" w:rsidRDefault="000F4B66" w:rsidP="000F4B66">
            <w:pPr>
              <w:jc w:val="right"/>
              <w:rPr>
                <w:color w:val="000000"/>
                <w:sz w:val="20"/>
                <w:szCs w:val="20"/>
                <w:lang w:val="es-ES" w:eastAsia="es-ES"/>
              </w:rPr>
            </w:pPr>
            <w:r w:rsidRPr="000F4B66">
              <w:rPr>
                <w:color w:val="000000"/>
                <w:sz w:val="20"/>
                <w:szCs w:val="20"/>
                <w:lang w:eastAsia="es-ES"/>
              </w:rPr>
              <w:t>12.164.162</w:t>
            </w:r>
          </w:p>
        </w:tc>
        <w:tc>
          <w:tcPr>
            <w:tcW w:w="1651" w:type="dxa"/>
            <w:tcBorders>
              <w:top w:val="nil"/>
              <w:left w:val="nil"/>
              <w:bottom w:val="nil"/>
              <w:right w:val="nil"/>
            </w:tcBorders>
            <w:shd w:val="clear" w:color="auto" w:fill="auto"/>
            <w:noWrap/>
            <w:vAlign w:val="center"/>
            <w:hideMark/>
          </w:tcPr>
          <w:p w:rsidR="000F4B66" w:rsidRPr="000F4B66" w:rsidRDefault="000F4B66" w:rsidP="000F4B66">
            <w:pPr>
              <w:jc w:val="center"/>
              <w:rPr>
                <w:color w:val="000000"/>
                <w:sz w:val="20"/>
                <w:szCs w:val="20"/>
                <w:lang w:val="es-ES" w:eastAsia="es-ES"/>
              </w:rPr>
            </w:pPr>
            <w:r w:rsidRPr="000F4B66">
              <w:rPr>
                <w:color w:val="000000"/>
                <w:sz w:val="20"/>
                <w:szCs w:val="20"/>
                <w:lang w:eastAsia="es-ES"/>
              </w:rPr>
              <w:t>-2,7</w:t>
            </w:r>
          </w:p>
        </w:tc>
      </w:tr>
      <w:tr w:rsidR="000F4B66" w:rsidRPr="000F4B66" w:rsidTr="00847920">
        <w:trPr>
          <w:trHeight w:val="409"/>
        </w:trPr>
        <w:tc>
          <w:tcPr>
            <w:tcW w:w="2979" w:type="dxa"/>
            <w:tcBorders>
              <w:top w:val="nil"/>
              <w:left w:val="nil"/>
              <w:bottom w:val="nil"/>
              <w:right w:val="nil"/>
            </w:tcBorders>
            <w:shd w:val="clear" w:color="auto" w:fill="auto"/>
            <w:noWrap/>
            <w:vAlign w:val="center"/>
            <w:hideMark/>
          </w:tcPr>
          <w:p w:rsidR="000F4B66" w:rsidRPr="000F4B66" w:rsidRDefault="000F4B66" w:rsidP="000F4B66">
            <w:pPr>
              <w:rPr>
                <w:color w:val="000000"/>
                <w:sz w:val="20"/>
                <w:szCs w:val="20"/>
                <w:lang w:val="es-ES" w:eastAsia="es-ES"/>
              </w:rPr>
            </w:pPr>
            <w:r w:rsidRPr="000F4B66">
              <w:rPr>
                <w:color w:val="000000"/>
                <w:sz w:val="20"/>
                <w:szCs w:val="20"/>
                <w:lang w:eastAsia="es-ES"/>
              </w:rPr>
              <w:t>TOTAL GASTOS Y COSTOS</w:t>
            </w:r>
          </w:p>
        </w:tc>
        <w:tc>
          <w:tcPr>
            <w:tcW w:w="1912" w:type="dxa"/>
            <w:tcBorders>
              <w:top w:val="nil"/>
              <w:left w:val="nil"/>
              <w:bottom w:val="nil"/>
              <w:right w:val="nil"/>
            </w:tcBorders>
            <w:shd w:val="clear" w:color="auto" w:fill="auto"/>
            <w:noWrap/>
            <w:vAlign w:val="center"/>
            <w:hideMark/>
          </w:tcPr>
          <w:p w:rsidR="000F4B66" w:rsidRPr="000F4B66" w:rsidRDefault="000F4B66" w:rsidP="000F4B66">
            <w:pPr>
              <w:jc w:val="right"/>
              <w:rPr>
                <w:color w:val="000000"/>
                <w:sz w:val="20"/>
                <w:szCs w:val="20"/>
                <w:lang w:val="es-ES" w:eastAsia="es-ES"/>
              </w:rPr>
            </w:pPr>
            <w:r w:rsidRPr="000F4B66">
              <w:rPr>
                <w:color w:val="000000"/>
                <w:sz w:val="20"/>
                <w:szCs w:val="20"/>
                <w:lang w:eastAsia="es-ES"/>
              </w:rPr>
              <w:t>12.355.730</w:t>
            </w:r>
          </w:p>
        </w:tc>
        <w:tc>
          <w:tcPr>
            <w:tcW w:w="1912" w:type="dxa"/>
            <w:tcBorders>
              <w:top w:val="nil"/>
              <w:left w:val="nil"/>
              <w:bottom w:val="nil"/>
              <w:right w:val="nil"/>
            </w:tcBorders>
            <w:shd w:val="clear" w:color="auto" w:fill="auto"/>
            <w:noWrap/>
            <w:vAlign w:val="center"/>
            <w:hideMark/>
          </w:tcPr>
          <w:p w:rsidR="000F4B66" w:rsidRPr="000F4B66" w:rsidRDefault="000F4B66" w:rsidP="000F4B66">
            <w:pPr>
              <w:jc w:val="right"/>
              <w:rPr>
                <w:color w:val="000000"/>
                <w:sz w:val="20"/>
                <w:szCs w:val="20"/>
                <w:lang w:val="es-ES" w:eastAsia="es-ES"/>
              </w:rPr>
            </w:pPr>
            <w:r w:rsidRPr="000F4B66">
              <w:rPr>
                <w:color w:val="000000"/>
                <w:sz w:val="20"/>
                <w:szCs w:val="20"/>
                <w:lang w:eastAsia="es-ES"/>
              </w:rPr>
              <w:t>11.367.715</w:t>
            </w:r>
          </w:p>
        </w:tc>
        <w:tc>
          <w:tcPr>
            <w:tcW w:w="1651" w:type="dxa"/>
            <w:tcBorders>
              <w:top w:val="nil"/>
              <w:left w:val="nil"/>
              <w:bottom w:val="nil"/>
              <w:right w:val="nil"/>
            </w:tcBorders>
            <w:shd w:val="clear" w:color="auto" w:fill="auto"/>
            <w:noWrap/>
            <w:vAlign w:val="center"/>
            <w:hideMark/>
          </w:tcPr>
          <w:p w:rsidR="000F4B66" w:rsidRPr="000F4B66" w:rsidRDefault="000F4B66" w:rsidP="000F4B66">
            <w:pPr>
              <w:jc w:val="center"/>
              <w:rPr>
                <w:color w:val="000000"/>
                <w:sz w:val="20"/>
                <w:szCs w:val="20"/>
                <w:lang w:val="es-ES" w:eastAsia="es-ES"/>
              </w:rPr>
            </w:pPr>
            <w:r w:rsidRPr="000F4B66">
              <w:rPr>
                <w:color w:val="000000"/>
                <w:sz w:val="20"/>
                <w:szCs w:val="20"/>
                <w:lang w:eastAsia="es-ES"/>
              </w:rPr>
              <w:t>-8</w:t>
            </w:r>
          </w:p>
        </w:tc>
      </w:tr>
      <w:tr w:rsidR="000F4B66" w:rsidRPr="000F4B66" w:rsidTr="00847920">
        <w:trPr>
          <w:trHeight w:val="409"/>
        </w:trPr>
        <w:tc>
          <w:tcPr>
            <w:tcW w:w="2979" w:type="dxa"/>
            <w:tcBorders>
              <w:top w:val="nil"/>
              <w:left w:val="nil"/>
              <w:bottom w:val="nil"/>
              <w:right w:val="nil"/>
            </w:tcBorders>
            <w:shd w:val="clear" w:color="auto" w:fill="auto"/>
            <w:noWrap/>
            <w:vAlign w:val="center"/>
            <w:hideMark/>
          </w:tcPr>
          <w:p w:rsidR="000F4B66" w:rsidRPr="000F4B66" w:rsidRDefault="000F4B66" w:rsidP="000F4B66">
            <w:pPr>
              <w:rPr>
                <w:color w:val="000000"/>
                <w:sz w:val="20"/>
                <w:szCs w:val="20"/>
                <w:lang w:val="es-ES" w:eastAsia="es-ES"/>
              </w:rPr>
            </w:pPr>
            <w:r w:rsidRPr="000F4B66">
              <w:rPr>
                <w:color w:val="000000"/>
                <w:sz w:val="20"/>
                <w:szCs w:val="20"/>
                <w:lang w:eastAsia="es-ES"/>
              </w:rPr>
              <w:t>TOTAL GASTOS</w:t>
            </w:r>
          </w:p>
        </w:tc>
        <w:tc>
          <w:tcPr>
            <w:tcW w:w="1912" w:type="dxa"/>
            <w:tcBorders>
              <w:top w:val="nil"/>
              <w:left w:val="nil"/>
              <w:bottom w:val="nil"/>
              <w:right w:val="nil"/>
            </w:tcBorders>
            <w:shd w:val="clear" w:color="auto" w:fill="auto"/>
            <w:noWrap/>
            <w:vAlign w:val="center"/>
            <w:hideMark/>
          </w:tcPr>
          <w:p w:rsidR="000F4B66" w:rsidRPr="000F4B66" w:rsidRDefault="000F4B66" w:rsidP="000F4B66">
            <w:pPr>
              <w:jc w:val="right"/>
              <w:rPr>
                <w:color w:val="000000"/>
                <w:sz w:val="20"/>
                <w:szCs w:val="20"/>
                <w:lang w:val="es-ES" w:eastAsia="es-ES"/>
              </w:rPr>
            </w:pPr>
            <w:r w:rsidRPr="000F4B66">
              <w:rPr>
                <w:color w:val="000000"/>
                <w:sz w:val="20"/>
                <w:szCs w:val="20"/>
                <w:lang w:eastAsia="es-ES"/>
              </w:rPr>
              <w:t>2.898.665</w:t>
            </w:r>
          </w:p>
        </w:tc>
        <w:tc>
          <w:tcPr>
            <w:tcW w:w="1912" w:type="dxa"/>
            <w:tcBorders>
              <w:top w:val="nil"/>
              <w:left w:val="nil"/>
              <w:bottom w:val="nil"/>
              <w:right w:val="nil"/>
            </w:tcBorders>
            <w:shd w:val="clear" w:color="auto" w:fill="auto"/>
            <w:noWrap/>
            <w:vAlign w:val="center"/>
            <w:hideMark/>
          </w:tcPr>
          <w:p w:rsidR="000F4B66" w:rsidRPr="000F4B66" w:rsidRDefault="000F4B66" w:rsidP="000F4B66">
            <w:pPr>
              <w:jc w:val="right"/>
              <w:rPr>
                <w:color w:val="000000"/>
                <w:sz w:val="20"/>
                <w:szCs w:val="20"/>
                <w:lang w:val="es-ES" w:eastAsia="es-ES"/>
              </w:rPr>
            </w:pPr>
            <w:r w:rsidRPr="000F4B66">
              <w:rPr>
                <w:color w:val="000000"/>
                <w:sz w:val="20"/>
                <w:szCs w:val="20"/>
                <w:lang w:eastAsia="es-ES"/>
              </w:rPr>
              <w:t>2.750.848</w:t>
            </w:r>
          </w:p>
        </w:tc>
        <w:tc>
          <w:tcPr>
            <w:tcW w:w="1651" w:type="dxa"/>
            <w:tcBorders>
              <w:top w:val="nil"/>
              <w:left w:val="nil"/>
              <w:bottom w:val="nil"/>
              <w:right w:val="nil"/>
            </w:tcBorders>
            <w:shd w:val="clear" w:color="auto" w:fill="auto"/>
            <w:noWrap/>
            <w:vAlign w:val="center"/>
            <w:hideMark/>
          </w:tcPr>
          <w:p w:rsidR="000F4B66" w:rsidRPr="000F4B66" w:rsidRDefault="000F4B66" w:rsidP="000F4B66">
            <w:pPr>
              <w:jc w:val="center"/>
              <w:rPr>
                <w:color w:val="000000"/>
                <w:sz w:val="20"/>
                <w:szCs w:val="20"/>
                <w:lang w:val="es-ES" w:eastAsia="es-ES"/>
              </w:rPr>
            </w:pPr>
            <w:r w:rsidRPr="000F4B66">
              <w:rPr>
                <w:color w:val="000000"/>
                <w:sz w:val="20"/>
                <w:szCs w:val="20"/>
                <w:lang w:eastAsia="es-ES"/>
              </w:rPr>
              <w:t>-5,1</w:t>
            </w:r>
          </w:p>
        </w:tc>
      </w:tr>
      <w:tr w:rsidR="000F4B66" w:rsidRPr="000F4B66" w:rsidTr="00847920">
        <w:trPr>
          <w:trHeight w:val="409"/>
        </w:trPr>
        <w:tc>
          <w:tcPr>
            <w:tcW w:w="2979" w:type="dxa"/>
            <w:tcBorders>
              <w:top w:val="nil"/>
              <w:left w:val="nil"/>
              <w:bottom w:val="single" w:sz="4" w:space="0" w:color="auto"/>
              <w:right w:val="nil"/>
            </w:tcBorders>
            <w:shd w:val="clear" w:color="auto" w:fill="auto"/>
            <w:noWrap/>
            <w:vAlign w:val="center"/>
            <w:hideMark/>
          </w:tcPr>
          <w:p w:rsidR="000F4B66" w:rsidRPr="000F4B66" w:rsidRDefault="000F4B66" w:rsidP="000F4B66">
            <w:pPr>
              <w:rPr>
                <w:color w:val="000000"/>
                <w:sz w:val="20"/>
                <w:szCs w:val="20"/>
                <w:lang w:val="es-ES" w:eastAsia="es-ES"/>
              </w:rPr>
            </w:pPr>
            <w:r w:rsidRPr="000F4B66">
              <w:rPr>
                <w:color w:val="000000"/>
                <w:sz w:val="20"/>
                <w:szCs w:val="20"/>
                <w:lang w:eastAsia="es-ES"/>
              </w:rPr>
              <w:t>TOTAL COSTOS</w:t>
            </w:r>
          </w:p>
        </w:tc>
        <w:tc>
          <w:tcPr>
            <w:tcW w:w="1912" w:type="dxa"/>
            <w:tcBorders>
              <w:top w:val="nil"/>
              <w:left w:val="nil"/>
              <w:bottom w:val="single" w:sz="4" w:space="0" w:color="auto"/>
              <w:right w:val="nil"/>
            </w:tcBorders>
            <w:shd w:val="clear" w:color="auto" w:fill="auto"/>
            <w:noWrap/>
            <w:vAlign w:val="center"/>
            <w:hideMark/>
          </w:tcPr>
          <w:p w:rsidR="000F4B66" w:rsidRPr="000F4B66" w:rsidRDefault="000F4B66" w:rsidP="000F4B66">
            <w:pPr>
              <w:jc w:val="right"/>
              <w:rPr>
                <w:color w:val="000000"/>
                <w:sz w:val="20"/>
                <w:szCs w:val="20"/>
                <w:lang w:val="es-ES" w:eastAsia="es-ES"/>
              </w:rPr>
            </w:pPr>
            <w:r w:rsidRPr="000F4B66">
              <w:rPr>
                <w:color w:val="000000"/>
                <w:sz w:val="20"/>
                <w:szCs w:val="20"/>
                <w:lang w:eastAsia="es-ES"/>
              </w:rPr>
              <w:t>9.457.065</w:t>
            </w:r>
          </w:p>
        </w:tc>
        <w:tc>
          <w:tcPr>
            <w:tcW w:w="1912" w:type="dxa"/>
            <w:tcBorders>
              <w:top w:val="nil"/>
              <w:left w:val="nil"/>
              <w:bottom w:val="single" w:sz="4" w:space="0" w:color="auto"/>
              <w:right w:val="nil"/>
            </w:tcBorders>
            <w:shd w:val="clear" w:color="auto" w:fill="auto"/>
            <w:noWrap/>
            <w:vAlign w:val="center"/>
            <w:hideMark/>
          </w:tcPr>
          <w:p w:rsidR="000F4B66" w:rsidRPr="000F4B66" w:rsidRDefault="000F4B66" w:rsidP="000F4B66">
            <w:pPr>
              <w:jc w:val="right"/>
              <w:rPr>
                <w:color w:val="000000"/>
                <w:sz w:val="20"/>
                <w:szCs w:val="20"/>
                <w:lang w:val="es-ES" w:eastAsia="es-ES"/>
              </w:rPr>
            </w:pPr>
            <w:r w:rsidRPr="000F4B66">
              <w:rPr>
                <w:color w:val="000000"/>
                <w:sz w:val="20"/>
                <w:szCs w:val="20"/>
                <w:lang w:eastAsia="es-ES"/>
              </w:rPr>
              <w:t>8.616.867</w:t>
            </w:r>
          </w:p>
        </w:tc>
        <w:tc>
          <w:tcPr>
            <w:tcW w:w="1651" w:type="dxa"/>
            <w:tcBorders>
              <w:top w:val="nil"/>
              <w:left w:val="nil"/>
              <w:bottom w:val="single" w:sz="4" w:space="0" w:color="auto"/>
              <w:right w:val="nil"/>
            </w:tcBorders>
            <w:shd w:val="clear" w:color="auto" w:fill="auto"/>
            <w:noWrap/>
            <w:vAlign w:val="center"/>
            <w:hideMark/>
          </w:tcPr>
          <w:p w:rsidR="000F4B66" w:rsidRPr="000F4B66" w:rsidRDefault="000F4B66" w:rsidP="000F4B66">
            <w:pPr>
              <w:jc w:val="center"/>
              <w:rPr>
                <w:color w:val="000000"/>
                <w:sz w:val="20"/>
                <w:szCs w:val="20"/>
                <w:lang w:val="es-ES" w:eastAsia="es-ES"/>
              </w:rPr>
            </w:pPr>
            <w:r w:rsidRPr="000F4B66">
              <w:rPr>
                <w:color w:val="000000"/>
                <w:sz w:val="20"/>
                <w:szCs w:val="20"/>
                <w:lang w:eastAsia="es-ES"/>
              </w:rPr>
              <w:t>-8,9</w:t>
            </w:r>
          </w:p>
        </w:tc>
      </w:tr>
    </w:tbl>
    <w:p w:rsidR="000F4B66" w:rsidRPr="000F4B66" w:rsidRDefault="000F4B66" w:rsidP="00B40925">
      <w:pPr>
        <w:spacing w:line="360" w:lineRule="auto"/>
        <w:jc w:val="both"/>
        <w:rPr>
          <w:sz w:val="20"/>
        </w:rPr>
      </w:pPr>
      <w:r w:rsidRPr="000F4B66">
        <w:rPr>
          <w:iCs/>
          <w:color w:val="000000"/>
          <w:sz w:val="16"/>
          <w:szCs w:val="20"/>
        </w:rPr>
        <w:t>Fuente: Informe Lotería del Quindío</w:t>
      </w:r>
    </w:p>
    <w:p w:rsidR="000F4B66" w:rsidRDefault="000F4B66" w:rsidP="00B40925">
      <w:pPr>
        <w:spacing w:line="360" w:lineRule="auto"/>
        <w:jc w:val="both"/>
      </w:pPr>
    </w:p>
    <w:p w:rsidR="00847920" w:rsidRDefault="00847920" w:rsidP="00B40925">
      <w:pPr>
        <w:spacing w:line="360" w:lineRule="auto"/>
        <w:jc w:val="both"/>
      </w:pPr>
    </w:p>
    <w:p w:rsidR="00B40925" w:rsidRDefault="00B40925" w:rsidP="00847920">
      <w:pPr>
        <w:spacing w:line="360" w:lineRule="auto"/>
        <w:ind w:firstLine="284"/>
        <w:jc w:val="both"/>
      </w:pPr>
      <w:r>
        <w:t>En la ejecución de los egresos hubo una reducción del 8% frente a la presentada en el 2012, donde los gastos disminuyeron el 5% por la baja en las transferencias y en gastos generales. Situación similar se presentó en los costos al bajar en el 9% por reducción en costos variables, en pago de premios, en publicidad y en control al juego ilegal.</w:t>
      </w:r>
    </w:p>
    <w:p w:rsidR="00B40925" w:rsidRDefault="00B40925" w:rsidP="00B40925">
      <w:pPr>
        <w:spacing w:line="360" w:lineRule="auto"/>
      </w:pPr>
    </w:p>
    <w:p w:rsidR="00B40925" w:rsidRPr="00847920" w:rsidRDefault="00847920" w:rsidP="00847920">
      <w:pPr>
        <w:pStyle w:val="Ttulo2"/>
        <w:rPr>
          <w:rFonts w:ascii="Times New Roman" w:hAnsi="Times New Roman" w:cs="Times New Roman"/>
          <w:color w:val="auto"/>
          <w:sz w:val="30"/>
          <w:szCs w:val="30"/>
        </w:rPr>
      </w:pPr>
      <w:bookmarkStart w:id="66" w:name="_Toc406754322"/>
      <w:r w:rsidRPr="00847920">
        <w:rPr>
          <w:rFonts w:ascii="Times New Roman" w:hAnsi="Times New Roman" w:cs="Times New Roman"/>
          <w:color w:val="auto"/>
          <w:sz w:val="30"/>
          <w:szCs w:val="30"/>
        </w:rPr>
        <w:t xml:space="preserve">7.3 </w:t>
      </w:r>
      <w:r>
        <w:rPr>
          <w:rFonts w:ascii="Times New Roman" w:hAnsi="Times New Roman" w:cs="Times New Roman"/>
          <w:color w:val="auto"/>
          <w:sz w:val="30"/>
          <w:szCs w:val="30"/>
        </w:rPr>
        <w:t xml:space="preserve"> </w:t>
      </w:r>
      <w:r w:rsidR="00B40925" w:rsidRPr="00847920">
        <w:rPr>
          <w:rFonts w:ascii="Times New Roman" w:hAnsi="Times New Roman" w:cs="Times New Roman"/>
          <w:color w:val="auto"/>
          <w:sz w:val="30"/>
          <w:szCs w:val="30"/>
        </w:rPr>
        <w:t>Universidad del Quindío</w:t>
      </w:r>
      <w:bookmarkEnd w:id="66"/>
      <w:r w:rsidR="00B40925" w:rsidRPr="00847920">
        <w:rPr>
          <w:rFonts w:ascii="Times New Roman" w:hAnsi="Times New Roman" w:cs="Times New Roman"/>
          <w:color w:val="auto"/>
          <w:sz w:val="30"/>
          <w:szCs w:val="30"/>
        </w:rPr>
        <w:t xml:space="preserve"> </w:t>
      </w:r>
    </w:p>
    <w:p w:rsidR="00847920" w:rsidRDefault="00847920" w:rsidP="00B40925">
      <w:pPr>
        <w:spacing w:line="360" w:lineRule="auto"/>
        <w:jc w:val="both"/>
      </w:pPr>
    </w:p>
    <w:p w:rsidR="00B40925" w:rsidRDefault="00B40925" w:rsidP="00847920">
      <w:pPr>
        <w:spacing w:line="360" w:lineRule="auto"/>
        <w:ind w:firstLine="284"/>
        <w:jc w:val="both"/>
        <w:rPr>
          <w:lang w:val="es-ES"/>
        </w:rPr>
      </w:pPr>
      <w:r>
        <w:rPr>
          <w:lang w:val="es-ES"/>
        </w:rPr>
        <w:t xml:space="preserve">La Universidad del Quindío presentó en 2013 una ejecución presupuestal de ingresos de </w:t>
      </w:r>
      <w:r w:rsidR="00CC1B16">
        <w:rPr>
          <w:lang w:val="es-ES"/>
        </w:rPr>
        <w:t xml:space="preserve">$ </w:t>
      </w:r>
      <w:r>
        <w:rPr>
          <w:lang w:val="es-ES"/>
        </w:rPr>
        <w:t>102 mil millones de pes</w:t>
      </w:r>
      <w:r w:rsidR="00847920">
        <w:rPr>
          <w:lang w:val="es-ES"/>
        </w:rPr>
        <w:t>os, creciendo en la ejecución un</w:t>
      </w:r>
      <w:r>
        <w:rPr>
          <w:lang w:val="es-ES"/>
        </w:rPr>
        <w:t xml:space="preserve"> 22% frente a la vigencia 2012, incluyendo </w:t>
      </w:r>
      <w:r w:rsidR="00CC1B16">
        <w:rPr>
          <w:lang w:val="es-ES"/>
        </w:rPr>
        <w:t xml:space="preserve">$ </w:t>
      </w:r>
      <w:r>
        <w:rPr>
          <w:lang w:val="es-ES"/>
        </w:rPr>
        <w:t xml:space="preserve">2.671 millones de recursos del crédito y </w:t>
      </w:r>
      <w:r w:rsidR="00CC1B16">
        <w:rPr>
          <w:lang w:val="es-ES"/>
        </w:rPr>
        <w:t xml:space="preserve">$ </w:t>
      </w:r>
      <w:r>
        <w:rPr>
          <w:lang w:val="es-ES"/>
        </w:rPr>
        <w:t xml:space="preserve">11.912 millones de recursos del balance, siendo los aportes el ítem más significativo con </w:t>
      </w:r>
      <w:r w:rsidR="00CC1B16">
        <w:rPr>
          <w:lang w:val="es-ES"/>
        </w:rPr>
        <w:t xml:space="preserve">$ </w:t>
      </w:r>
      <w:r>
        <w:rPr>
          <w:lang w:val="es-ES"/>
        </w:rPr>
        <w:t>55.200 millones de pesos, equivalente al 54% del total de los ingresos.</w:t>
      </w:r>
    </w:p>
    <w:p w:rsidR="00847920" w:rsidRDefault="00847920" w:rsidP="00B40925">
      <w:pPr>
        <w:spacing w:line="360" w:lineRule="auto"/>
        <w:jc w:val="both"/>
        <w:rPr>
          <w:lang w:val="es-ES"/>
        </w:rPr>
      </w:pPr>
    </w:p>
    <w:p w:rsidR="00B40925" w:rsidRPr="00847920" w:rsidRDefault="00B40925" w:rsidP="00847920">
      <w:r w:rsidRPr="00847920">
        <w:t>Gráfico 7.2</w:t>
      </w:r>
    </w:p>
    <w:p w:rsidR="00847920" w:rsidRDefault="00B40925" w:rsidP="00847920">
      <w:r w:rsidRPr="00847920">
        <w:t xml:space="preserve">Ejecución Presupuestal  Universidad del Quindío </w:t>
      </w:r>
    </w:p>
    <w:p w:rsidR="00B40925" w:rsidRDefault="00B40925" w:rsidP="00847920">
      <w:r w:rsidRPr="00847920">
        <w:t>2012-2013</w:t>
      </w:r>
    </w:p>
    <w:p w:rsidR="00847920" w:rsidRPr="00847920" w:rsidRDefault="00847920" w:rsidP="00847920"/>
    <w:p w:rsidR="00B40925" w:rsidRPr="00D646CC" w:rsidRDefault="00B40925" w:rsidP="00B40925">
      <w:pPr>
        <w:spacing w:line="360" w:lineRule="auto"/>
        <w:rPr>
          <w:lang w:val="es-ES"/>
        </w:rPr>
      </w:pPr>
      <w:r>
        <w:rPr>
          <w:noProof/>
        </w:rPr>
        <w:lastRenderedPageBreak/>
        <w:drawing>
          <wp:inline distT="0" distB="0" distL="0" distR="0" wp14:anchorId="2A603221" wp14:editId="476FE8B7">
            <wp:extent cx="4570095" cy="2741295"/>
            <wp:effectExtent l="0" t="0" r="20955" b="20955"/>
            <wp:docPr id="70" name="Gráfico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E3F32" w:rsidRPr="003E3F32" w:rsidRDefault="003E3F32" w:rsidP="00B40925">
      <w:pPr>
        <w:spacing w:line="360" w:lineRule="auto"/>
        <w:jc w:val="both"/>
        <w:rPr>
          <w:sz w:val="16"/>
          <w:lang w:val="es-ES"/>
        </w:rPr>
      </w:pPr>
      <w:r w:rsidRPr="003E3F32">
        <w:rPr>
          <w:sz w:val="16"/>
          <w:lang w:val="es-ES"/>
        </w:rPr>
        <w:t>Fuente: Universidad del Quindío y elaboración propia</w:t>
      </w:r>
    </w:p>
    <w:p w:rsidR="003E3F32" w:rsidRDefault="003E3F32" w:rsidP="00B40925">
      <w:pPr>
        <w:spacing w:line="360" w:lineRule="auto"/>
        <w:jc w:val="both"/>
        <w:rPr>
          <w:lang w:val="es-ES"/>
        </w:rPr>
      </w:pPr>
    </w:p>
    <w:p w:rsidR="00B40925" w:rsidRDefault="00B40925" w:rsidP="003E3F32">
      <w:pPr>
        <w:spacing w:line="360" w:lineRule="auto"/>
        <w:ind w:firstLine="284"/>
        <w:jc w:val="both"/>
        <w:rPr>
          <w:lang w:val="es-ES"/>
        </w:rPr>
      </w:pPr>
      <w:r>
        <w:rPr>
          <w:lang w:val="es-ES"/>
        </w:rPr>
        <w:t xml:space="preserve">La ejecución de egresos 2013 fue de </w:t>
      </w:r>
      <w:r w:rsidR="00CC1B16">
        <w:rPr>
          <w:lang w:val="es-ES"/>
        </w:rPr>
        <w:t xml:space="preserve">$ </w:t>
      </w:r>
      <w:r>
        <w:rPr>
          <w:lang w:val="es-ES"/>
        </w:rPr>
        <w:t xml:space="preserve">83.966 millones, el 82% de los ingresos, con un crecimiento del 16% frente a los egresos 2012. El 47,6% de dichos egresos corresponden a servicios personales, el ítem más significativo, que creció el 7,2% frente a la ejecución 2012; en gastos generales se ejecutaron </w:t>
      </w:r>
      <w:r w:rsidR="00CC1B16">
        <w:rPr>
          <w:lang w:val="es-ES"/>
        </w:rPr>
        <w:t xml:space="preserve">$ </w:t>
      </w:r>
      <w:r>
        <w:rPr>
          <w:lang w:val="es-ES"/>
        </w:rPr>
        <w:t xml:space="preserve">8.224 millones y en previsión social se ejecutaron </w:t>
      </w:r>
      <w:r w:rsidR="00CC1B16">
        <w:rPr>
          <w:lang w:val="es-ES"/>
        </w:rPr>
        <w:t>$</w:t>
      </w:r>
      <w:r>
        <w:rPr>
          <w:lang w:val="es-ES"/>
        </w:rPr>
        <w:t xml:space="preserve">11.208 millones. En transferencias se ejecutaron </w:t>
      </w:r>
      <w:r w:rsidR="00CC1B16">
        <w:rPr>
          <w:lang w:val="es-ES"/>
        </w:rPr>
        <w:t xml:space="preserve">$ </w:t>
      </w:r>
      <w:r>
        <w:rPr>
          <w:lang w:val="es-ES"/>
        </w:rPr>
        <w:t xml:space="preserve">5.798 millones y se presentó una inversión por </w:t>
      </w:r>
      <w:r w:rsidR="00CC1B16">
        <w:rPr>
          <w:lang w:val="es-ES"/>
        </w:rPr>
        <w:t xml:space="preserve">$ </w:t>
      </w:r>
      <w:r>
        <w:rPr>
          <w:lang w:val="es-ES"/>
        </w:rPr>
        <w:t xml:space="preserve">15.257 millones, el 18,2% de los egresos, mostrando un crecimiento del 82% frente al 2012. </w:t>
      </w:r>
    </w:p>
    <w:p w:rsidR="006B595B" w:rsidRDefault="006B595B" w:rsidP="00F51BAA">
      <w:pPr>
        <w:pStyle w:val="Ttulo2"/>
        <w:rPr>
          <w:rFonts w:ascii="Times New Roman" w:hAnsi="Times New Roman" w:cs="Times New Roman"/>
          <w:color w:val="auto"/>
          <w:sz w:val="30"/>
          <w:szCs w:val="30"/>
        </w:rPr>
      </w:pPr>
    </w:p>
    <w:p w:rsidR="00B40925" w:rsidRPr="00F51BAA" w:rsidRDefault="00FC29B4" w:rsidP="00F51BAA">
      <w:pPr>
        <w:pStyle w:val="Ttulo2"/>
        <w:rPr>
          <w:rFonts w:ascii="Times New Roman" w:hAnsi="Times New Roman" w:cs="Times New Roman"/>
          <w:color w:val="auto"/>
          <w:sz w:val="30"/>
          <w:szCs w:val="30"/>
        </w:rPr>
      </w:pPr>
      <w:bookmarkStart w:id="67" w:name="_Toc406754323"/>
      <w:r>
        <w:rPr>
          <w:rFonts w:ascii="Times New Roman" w:hAnsi="Times New Roman" w:cs="Times New Roman"/>
          <w:color w:val="auto"/>
          <w:sz w:val="30"/>
          <w:szCs w:val="30"/>
        </w:rPr>
        <w:t>7.4</w:t>
      </w:r>
      <w:r w:rsidR="00F51BAA" w:rsidRPr="00F51BAA">
        <w:rPr>
          <w:rFonts w:ascii="Times New Roman" w:hAnsi="Times New Roman" w:cs="Times New Roman"/>
          <w:color w:val="auto"/>
          <w:sz w:val="30"/>
          <w:szCs w:val="30"/>
        </w:rPr>
        <w:t xml:space="preserve"> </w:t>
      </w:r>
      <w:r w:rsidR="00B40925" w:rsidRPr="00F51BAA">
        <w:rPr>
          <w:rFonts w:ascii="Times New Roman" w:hAnsi="Times New Roman" w:cs="Times New Roman"/>
          <w:color w:val="auto"/>
          <w:sz w:val="30"/>
          <w:szCs w:val="30"/>
        </w:rPr>
        <w:t>Hospital Mental de Filandia</w:t>
      </w:r>
      <w:bookmarkEnd w:id="67"/>
    </w:p>
    <w:p w:rsidR="00F51BAA" w:rsidRDefault="00F51BAA" w:rsidP="00B40925">
      <w:pPr>
        <w:spacing w:line="360" w:lineRule="auto"/>
        <w:jc w:val="both"/>
        <w:rPr>
          <w:lang w:val="es-ES"/>
        </w:rPr>
      </w:pPr>
    </w:p>
    <w:p w:rsidR="00FD1988" w:rsidRDefault="00FD1988" w:rsidP="00B40925">
      <w:pPr>
        <w:spacing w:line="360" w:lineRule="auto"/>
        <w:jc w:val="both"/>
        <w:rPr>
          <w:lang w:val="es-ES"/>
        </w:rPr>
      </w:pPr>
    </w:p>
    <w:p w:rsidR="00B40925" w:rsidRDefault="00B40925" w:rsidP="00F51BAA">
      <w:pPr>
        <w:spacing w:line="360" w:lineRule="auto"/>
        <w:ind w:firstLine="284"/>
        <w:jc w:val="both"/>
        <w:rPr>
          <w:lang w:val="es-ES"/>
        </w:rPr>
      </w:pPr>
      <w:r>
        <w:rPr>
          <w:lang w:val="es-ES"/>
        </w:rPr>
        <w:t xml:space="preserve">La ejecución presupuestal de ingresos del </w:t>
      </w:r>
      <w:r w:rsidRPr="00890618">
        <w:rPr>
          <w:lang w:val="es-ES"/>
        </w:rPr>
        <w:t xml:space="preserve">Hospital Mental de Filandia </w:t>
      </w:r>
      <w:r>
        <w:rPr>
          <w:lang w:val="es-ES"/>
        </w:rPr>
        <w:t xml:space="preserve">fue durante la vigencia 2013 de </w:t>
      </w:r>
      <w:r w:rsidR="00CC1B16">
        <w:rPr>
          <w:lang w:val="es-ES"/>
        </w:rPr>
        <w:t xml:space="preserve">$ </w:t>
      </w:r>
      <w:r>
        <w:rPr>
          <w:lang w:val="es-ES"/>
        </w:rPr>
        <w:t xml:space="preserve">5.663 millones, con un crecimiento en el recaudo del 32,2% frente al 2012, donde </w:t>
      </w:r>
      <w:r w:rsidR="00FC29B4">
        <w:rPr>
          <w:lang w:val="es-ES"/>
        </w:rPr>
        <w:t xml:space="preserve">la participación porcentual de las </w:t>
      </w:r>
      <w:r>
        <w:rPr>
          <w:lang w:val="es-ES"/>
        </w:rPr>
        <w:t xml:space="preserve"> rentas propias </w:t>
      </w:r>
      <w:r w:rsidR="00FC29B4">
        <w:rPr>
          <w:lang w:val="es-ES"/>
        </w:rPr>
        <w:t>es del</w:t>
      </w:r>
      <w:r>
        <w:rPr>
          <w:lang w:val="es-ES"/>
        </w:rPr>
        <w:t xml:space="preserve"> 66% </w:t>
      </w:r>
      <w:r w:rsidR="00FC29B4">
        <w:rPr>
          <w:lang w:val="es-ES"/>
        </w:rPr>
        <w:t>y a</w:t>
      </w:r>
      <w:r w:rsidR="00FD1988">
        <w:rPr>
          <w:lang w:val="es-ES"/>
        </w:rPr>
        <w:t xml:space="preserve"> </w:t>
      </w:r>
      <w:r w:rsidR="00FC29B4">
        <w:rPr>
          <w:lang w:val="es-ES"/>
        </w:rPr>
        <w:t>su</w:t>
      </w:r>
      <w:r w:rsidR="00FD1988">
        <w:rPr>
          <w:lang w:val="es-ES"/>
        </w:rPr>
        <w:t xml:space="preserve"> vez presentaron un crecimiento</w:t>
      </w:r>
      <w:r>
        <w:rPr>
          <w:lang w:val="es-ES"/>
        </w:rPr>
        <w:t xml:space="preserve"> </w:t>
      </w:r>
      <w:r w:rsidR="00FC29B4">
        <w:rPr>
          <w:lang w:val="es-ES"/>
        </w:rPr>
        <w:t>d</w:t>
      </w:r>
      <w:r>
        <w:rPr>
          <w:lang w:val="es-ES"/>
        </w:rPr>
        <w:t>el 69%</w:t>
      </w:r>
      <w:r w:rsidR="00FD1988">
        <w:rPr>
          <w:lang w:val="es-ES"/>
        </w:rPr>
        <w:t xml:space="preserve">; por su parte,  </w:t>
      </w:r>
      <w:r>
        <w:rPr>
          <w:lang w:val="es-ES"/>
        </w:rPr>
        <w:t xml:space="preserve">los recursos de capital se incrementaron en </w:t>
      </w:r>
      <w:r w:rsidR="00FD1988">
        <w:rPr>
          <w:lang w:val="es-ES"/>
        </w:rPr>
        <w:t>un</w:t>
      </w:r>
      <w:r>
        <w:rPr>
          <w:lang w:val="es-ES"/>
        </w:rPr>
        <w:t xml:space="preserve"> 64%, por la eficacia en la recuperación de cartera.</w:t>
      </w:r>
    </w:p>
    <w:p w:rsidR="00F51BAA" w:rsidRDefault="00F51BAA" w:rsidP="00B40925">
      <w:pPr>
        <w:spacing w:line="360" w:lineRule="auto"/>
        <w:jc w:val="center"/>
      </w:pPr>
    </w:p>
    <w:p w:rsidR="00B40925" w:rsidRPr="009A3CBE" w:rsidRDefault="00783A66" w:rsidP="009C349A">
      <w:r>
        <w:lastRenderedPageBreak/>
        <w:t>Tabla</w:t>
      </w:r>
      <w:r w:rsidR="00B40925" w:rsidRPr="009A3CBE">
        <w:t xml:space="preserve"> 7.</w:t>
      </w:r>
      <w:r w:rsidR="00B40925">
        <w:t>4</w:t>
      </w:r>
    </w:p>
    <w:p w:rsidR="00B40925" w:rsidRDefault="00B40925" w:rsidP="009C349A">
      <w:pPr>
        <w:rPr>
          <w:b/>
        </w:rPr>
      </w:pPr>
      <w:r w:rsidRPr="00BD40AB">
        <w:rPr>
          <w:b/>
        </w:rPr>
        <w:t>Ejecución presupuestal Hospital Mental de Filandia</w:t>
      </w:r>
    </w:p>
    <w:p w:rsidR="00B40925" w:rsidRDefault="00B40925" w:rsidP="009C349A">
      <w:r>
        <w:t>2012-2013</w:t>
      </w:r>
    </w:p>
    <w:p w:rsidR="009C349A" w:rsidRPr="00BD40AB" w:rsidRDefault="009C349A" w:rsidP="009C349A"/>
    <w:tbl>
      <w:tblPr>
        <w:tblW w:w="8804" w:type="dxa"/>
        <w:tblInd w:w="55" w:type="dxa"/>
        <w:tblBorders>
          <w:top w:val="single" w:sz="4" w:space="0" w:color="auto"/>
        </w:tblBorders>
        <w:tblLayout w:type="fixed"/>
        <w:tblCellMar>
          <w:left w:w="70" w:type="dxa"/>
          <w:right w:w="70" w:type="dxa"/>
        </w:tblCellMar>
        <w:tblLook w:val="04A0" w:firstRow="1" w:lastRow="0" w:firstColumn="1" w:lastColumn="0" w:noHBand="0" w:noVBand="1"/>
      </w:tblPr>
      <w:tblGrid>
        <w:gridCol w:w="3417"/>
        <w:gridCol w:w="1560"/>
        <w:gridCol w:w="1559"/>
        <w:gridCol w:w="2268"/>
      </w:tblGrid>
      <w:tr w:rsidR="00B40925" w:rsidRPr="009C349A" w:rsidTr="009C349A">
        <w:trPr>
          <w:trHeight w:val="341"/>
        </w:trPr>
        <w:tc>
          <w:tcPr>
            <w:tcW w:w="8804" w:type="dxa"/>
            <w:gridSpan w:val="4"/>
            <w:tcBorders>
              <w:bottom w:val="nil"/>
            </w:tcBorders>
            <w:shd w:val="clear" w:color="auto" w:fill="auto"/>
            <w:vAlign w:val="bottom"/>
            <w:hideMark/>
          </w:tcPr>
          <w:p w:rsidR="00B40925" w:rsidRPr="009C349A" w:rsidRDefault="00B40925" w:rsidP="009C349A">
            <w:pPr>
              <w:jc w:val="right"/>
              <w:rPr>
                <w:color w:val="000000"/>
                <w:sz w:val="20"/>
                <w:szCs w:val="20"/>
              </w:rPr>
            </w:pPr>
            <w:r w:rsidRPr="009C349A">
              <w:rPr>
                <w:color w:val="000000"/>
                <w:sz w:val="20"/>
                <w:szCs w:val="20"/>
              </w:rPr>
              <w:t>Miles de pesos</w:t>
            </w:r>
          </w:p>
        </w:tc>
      </w:tr>
      <w:tr w:rsidR="00B40925" w:rsidRPr="009C349A" w:rsidTr="009C349A">
        <w:trPr>
          <w:trHeight w:val="697"/>
        </w:trPr>
        <w:tc>
          <w:tcPr>
            <w:tcW w:w="3417" w:type="dxa"/>
            <w:tcBorders>
              <w:top w:val="nil"/>
              <w:bottom w:val="single" w:sz="4" w:space="0" w:color="auto"/>
            </w:tcBorders>
            <w:shd w:val="clear" w:color="auto" w:fill="auto"/>
            <w:vAlign w:val="center"/>
            <w:hideMark/>
          </w:tcPr>
          <w:p w:rsidR="00B40925" w:rsidRPr="009C349A" w:rsidRDefault="00B40925" w:rsidP="00A52EA0">
            <w:pPr>
              <w:spacing w:line="360" w:lineRule="auto"/>
              <w:rPr>
                <w:b/>
                <w:bCs/>
                <w:color w:val="000000"/>
                <w:sz w:val="20"/>
                <w:szCs w:val="20"/>
              </w:rPr>
            </w:pPr>
            <w:r w:rsidRPr="009C349A">
              <w:rPr>
                <w:b/>
                <w:bCs/>
                <w:color w:val="000000"/>
                <w:sz w:val="20"/>
                <w:szCs w:val="20"/>
              </w:rPr>
              <w:t>FACTORES ECONÓMICOS</w:t>
            </w:r>
          </w:p>
        </w:tc>
        <w:tc>
          <w:tcPr>
            <w:tcW w:w="1560" w:type="dxa"/>
            <w:tcBorders>
              <w:top w:val="nil"/>
              <w:bottom w:val="single" w:sz="4" w:space="0" w:color="auto"/>
            </w:tcBorders>
            <w:shd w:val="clear" w:color="auto" w:fill="auto"/>
            <w:vAlign w:val="center"/>
            <w:hideMark/>
          </w:tcPr>
          <w:p w:rsidR="00B40925" w:rsidRPr="009C349A" w:rsidRDefault="00B40925" w:rsidP="009C349A">
            <w:pPr>
              <w:spacing w:line="360" w:lineRule="auto"/>
              <w:jc w:val="center"/>
              <w:rPr>
                <w:b/>
                <w:bCs/>
                <w:color w:val="000000"/>
                <w:sz w:val="20"/>
                <w:szCs w:val="20"/>
              </w:rPr>
            </w:pPr>
            <w:r w:rsidRPr="009C349A">
              <w:rPr>
                <w:b/>
                <w:bCs/>
                <w:color w:val="000000"/>
                <w:sz w:val="20"/>
                <w:szCs w:val="20"/>
              </w:rPr>
              <w:t>EJECUTADO 2012</w:t>
            </w:r>
          </w:p>
        </w:tc>
        <w:tc>
          <w:tcPr>
            <w:tcW w:w="1559" w:type="dxa"/>
            <w:tcBorders>
              <w:top w:val="nil"/>
              <w:bottom w:val="single" w:sz="4" w:space="0" w:color="auto"/>
            </w:tcBorders>
            <w:shd w:val="clear" w:color="auto" w:fill="auto"/>
            <w:vAlign w:val="center"/>
            <w:hideMark/>
          </w:tcPr>
          <w:p w:rsidR="00B40925" w:rsidRPr="009C349A" w:rsidRDefault="00B40925" w:rsidP="009C349A">
            <w:pPr>
              <w:spacing w:line="360" w:lineRule="auto"/>
              <w:jc w:val="center"/>
              <w:rPr>
                <w:b/>
                <w:bCs/>
                <w:color w:val="000000"/>
                <w:sz w:val="20"/>
                <w:szCs w:val="20"/>
              </w:rPr>
            </w:pPr>
            <w:r w:rsidRPr="009C349A">
              <w:rPr>
                <w:b/>
                <w:bCs/>
                <w:color w:val="000000"/>
                <w:sz w:val="20"/>
                <w:szCs w:val="20"/>
              </w:rPr>
              <w:t>EJECUTADO 2013</w:t>
            </w:r>
          </w:p>
        </w:tc>
        <w:tc>
          <w:tcPr>
            <w:tcW w:w="2268" w:type="dxa"/>
            <w:tcBorders>
              <w:top w:val="nil"/>
              <w:bottom w:val="single" w:sz="4" w:space="0" w:color="auto"/>
            </w:tcBorders>
            <w:shd w:val="clear" w:color="auto" w:fill="auto"/>
            <w:vAlign w:val="center"/>
            <w:hideMark/>
          </w:tcPr>
          <w:p w:rsidR="00B40925" w:rsidRPr="009C349A" w:rsidRDefault="00B40925" w:rsidP="009C349A">
            <w:pPr>
              <w:spacing w:line="360" w:lineRule="auto"/>
              <w:jc w:val="center"/>
              <w:rPr>
                <w:b/>
                <w:bCs/>
                <w:color w:val="000000"/>
                <w:sz w:val="20"/>
                <w:szCs w:val="20"/>
              </w:rPr>
            </w:pPr>
            <w:r w:rsidRPr="009C349A">
              <w:rPr>
                <w:b/>
                <w:bCs/>
                <w:color w:val="000000"/>
                <w:sz w:val="20"/>
                <w:szCs w:val="20"/>
              </w:rPr>
              <w:t>VARIACIÓN %</w:t>
            </w:r>
          </w:p>
        </w:tc>
      </w:tr>
      <w:tr w:rsidR="00B40925" w:rsidRPr="009C349A" w:rsidTr="009C349A">
        <w:trPr>
          <w:trHeight w:val="315"/>
        </w:trPr>
        <w:tc>
          <w:tcPr>
            <w:tcW w:w="3417" w:type="dxa"/>
            <w:tcBorders>
              <w:top w:val="single" w:sz="4" w:space="0" w:color="auto"/>
            </w:tcBorders>
            <w:shd w:val="clear" w:color="auto" w:fill="auto"/>
            <w:vAlign w:val="center"/>
            <w:hideMark/>
          </w:tcPr>
          <w:p w:rsidR="00B40925" w:rsidRPr="009C349A" w:rsidRDefault="00B40925" w:rsidP="00A52EA0">
            <w:pPr>
              <w:spacing w:line="360" w:lineRule="auto"/>
              <w:rPr>
                <w:b/>
                <w:bCs/>
                <w:color w:val="000000"/>
                <w:sz w:val="20"/>
                <w:szCs w:val="20"/>
              </w:rPr>
            </w:pPr>
            <w:r w:rsidRPr="009C349A">
              <w:rPr>
                <w:b/>
                <w:bCs/>
                <w:color w:val="000000"/>
                <w:sz w:val="20"/>
                <w:szCs w:val="20"/>
              </w:rPr>
              <w:t>TOTAL INGRESOS</w:t>
            </w:r>
          </w:p>
        </w:tc>
        <w:tc>
          <w:tcPr>
            <w:tcW w:w="1560" w:type="dxa"/>
            <w:tcBorders>
              <w:top w:val="single" w:sz="4" w:space="0" w:color="auto"/>
            </w:tcBorders>
            <w:shd w:val="clear" w:color="auto" w:fill="auto"/>
            <w:vAlign w:val="center"/>
            <w:hideMark/>
          </w:tcPr>
          <w:p w:rsidR="00B40925" w:rsidRPr="009C349A" w:rsidRDefault="00B40925" w:rsidP="00A52EA0">
            <w:pPr>
              <w:spacing w:line="360" w:lineRule="auto"/>
              <w:jc w:val="right"/>
              <w:rPr>
                <w:b/>
                <w:bCs/>
                <w:color w:val="000000"/>
                <w:sz w:val="20"/>
                <w:szCs w:val="20"/>
              </w:rPr>
            </w:pPr>
            <w:r w:rsidRPr="009C349A">
              <w:rPr>
                <w:b/>
                <w:bCs/>
                <w:color w:val="000000"/>
                <w:sz w:val="20"/>
                <w:szCs w:val="20"/>
              </w:rPr>
              <w:t>4.282.892</w:t>
            </w:r>
          </w:p>
        </w:tc>
        <w:tc>
          <w:tcPr>
            <w:tcW w:w="1559" w:type="dxa"/>
            <w:tcBorders>
              <w:top w:val="single" w:sz="4" w:space="0" w:color="auto"/>
            </w:tcBorders>
            <w:shd w:val="clear" w:color="auto" w:fill="auto"/>
            <w:vAlign w:val="center"/>
            <w:hideMark/>
          </w:tcPr>
          <w:p w:rsidR="00B40925" w:rsidRPr="009C349A" w:rsidRDefault="00B40925" w:rsidP="00A52EA0">
            <w:pPr>
              <w:spacing w:line="360" w:lineRule="auto"/>
              <w:jc w:val="right"/>
              <w:rPr>
                <w:b/>
                <w:bCs/>
                <w:color w:val="000000"/>
                <w:sz w:val="20"/>
                <w:szCs w:val="20"/>
              </w:rPr>
            </w:pPr>
            <w:r w:rsidRPr="009C349A">
              <w:rPr>
                <w:b/>
                <w:bCs/>
                <w:color w:val="000000"/>
                <w:sz w:val="20"/>
                <w:szCs w:val="20"/>
              </w:rPr>
              <w:t>5662613</w:t>
            </w:r>
          </w:p>
        </w:tc>
        <w:tc>
          <w:tcPr>
            <w:tcW w:w="2268" w:type="dxa"/>
            <w:tcBorders>
              <w:top w:val="single" w:sz="4" w:space="0" w:color="auto"/>
            </w:tcBorders>
            <w:shd w:val="clear" w:color="auto" w:fill="auto"/>
            <w:vAlign w:val="center"/>
            <w:hideMark/>
          </w:tcPr>
          <w:p w:rsidR="00B40925" w:rsidRPr="009C349A" w:rsidRDefault="00B40925" w:rsidP="00A52EA0">
            <w:pPr>
              <w:spacing w:line="360" w:lineRule="auto"/>
              <w:jc w:val="center"/>
              <w:rPr>
                <w:b/>
                <w:bCs/>
                <w:sz w:val="20"/>
                <w:szCs w:val="20"/>
              </w:rPr>
            </w:pPr>
            <w:r w:rsidRPr="009C349A">
              <w:rPr>
                <w:b/>
                <w:bCs/>
                <w:sz w:val="20"/>
                <w:szCs w:val="20"/>
              </w:rPr>
              <w:t>32,2</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b/>
                <w:bCs/>
                <w:color w:val="000000"/>
                <w:sz w:val="20"/>
                <w:szCs w:val="20"/>
              </w:rPr>
            </w:pPr>
            <w:r w:rsidRPr="009C349A">
              <w:rPr>
                <w:b/>
                <w:bCs/>
                <w:color w:val="000000"/>
                <w:sz w:val="20"/>
                <w:szCs w:val="20"/>
              </w:rPr>
              <w:t>DISPONIBILIDAD INICIAL</w:t>
            </w:r>
          </w:p>
        </w:tc>
        <w:tc>
          <w:tcPr>
            <w:tcW w:w="1560" w:type="dxa"/>
            <w:shd w:val="clear" w:color="auto" w:fill="auto"/>
            <w:vAlign w:val="center"/>
            <w:hideMark/>
          </w:tcPr>
          <w:p w:rsidR="00B40925" w:rsidRPr="009C349A" w:rsidRDefault="00B40925" w:rsidP="00A52EA0">
            <w:pPr>
              <w:spacing w:line="360" w:lineRule="auto"/>
              <w:jc w:val="right"/>
              <w:rPr>
                <w:b/>
                <w:bCs/>
                <w:color w:val="000000"/>
                <w:sz w:val="20"/>
                <w:szCs w:val="20"/>
              </w:rPr>
            </w:pPr>
            <w:r w:rsidRPr="009C349A">
              <w:rPr>
                <w:b/>
                <w:bCs/>
                <w:color w:val="000000"/>
                <w:sz w:val="20"/>
                <w:szCs w:val="20"/>
              </w:rPr>
              <w:t>903.292</w:t>
            </w:r>
          </w:p>
        </w:tc>
        <w:tc>
          <w:tcPr>
            <w:tcW w:w="1559" w:type="dxa"/>
            <w:shd w:val="clear" w:color="auto" w:fill="auto"/>
            <w:vAlign w:val="center"/>
            <w:hideMark/>
          </w:tcPr>
          <w:p w:rsidR="00B40925" w:rsidRPr="009C349A" w:rsidRDefault="00B40925" w:rsidP="00A52EA0">
            <w:pPr>
              <w:spacing w:line="360" w:lineRule="auto"/>
              <w:jc w:val="right"/>
              <w:rPr>
                <w:b/>
                <w:bCs/>
                <w:color w:val="000000"/>
                <w:sz w:val="20"/>
                <w:szCs w:val="20"/>
              </w:rPr>
            </w:pPr>
            <w:r w:rsidRPr="009C349A">
              <w:rPr>
                <w:b/>
                <w:bCs/>
                <w:color w:val="000000"/>
                <w:sz w:val="20"/>
                <w:szCs w:val="20"/>
              </w:rPr>
              <w:t>7.749</w:t>
            </w:r>
          </w:p>
        </w:tc>
        <w:tc>
          <w:tcPr>
            <w:tcW w:w="2268" w:type="dxa"/>
            <w:shd w:val="clear" w:color="auto" w:fill="auto"/>
            <w:vAlign w:val="center"/>
            <w:hideMark/>
          </w:tcPr>
          <w:p w:rsidR="00B40925" w:rsidRPr="009C349A" w:rsidRDefault="00B40925" w:rsidP="00A52EA0">
            <w:pPr>
              <w:spacing w:line="360" w:lineRule="auto"/>
              <w:jc w:val="center"/>
              <w:rPr>
                <w:b/>
                <w:bCs/>
                <w:sz w:val="20"/>
                <w:szCs w:val="20"/>
              </w:rPr>
            </w:pPr>
            <w:r w:rsidRPr="009C349A">
              <w:rPr>
                <w:b/>
                <w:bCs/>
                <w:sz w:val="20"/>
                <w:szCs w:val="20"/>
              </w:rPr>
              <w:t>-99,1</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b/>
                <w:bCs/>
                <w:color w:val="000000"/>
                <w:sz w:val="20"/>
                <w:szCs w:val="20"/>
              </w:rPr>
            </w:pPr>
            <w:r w:rsidRPr="009C349A">
              <w:rPr>
                <w:b/>
                <w:bCs/>
                <w:color w:val="000000"/>
                <w:sz w:val="20"/>
                <w:szCs w:val="20"/>
              </w:rPr>
              <w:t>RENTAS PROPIAS</w:t>
            </w:r>
          </w:p>
        </w:tc>
        <w:tc>
          <w:tcPr>
            <w:tcW w:w="1560" w:type="dxa"/>
            <w:shd w:val="clear" w:color="auto" w:fill="auto"/>
            <w:vAlign w:val="center"/>
            <w:hideMark/>
          </w:tcPr>
          <w:p w:rsidR="00B40925" w:rsidRPr="009C349A" w:rsidRDefault="00B40925" w:rsidP="00A52EA0">
            <w:pPr>
              <w:spacing w:line="360" w:lineRule="auto"/>
              <w:jc w:val="right"/>
              <w:rPr>
                <w:b/>
                <w:bCs/>
                <w:color w:val="000000"/>
                <w:sz w:val="20"/>
                <w:szCs w:val="20"/>
              </w:rPr>
            </w:pPr>
            <w:r w:rsidRPr="009C349A">
              <w:rPr>
                <w:b/>
                <w:bCs/>
                <w:color w:val="000000"/>
                <w:sz w:val="20"/>
                <w:szCs w:val="20"/>
              </w:rPr>
              <w:t>2.213.096</w:t>
            </w:r>
          </w:p>
        </w:tc>
        <w:tc>
          <w:tcPr>
            <w:tcW w:w="1559" w:type="dxa"/>
            <w:shd w:val="clear" w:color="auto" w:fill="auto"/>
            <w:vAlign w:val="center"/>
            <w:hideMark/>
          </w:tcPr>
          <w:p w:rsidR="00B40925" w:rsidRPr="009C349A" w:rsidRDefault="00B40925" w:rsidP="00A52EA0">
            <w:pPr>
              <w:spacing w:line="360" w:lineRule="auto"/>
              <w:jc w:val="right"/>
              <w:rPr>
                <w:b/>
                <w:bCs/>
                <w:color w:val="000000"/>
                <w:sz w:val="20"/>
                <w:szCs w:val="20"/>
              </w:rPr>
            </w:pPr>
            <w:r w:rsidRPr="009C349A">
              <w:rPr>
                <w:b/>
                <w:bCs/>
                <w:color w:val="000000"/>
                <w:sz w:val="20"/>
                <w:szCs w:val="20"/>
              </w:rPr>
              <w:t>3.742.178</w:t>
            </w:r>
          </w:p>
        </w:tc>
        <w:tc>
          <w:tcPr>
            <w:tcW w:w="2268" w:type="dxa"/>
            <w:shd w:val="clear" w:color="auto" w:fill="auto"/>
            <w:vAlign w:val="center"/>
            <w:hideMark/>
          </w:tcPr>
          <w:p w:rsidR="00B40925" w:rsidRPr="009C349A" w:rsidRDefault="00B40925" w:rsidP="00A52EA0">
            <w:pPr>
              <w:spacing w:line="360" w:lineRule="auto"/>
              <w:jc w:val="center"/>
              <w:rPr>
                <w:b/>
                <w:bCs/>
                <w:sz w:val="20"/>
                <w:szCs w:val="20"/>
              </w:rPr>
            </w:pPr>
            <w:r w:rsidRPr="009C349A">
              <w:rPr>
                <w:b/>
                <w:bCs/>
                <w:sz w:val="20"/>
                <w:szCs w:val="20"/>
              </w:rPr>
              <w:t>69,1</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color w:val="000000"/>
                <w:sz w:val="20"/>
                <w:szCs w:val="20"/>
              </w:rPr>
            </w:pPr>
            <w:r w:rsidRPr="009C349A">
              <w:rPr>
                <w:color w:val="000000"/>
                <w:sz w:val="20"/>
                <w:szCs w:val="20"/>
              </w:rPr>
              <w:t>Venta de servicios</w:t>
            </w:r>
          </w:p>
        </w:tc>
        <w:tc>
          <w:tcPr>
            <w:tcW w:w="1560"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2.197.594</w:t>
            </w:r>
          </w:p>
        </w:tc>
        <w:tc>
          <w:tcPr>
            <w:tcW w:w="1559"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3.242.178</w:t>
            </w:r>
          </w:p>
        </w:tc>
        <w:tc>
          <w:tcPr>
            <w:tcW w:w="2268" w:type="dxa"/>
            <w:shd w:val="clear" w:color="auto" w:fill="auto"/>
            <w:vAlign w:val="center"/>
            <w:hideMark/>
          </w:tcPr>
          <w:p w:rsidR="00B40925" w:rsidRPr="009C349A" w:rsidRDefault="00B40925" w:rsidP="00A52EA0">
            <w:pPr>
              <w:spacing w:line="360" w:lineRule="auto"/>
              <w:jc w:val="center"/>
              <w:rPr>
                <w:sz w:val="20"/>
                <w:szCs w:val="20"/>
              </w:rPr>
            </w:pPr>
            <w:r w:rsidRPr="009C349A">
              <w:rPr>
                <w:sz w:val="20"/>
                <w:szCs w:val="20"/>
              </w:rPr>
              <w:t>47,53</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color w:val="000000"/>
                <w:sz w:val="20"/>
                <w:szCs w:val="20"/>
              </w:rPr>
            </w:pPr>
            <w:r w:rsidRPr="009C349A">
              <w:rPr>
                <w:color w:val="000000"/>
                <w:sz w:val="20"/>
                <w:szCs w:val="20"/>
              </w:rPr>
              <w:t>Otros ingresos corrientes</w:t>
            </w:r>
          </w:p>
        </w:tc>
        <w:tc>
          <w:tcPr>
            <w:tcW w:w="1560"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15.502</w:t>
            </w:r>
          </w:p>
        </w:tc>
        <w:tc>
          <w:tcPr>
            <w:tcW w:w="1559"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500.000</w:t>
            </w:r>
          </w:p>
        </w:tc>
        <w:tc>
          <w:tcPr>
            <w:tcW w:w="2268" w:type="dxa"/>
            <w:shd w:val="clear" w:color="auto" w:fill="auto"/>
            <w:vAlign w:val="center"/>
            <w:hideMark/>
          </w:tcPr>
          <w:p w:rsidR="00B40925" w:rsidRPr="009C349A" w:rsidRDefault="00B40925" w:rsidP="00A52EA0">
            <w:pPr>
              <w:spacing w:line="360" w:lineRule="auto"/>
              <w:jc w:val="center"/>
              <w:rPr>
                <w:sz w:val="20"/>
                <w:szCs w:val="20"/>
              </w:rPr>
            </w:pPr>
            <w:r w:rsidRPr="009C349A">
              <w:rPr>
                <w:sz w:val="20"/>
                <w:szCs w:val="20"/>
              </w:rPr>
              <w:t>3125,39</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b/>
                <w:bCs/>
                <w:color w:val="000000"/>
                <w:sz w:val="20"/>
                <w:szCs w:val="20"/>
              </w:rPr>
            </w:pPr>
            <w:r w:rsidRPr="009C349A">
              <w:rPr>
                <w:b/>
                <w:bCs/>
                <w:color w:val="000000"/>
                <w:sz w:val="20"/>
                <w:szCs w:val="20"/>
              </w:rPr>
              <w:t>RECURSOS DE CAPITAL</w:t>
            </w:r>
          </w:p>
        </w:tc>
        <w:tc>
          <w:tcPr>
            <w:tcW w:w="1560" w:type="dxa"/>
            <w:shd w:val="clear" w:color="auto" w:fill="auto"/>
            <w:vAlign w:val="center"/>
            <w:hideMark/>
          </w:tcPr>
          <w:p w:rsidR="00B40925" w:rsidRPr="009C349A" w:rsidRDefault="00B40925" w:rsidP="00A52EA0">
            <w:pPr>
              <w:spacing w:line="360" w:lineRule="auto"/>
              <w:jc w:val="right"/>
              <w:rPr>
                <w:b/>
                <w:bCs/>
                <w:color w:val="000000"/>
                <w:sz w:val="20"/>
                <w:szCs w:val="20"/>
              </w:rPr>
            </w:pPr>
            <w:r w:rsidRPr="009C349A">
              <w:rPr>
                <w:b/>
                <w:bCs/>
                <w:color w:val="000000"/>
                <w:sz w:val="20"/>
                <w:szCs w:val="20"/>
              </w:rPr>
              <w:t>1.166.504</w:t>
            </w:r>
          </w:p>
        </w:tc>
        <w:tc>
          <w:tcPr>
            <w:tcW w:w="1559" w:type="dxa"/>
            <w:shd w:val="clear" w:color="auto" w:fill="auto"/>
            <w:vAlign w:val="center"/>
            <w:hideMark/>
          </w:tcPr>
          <w:p w:rsidR="00B40925" w:rsidRPr="009C349A" w:rsidRDefault="00B40925" w:rsidP="00A52EA0">
            <w:pPr>
              <w:spacing w:line="360" w:lineRule="auto"/>
              <w:jc w:val="right"/>
              <w:rPr>
                <w:b/>
                <w:bCs/>
                <w:color w:val="000000"/>
                <w:sz w:val="20"/>
                <w:szCs w:val="20"/>
              </w:rPr>
            </w:pPr>
            <w:r w:rsidRPr="009C349A">
              <w:rPr>
                <w:b/>
                <w:bCs/>
                <w:color w:val="000000"/>
                <w:sz w:val="20"/>
                <w:szCs w:val="20"/>
              </w:rPr>
              <w:t>1.912.686</w:t>
            </w:r>
          </w:p>
        </w:tc>
        <w:tc>
          <w:tcPr>
            <w:tcW w:w="2268" w:type="dxa"/>
            <w:shd w:val="clear" w:color="auto" w:fill="auto"/>
            <w:vAlign w:val="center"/>
            <w:hideMark/>
          </w:tcPr>
          <w:p w:rsidR="00B40925" w:rsidRPr="009C349A" w:rsidRDefault="00B40925" w:rsidP="00A52EA0">
            <w:pPr>
              <w:spacing w:line="360" w:lineRule="auto"/>
              <w:jc w:val="center"/>
              <w:rPr>
                <w:b/>
                <w:bCs/>
                <w:sz w:val="20"/>
                <w:szCs w:val="20"/>
              </w:rPr>
            </w:pPr>
            <w:r w:rsidRPr="009C349A">
              <w:rPr>
                <w:b/>
                <w:bCs/>
                <w:sz w:val="20"/>
                <w:szCs w:val="20"/>
              </w:rPr>
              <w:t>64,0</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color w:val="000000"/>
                <w:sz w:val="20"/>
                <w:szCs w:val="20"/>
              </w:rPr>
            </w:pPr>
            <w:r w:rsidRPr="009C349A">
              <w:rPr>
                <w:color w:val="000000"/>
                <w:sz w:val="20"/>
                <w:szCs w:val="20"/>
              </w:rPr>
              <w:t>Rendimientos financieros</w:t>
            </w:r>
          </w:p>
        </w:tc>
        <w:tc>
          <w:tcPr>
            <w:tcW w:w="1560"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18.743</w:t>
            </w:r>
          </w:p>
        </w:tc>
        <w:tc>
          <w:tcPr>
            <w:tcW w:w="1559"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1.697</w:t>
            </w:r>
          </w:p>
        </w:tc>
        <w:tc>
          <w:tcPr>
            <w:tcW w:w="2268" w:type="dxa"/>
            <w:shd w:val="clear" w:color="auto" w:fill="auto"/>
            <w:vAlign w:val="center"/>
            <w:hideMark/>
          </w:tcPr>
          <w:p w:rsidR="00B40925" w:rsidRPr="009C349A" w:rsidRDefault="00B40925" w:rsidP="00A52EA0">
            <w:pPr>
              <w:spacing w:line="360" w:lineRule="auto"/>
              <w:jc w:val="center"/>
              <w:rPr>
                <w:sz w:val="20"/>
                <w:szCs w:val="20"/>
              </w:rPr>
            </w:pPr>
            <w:r w:rsidRPr="009C349A">
              <w:rPr>
                <w:sz w:val="20"/>
                <w:szCs w:val="20"/>
              </w:rPr>
              <w:t>-90,95</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color w:val="000000"/>
                <w:sz w:val="20"/>
                <w:szCs w:val="20"/>
              </w:rPr>
            </w:pPr>
            <w:r w:rsidRPr="009C349A">
              <w:rPr>
                <w:color w:val="000000"/>
                <w:sz w:val="20"/>
                <w:szCs w:val="20"/>
              </w:rPr>
              <w:t>Recuperación de Cartera</w:t>
            </w:r>
          </w:p>
        </w:tc>
        <w:tc>
          <w:tcPr>
            <w:tcW w:w="1560"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1.147.761</w:t>
            </w:r>
          </w:p>
        </w:tc>
        <w:tc>
          <w:tcPr>
            <w:tcW w:w="1559"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1.910.989</w:t>
            </w:r>
          </w:p>
        </w:tc>
        <w:tc>
          <w:tcPr>
            <w:tcW w:w="2268" w:type="dxa"/>
            <w:shd w:val="clear" w:color="auto" w:fill="auto"/>
            <w:vAlign w:val="center"/>
            <w:hideMark/>
          </w:tcPr>
          <w:p w:rsidR="00B40925" w:rsidRPr="009C349A" w:rsidRDefault="00B40925" w:rsidP="00A52EA0">
            <w:pPr>
              <w:spacing w:line="360" w:lineRule="auto"/>
              <w:jc w:val="center"/>
              <w:rPr>
                <w:sz w:val="20"/>
                <w:szCs w:val="20"/>
              </w:rPr>
            </w:pPr>
            <w:r w:rsidRPr="009C349A">
              <w:rPr>
                <w:sz w:val="20"/>
                <w:szCs w:val="20"/>
              </w:rPr>
              <w:t>66,50</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b/>
                <w:bCs/>
                <w:color w:val="000000"/>
                <w:sz w:val="20"/>
                <w:szCs w:val="20"/>
              </w:rPr>
            </w:pPr>
            <w:r w:rsidRPr="009C349A">
              <w:rPr>
                <w:b/>
                <w:bCs/>
                <w:color w:val="000000"/>
                <w:sz w:val="20"/>
                <w:szCs w:val="20"/>
              </w:rPr>
              <w:t>TOTAL GASTOS</w:t>
            </w:r>
          </w:p>
        </w:tc>
        <w:tc>
          <w:tcPr>
            <w:tcW w:w="1560" w:type="dxa"/>
            <w:shd w:val="clear" w:color="auto" w:fill="auto"/>
            <w:vAlign w:val="center"/>
            <w:hideMark/>
          </w:tcPr>
          <w:p w:rsidR="00B40925" w:rsidRPr="009C349A" w:rsidRDefault="00B40925" w:rsidP="00A52EA0">
            <w:pPr>
              <w:spacing w:line="360" w:lineRule="auto"/>
              <w:jc w:val="right"/>
              <w:rPr>
                <w:b/>
                <w:bCs/>
                <w:color w:val="000000"/>
                <w:sz w:val="20"/>
                <w:szCs w:val="20"/>
              </w:rPr>
            </w:pPr>
            <w:r w:rsidRPr="009C349A">
              <w:rPr>
                <w:b/>
                <w:bCs/>
                <w:color w:val="000000"/>
                <w:sz w:val="20"/>
                <w:szCs w:val="20"/>
              </w:rPr>
              <w:t>4.261.038</w:t>
            </w:r>
          </w:p>
        </w:tc>
        <w:tc>
          <w:tcPr>
            <w:tcW w:w="1559" w:type="dxa"/>
            <w:shd w:val="clear" w:color="auto" w:fill="auto"/>
            <w:vAlign w:val="center"/>
            <w:hideMark/>
          </w:tcPr>
          <w:p w:rsidR="00B40925" w:rsidRPr="009C349A" w:rsidRDefault="00B40925" w:rsidP="00A52EA0">
            <w:pPr>
              <w:spacing w:line="360" w:lineRule="auto"/>
              <w:jc w:val="right"/>
              <w:rPr>
                <w:b/>
                <w:bCs/>
                <w:color w:val="000000"/>
                <w:sz w:val="20"/>
                <w:szCs w:val="20"/>
              </w:rPr>
            </w:pPr>
            <w:r w:rsidRPr="009C349A">
              <w:rPr>
                <w:b/>
                <w:bCs/>
                <w:color w:val="000000"/>
                <w:sz w:val="20"/>
                <w:szCs w:val="20"/>
              </w:rPr>
              <w:t>5.146.832</w:t>
            </w:r>
          </w:p>
        </w:tc>
        <w:tc>
          <w:tcPr>
            <w:tcW w:w="2268" w:type="dxa"/>
            <w:shd w:val="clear" w:color="auto" w:fill="auto"/>
            <w:vAlign w:val="center"/>
            <w:hideMark/>
          </w:tcPr>
          <w:p w:rsidR="00B40925" w:rsidRPr="009C349A" w:rsidRDefault="00B40925" w:rsidP="00A52EA0">
            <w:pPr>
              <w:spacing w:line="360" w:lineRule="auto"/>
              <w:jc w:val="center"/>
              <w:rPr>
                <w:b/>
                <w:bCs/>
                <w:sz w:val="20"/>
                <w:szCs w:val="20"/>
              </w:rPr>
            </w:pPr>
            <w:r w:rsidRPr="009C349A">
              <w:rPr>
                <w:b/>
                <w:bCs/>
                <w:sz w:val="20"/>
                <w:szCs w:val="20"/>
              </w:rPr>
              <w:t>20,8</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color w:val="000000"/>
                <w:sz w:val="20"/>
                <w:szCs w:val="20"/>
              </w:rPr>
            </w:pPr>
            <w:r w:rsidRPr="009C349A">
              <w:rPr>
                <w:color w:val="000000"/>
                <w:sz w:val="20"/>
                <w:szCs w:val="20"/>
              </w:rPr>
              <w:t>Gastos de personal</w:t>
            </w:r>
          </w:p>
        </w:tc>
        <w:tc>
          <w:tcPr>
            <w:tcW w:w="1560"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2.437.711</w:t>
            </w:r>
          </w:p>
        </w:tc>
        <w:tc>
          <w:tcPr>
            <w:tcW w:w="1559"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2.500.356</w:t>
            </w:r>
          </w:p>
        </w:tc>
        <w:tc>
          <w:tcPr>
            <w:tcW w:w="2268" w:type="dxa"/>
            <w:shd w:val="clear" w:color="auto" w:fill="auto"/>
            <w:vAlign w:val="center"/>
            <w:hideMark/>
          </w:tcPr>
          <w:p w:rsidR="00B40925" w:rsidRPr="009C349A" w:rsidRDefault="00B40925" w:rsidP="00A52EA0">
            <w:pPr>
              <w:spacing w:line="360" w:lineRule="auto"/>
              <w:jc w:val="center"/>
              <w:rPr>
                <w:sz w:val="20"/>
                <w:szCs w:val="20"/>
              </w:rPr>
            </w:pPr>
            <w:r w:rsidRPr="009C349A">
              <w:rPr>
                <w:sz w:val="20"/>
                <w:szCs w:val="20"/>
              </w:rPr>
              <w:t>2,57</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color w:val="000000"/>
                <w:sz w:val="20"/>
                <w:szCs w:val="20"/>
              </w:rPr>
            </w:pPr>
            <w:r w:rsidRPr="009C349A">
              <w:rPr>
                <w:color w:val="000000"/>
                <w:sz w:val="20"/>
                <w:szCs w:val="20"/>
              </w:rPr>
              <w:t>Gastos Generales</w:t>
            </w:r>
          </w:p>
        </w:tc>
        <w:tc>
          <w:tcPr>
            <w:tcW w:w="1560"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1.737.236</w:t>
            </w:r>
          </w:p>
        </w:tc>
        <w:tc>
          <w:tcPr>
            <w:tcW w:w="1559"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2.041.232</w:t>
            </w:r>
          </w:p>
        </w:tc>
        <w:tc>
          <w:tcPr>
            <w:tcW w:w="2268" w:type="dxa"/>
            <w:shd w:val="clear" w:color="auto" w:fill="auto"/>
            <w:vAlign w:val="center"/>
            <w:hideMark/>
          </w:tcPr>
          <w:p w:rsidR="00B40925" w:rsidRPr="009C349A" w:rsidRDefault="00B40925" w:rsidP="00A52EA0">
            <w:pPr>
              <w:spacing w:line="360" w:lineRule="auto"/>
              <w:jc w:val="center"/>
              <w:rPr>
                <w:sz w:val="20"/>
                <w:szCs w:val="20"/>
              </w:rPr>
            </w:pPr>
            <w:r w:rsidRPr="009C349A">
              <w:rPr>
                <w:sz w:val="20"/>
                <w:szCs w:val="20"/>
              </w:rPr>
              <w:t>17,50</w:t>
            </w:r>
          </w:p>
        </w:tc>
      </w:tr>
      <w:tr w:rsidR="00B40925" w:rsidRPr="009C349A" w:rsidTr="009C349A">
        <w:trPr>
          <w:trHeight w:val="330"/>
        </w:trPr>
        <w:tc>
          <w:tcPr>
            <w:tcW w:w="3417" w:type="dxa"/>
            <w:shd w:val="clear" w:color="auto" w:fill="auto"/>
            <w:vAlign w:val="center"/>
            <w:hideMark/>
          </w:tcPr>
          <w:p w:rsidR="00B40925" w:rsidRPr="009C349A" w:rsidRDefault="00B40925" w:rsidP="00A52EA0">
            <w:pPr>
              <w:spacing w:line="360" w:lineRule="auto"/>
              <w:rPr>
                <w:color w:val="000000"/>
                <w:sz w:val="20"/>
                <w:szCs w:val="20"/>
              </w:rPr>
            </w:pPr>
            <w:r w:rsidRPr="009C349A">
              <w:rPr>
                <w:color w:val="000000"/>
                <w:sz w:val="20"/>
                <w:szCs w:val="20"/>
              </w:rPr>
              <w:t xml:space="preserve">Transferencias </w:t>
            </w:r>
          </w:p>
        </w:tc>
        <w:tc>
          <w:tcPr>
            <w:tcW w:w="1560"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50.953</w:t>
            </w:r>
          </w:p>
        </w:tc>
        <w:tc>
          <w:tcPr>
            <w:tcW w:w="1559" w:type="dxa"/>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57.813</w:t>
            </w:r>
          </w:p>
        </w:tc>
        <w:tc>
          <w:tcPr>
            <w:tcW w:w="2268" w:type="dxa"/>
            <w:shd w:val="clear" w:color="auto" w:fill="auto"/>
            <w:vAlign w:val="center"/>
            <w:hideMark/>
          </w:tcPr>
          <w:p w:rsidR="00B40925" w:rsidRPr="009C349A" w:rsidRDefault="00B40925" w:rsidP="00A52EA0">
            <w:pPr>
              <w:spacing w:line="360" w:lineRule="auto"/>
              <w:jc w:val="center"/>
              <w:rPr>
                <w:sz w:val="20"/>
                <w:szCs w:val="20"/>
              </w:rPr>
            </w:pPr>
            <w:r w:rsidRPr="009C349A">
              <w:rPr>
                <w:sz w:val="20"/>
                <w:szCs w:val="20"/>
              </w:rPr>
              <w:t>13,46</w:t>
            </w:r>
          </w:p>
        </w:tc>
      </w:tr>
      <w:tr w:rsidR="00B40925" w:rsidRPr="009C349A" w:rsidTr="009C349A">
        <w:trPr>
          <w:trHeight w:val="330"/>
        </w:trPr>
        <w:tc>
          <w:tcPr>
            <w:tcW w:w="3417" w:type="dxa"/>
            <w:tcBorders>
              <w:bottom w:val="nil"/>
            </w:tcBorders>
            <w:shd w:val="clear" w:color="auto" w:fill="auto"/>
            <w:vAlign w:val="center"/>
            <w:hideMark/>
          </w:tcPr>
          <w:p w:rsidR="00B40925" w:rsidRPr="009C349A" w:rsidRDefault="00B40925" w:rsidP="00A52EA0">
            <w:pPr>
              <w:spacing w:line="360" w:lineRule="auto"/>
              <w:rPr>
                <w:color w:val="000000"/>
                <w:sz w:val="20"/>
                <w:szCs w:val="20"/>
              </w:rPr>
            </w:pPr>
            <w:r w:rsidRPr="009C349A">
              <w:rPr>
                <w:color w:val="000000"/>
                <w:sz w:val="20"/>
                <w:szCs w:val="20"/>
              </w:rPr>
              <w:t>Inversiones</w:t>
            </w:r>
          </w:p>
        </w:tc>
        <w:tc>
          <w:tcPr>
            <w:tcW w:w="1560" w:type="dxa"/>
            <w:tcBorders>
              <w:bottom w:val="nil"/>
            </w:tcBorders>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35.138</w:t>
            </w:r>
          </w:p>
        </w:tc>
        <w:tc>
          <w:tcPr>
            <w:tcW w:w="1559" w:type="dxa"/>
            <w:tcBorders>
              <w:bottom w:val="nil"/>
            </w:tcBorders>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0</w:t>
            </w:r>
          </w:p>
        </w:tc>
        <w:tc>
          <w:tcPr>
            <w:tcW w:w="2268" w:type="dxa"/>
            <w:tcBorders>
              <w:bottom w:val="nil"/>
            </w:tcBorders>
            <w:shd w:val="clear" w:color="auto" w:fill="auto"/>
            <w:vAlign w:val="center"/>
            <w:hideMark/>
          </w:tcPr>
          <w:p w:rsidR="00B40925" w:rsidRPr="009C349A" w:rsidRDefault="00B40925" w:rsidP="00A52EA0">
            <w:pPr>
              <w:spacing w:line="360" w:lineRule="auto"/>
              <w:jc w:val="center"/>
              <w:rPr>
                <w:sz w:val="20"/>
                <w:szCs w:val="20"/>
              </w:rPr>
            </w:pPr>
            <w:r w:rsidRPr="009C349A">
              <w:rPr>
                <w:sz w:val="20"/>
                <w:szCs w:val="20"/>
              </w:rPr>
              <w:t>-100,00</w:t>
            </w:r>
          </w:p>
        </w:tc>
      </w:tr>
      <w:tr w:rsidR="00B40925" w:rsidRPr="009C349A" w:rsidTr="009C349A">
        <w:trPr>
          <w:trHeight w:val="330"/>
        </w:trPr>
        <w:tc>
          <w:tcPr>
            <w:tcW w:w="3417" w:type="dxa"/>
            <w:tcBorders>
              <w:top w:val="nil"/>
              <w:bottom w:val="single" w:sz="4" w:space="0" w:color="auto"/>
            </w:tcBorders>
            <w:shd w:val="clear" w:color="auto" w:fill="auto"/>
            <w:vAlign w:val="center"/>
            <w:hideMark/>
          </w:tcPr>
          <w:p w:rsidR="00B40925" w:rsidRPr="009C349A" w:rsidRDefault="00B40925" w:rsidP="00A52EA0">
            <w:pPr>
              <w:spacing w:line="360" w:lineRule="auto"/>
              <w:rPr>
                <w:color w:val="000000"/>
                <w:sz w:val="20"/>
                <w:szCs w:val="20"/>
              </w:rPr>
            </w:pPr>
            <w:r w:rsidRPr="009C349A">
              <w:rPr>
                <w:color w:val="000000"/>
                <w:sz w:val="20"/>
                <w:szCs w:val="20"/>
              </w:rPr>
              <w:t>Cuentas por pagar</w:t>
            </w:r>
          </w:p>
        </w:tc>
        <w:tc>
          <w:tcPr>
            <w:tcW w:w="1560" w:type="dxa"/>
            <w:tcBorders>
              <w:top w:val="nil"/>
              <w:bottom w:val="single" w:sz="4" w:space="0" w:color="auto"/>
            </w:tcBorders>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0</w:t>
            </w:r>
          </w:p>
        </w:tc>
        <w:tc>
          <w:tcPr>
            <w:tcW w:w="1559" w:type="dxa"/>
            <w:tcBorders>
              <w:top w:val="nil"/>
              <w:bottom w:val="single" w:sz="4" w:space="0" w:color="auto"/>
            </w:tcBorders>
            <w:shd w:val="clear" w:color="auto" w:fill="auto"/>
            <w:vAlign w:val="center"/>
            <w:hideMark/>
          </w:tcPr>
          <w:p w:rsidR="00B40925" w:rsidRPr="009C349A" w:rsidRDefault="00B40925" w:rsidP="00A52EA0">
            <w:pPr>
              <w:spacing w:line="360" w:lineRule="auto"/>
              <w:jc w:val="right"/>
              <w:rPr>
                <w:color w:val="000000"/>
                <w:sz w:val="20"/>
                <w:szCs w:val="20"/>
              </w:rPr>
            </w:pPr>
            <w:r w:rsidRPr="009C349A">
              <w:rPr>
                <w:color w:val="000000"/>
                <w:sz w:val="20"/>
                <w:szCs w:val="20"/>
              </w:rPr>
              <w:t>547.431</w:t>
            </w:r>
          </w:p>
        </w:tc>
        <w:tc>
          <w:tcPr>
            <w:tcW w:w="2268" w:type="dxa"/>
            <w:tcBorders>
              <w:top w:val="nil"/>
              <w:bottom w:val="single" w:sz="4" w:space="0" w:color="auto"/>
            </w:tcBorders>
            <w:shd w:val="clear" w:color="auto" w:fill="auto"/>
            <w:vAlign w:val="center"/>
            <w:hideMark/>
          </w:tcPr>
          <w:p w:rsidR="00B40925" w:rsidRPr="009C349A" w:rsidRDefault="00B40925" w:rsidP="00A52EA0">
            <w:pPr>
              <w:spacing w:line="360" w:lineRule="auto"/>
              <w:jc w:val="center"/>
              <w:rPr>
                <w:sz w:val="20"/>
                <w:szCs w:val="20"/>
              </w:rPr>
            </w:pPr>
            <w:r w:rsidRPr="009C349A">
              <w:rPr>
                <w:sz w:val="20"/>
                <w:szCs w:val="20"/>
              </w:rPr>
              <w:t>0</w:t>
            </w:r>
          </w:p>
        </w:tc>
      </w:tr>
    </w:tbl>
    <w:p w:rsidR="009C349A" w:rsidRPr="009C349A" w:rsidRDefault="009C349A" w:rsidP="009C349A">
      <w:pPr>
        <w:spacing w:line="360" w:lineRule="auto"/>
        <w:rPr>
          <w:sz w:val="20"/>
          <w:lang w:val="es-ES"/>
        </w:rPr>
      </w:pPr>
      <w:r w:rsidRPr="009C349A">
        <w:rPr>
          <w:iCs/>
          <w:color w:val="000000"/>
          <w:sz w:val="16"/>
          <w:szCs w:val="20"/>
        </w:rPr>
        <w:t>Fuente: Empresa Social del Estado- Hospital  Mental de Filandia</w:t>
      </w:r>
    </w:p>
    <w:p w:rsidR="009C349A" w:rsidRPr="009C349A" w:rsidRDefault="009C349A" w:rsidP="009C349A">
      <w:pPr>
        <w:spacing w:line="360" w:lineRule="auto"/>
        <w:rPr>
          <w:sz w:val="20"/>
          <w:lang w:val="es-ES"/>
        </w:rPr>
      </w:pPr>
    </w:p>
    <w:p w:rsidR="00B40925" w:rsidRDefault="00B40925" w:rsidP="00F51BAA">
      <w:pPr>
        <w:spacing w:before="240" w:line="360" w:lineRule="auto"/>
        <w:ind w:firstLine="284"/>
        <w:jc w:val="both"/>
      </w:pPr>
      <w:r>
        <w:t xml:space="preserve">Los gastos fueron de 5.147 millones, </w:t>
      </w:r>
      <w:r w:rsidR="00FD1988">
        <w:t>lo que corresponde al</w:t>
      </w:r>
      <w:r>
        <w:t xml:space="preserve"> 91% de los ingresos, donde el ítem más representativo está en Gastos de Personal con 2.500 millones, siguiendo los Gastos Generales con 2.041 millones, donde ambos rubros de funcionamiento son el 88,2% de los egresos.</w:t>
      </w:r>
    </w:p>
    <w:p w:rsidR="00B40925" w:rsidRDefault="00B40925" w:rsidP="00B40925">
      <w:pPr>
        <w:spacing w:line="360" w:lineRule="auto"/>
        <w:rPr>
          <w:lang w:val="es-ES"/>
        </w:rPr>
      </w:pPr>
    </w:p>
    <w:p w:rsidR="00E455DE" w:rsidRDefault="00E455DE" w:rsidP="00B40925">
      <w:pPr>
        <w:spacing w:line="360" w:lineRule="auto"/>
        <w:rPr>
          <w:lang w:val="es-ES"/>
        </w:rPr>
      </w:pPr>
    </w:p>
    <w:p w:rsidR="00E455DE" w:rsidRDefault="00E455DE" w:rsidP="00B40925">
      <w:pPr>
        <w:spacing w:line="360" w:lineRule="auto"/>
        <w:rPr>
          <w:lang w:val="es-ES"/>
        </w:rPr>
      </w:pPr>
    </w:p>
    <w:p w:rsidR="00E455DE" w:rsidRDefault="00E455DE" w:rsidP="00B40925">
      <w:pPr>
        <w:spacing w:line="360" w:lineRule="auto"/>
        <w:rPr>
          <w:lang w:val="es-ES"/>
        </w:rPr>
      </w:pPr>
    </w:p>
    <w:p w:rsidR="00E455DE" w:rsidRDefault="00E455DE" w:rsidP="00B40925">
      <w:pPr>
        <w:spacing w:line="360" w:lineRule="auto"/>
        <w:rPr>
          <w:lang w:val="es-ES"/>
        </w:rPr>
      </w:pPr>
    </w:p>
    <w:p w:rsidR="00B40925" w:rsidRPr="0036070E" w:rsidRDefault="00365679" w:rsidP="0036070E">
      <w:pPr>
        <w:pStyle w:val="Ttulo2"/>
        <w:rPr>
          <w:rFonts w:ascii="Times New Roman" w:hAnsi="Times New Roman" w:cs="Times New Roman"/>
          <w:color w:val="auto"/>
          <w:sz w:val="30"/>
          <w:szCs w:val="30"/>
        </w:rPr>
      </w:pPr>
      <w:bookmarkStart w:id="68" w:name="_Toc406754324"/>
      <w:r>
        <w:rPr>
          <w:rFonts w:ascii="Times New Roman" w:hAnsi="Times New Roman" w:cs="Times New Roman"/>
          <w:color w:val="auto"/>
          <w:sz w:val="30"/>
          <w:szCs w:val="30"/>
          <w:lang w:val="es-ES"/>
        </w:rPr>
        <w:lastRenderedPageBreak/>
        <w:t>7.5</w:t>
      </w:r>
      <w:r w:rsidR="0036070E" w:rsidRPr="0036070E">
        <w:rPr>
          <w:rFonts w:ascii="Times New Roman" w:hAnsi="Times New Roman" w:cs="Times New Roman"/>
          <w:color w:val="auto"/>
          <w:sz w:val="30"/>
          <w:szCs w:val="30"/>
          <w:lang w:val="es-ES"/>
        </w:rPr>
        <w:t xml:space="preserve"> </w:t>
      </w:r>
      <w:r w:rsidR="00B40925" w:rsidRPr="0036070E">
        <w:rPr>
          <w:rFonts w:ascii="Times New Roman" w:hAnsi="Times New Roman" w:cs="Times New Roman"/>
          <w:color w:val="auto"/>
          <w:sz w:val="30"/>
          <w:szCs w:val="30"/>
        </w:rPr>
        <w:t>Hospital La Misericordia de Calarcá</w:t>
      </w:r>
      <w:bookmarkEnd w:id="68"/>
    </w:p>
    <w:p w:rsidR="00B40925" w:rsidRPr="00574ED0" w:rsidRDefault="00B40925" w:rsidP="00B40925">
      <w:pPr>
        <w:pStyle w:val="Prrafodelista"/>
        <w:spacing w:line="360" w:lineRule="auto"/>
        <w:ind w:left="1428"/>
        <w:rPr>
          <w:b/>
          <w:sz w:val="30"/>
          <w:szCs w:val="30"/>
        </w:rPr>
      </w:pPr>
    </w:p>
    <w:p w:rsidR="0036070E" w:rsidRDefault="00B40925" w:rsidP="0036070E">
      <w:pPr>
        <w:spacing w:line="360" w:lineRule="auto"/>
        <w:ind w:firstLine="284"/>
        <w:jc w:val="both"/>
        <w:rPr>
          <w:lang w:val="es-ES"/>
        </w:rPr>
      </w:pPr>
      <w:r>
        <w:rPr>
          <w:lang w:val="es-ES"/>
        </w:rPr>
        <w:t xml:space="preserve">La ejecución presupuestal de ingresos del </w:t>
      </w:r>
      <w:r w:rsidRPr="00890618">
        <w:rPr>
          <w:lang w:val="es-ES"/>
        </w:rPr>
        <w:t xml:space="preserve">Hospital </w:t>
      </w:r>
      <w:r>
        <w:rPr>
          <w:lang w:val="es-ES"/>
        </w:rPr>
        <w:t>La Misericordia de Calarcá</w:t>
      </w:r>
      <w:r w:rsidRPr="00890618">
        <w:rPr>
          <w:lang w:val="es-ES"/>
        </w:rPr>
        <w:t xml:space="preserve"> </w:t>
      </w:r>
      <w:r>
        <w:rPr>
          <w:lang w:val="es-ES"/>
        </w:rPr>
        <w:t>de $5.663 millones fue durante la vigencia 2013, con un crecimiento en el recaudo del 18,0% frente al 2012, donde las rentas propias se sostuvieron en $16 mil millones, al variar solo el 0,7%, mientras los recursos de capital se incrementaron en el 836%, por rendimientos financieros, que crecieron de $2,8 millones a $26,1 millones de pesos.</w:t>
      </w:r>
      <w:r w:rsidR="0036070E">
        <w:rPr>
          <w:lang w:val="es-ES"/>
        </w:rPr>
        <w:t xml:space="preserve"> </w:t>
      </w:r>
    </w:p>
    <w:p w:rsidR="0036070E" w:rsidRDefault="0036070E" w:rsidP="0036070E">
      <w:pPr>
        <w:spacing w:line="360" w:lineRule="auto"/>
        <w:ind w:firstLine="284"/>
        <w:jc w:val="both"/>
        <w:rPr>
          <w:lang w:val="es-ES"/>
        </w:rPr>
      </w:pPr>
    </w:p>
    <w:p w:rsidR="00B40925" w:rsidRDefault="00B40925" w:rsidP="0036070E">
      <w:pPr>
        <w:spacing w:line="360" w:lineRule="auto"/>
        <w:ind w:firstLine="284"/>
        <w:jc w:val="both"/>
      </w:pPr>
      <w:r>
        <w:t>Los gastos fueron de $16.464 millones, el 87% de los ingresos, donde los ítems más representativos son: Gastos de Personal con $11.681 millones, siguiendo los suministros con $2.353 millones, Gastos Generales con $1.194 millones e inversiones con $1.091 millones.</w:t>
      </w:r>
    </w:p>
    <w:p w:rsidR="00B40925" w:rsidRDefault="00B40925" w:rsidP="00B40925">
      <w:pPr>
        <w:spacing w:before="240" w:line="360" w:lineRule="auto"/>
      </w:pPr>
    </w:p>
    <w:p w:rsidR="00B40925" w:rsidRPr="0036070E" w:rsidRDefault="00365679" w:rsidP="0036070E">
      <w:pPr>
        <w:pStyle w:val="Ttulo2"/>
        <w:rPr>
          <w:rFonts w:ascii="Times New Roman" w:hAnsi="Times New Roman" w:cs="Times New Roman"/>
          <w:color w:val="auto"/>
          <w:sz w:val="30"/>
          <w:szCs w:val="30"/>
        </w:rPr>
      </w:pPr>
      <w:bookmarkStart w:id="69" w:name="_Toc406754325"/>
      <w:r>
        <w:rPr>
          <w:rFonts w:ascii="Times New Roman" w:hAnsi="Times New Roman" w:cs="Times New Roman"/>
          <w:color w:val="auto"/>
          <w:sz w:val="30"/>
          <w:szCs w:val="30"/>
        </w:rPr>
        <w:t>7.6</w:t>
      </w:r>
      <w:r w:rsidR="0036070E">
        <w:rPr>
          <w:rFonts w:ascii="Times New Roman" w:hAnsi="Times New Roman" w:cs="Times New Roman"/>
          <w:color w:val="auto"/>
          <w:sz w:val="30"/>
          <w:szCs w:val="30"/>
        </w:rPr>
        <w:t xml:space="preserve"> </w:t>
      </w:r>
      <w:r w:rsidR="00B40925" w:rsidRPr="0036070E">
        <w:rPr>
          <w:rFonts w:ascii="Times New Roman" w:hAnsi="Times New Roman" w:cs="Times New Roman"/>
          <w:color w:val="auto"/>
          <w:sz w:val="30"/>
          <w:szCs w:val="30"/>
        </w:rPr>
        <w:t>Instituto Departamental de Tránsito del Quindío</w:t>
      </w:r>
      <w:bookmarkEnd w:id="69"/>
    </w:p>
    <w:p w:rsidR="00B40925" w:rsidRDefault="00B40925" w:rsidP="00B40925">
      <w:pPr>
        <w:spacing w:line="360" w:lineRule="auto"/>
        <w:rPr>
          <w:b/>
          <w:sz w:val="30"/>
          <w:szCs w:val="30"/>
        </w:rPr>
      </w:pPr>
    </w:p>
    <w:p w:rsidR="00B40925" w:rsidRDefault="00B40925" w:rsidP="0036070E">
      <w:pPr>
        <w:spacing w:line="360" w:lineRule="auto"/>
        <w:ind w:firstLine="284"/>
        <w:jc w:val="both"/>
        <w:rPr>
          <w:lang w:val="es-ES"/>
        </w:rPr>
      </w:pPr>
      <w:r>
        <w:rPr>
          <w:lang w:val="es-ES"/>
        </w:rPr>
        <w:t xml:space="preserve">La ejecución presupuestal </w:t>
      </w:r>
      <w:r w:rsidR="000135E2">
        <w:rPr>
          <w:lang w:val="es-ES"/>
        </w:rPr>
        <w:t>del Instituto Departamental de T</w:t>
      </w:r>
      <w:r>
        <w:rPr>
          <w:lang w:val="es-ES"/>
        </w:rPr>
        <w:t>ránsito del Quindío presenta ingresos ejecutados durante la vigencia 2013, por $1.988 millones, el 10,3% más que en el 2012, donde $1.291 millones corresponden a ingresos por servicios, el 65% del total e ingresos y mostraron un crecimiento del 14,3% a los recaudados en el 2012.</w:t>
      </w:r>
    </w:p>
    <w:p w:rsidR="00C30002" w:rsidRDefault="00C30002" w:rsidP="0036070E">
      <w:pPr>
        <w:spacing w:line="360" w:lineRule="auto"/>
        <w:ind w:firstLine="284"/>
        <w:jc w:val="both"/>
        <w:rPr>
          <w:lang w:val="es-ES"/>
        </w:rPr>
      </w:pPr>
    </w:p>
    <w:p w:rsidR="00B40925" w:rsidRDefault="00B40925" w:rsidP="0036070E">
      <w:pPr>
        <w:spacing w:line="360" w:lineRule="auto"/>
        <w:ind w:firstLine="284"/>
        <w:jc w:val="both"/>
        <w:rPr>
          <w:lang w:val="es-ES"/>
        </w:rPr>
      </w:pPr>
      <w:r>
        <w:rPr>
          <w:lang w:val="es-ES"/>
        </w:rPr>
        <w:t>Se presentó una ejecución de egresos del 99,2% en el 2013 por valor de $1.983 millones, de los cuales el 43% corresponden a gastos de funcionamiento y el 53,5% son gastos operativos, presentando una inversión del 3,6%.</w:t>
      </w:r>
    </w:p>
    <w:p w:rsidR="00E455DE" w:rsidRDefault="00E455DE" w:rsidP="0036070E">
      <w:pPr>
        <w:spacing w:line="360" w:lineRule="auto"/>
        <w:ind w:firstLine="284"/>
        <w:jc w:val="both"/>
        <w:rPr>
          <w:lang w:val="es-ES"/>
        </w:rPr>
      </w:pPr>
    </w:p>
    <w:p w:rsidR="00E455DE" w:rsidRDefault="00E455DE" w:rsidP="0036070E">
      <w:pPr>
        <w:spacing w:line="360" w:lineRule="auto"/>
        <w:ind w:firstLine="284"/>
        <w:jc w:val="both"/>
        <w:rPr>
          <w:lang w:val="es-ES"/>
        </w:rPr>
      </w:pPr>
    </w:p>
    <w:p w:rsidR="00E455DE" w:rsidRDefault="00E455DE" w:rsidP="0036070E">
      <w:pPr>
        <w:spacing w:line="360" w:lineRule="auto"/>
        <w:ind w:firstLine="284"/>
        <w:jc w:val="both"/>
        <w:rPr>
          <w:lang w:val="es-ES"/>
        </w:rPr>
      </w:pPr>
    </w:p>
    <w:p w:rsidR="00E455DE" w:rsidRDefault="00E455DE" w:rsidP="0036070E">
      <w:pPr>
        <w:spacing w:line="360" w:lineRule="auto"/>
        <w:ind w:firstLine="284"/>
        <w:jc w:val="both"/>
        <w:rPr>
          <w:lang w:val="es-ES"/>
        </w:rPr>
      </w:pPr>
    </w:p>
    <w:p w:rsidR="00B40925" w:rsidRPr="00C30002" w:rsidRDefault="00C30002" w:rsidP="00C30002">
      <w:pPr>
        <w:pStyle w:val="Ttulo2"/>
        <w:jc w:val="both"/>
        <w:rPr>
          <w:rFonts w:ascii="Times New Roman" w:hAnsi="Times New Roman" w:cs="Times New Roman"/>
          <w:color w:val="auto"/>
          <w:sz w:val="30"/>
          <w:szCs w:val="30"/>
        </w:rPr>
      </w:pPr>
      <w:bookmarkStart w:id="70" w:name="_Toc406754326"/>
      <w:r w:rsidRPr="00C30002">
        <w:rPr>
          <w:rFonts w:ascii="Times New Roman" w:hAnsi="Times New Roman" w:cs="Times New Roman"/>
          <w:color w:val="auto"/>
          <w:sz w:val="30"/>
          <w:szCs w:val="30"/>
          <w:lang w:val="es-ES"/>
        </w:rPr>
        <w:lastRenderedPageBreak/>
        <w:t>7</w:t>
      </w:r>
      <w:r w:rsidR="00365679">
        <w:rPr>
          <w:rFonts w:ascii="Times New Roman" w:hAnsi="Times New Roman" w:cs="Times New Roman"/>
          <w:color w:val="auto"/>
          <w:sz w:val="30"/>
          <w:szCs w:val="30"/>
          <w:lang w:val="es-ES"/>
        </w:rPr>
        <w:t>.7</w:t>
      </w:r>
      <w:r>
        <w:rPr>
          <w:rFonts w:ascii="Times New Roman" w:hAnsi="Times New Roman" w:cs="Times New Roman"/>
          <w:color w:val="auto"/>
          <w:sz w:val="30"/>
          <w:szCs w:val="30"/>
          <w:lang w:val="es-ES"/>
        </w:rPr>
        <w:t xml:space="preserve"> </w:t>
      </w:r>
      <w:r w:rsidR="00B40925" w:rsidRPr="00C30002">
        <w:rPr>
          <w:rFonts w:ascii="Times New Roman" w:hAnsi="Times New Roman" w:cs="Times New Roman"/>
          <w:color w:val="auto"/>
          <w:sz w:val="30"/>
          <w:szCs w:val="30"/>
        </w:rPr>
        <w:t>Instituto Colombiano de Bienestar Familiar Regional Quindío -ICBF</w:t>
      </w:r>
      <w:bookmarkEnd w:id="70"/>
    </w:p>
    <w:p w:rsidR="00C30002" w:rsidRDefault="00C30002" w:rsidP="00B40925">
      <w:pPr>
        <w:spacing w:line="360" w:lineRule="auto"/>
        <w:jc w:val="both"/>
        <w:rPr>
          <w:noProof/>
        </w:rPr>
      </w:pPr>
    </w:p>
    <w:p w:rsidR="00B40925" w:rsidRDefault="00B40925" w:rsidP="00C30002">
      <w:pPr>
        <w:spacing w:line="360" w:lineRule="auto"/>
        <w:ind w:firstLine="284"/>
        <w:jc w:val="both"/>
        <w:rPr>
          <w:noProof/>
        </w:rPr>
      </w:pPr>
      <w:r>
        <w:rPr>
          <w:noProof/>
        </w:rPr>
        <w:t>La ejecución presupuestal del Instituto Colombiano de Bienestar Familiar correspondiente a la Regional Quindío no presenta pressupuesto de ingresos, toda vez que el recaudo es de orden nacional y asign</w:t>
      </w:r>
      <w:r w:rsidR="000135E2">
        <w:rPr>
          <w:noProof/>
        </w:rPr>
        <w:t>an partidas desde la Dirección</w:t>
      </w:r>
      <w:r>
        <w:rPr>
          <w:noProof/>
        </w:rPr>
        <w:t xml:space="preserve"> General, para ser ejecutadas en la regional.</w:t>
      </w:r>
    </w:p>
    <w:p w:rsidR="00B40925" w:rsidRDefault="00B40925" w:rsidP="00C30002">
      <w:pPr>
        <w:spacing w:line="360" w:lineRule="auto"/>
        <w:ind w:firstLine="284"/>
        <w:jc w:val="both"/>
        <w:rPr>
          <w:noProof/>
        </w:rPr>
      </w:pPr>
      <w:r>
        <w:rPr>
          <w:noProof/>
        </w:rPr>
        <w:t>La ejecución de egresos 2013 fue de $49.175 millones, el 21,9% mayor a la presentada en el 2012, donde los gastos de funcionamiento fueron el 8% y los correspondientes a inversión pública fueron el 92%.</w:t>
      </w:r>
    </w:p>
    <w:p w:rsidR="00B40925" w:rsidRDefault="00B40925" w:rsidP="00B40925">
      <w:pPr>
        <w:spacing w:line="360" w:lineRule="auto"/>
        <w:rPr>
          <w:noProof/>
        </w:rPr>
      </w:pPr>
    </w:p>
    <w:p w:rsidR="00C30002" w:rsidRPr="00C30002" w:rsidRDefault="00783A66" w:rsidP="00C30002">
      <w:r>
        <w:t>Tabla</w:t>
      </w:r>
      <w:r w:rsidR="00C30002">
        <w:t xml:space="preserve"> 7.5</w:t>
      </w:r>
    </w:p>
    <w:p w:rsidR="00C30002" w:rsidRPr="00C30002" w:rsidRDefault="00C30002" w:rsidP="00C30002">
      <w:r w:rsidRPr="00C30002">
        <w:t>Inversión Pública  ICBF Regional Quindío</w:t>
      </w:r>
    </w:p>
    <w:p w:rsidR="00C30002" w:rsidRDefault="00C30002" w:rsidP="00C30002">
      <w:r w:rsidRPr="00C30002">
        <w:t>2012-2013</w:t>
      </w:r>
    </w:p>
    <w:p w:rsidR="00C30002" w:rsidRPr="00C30002" w:rsidRDefault="00C30002" w:rsidP="00C30002"/>
    <w:tbl>
      <w:tblPr>
        <w:tblW w:w="8300" w:type="dxa"/>
        <w:tblInd w:w="55" w:type="dxa"/>
        <w:tblBorders>
          <w:top w:val="single" w:sz="4" w:space="0" w:color="auto"/>
        </w:tblBorders>
        <w:tblCellMar>
          <w:left w:w="70" w:type="dxa"/>
          <w:right w:w="70" w:type="dxa"/>
        </w:tblCellMar>
        <w:tblLook w:val="04A0" w:firstRow="1" w:lastRow="0" w:firstColumn="1" w:lastColumn="0" w:noHBand="0" w:noVBand="1"/>
      </w:tblPr>
      <w:tblGrid>
        <w:gridCol w:w="2500"/>
        <w:gridCol w:w="2020"/>
        <w:gridCol w:w="2020"/>
        <w:gridCol w:w="1760"/>
      </w:tblGrid>
      <w:tr w:rsidR="00C30002" w:rsidRPr="00C30002" w:rsidTr="00C30002">
        <w:trPr>
          <w:trHeight w:val="315"/>
        </w:trPr>
        <w:tc>
          <w:tcPr>
            <w:tcW w:w="8300" w:type="dxa"/>
            <w:gridSpan w:val="4"/>
            <w:tcBorders>
              <w:bottom w:val="nil"/>
            </w:tcBorders>
            <w:shd w:val="clear" w:color="auto" w:fill="auto"/>
            <w:vAlign w:val="center"/>
            <w:hideMark/>
          </w:tcPr>
          <w:p w:rsidR="00C30002" w:rsidRPr="00C30002" w:rsidRDefault="00C30002" w:rsidP="00C30002">
            <w:pPr>
              <w:spacing w:line="360" w:lineRule="auto"/>
              <w:jc w:val="right"/>
              <w:rPr>
                <w:color w:val="000000"/>
                <w:sz w:val="20"/>
                <w:szCs w:val="20"/>
              </w:rPr>
            </w:pPr>
            <w:r w:rsidRPr="00C30002">
              <w:rPr>
                <w:color w:val="000000"/>
                <w:sz w:val="20"/>
                <w:szCs w:val="20"/>
              </w:rPr>
              <w:t>Miles de Pesos</w:t>
            </w:r>
          </w:p>
        </w:tc>
      </w:tr>
      <w:tr w:rsidR="00C30002" w:rsidRPr="00C30002" w:rsidTr="00C30002">
        <w:trPr>
          <w:trHeight w:val="585"/>
        </w:trPr>
        <w:tc>
          <w:tcPr>
            <w:tcW w:w="2500" w:type="dxa"/>
            <w:tcBorders>
              <w:top w:val="nil"/>
              <w:bottom w:val="single" w:sz="4" w:space="0" w:color="auto"/>
            </w:tcBorders>
            <w:shd w:val="clear" w:color="auto" w:fill="auto"/>
            <w:vAlign w:val="center"/>
            <w:hideMark/>
          </w:tcPr>
          <w:p w:rsidR="00C30002" w:rsidRPr="00C30002" w:rsidRDefault="00C30002" w:rsidP="000A5EE0">
            <w:pPr>
              <w:spacing w:line="360" w:lineRule="auto"/>
              <w:jc w:val="center"/>
              <w:rPr>
                <w:b/>
                <w:bCs/>
                <w:color w:val="000000"/>
                <w:sz w:val="20"/>
                <w:szCs w:val="20"/>
              </w:rPr>
            </w:pPr>
            <w:r w:rsidRPr="00C30002">
              <w:rPr>
                <w:b/>
                <w:bCs/>
                <w:color w:val="000000"/>
                <w:sz w:val="20"/>
                <w:szCs w:val="20"/>
              </w:rPr>
              <w:t>TIPO DE INVERSIÓN</w:t>
            </w:r>
          </w:p>
        </w:tc>
        <w:tc>
          <w:tcPr>
            <w:tcW w:w="2020" w:type="dxa"/>
            <w:tcBorders>
              <w:top w:val="nil"/>
              <w:bottom w:val="single" w:sz="4" w:space="0" w:color="auto"/>
            </w:tcBorders>
            <w:shd w:val="clear" w:color="auto" w:fill="auto"/>
            <w:vAlign w:val="center"/>
            <w:hideMark/>
          </w:tcPr>
          <w:p w:rsidR="00C30002" w:rsidRPr="00C30002" w:rsidRDefault="00C30002" w:rsidP="000A5EE0">
            <w:pPr>
              <w:spacing w:line="360" w:lineRule="auto"/>
              <w:jc w:val="center"/>
              <w:rPr>
                <w:b/>
                <w:bCs/>
                <w:color w:val="000000"/>
                <w:sz w:val="20"/>
                <w:szCs w:val="20"/>
              </w:rPr>
            </w:pPr>
            <w:r w:rsidRPr="00C30002">
              <w:rPr>
                <w:b/>
                <w:bCs/>
                <w:color w:val="000000"/>
                <w:sz w:val="20"/>
                <w:szCs w:val="20"/>
              </w:rPr>
              <w:t>EJECUTADO 2012</w:t>
            </w:r>
          </w:p>
        </w:tc>
        <w:tc>
          <w:tcPr>
            <w:tcW w:w="2020" w:type="dxa"/>
            <w:tcBorders>
              <w:top w:val="nil"/>
              <w:bottom w:val="single" w:sz="4" w:space="0" w:color="auto"/>
            </w:tcBorders>
            <w:shd w:val="clear" w:color="auto" w:fill="auto"/>
            <w:vAlign w:val="center"/>
            <w:hideMark/>
          </w:tcPr>
          <w:p w:rsidR="00C30002" w:rsidRPr="00C30002" w:rsidRDefault="00C30002" w:rsidP="000A5EE0">
            <w:pPr>
              <w:spacing w:line="360" w:lineRule="auto"/>
              <w:jc w:val="center"/>
              <w:rPr>
                <w:b/>
                <w:bCs/>
                <w:color w:val="000000"/>
                <w:sz w:val="20"/>
                <w:szCs w:val="20"/>
              </w:rPr>
            </w:pPr>
            <w:r w:rsidRPr="00C30002">
              <w:rPr>
                <w:b/>
                <w:bCs/>
                <w:color w:val="000000"/>
                <w:sz w:val="20"/>
                <w:szCs w:val="20"/>
              </w:rPr>
              <w:t>EJECUTADO 2013</w:t>
            </w:r>
          </w:p>
        </w:tc>
        <w:tc>
          <w:tcPr>
            <w:tcW w:w="1760" w:type="dxa"/>
            <w:tcBorders>
              <w:top w:val="nil"/>
              <w:bottom w:val="single" w:sz="4" w:space="0" w:color="auto"/>
            </w:tcBorders>
            <w:shd w:val="clear" w:color="auto" w:fill="auto"/>
            <w:vAlign w:val="center"/>
            <w:hideMark/>
          </w:tcPr>
          <w:p w:rsidR="00C30002" w:rsidRPr="00C30002" w:rsidRDefault="00C30002" w:rsidP="000A5EE0">
            <w:pPr>
              <w:spacing w:line="360" w:lineRule="auto"/>
              <w:jc w:val="center"/>
              <w:rPr>
                <w:b/>
                <w:bCs/>
                <w:color w:val="000000"/>
                <w:sz w:val="20"/>
                <w:szCs w:val="20"/>
              </w:rPr>
            </w:pPr>
            <w:r w:rsidRPr="00C30002">
              <w:rPr>
                <w:b/>
                <w:bCs/>
                <w:color w:val="000000"/>
                <w:sz w:val="20"/>
                <w:szCs w:val="20"/>
              </w:rPr>
              <w:t>VARIACIÓN %</w:t>
            </w:r>
          </w:p>
        </w:tc>
      </w:tr>
      <w:tr w:rsidR="00C30002" w:rsidRPr="00C30002" w:rsidTr="00C30002">
        <w:trPr>
          <w:trHeight w:val="330"/>
        </w:trPr>
        <w:tc>
          <w:tcPr>
            <w:tcW w:w="2500" w:type="dxa"/>
            <w:tcBorders>
              <w:top w:val="single" w:sz="4" w:space="0" w:color="auto"/>
            </w:tcBorders>
            <w:shd w:val="clear" w:color="auto" w:fill="auto"/>
            <w:vAlign w:val="center"/>
            <w:hideMark/>
          </w:tcPr>
          <w:p w:rsidR="00C30002" w:rsidRPr="00C30002" w:rsidRDefault="00C30002" w:rsidP="000A5EE0">
            <w:pPr>
              <w:spacing w:line="360" w:lineRule="auto"/>
              <w:rPr>
                <w:color w:val="000000"/>
                <w:sz w:val="20"/>
                <w:szCs w:val="20"/>
              </w:rPr>
            </w:pPr>
            <w:r w:rsidRPr="00C30002">
              <w:rPr>
                <w:color w:val="000000"/>
                <w:sz w:val="20"/>
                <w:szCs w:val="20"/>
              </w:rPr>
              <w:t>Funcionamiento</w:t>
            </w:r>
          </w:p>
        </w:tc>
        <w:tc>
          <w:tcPr>
            <w:tcW w:w="2020" w:type="dxa"/>
            <w:tcBorders>
              <w:top w:val="single" w:sz="4" w:space="0" w:color="auto"/>
            </w:tcBorders>
            <w:shd w:val="clear" w:color="auto" w:fill="auto"/>
            <w:vAlign w:val="center"/>
            <w:hideMark/>
          </w:tcPr>
          <w:p w:rsidR="00C30002" w:rsidRPr="00C30002" w:rsidRDefault="00C30002" w:rsidP="000A5EE0">
            <w:pPr>
              <w:spacing w:line="360" w:lineRule="auto"/>
              <w:jc w:val="right"/>
              <w:rPr>
                <w:color w:val="000000"/>
                <w:sz w:val="20"/>
                <w:szCs w:val="20"/>
              </w:rPr>
            </w:pPr>
            <w:r w:rsidRPr="00C30002">
              <w:rPr>
                <w:color w:val="000000"/>
                <w:sz w:val="20"/>
                <w:szCs w:val="20"/>
              </w:rPr>
              <w:t>3.534.909</w:t>
            </w:r>
          </w:p>
        </w:tc>
        <w:tc>
          <w:tcPr>
            <w:tcW w:w="2020" w:type="dxa"/>
            <w:tcBorders>
              <w:top w:val="single" w:sz="4" w:space="0" w:color="auto"/>
            </w:tcBorders>
            <w:shd w:val="clear" w:color="auto" w:fill="auto"/>
            <w:vAlign w:val="center"/>
            <w:hideMark/>
          </w:tcPr>
          <w:p w:rsidR="00C30002" w:rsidRPr="00C30002" w:rsidRDefault="00C30002" w:rsidP="000A5EE0">
            <w:pPr>
              <w:spacing w:line="360" w:lineRule="auto"/>
              <w:jc w:val="right"/>
              <w:rPr>
                <w:color w:val="000000"/>
                <w:sz w:val="20"/>
                <w:szCs w:val="20"/>
              </w:rPr>
            </w:pPr>
            <w:r w:rsidRPr="00C30002">
              <w:rPr>
                <w:color w:val="000000"/>
                <w:sz w:val="20"/>
                <w:szCs w:val="20"/>
              </w:rPr>
              <w:t>4.005.251</w:t>
            </w:r>
          </w:p>
        </w:tc>
        <w:tc>
          <w:tcPr>
            <w:tcW w:w="1760" w:type="dxa"/>
            <w:tcBorders>
              <w:top w:val="single" w:sz="4" w:space="0" w:color="auto"/>
            </w:tcBorders>
            <w:shd w:val="clear" w:color="auto" w:fill="auto"/>
            <w:vAlign w:val="center"/>
            <w:hideMark/>
          </w:tcPr>
          <w:p w:rsidR="00C30002" w:rsidRPr="00C30002" w:rsidRDefault="00C30002" w:rsidP="000A5EE0">
            <w:pPr>
              <w:spacing w:line="360" w:lineRule="auto"/>
              <w:jc w:val="center"/>
              <w:rPr>
                <w:sz w:val="20"/>
                <w:szCs w:val="20"/>
              </w:rPr>
            </w:pPr>
            <w:r w:rsidRPr="00C30002">
              <w:rPr>
                <w:sz w:val="20"/>
                <w:szCs w:val="20"/>
              </w:rPr>
              <w:t>13,3</w:t>
            </w:r>
          </w:p>
        </w:tc>
      </w:tr>
      <w:tr w:rsidR="00C30002" w:rsidRPr="00C30002" w:rsidTr="00C30002">
        <w:trPr>
          <w:trHeight w:val="330"/>
        </w:trPr>
        <w:tc>
          <w:tcPr>
            <w:tcW w:w="2500" w:type="dxa"/>
            <w:tcBorders>
              <w:bottom w:val="nil"/>
            </w:tcBorders>
            <w:shd w:val="clear" w:color="auto" w:fill="auto"/>
            <w:vAlign w:val="center"/>
            <w:hideMark/>
          </w:tcPr>
          <w:p w:rsidR="00C30002" w:rsidRPr="00C30002" w:rsidRDefault="00C30002" w:rsidP="000A5EE0">
            <w:pPr>
              <w:spacing w:line="360" w:lineRule="auto"/>
              <w:rPr>
                <w:color w:val="000000"/>
                <w:sz w:val="20"/>
                <w:szCs w:val="20"/>
              </w:rPr>
            </w:pPr>
            <w:r w:rsidRPr="00C30002">
              <w:rPr>
                <w:color w:val="000000"/>
                <w:sz w:val="20"/>
                <w:szCs w:val="20"/>
              </w:rPr>
              <w:t>Inversión</w:t>
            </w:r>
          </w:p>
        </w:tc>
        <w:tc>
          <w:tcPr>
            <w:tcW w:w="2020" w:type="dxa"/>
            <w:tcBorders>
              <w:bottom w:val="nil"/>
            </w:tcBorders>
            <w:shd w:val="clear" w:color="auto" w:fill="auto"/>
            <w:vAlign w:val="center"/>
            <w:hideMark/>
          </w:tcPr>
          <w:p w:rsidR="00C30002" w:rsidRPr="00C30002" w:rsidRDefault="00C30002" w:rsidP="000A5EE0">
            <w:pPr>
              <w:spacing w:line="360" w:lineRule="auto"/>
              <w:jc w:val="right"/>
              <w:rPr>
                <w:color w:val="000000"/>
                <w:sz w:val="20"/>
                <w:szCs w:val="20"/>
              </w:rPr>
            </w:pPr>
            <w:r w:rsidRPr="00C30002">
              <w:rPr>
                <w:color w:val="000000"/>
                <w:sz w:val="20"/>
                <w:szCs w:val="20"/>
              </w:rPr>
              <w:t>36.812.254</w:t>
            </w:r>
          </w:p>
        </w:tc>
        <w:tc>
          <w:tcPr>
            <w:tcW w:w="2020" w:type="dxa"/>
            <w:tcBorders>
              <w:bottom w:val="nil"/>
            </w:tcBorders>
            <w:shd w:val="clear" w:color="auto" w:fill="auto"/>
            <w:vAlign w:val="center"/>
            <w:hideMark/>
          </w:tcPr>
          <w:p w:rsidR="00C30002" w:rsidRPr="00C30002" w:rsidRDefault="00C30002" w:rsidP="000A5EE0">
            <w:pPr>
              <w:spacing w:line="360" w:lineRule="auto"/>
              <w:jc w:val="right"/>
              <w:rPr>
                <w:color w:val="000000"/>
                <w:sz w:val="20"/>
                <w:szCs w:val="20"/>
              </w:rPr>
            </w:pPr>
            <w:r w:rsidRPr="00C30002">
              <w:rPr>
                <w:color w:val="000000"/>
                <w:sz w:val="20"/>
                <w:szCs w:val="20"/>
              </w:rPr>
              <w:t>45.170.114</w:t>
            </w:r>
          </w:p>
        </w:tc>
        <w:tc>
          <w:tcPr>
            <w:tcW w:w="1760" w:type="dxa"/>
            <w:tcBorders>
              <w:bottom w:val="nil"/>
            </w:tcBorders>
            <w:shd w:val="clear" w:color="auto" w:fill="auto"/>
            <w:vAlign w:val="center"/>
            <w:hideMark/>
          </w:tcPr>
          <w:p w:rsidR="00C30002" w:rsidRPr="00C30002" w:rsidRDefault="00C30002" w:rsidP="000A5EE0">
            <w:pPr>
              <w:spacing w:line="360" w:lineRule="auto"/>
              <w:jc w:val="center"/>
              <w:rPr>
                <w:sz w:val="20"/>
                <w:szCs w:val="20"/>
              </w:rPr>
            </w:pPr>
            <w:r w:rsidRPr="00C30002">
              <w:rPr>
                <w:sz w:val="20"/>
                <w:szCs w:val="20"/>
              </w:rPr>
              <w:t>22,7</w:t>
            </w:r>
          </w:p>
        </w:tc>
      </w:tr>
      <w:tr w:rsidR="00C30002" w:rsidRPr="00C30002" w:rsidTr="00C30002">
        <w:trPr>
          <w:trHeight w:val="330"/>
        </w:trPr>
        <w:tc>
          <w:tcPr>
            <w:tcW w:w="2500" w:type="dxa"/>
            <w:tcBorders>
              <w:top w:val="nil"/>
              <w:bottom w:val="single" w:sz="4" w:space="0" w:color="auto"/>
            </w:tcBorders>
            <w:shd w:val="clear" w:color="auto" w:fill="auto"/>
            <w:vAlign w:val="center"/>
            <w:hideMark/>
          </w:tcPr>
          <w:p w:rsidR="00C30002" w:rsidRPr="00C30002" w:rsidRDefault="00C30002" w:rsidP="000A5EE0">
            <w:pPr>
              <w:spacing w:line="360" w:lineRule="auto"/>
              <w:rPr>
                <w:b/>
                <w:bCs/>
                <w:color w:val="000000"/>
                <w:sz w:val="20"/>
                <w:szCs w:val="20"/>
              </w:rPr>
            </w:pPr>
            <w:r w:rsidRPr="00C30002">
              <w:rPr>
                <w:b/>
                <w:bCs/>
                <w:color w:val="000000"/>
                <w:sz w:val="20"/>
                <w:szCs w:val="20"/>
              </w:rPr>
              <w:t>TOTAL</w:t>
            </w:r>
          </w:p>
        </w:tc>
        <w:tc>
          <w:tcPr>
            <w:tcW w:w="2020" w:type="dxa"/>
            <w:tcBorders>
              <w:top w:val="nil"/>
              <w:bottom w:val="single" w:sz="4" w:space="0" w:color="auto"/>
            </w:tcBorders>
            <w:shd w:val="clear" w:color="auto" w:fill="auto"/>
            <w:vAlign w:val="center"/>
            <w:hideMark/>
          </w:tcPr>
          <w:p w:rsidR="00C30002" w:rsidRPr="00C30002" w:rsidRDefault="00C30002" w:rsidP="000A5EE0">
            <w:pPr>
              <w:spacing w:line="360" w:lineRule="auto"/>
              <w:jc w:val="right"/>
              <w:rPr>
                <w:b/>
                <w:bCs/>
                <w:color w:val="000000"/>
                <w:sz w:val="20"/>
                <w:szCs w:val="20"/>
              </w:rPr>
            </w:pPr>
            <w:r w:rsidRPr="00C30002">
              <w:rPr>
                <w:b/>
                <w:bCs/>
                <w:color w:val="000000"/>
                <w:sz w:val="20"/>
                <w:szCs w:val="20"/>
              </w:rPr>
              <w:t>40.347.163</w:t>
            </w:r>
          </w:p>
        </w:tc>
        <w:tc>
          <w:tcPr>
            <w:tcW w:w="2020" w:type="dxa"/>
            <w:tcBorders>
              <w:top w:val="nil"/>
              <w:bottom w:val="single" w:sz="4" w:space="0" w:color="auto"/>
            </w:tcBorders>
            <w:shd w:val="clear" w:color="auto" w:fill="auto"/>
            <w:vAlign w:val="center"/>
            <w:hideMark/>
          </w:tcPr>
          <w:p w:rsidR="00C30002" w:rsidRPr="00C30002" w:rsidRDefault="00C30002" w:rsidP="000A5EE0">
            <w:pPr>
              <w:spacing w:line="360" w:lineRule="auto"/>
              <w:jc w:val="right"/>
              <w:rPr>
                <w:b/>
                <w:bCs/>
                <w:color w:val="000000"/>
                <w:sz w:val="20"/>
                <w:szCs w:val="20"/>
              </w:rPr>
            </w:pPr>
            <w:r w:rsidRPr="00C30002">
              <w:rPr>
                <w:b/>
                <w:bCs/>
                <w:color w:val="000000"/>
                <w:sz w:val="20"/>
                <w:szCs w:val="20"/>
              </w:rPr>
              <w:t>49.175.365</w:t>
            </w:r>
          </w:p>
        </w:tc>
        <w:tc>
          <w:tcPr>
            <w:tcW w:w="1760" w:type="dxa"/>
            <w:tcBorders>
              <w:top w:val="nil"/>
              <w:bottom w:val="single" w:sz="4" w:space="0" w:color="auto"/>
            </w:tcBorders>
            <w:shd w:val="clear" w:color="auto" w:fill="auto"/>
            <w:vAlign w:val="center"/>
            <w:hideMark/>
          </w:tcPr>
          <w:p w:rsidR="00C30002" w:rsidRPr="00C30002" w:rsidRDefault="00C30002" w:rsidP="000A5EE0">
            <w:pPr>
              <w:spacing w:line="360" w:lineRule="auto"/>
              <w:jc w:val="center"/>
              <w:rPr>
                <w:b/>
                <w:bCs/>
                <w:sz w:val="20"/>
                <w:szCs w:val="20"/>
              </w:rPr>
            </w:pPr>
            <w:r w:rsidRPr="00C30002">
              <w:rPr>
                <w:b/>
                <w:bCs/>
                <w:sz w:val="20"/>
                <w:szCs w:val="20"/>
              </w:rPr>
              <w:t>21,9</w:t>
            </w:r>
          </w:p>
        </w:tc>
      </w:tr>
    </w:tbl>
    <w:p w:rsidR="00B40925" w:rsidRPr="00C30002" w:rsidRDefault="00C30002" w:rsidP="00C30002">
      <w:pPr>
        <w:rPr>
          <w:iCs/>
          <w:color w:val="000000"/>
          <w:sz w:val="16"/>
          <w:szCs w:val="20"/>
        </w:rPr>
      </w:pPr>
      <w:r w:rsidRPr="00C30002">
        <w:rPr>
          <w:iCs/>
          <w:color w:val="000000"/>
          <w:sz w:val="16"/>
          <w:szCs w:val="20"/>
        </w:rPr>
        <w:t>Fuente: Instituto Colombiano de Bienestar Familiar</w:t>
      </w:r>
      <w:r w:rsidRPr="00C30002">
        <w:rPr>
          <w:iCs/>
          <w:color w:val="000000"/>
          <w:sz w:val="16"/>
          <w:szCs w:val="20"/>
        </w:rPr>
        <w:br/>
        <w:t>Los Ingresos ICBF son del orden nacional; La Regional es ejecutora</w:t>
      </w:r>
    </w:p>
    <w:p w:rsidR="00C30002" w:rsidRDefault="00C30002" w:rsidP="00B40925">
      <w:pPr>
        <w:spacing w:line="360" w:lineRule="auto"/>
        <w:rPr>
          <w:i/>
          <w:iCs/>
          <w:color w:val="000000"/>
          <w:sz w:val="20"/>
          <w:szCs w:val="20"/>
        </w:rPr>
      </w:pPr>
    </w:p>
    <w:p w:rsidR="00C30002" w:rsidRDefault="00C30002" w:rsidP="00B40925">
      <w:pPr>
        <w:spacing w:line="360" w:lineRule="auto"/>
        <w:rPr>
          <w:noProof/>
        </w:rPr>
      </w:pPr>
    </w:p>
    <w:p w:rsidR="00B40925" w:rsidRPr="00C30002" w:rsidRDefault="00365679" w:rsidP="00C30002">
      <w:pPr>
        <w:pStyle w:val="Ttulo2"/>
        <w:rPr>
          <w:rFonts w:ascii="Times New Roman" w:hAnsi="Times New Roman" w:cs="Times New Roman"/>
          <w:color w:val="auto"/>
          <w:sz w:val="30"/>
          <w:szCs w:val="30"/>
        </w:rPr>
      </w:pPr>
      <w:bookmarkStart w:id="71" w:name="_Toc406754327"/>
      <w:r>
        <w:rPr>
          <w:rFonts w:ascii="Times New Roman" w:hAnsi="Times New Roman" w:cs="Times New Roman"/>
          <w:color w:val="auto"/>
          <w:sz w:val="30"/>
          <w:szCs w:val="30"/>
        </w:rPr>
        <w:t>7.8</w:t>
      </w:r>
      <w:r w:rsidR="00C30002">
        <w:rPr>
          <w:rFonts w:ascii="Times New Roman" w:hAnsi="Times New Roman" w:cs="Times New Roman"/>
          <w:color w:val="auto"/>
          <w:sz w:val="30"/>
          <w:szCs w:val="30"/>
        </w:rPr>
        <w:t xml:space="preserve"> </w:t>
      </w:r>
      <w:r w:rsidR="00B40925" w:rsidRPr="00C30002">
        <w:rPr>
          <w:rFonts w:ascii="Times New Roman" w:hAnsi="Times New Roman" w:cs="Times New Roman"/>
          <w:color w:val="auto"/>
          <w:sz w:val="30"/>
          <w:szCs w:val="30"/>
        </w:rPr>
        <w:t>Empresas Públicas de Armenia</w:t>
      </w:r>
      <w:bookmarkEnd w:id="71"/>
    </w:p>
    <w:p w:rsidR="00B40925" w:rsidRDefault="00B40925" w:rsidP="00B40925">
      <w:pPr>
        <w:spacing w:line="360" w:lineRule="auto"/>
        <w:jc w:val="both"/>
        <w:rPr>
          <w:noProof/>
        </w:rPr>
      </w:pPr>
    </w:p>
    <w:p w:rsidR="00B40925" w:rsidRDefault="00B40925" w:rsidP="00C30002">
      <w:pPr>
        <w:spacing w:line="360" w:lineRule="auto"/>
        <w:ind w:firstLine="284"/>
        <w:jc w:val="both"/>
        <w:rPr>
          <w:noProof/>
        </w:rPr>
      </w:pPr>
      <w:r>
        <w:rPr>
          <w:noProof/>
        </w:rPr>
        <w:t>La ejecución presupuestal de ingresos 2013 ascendió a $48.119 millones, con</w:t>
      </w:r>
      <w:r w:rsidR="000135E2">
        <w:rPr>
          <w:noProof/>
        </w:rPr>
        <w:t xml:space="preserve"> </w:t>
      </w:r>
      <w:r>
        <w:rPr>
          <w:noProof/>
        </w:rPr>
        <w:t>un recaudo mayor en el 7,2% que la presen</w:t>
      </w:r>
      <w:r w:rsidR="000135E2">
        <w:rPr>
          <w:noProof/>
        </w:rPr>
        <w:t>t</w:t>
      </w:r>
      <w:r>
        <w:rPr>
          <w:noProof/>
        </w:rPr>
        <w:t>ada durante la vigencia 2012, presentan</w:t>
      </w:r>
      <w:r w:rsidR="00D40919">
        <w:rPr>
          <w:noProof/>
        </w:rPr>
        <w:t>do unas cuentas por cobrar de $</w:t>
      </w:r>
      <w:r>
        <w:rPr>
          <w:noProof/>
        </w:rPr>
        <w:t>374 millones. En la ejecución de egresos fue de $44.687 millones, equivalentes al 93% de los ingresos.</w:t>
      </w:r>
    </w:p>
    <w:p w:rsidR="00C30002" w:rsidRDefault="00C30002" w:rsidP="00C30002">
      <w:pPr>
        <w:spacing w:line="360" w:lineRule="auto"/>
        <w:ind w:firstLine="284"/>
        <w:jc w:val="both"/>
        <w:rPr>
          <w:noProof/>
        </w:rPr>
      </w:pPr>
    </w:p>
    <w:p w:rsidR="00B40925" w:rsidRDefault="00B40925" w:rsidP="00C30002">
      <w:pPr>
        <w:spacing w:line="360" w:lineRule="auto"/>
        <w:ind w:firstLine="284"/>
        <w:jc w:val="both"/>
        <w:rPr>
          <w:noProof/>
        </w:rPr>
      </w:pPr>
      <w:r>
        <w:rPr>
          <w:noProof/>
        </w:rPr>
        <w:t>El presupuesto 2013 de</w:t>
      </w:r>
      <w:r w:rsidRPr="00A42510">
        <w:rPr>
          <w:noProof/>
        </w:rPr>
        <w:t xml:space="preserve"> inversiones en</w:t>
      </w:r>
      <w:r>
        <w:rPr>
          <w:noProof/>
        </w:rPr>
        <w:t xml:space="preserve"> las </w:t>
      </w:r>
      <w:r w:rsidRPr="00A42510">
        <w:rPr>
          <w:noProof/>
        </w:rPr>
        <w:t xml:space="preserve">Empresas Públicas de Armenia </w:t>
      </w:r>
      <w:r w:rsidR="00546641">
        <w:rPr>
          <w:noProof/>
        </w:rPr>
        <w:t>ascendió</w:t>
      </w:r>
      <w:r w:rsidR="00D40919">
        <w:rPr>
          <w:noProof/>
        </w:rPr>
        <w:t xml:space="preserve"> a $16.499 millones, un</w:t>
      </w:r>
      <w:r w:rsidRPr="00A42510">
        <w:rPr>
          <w:noProof/>
        </w:rPr>
        <w:t xml:space="preserve"> 31,6% más que en </w:t>
      </w:r>
      <w:r w:rsidR="00D40919">
        <w:rPr>
          <w:noProof/>
        </w:rPr>
        <w:t>el 2012, donde la inversión en a</w:t>
      </w:r>
      <w:r w:rsidRPr="00A42510">
        <w:rPr>
          <w:noProof/>
        </w:rPr>
        <w:t xml:space="preserve">cueducto fue de </w:t>
      </w:r>
      <w:r w:rsidRPr="00A42510">
        <w:rPr>
          <w:noProof/>
        </w:rPr>
        <w:lastRenderedPageBreak/>
        <w:t>$5.616 millones, que presentó pérdidas p</w:t>
      </w:r>
      <w:r w:rsidR="00D40919">
        <w:rPr>
          <w:noProof/>
        </w:rPr>
        <w:t>or fugas por $1.116 millones, un</w:t>
      </w:r>
      <w:r w:rsidRPr="00A42510">
        <w:rPr>
          <w:noProof/>
        </w:rPr>
        <w:t xml:space="preserve"> 17,9% más que en el 2012. Las inversiones en alcantarillado fueron de $4.5</w:t>
      </w:r>
      <w:r w:rsidR="00D40919">
        <w:rPr>
          <w:noProof/>
        </w:rPr>
        <w:t>08 millones, un</w:t>
      </w:r>
      <w:r w:rsidRPr="00A42510">
        <w:rPr>
          <w:noProof/>
        </w:rPr>
        <w:t xml:space="preserve"> 17,7% menos que en el 2012. En aseo fueron 492 millones, superando a las hechas en el 2012</w:t>
      </w:r>
      <w:r>
        <w:rPr>
          <w:noProof/>
        </w:rPr>
        <w:t>. Realizó otras inversiones por $5.114 millones en el 2013.</w:t>
      </w:r>
    </w:p>
    <w:p w:rsidR="00C30002" w:rsidRDefault="00C30002" w:rsidP="00B40925">
      <w:pPr>
        <w:spacing w:line="360" w:lineRule="auto"/>
        <w:jc w:val="center"/>
      </w:pPr>
    </w:p>
    <w:p w:rsidR="00C30002" w:rsidRDefault="00C30002" w:rsidP="00B40925">
      <w:pPr>
        <w:spacing w:line="360" w:lineRule="auto"/>
        <w:jc w:val="center"/>
      </w:pPr>
    </w:p>
    <w:p w:rsidR="00B40925" w:rsidRPr="00D40919" w:rsidRDefault="00365679" w:rsidP="00D40919">
      <w:pPr>
        <w:pStyle w:val="Ttulo2"/>
        <w:jc w:val="both"/>
        <w:rPr>
          <w:rFonts w:ascii="Times New Roman" w:hAnsi="Times New Roman" w:cs="Times New Roman"/>
          <w:color w:val="auto"/>
          <w:sz w:val="30"/>
          <w:szCs w:val="30"/>
        </w:rPr>
      </w:pPr>
      <w:bookmarkStart w:id="72" w:name="_Toc406754328"/>
      <w:r>
        <w:rPr>
          <w:rFonts w:ascii="Times New Roman" w:hAnsi="Times New Roman" w:cs="Times New Roman"/>
          <w:color w:val="auto"/>
          <w:sz w:val="30"/>
          <w:szCs w:val="30"/>
        </w:rPr>
        <w:t>7.9</w:t>
      </w:r>
      <w:r w:rsidR="00D40919">
        <w:rPr>
          <w:rFonts w:ascii="Times New Roman" w:hAnsi="Times New Roman" w:cs="Times New Roman"/>
          <w:color w:val="auto"/>
          <w:sz w:val="30"/>
          <w:szCs w:val="30"/>
        </w:rPr>
        <w:t xml:space="preserve"> </w:t>
      </w:r>
      <w:r w:rsidR="00B40925" w:rsidRPr="00D40919">
        <w:rPr>
          <w:rFonts w:ascii="Times New Roman" w:hAnsi="Times New Roman" w:cs="Times New Roman"/>
          <w:color w:val="auto"/>
          <w:sz w:val="30"/>
          <w:szCs w:val="30"/>
        </w:rPr>
        <w:t>Institu</w:t>
      </w:r>
      <w:r w:rsidR="00CC768B">
        <w:rPr>
          <w:rFonts w:ascii="Times New Roman" w:hAnsi="Times New Roman" w:cs="Times New Roman"/>
          <w:color w:val="auto"/>
          <w:sz w:val="30"/>
          <w:szCs w:val="30"/>
        </w:rPr>
        <w:t>to Departamental del Deporte y R</w:t>
      </w:r>
      <w:r w:rsidR="00B40925" w:rsidRPr="00D40919">
        <w:rPr>
          <w:rFonts w:ascii="Times New Roman" w:hAnsi="Times New Roman" w:cs="Times New Roman"/>
          <w:color w:val="auto"/>
          <w:sz w:val="30"/>
          <w:szCs w:val="30"/>
        </w:rPr>
        <w:t>ecreación del Quindío</w:t>
      </w:r>
      <w:bookmarkEnd w:id="72"/>
    </w:p>
    <w:p w:rsidR="00D40919" w:rsidRDefault="00D40919" w:rsidP="00B40925">
      <w:pPr>
        <w:spacing w:line="360" w:lineRule="auto"/>
        <w:jc w:val="center"/>
      </w:pPr>
    </w:p>
    <w:p w:rsidR="00B07A7D" w:rsidRDefault="00B07A7D" w:rsidP="00B07A7D">
      <w:pPr>
        <w:spacing w:line="360" w:lineRule="auto"/>
        <w:ind w:firstLine="284"/>
        <w:jc w:val="both"/>
      </w:pPr>
      <w:r>
        <w:t>El Instituto Departamental del Deporte y la recreación del departamento del Quindío presentó un buen crecimiento en el año 2013 del 12,4% en la ejecución de sus ingresos, frente a los ejecutados en la vigencia 2012, margen superior al crecimiento presentado en la ejecución de sus egresos que fue del 10%, mostrando mayor eficiencia en el recaudo que en el gasto, a pesar de presentar un crecimiento del 23,5% en los gastos de personal, pero disminuyó en la ejecución de los gastos personales frene a lo presentado en el 2012.</w:t>
      </w:r>
    </w:p>
    <w:p w:rsidR="00B40925" w:rsidRDefault="00B40925" w:rsidP="00B40925">
      <w:pPr>
        <w:spacing w:line="360" w:lineRule="auto"/>
      </w:pPr>
    </w:p>
    <w:p w:rsidR="00467DC8" w:rsidRPr="00847920" w:rsidRDefault="00467DC8" w:rsidP="00467DC8">
      <w:r>
        <w:t>Gráfico 7.3</w:t>
      </w:r>
    </w:p>
    <w:p w:rsidR="00467DC8" w:rsidRDefault="00467DC8" w:rsidP="00467DC8">
      <w:r w:rsidRPr="00847920">
        <w:t xml:space="preserve">Ejecución Presupuestal  </w:t>
      </w:r>
      <w:proofErr w:type="spellStart"/>
      <w:r>
        <w:t>Indeportes</w:t>
      </w:r>
      <w:proofErr w:type="spellEnd"/>
      <w:r w:rsidRPr="00847920">
        <w:t xml:space="preserve"> </w:t>
      </w:r>
    </w:p>
    <w:p w:rsidR="00467DC8" w:rsidRDefault="00467DC8" w:rsidP="00467DC8">
      <w:r w:rsidRPr="00847920">
        <w:t>2012-2013</w:t>
      </w:r>
    </w:p>
    <w:p w:rsidR="000A2112" w:rsidRDefault="000A2112" w:rsidP="00B40925">
      <w:pPr>
        <w:spacing w:line="360" w:lineRule="auto"/>
      </w:pPr>
    </w:p>
    <w:p w:rsidR="000A2112" w:rsidRDefault="00B07A7D" w:rsidP="00467DC8">
      <w:pPr>
        <w:spacing w:line="360" w:lineRule="auto"/>
      </w:pPr>
      <w:r>
        <w:rPr>
          <w:noProof/>
        </w:rPr>
        <w:drawing>
          <wp:inline distT="0" distB="0" distL="0" distR="0" wp14:anchorId="2B3F8E52" wp14:editId="4043B176">
            <wp:extent cx="4572000" cy="2743200"/>
            <wp:effectExtent l="0" t="0" r="19050" b="1905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A2112" w:rsidRPr="00467DC8" w:rsidRDefault="00467DC8" w:rsidP="00B40925">
      <w:pPr>
        <w:spacing w:line="360" w:lineRule="auto"/>
        <w:rPr>
          <w:sz w:val="16"/>
        </w:rPr>
      </w:pPr>
      <w:r w:rsidRPr="00467DC8">
        <w:rPr>
          <w:sz w:val="16"/>
        </w:rPr>
        <w:t xml:space="preserve">Fuente: </w:t>
      </w:r>
      <w:proofErr w:type="spellStart"/>
      <w:r w:rsidRPr="00467DC8">
        <w:rPr>
          <w:sz w:val="16"/>
        </w:rPr>
        <w:t>Indeportes</w:t>
      </w:r>
      <w:proofErr w:type="spellEnd"/>
      <w:r w:rsidRPr="00467DC8">
        <w:rPr>
          <w:sz w:val="16"/>
        </w:rPr>
        <w:t xml:space="preserve"> - Quindío</w:t>
      </w:r>
    </w:p>
    <w:p w:rsidR="000A2112" w:rsidRDefault="00012BC5" w:rsidP="00B40925">
      <w:pPr>
        <w:spacing w:line="360" w:lineRule="auto"/>
      </w:pPr>
      <w:r>
        <w:rPr>
          <w:noProof/>
        </w:rPr>
        <w:lastRenderedPageBreak/>
        <w:drawing>
          <wp:anchor distT="0" distB="0" distL="114300" distR="114300" simplePos="0" relativeHeight="251707392" behindDoc="0" locked="0" layoutInCell="1" allowOverlap="0" wp14:anchorId="1B194004" wp14:editId="32B98763">
            <wp:simplePos x="0" y="0"/>
            <wp:positionH relativeFrom="page">
              <wp:posOffset>57150</wp:posOffset>
            </wp:positionH>
            <wp:positionV relativeFrom="page">
              <wp:posOffset>19050</wp:posOffset>
            </wp:positionV>
            <wp:extent cx="7720330" cy="10030460"/>
            <wp:effectExtent l="0" t="0" r="0" b="8890"/>
            <wp:wrapNone/>
            <wp:docPr id="100" name="Picture 4149"/>
            <wp:cNvGraphicFramePr/>
            <a:graphic xmlns:a="http://schemas.openxmlformats.org/drawingml/2006/main">
              <a:graphicData uri="http://schemas.openxmlformats.org/drawingml/2006/picture">
                <pic:pic xmlns:pic="http://schemas.openxmlformats.org/drawingml/2006/picture">
                  <pic:nvPicPr>
                    <pic:cNvPr id="4149" name="Picture 4149"/>
                    <pic:cNvPicPr/>
                  </pic:nvPicPr>
                  <pic:blipFill>
                    <a:blip r:embed="rId93"/>
                    <a:stretch>
                      <a:fillRect/>
                    </a:stretch>
                  </pic:blipFill>
                  <pic:spPr>
                    <a:xfrm>
                      <a:off x="0" y="0"/>
                      <a:ext cx="7720330" cy="10030460"/>
                    </a:xfrm>
                    <a:prstGeom prst="rect">
                      <a:avLst/>
                    </a:prstGeom>
                  </pic:spPr>
                </pic:pic>
              </a:graphicData>
            </a:graphic>
          </wp:anchor>
        </w:drawing>
      </w:r>
    </w:p>
    <w:p w:rsidR="000A2112" w:rsidRDefault="000A2112" w:rsidP="00B40925">
      <w:pPr>
        <w:spacing w:line="360" w:lineRule="auto"/>
      </w:pPr>
    </w:p>
    <w:p w:rsidR="000A2112" w:rsidRDefault="000A2112" w:rsidP="00B40925">
      <w:pPr>
        <w:spacing w:line="360" w:lineRule="auto"/>
      </w:pPr>
    </w:p>
    <w:p w:rsidR="000A2112" w:rsidRDefault="000A2112" w:rsidP="00B40925">
      <w:pPr>
        <w:spacing w:line="360" w:lineRule="auto"/>
      </w:pPr>
    </w:p>
    <w:p w:rsidR="000A2112" w:rsidRDefault="000A2112" w:rsidP="00B40925">
      <w:pPr>
        <w:spacing w:line="360" w:lineRule="auto"/>
      </w:pPr>
    </w:p>
    <w:p w:rsidR="000A2112" w:rsidRDefault="000A2112" w:rsidP="00B40925">
      <w:pPr>
        <w:spacing w:line="360" w:lineRule="auto"/>
      </w:pPr>
    </w:p>
    <w:p w:rsidR="000A2112" w:rsidRDefault="000A2112" w:rsidP="00B40925">
      <w:pPr>
        <w:spacing w:line="360" w:lineRule="auto"/>
      </w:pPr>
    </w:p>
    <w:p w:rsidR="000A2112" w:rsidRDefault="000A2112" w:rsidP="00B40925">
      <w:pPr>
        <w:spacing w:line="360" w:lineRule="auto"/>
      </w:pPr>
    </w:p>
    <w:p w:rsidR="000A2112" w:rsidRDefault="000A2112" w:rsidP="00B40925">
      <w:pPr>
        <w:spacing w:line="360" w:lineRule="auto"/>
      </w:pPr>
    </w:p>
    <w:p w:rsidR="000A2112" w:rsidRDefault="000A2112" w:rsidP="00B40925">
      <w:pPr>
        <w:spacing w:line="360" w:lineRule="auto"/>
      </w:pPr>
    </w:p>
    <w:p w:rsidR="00311B65" w:rsidRDefault="00311B65" w:rsidP="00B40925">
      <w:pPr>
        <w:spacing w:line="360" w:lineRule="auto"/>
      </w:pPr>
    </w:p>
    <w:p w:rsidR="006C7AA9" w:rsidRDefault="006C7AA9" w:rsidP="00B40925">
      <w:pPr>
        <w:spacing w:line="360" w:lineRule="auto"/>
      </w:pPr>
    </w:p>
    <w:p w:rsidR="000A2112" w:rsidRDefault="000A2112" w:rsidP="00B40925">
      <w:pPr>
        <w:spacing w:line="360" w:lineRule="auto"/>
      </w:pPr>
    </w:p>
    <w:p w:rsidR="000A2112" w:rsidRPr="000A2112" w:rsidRDefault="000A2112" w:rsidP="006C7AA9">
      <w:pPr>
        <w:pStyle w:val="Ttulo1"/>
        <w:ind w:left="708"/>
        <w:rPr>
          <w:rFonts w:ascii="Times New Roman" w:hAnsi="Times New Roman"/>
        </w:rPr>
      </w:pPr>
      <w:bookmarkStart w:id="73" w:name="_Toc406754329"/>
      <w:r w:rsidRPr="000A2112">
        <w:rPr>
          <w:rFonts w:ascii="Times New Roman" w:hAnsi="Times New Roman"/>
        </w:rPr>
        <w:t>8</w:t>
      </w:r>
      <w:r>
        <w:rPr>
          <w:rFonts w:ascii="Times New Roman" w:hAnsi="Times New Roman"/>
        </w:rPr>
        <w:t xml:space="preserve"> </w:t>
      </w:r>
      <w:r w:rsidRPr="000A2112">
        <w:rPr>
          <w:rFonts w:ascii="Times New Roman" w:hAnsi="Times New Roman"/>
        </w:rPr>
        <w:t xml:space="preserve"> </w:t>
      </w:r>
      <w:r w:rsidR="006C7AA9">
        <w:rPr>
          <w:rFonts w:ascii="Times New Roman" w:hAnsi="Times New Roman"/>
        </w:rPr>
        <w:t xml:space="preserve">Índice de </w:t>
      </w:r>
      <w:r w:rsidRPr="000A2112">
        <w:rPr>
          <w:rFonts w:ascii="Times New Roman" w:hAnsi="Times New Roman"/>
        </w:rPr>
        <w:t>Precios al Consumidor</w:t>
      </w:r>
      <w:r w:rsidR="006C7AA9">
        <w:rPr>
          <w:rFonts w:ascii="Times New Roman" w:hAnsi="Times New Roman"/>
        </w:rPr>
        <w:t xml:space="preserve"> y Productor</w:t>
      </w:r>
      <w:bookmarkEnd w:id="73"/>
    </w:p>
    <w:p w:rsidR="00B40925" w:rsidRDefault="00B40925" w:rsidP="00B40925">
      <w:pPr>
        <w:spacing w:line="360" w:lineRule="auto"/>
      </w:pPr>
    </w:p>
    <w:p w:rsidR="00B40925" w:rsidRDefault="00B40925" w:rsidP="00B40925">
      <w:pPr>
        <w:spacing w:line="360" w:lineRule="auto"/>
      </w:pPr>
    </w:p>
    <w:p w:rsidR="00B40925" w:rsidRDefault="00B40925"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Default="006C7AA9" w:rsidP="00B40925">
      <w:pPr>
        <w:spacing w:line="360" w:lineRule="auto"/>
      </w:pPr>
    </w:p>
    <w:p w:rsidR="006C7AA9" w:rsidRPr="00E44B2A" w:rsidRDefault="006C7AA9" w:rsidP="006C7AA9">
      <w:pPr>
        <w:pStyle w:val="Sinespaciado"/>
        <w:spacing w:line="360" w:lineRule="auto"/>
        <w:rPr>
          <w:rFonts w:ascii="Times New Roman" w:hAnsi="Times New Roman"/>
          <w:b/>
          <w:sz w:val="30"/>
          <w:szCs w:val="30"/>
        </w:rPr>
      </w:pPr>
      <w:r>
        <w:rPr>
          <w:rFonts w:ascii="Times New Roman" w:hAnsi="Times New Roman"/>
          <w:b/>
          <w:sz w:val="30"/>
          <w:szCs w:val="30"/>
        </w:rPr>
        <w:lastRenderedPageBreak/>
        <w:t>8.1</w:t>
      </w:r>
      <w:r w:rsidRPr="00E44B2A">
        <w:rPr>
          <w:rFonts w:ascii="Times New Roman" w:hAnsi="Times New Roman"/>
          <w:b/>
          <w:sz w:val="30"/>
          <w:szCs w:val="30"/>
        </w:rPr>
        <w:t xml:space="preserve">  Índice de Precios al Consumidor</w:t>
      </w:r>
      <w:r>
        <w:rPr>
          <w:rFonts w:ascii="Times New Roman" w:hAnsi="Times New Roman"/>
          <w:b/>
          <w:sz w:val="30"/>
          <w:szCs w:val="30"/>
        </w:rPr>
        <w:t xml:space="preserve"> - IPC</w:t>
      </w:r>
    </w:p>
    <w:p w:rsidR="006C7AA9" w:rsidRPr="00E44B2A" w:rsidRDefault="006C7AA9" w:rsidP="006C7AA9">
      <w:pPr>
        <w:pStyle w:val="Sinespaciado"/>
        <w:spacing w:line="360" w:lineRule="auto"/>
        <w:rPr>
          <w:rFonts w:ascii="Times New Roman" w:hAnsi="Times New Roman"/>
          <w:sz w:val="24"/>
          <w:szCs w:val="24"/>
        </w:rPr>
      </w:pPr>
    </w:p>
    <w:p w:rsidR="006C7AA9" w:rsidRPr="00E44B2A" w:rsidRDefault="006C7AA9" w:rsidP="006C7AA9">
      <w:pPr>
        <w:pStyle w:val="Sinespaciado"/>
        <w:spacing w:line="360" w:lineRule="auto"/>
        <w:ind w:firstLine="284"/>
        <w:rPr>
          <w:rFonts w:ascii="Times New Roman" w:hAnsi="Times New Roman"/>
          <w:sz w:val="24"/>
          <w:szCs w:val="24"/>
        </w:rPr>
      </w:pPr>
      <w:r w:rsidRPr="00E44B2A">
        <w:rPr>
          <w:rFonts w:ascii="Times New Roman" w:hAnsi="Times New Roman"/>
          <w:sz w:val="24"/>
          <w:szCs w:val="24"/>
        </w:rPr>
        <w:t>Las variaciones de los precios al consumidor presentaron un comportamiento mensual relativamente alto los primeros meses del año 2013, las cuales fueron cediendo hasta lograr un crecimiento negativo durante dos meses del último trimestre, lográndose un crecimiento por debajo del límite inferior del 2%, al mostrar un acumulado durante el año de tan solo el 1,94%, el más bajo de los últimos años.</w:t>
      </w:r>
    </w:p>
    <w:p w:rsidR="006C7AA9" w:rsidRDefault="006C7AA9" w:rsidP="006C7AA9">
      <w:pPr>
        <w:spacing w:line="360" w:lineRule="auto"/>
        <w:ind w:left="708"/>
        <w:rPr>
          <w:sz w:val="30"/>
          <w:szCs w:val="30"/>
          <w:lang w:val="es-ES"/>
        </w:rPr>
      </w:pPr>
    </w:p>
    <w:p w:rsidR="006C7AA9" w:rsidRPr="00E44B2A" w:rsidRDefault="006C7AA9" w:rsidP="006C7AA9">
      <w:pPr>
        <w:spacing w:line="360" w:lineRule="auto"/>
        <w:ind w:left="708"/>
        <w:rPr>
          <w:sz w:val="30"/>
          <w:szCs w:val="30"/>
          <w:lang w:val="es-ES"/>
        </w:rPr>
      </w:pPr>
    </w:p>
    <w:p w:rsidR="006C7AA9" w:rsidRPr="00E44B2A" w:rsidRDefault="006C7AA9" w:rsidP="006C7AA9">
      <w:pPr>
        <w:pStyle w:val="Sinespaciado"/>
        <w:rPr>
          <w:rFonts w:ascii="Times New Roman" w:hAnsi="Times New Roman"/>
          <w:sz w:val="24"/>
          <w:szCs w:val="24"/>
        </w:rPr>
      </w:pPr>
      <w:r w:rsidRPr="00E44B2A">
        <w:rPr>
          <w:rFonts w:ascii="Times New Roman" w:hAnsi="Times New Roman"/>
          <w:sz w:val="24"/>
          <w:szCs w:val="24"/>
        </w:rPr>
        <w:t>Tabla 6.1</w:t>
      </w:r>
    </w:p>
    <w:p w:rsidR="006C7AA9" w:rsidRPr="00E44B2A" w:rsidRDefault="006C7AA9" w:rsidP="006C7AA9">
      <w:pPr>
        <w:pStyle w:val="Sinespaciado"/>
        <w:rPr>
          <w:rFonts w:ascii="Times New Roman" w:hAnsi="Times New Roman"/>
          <w:sz w:val="24"/>
          <w:szCs w:val="24"/>
        </w:rPr>
      </w:pPr>
      <w:r w:rsidRPr="00E44B2A">
        <w:rPr>
          <w:rFonts w:ascii="Times New Roman" w:hAnsi="Times New Roman"/>
          <w:sz w:val="24"/>
          <w:szCs w:val="24"/>
        </w:rPr>
        <w:t>Índice de precios al consumidor mensual y anual en Colombia</w:t>
      </w:r>
    </w:p>
    <w:p w:rsidR="006C7AA9" w:rsidRPr="00E44B2A" w:rsidRDefault="006C7AA9" w:rsidP="006C7AA9">
      <w:pPr>
        <w:pStyle w:val="Sinespaciado"/>
        <w:rPr>
          <w:rFonts w:ascii="Times New Roman" w:hAnsi="Times New Roman"/>
          <w:sz w:val="24"/>
          <w:szCs w:val="24"/>
        </w:rPr>
      </w:pPr>
      <w:r w:rsidRPr="00E44B2A">
        <w:rPr>
          <w:rFonts w:ascii="Times New Roman" w:hAnsi="Times New Roman"/>
          <w:sz w:val="24"/>
          <w:szCs w:val="24"/>
        </w:rPr>
        <w:t>2013</w:t>
      </w:r>
    </w:p>
    <w:p w:rsidR="006C7AA9" w:rsidRPr="00E44B2A" w:rsidRDefault="006C7AA9" w:rsidP="006C7AA9">
      <w:pPr>
        <w:pStyle w:val="Sinespaciado"/>
        <w:rPr>
          <w:rFonts w:ascii="Times New Roman" w:hAnsi="Times New Roman"/>
          <w:sz w:val="24"/>
          <w:szCs w:val="24"/>
        </w:rPr>
      </w:pPr>
    </w:p>
    <w:tbl>
      <w:tblPr>
        <w:tblW w:w="3898" w:type="dxa"/>
        <w:tblInd w:w="55" w:type="dxa"/>
        <w:tblBorders>
          <w:top w:val="single" w:sz="4" w:space="0" w:color="auto"/>
        </w:tblBorders>
        <w:tblCellMar>
          <w:left w:w="70" w:type="dxa"/>
          <w:right w:w="70" w:type="dxa"/>
        </w:tblCellMar>
        <w:tblLook w:val="04A0" w:firstRow="1" w:lastRow="0" w:firstColumn="1" w:lastColumn="0" w:noHBand="0" w:noVBand="1"/>
      </w:tblPr>
      <w:tblGrid>
        <w:gridCol w:w="1589"/>
        <w:gridCol w:w="1194"/>
        <w:gridCol w:w="1115"/>
      </w:tblGrid>
      <w:tr w:rsidR="006C7AA9" w:rsidRPr="006C7AA9" w:rsidTr="006C7AA9">
        <w:trPr>
          <w:trHeight w:val="596"/>
        </w:trPr>
        <w:tc>
          <w:tcPr>
            <w:tcW w:w="1589" w:type="dxa"/>
            <w:tcBorders>
              <w:top w:val="single" w:sz="4" w:space="0" w:color="auto"/>
              <w:bottom w:val="single" w:sz="4" w:space="0" w:color="auto"/>
            </w:tcBorders>
            <w:shd w:val="clear" w:color="auto" w:fill="auto"/>
            <w:vAlign w:val="center"/>
            <w:hideMark/>
          </w:tcPr>
          <w:p w:rsidR="006C7AA9" w:rsidRPr="006C7AA9" w:rsidRDefault="006C7AA9" w:rsidP="006C7AA9">
            <w:pPr>
              <w:jc w:val="center"/>
              <w:rPr>
                <w:b/>
                <w:bCs/>
                <w:color w:val="000000"/>
                <w:sz w:val="20"/>
                <w:szCs w:val="20"/>
              </w:rPr>
            </w:pPr>
            <w:r w:rsidRPr="006C7AA9">
              <w:rPr>
                <w:b/>
                <w:bCs/>
                <w:color w:val="000000"/>
                <w:sz w:val="20"/>
                <w:szCs w:val="20"/>
              </w:rPr>
              <w:t>MES</w:t>
            </w:r>
          </w:p>
        </w:tc>
        <w:tc>
          <w:tcPr>
            <w:tcW w:w="1194" w:type="dxa"/>
            <w:tcBorders>
              <w:top w:val="single" w:sz="4" w:space="0" w:color="auto"/>
              <w:bottom w:val="single" w:sz="4" w:space="0" w:color="auto"/>
            </w:tcBorders>
            <w:shd w:val="clear" w:color="auto" w:fill="auto"/>
            <w:vAlign w:val="center"/>
            <w:hideMark/>
          </w:tcPr>
          <w:p w:rsidR="006C7AA9" w:rsidRPr="006C7AA9" w:rsidRDefault="006C7AA9" w:rsidP="006C7AA9">
            <w:pPr>
              <w:jc w:val="center"/>
              <w:rPr>
                <w:b/>
                <w:bCs/>
                <w:color w:val="000000"/>
                <w:sz w:val="20"/>
                <w:szCs w:val="20"/>
              </w:rPr>
            </w:pPr>
            <w:r w:rsidRPr="006C7AA9">
              <w:rPr>
                <w:b/>
                <w:bCs/>
                <w:color w:val="000000"/>
                <w:sz w:val="20"/>
                <w:szCs w:val="20"/>
              </w:rPr>
              <w:t>MENSUAL</w:t>
            </w:r>
          </w:p>
        </w:tc>
        <w:tc>
          <w:tcPr>
            <w:tcW w:w="1115" w:type="dxa"/>
            <w:tcBorders>
              <w:top w:val="single" w:sz="4" w:space="0" w:color="auto"/>
              <w:bottom w:val="single" w:sz="4" w:space="0" w:color="auto"/>
            </w:tcBorders>
            <w:shd w:val="clear" w:color="auto" w:fill="auto"/>
            <w:vAlign w:val="center"/>
            <w:hideMark/>
          </w:tcPr>
          <w:p w:rsidR="006C7AA9" w:rsidRPr="006C7AA9" w:rsidRDefault="006C7AA9" w:rsidP="006C7AA9">
            <w:pPr>
              <w:jc w:val="center"/>
              <w:rPr>
                <w:b/>
                <w:bCs/>
                <w:color w:val="000000"/>
                <w:sz w:val="20"/>
                <w:szCs w:val="20"/>
              </w:rPr>
            </w:pPr>
            <w:r w:rsidRPr="006C7AA9">
              <w:rPr>
                <w:b/>
                <w:bCs/>
                <w:color w:val="000000"/>
                <w:sz w:val="20"/>
                <w:szCs w:val="20"/>
              </w:rPr>
              <w:t>ANUAL</w:t>
            </w:r>
          </w:p>
        </w:tc>
      </w:tr>
      <w:tr w:rsidR="006C7AA9" w:rsidRPr="006C7AA9" w:rsidTr="006C7AA9">
        <w:trPr>
          <w:trHeight w:val="363"/>
        </w:trPr>
        <w:tc>
          <w:tcPr>
            <w:tcW w:w="1589" w:type="dxa"/>
            <w:tcBorders>
              <w:top w:val="single" w:sz="4" w:space="0" w:color="auto"/>
            </w:tcBorders>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Enero</w:t>
            </w:r>
          </w:p>
        </w:tc>
        <w:tc>
          <w:tcPr>
            <w:tcW w:w="1194" w:type="dxa"/>
            <w:tcBorders>
              <w:top w:val="single" w:sz="4" w:space="0" w:color="auto"/>
            </w:tcBorders>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0,30</w:t>
            </w:r>
          </w:p>
        </w:tc>
        <w:tc>
          <w:tcPr>
            <w:tcW w:w="1115" w:type="dxa"/>
            <w:tcBorders>
              <w:top w:val="single" w:sz="4" w:space="0" w:color="auto"/>
            </w:tcBorders>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2,00</w:t>
            </w:r>
          </w:p>
        </w:tc>
      </w:tr>
      <w:tr w:rsidR="006C7AA9" w:rsidRPr="006C7AA9" w:rsidTr="006C7AA9">
        <w:trPr>
          <w:trHeight w:val="363"/>
        </w:trPr>
        <w:tc>
          <w:tcPr>
            <w:tcW w:w="1589" w:type="dxa"/>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Febrero</w:t>
            </w:r>
          </w:p>
        </w:tc>
        <w:tc>
          <w:tcPr>
            <w:tcW w:w="1194"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0,44</w:t>
            </w:r>
          </w:p>
        </w:tc>
        <w:tc>
          <w:tcPr>
            <w:tcW w:w="1115"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1,83</w:t>
            </w:r>
          </w:p>
        </w:tc>
      </w:tr>
      <w:tr w:rsidR="006C7AA9" w:rsidRPr="006C7AA9" w:rsidTr="006C7AA9">
        <w:trPr>
          <w:trHeight w:val="363"/>
        </w:trPr>
        <w:tc>
          <w:tcPr>
            <w:tcW w:w="1589" w:type="dxa"/>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Marzo</w:t>
            </w:r>
          </w:p>
        </w:tc>
        <w:tc>
          <w:tcPr>
            <w:tcW w:w="1194"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0,21</w:t>
            </w:r>
          </w:p>
        </w:tc>
        <w:tc>
          <w:tcPr>
            <w:tcW w:w="1115"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1,91</w:t>
            </w:r>
          </w:p>
        </w:tc>
      </w:tr>
      <w:tr w:rsidR="006C7AA9" w:rsidRPr="006C7AA9" w:rsidTr="006C7AA9">
        <w:trPr>
          <w:trHeight w:val="363"/>
        </w:trPr>
        <w:tc>
          <w:tcPr>
            <w:tcW w:w="1589" w:type="dxa"/>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Abril</w:t>
            </w:r>
          </w:p>
        </w:tc>
        <w:tc>
          <w:tcPr>
            <w:tcW w:w="1194"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0,25</w:t>
            </w:r>
          </w:p>
        </w:tc>
        <w:tc>
          <w:tcPr>
            <w:tcW w:w="1115"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2,02</w:t>
            </w:r>
          </w:p>
        </w:tc>
      </w:tr>
      <w:tr w:rsidR="006C7AA9" w:rsidRPr="006C7AA9" w:rsidTr="006C7AA9">
        <w:trPr>
          <w:trHeight w:val="363"/>
        </w:trPr>
        <w:tc>
          <w:tcPr>
            <w:tcW w:w="1589" w:type="dxa"/>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Mayo</w:t>
            </w:r>
          </w:p>
        </w:tc>
        <w:tc>
          <w:tcPr>
            <w:tcW w:w="1194"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0,28</w:t>
            </w:r>
          </w:p>
        </w:tc>
        <w:tc>
          <w:tcPr>
            <w:tcW w:w="1115"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2,00</w:t>
            </w:r>
          </w:p>
        </w:tc>
      </w:tr>
      <w:tr w:rsidR="006C7AA9" w:rsidRPr="006C7AA9" w:rsidTr="006C7AA9">
        <w:trPr>
          <w:trHeight w:val="363"/>
        </w:trPr>
        <w:tc>
          <w:tcPr>
            <w:tcW w:w="1589" w:type="dxa"/>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Junio</w:t>
            </w:r>
          </w:p>
        </w:tc>
        <w:tc>
          <w:tcPr>
            <w:tcW w:w="1194"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0,23</w:t>
            </w:r>
          </w:p>
        </w:tc>
        <w:tc>
          <w:tcPr>
            <w:tcW w:w="1115"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2,16</w:t>
            </w:r>
          </w:p>
        </w:tc>
      </w:tr>
      <w:tr w:rsidR="006C7AA9" w:rsidRPr="006C7AA9" w:rsidTr="006C7AA9">
        <w:trPr>
          <w:trHeight w:val="363"/>
        </w:trPr>
        <w:tc>
          <w:tcPr>
            <w:tcW w:w="1589" w:type="dxa"/>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Julio</w:t>
            </w:r>
          </w:p>
        </w:tc>
        <w:tc>
          <w:tcPr>
            <w:tcW w:w="1194"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0,04</w:t>
            </w:r>
          </w:p>
        </w:tc>
        <w:tc>
          <w:tcPr>
            <w:tcW w:w="1115"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2,22</w:t>
            </w:r>
          </w:p>
        </w:tc>
      </w:tr>
      <w:tr w:rsidR="006C7AA9" w:rsidRPr="006C7AA9" w:rsidTr="006C7AA9">
        <w:trPr>
          <w:trHeight w:val="363"/>
        </w:trPr>
        <w:tc>
          <w:tcPr>
            <w:tcW w:w="1589" w:type="dxa"/>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Agosto</w:t>
            </w:r>
          </w:p>
        </w:tc>
        <w:tc>
          <w:tcPr>
            <w:tcW w:w="1194"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0,08</w:t>
            </w:r>
          </w:p>
        </w:tc>
        <w:tc>
          <w:tcPr>
            <w:tcW w:w="1115"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2,27</w:t>
            </w:r>
          </w:p>
        </w:tc>
      </w:tr>
      <w:tr w:rsidR="006C7AA9" w:rsidRPr="006C7AA9" w:rsidTr="006C7AA9">
        <w:trPr>
          <w:trHeight w:val="363"/>
        </w:trPr>
        <w:tc>
          <w:tcPr>
            <w:tcW w:w="1589" w:type="dxa"/>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Septiembre</w:t>
            </w:r>
          </w:p>
        </w:tc>
        <w:tc>
          <w:tcPr>
            <w:tcW w:w="1194"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0,29</w:t>
            </w:r>
          </w:p>
        </w:tc>
        <w:tc>
          <w:tcPr>
            <w:tcW w:w="1115"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2,27</w:t>
            </w:r>
          </w:p>
        </w:tc>
      </w:tr>
      <w:tr w:rsidR="006C7AA9" w:rsidRPr="006C7AA9" w:rsidTr="006C7AA9">
        <w:trPr>
          <w:trHeight w:val="363"/>
        </w:trPr>
        <w:tc>
          <w:tcPr>
            <w:tcW w:w="1589" w:type="dxa"/>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Octubre</w:t>
            </w:r>
          </w:p>
        </w:tc>
        <w:tc>
          <w:tcPr>
            <w:tcW w:w="1194"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-0,26</w:t>
            </w:r>
          </w:p>
        </w:tc>
        <w:tc>
          <w:tcPr>
            <w:tcW w:w="1115" w:type="dxa"/>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1,84</w:t>
            </w:r>
          </w:p>
        </w:tc>
      </w:tr>
      <w:tr w:rsidR="006C7AA9" w:rsidRPr="006C7AA9" w:rsidTr="006C7AA9">
        <w:trPr>
          <w:trHeight w:val="363"/>
        </w:trPr>
        <w:tc>
          <w:tcPr>
            <w:tcW w:w="1589" w:type="dxa"/>
            <w:tcBorders>
              <w:bottom w:val="nil"/>
            </w:tcBorders>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Noviembre</w:t>
            </w:r>
          </w:p>
        </w:tc>
        <w:tc>
          <w:tcPr>
            <w:tcW w:w="1194" w:type="dxa"/>
            <w:tcBorders>
              <w:bottom w:val="nil"/>
            </w:tcBorders>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-0,22</w:t>
            </w:r>
          </w:p>
        </w:tc>
        <w:tc>
          <w:tcPr>
            <w:tcW w:w="1115" w:type="dxa"/>
            <w:tcBorders>
              <w:bottom w:val="nil"/>
            </w:tcBorders>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1,76</w:t>
            </w:r>
          </w:p>
        </w:tc>
      </w:tr>
      <w:tr w:rsidR="006C7AA9" w:rsidRPr="006C7AA9" w:rsidTr="006C7AA9">
        <w:trPr>
          <w:trHeight w:val="363"/>
        </w:trPr>
        <w:tc>
          <w:tcPr>
            <w:tcW w:w="1589" w:type="dxa"/>
            <w:tcBorders>
              <w:top w:val="nil"/>
              <w:bottom w:val="single" w:sz="4" w:space="0" w:color="auto"/>
            </w:tcBorders>
            <w:shd w:val="clear" w:color="auto" w:fill="auto"/>
            <w:vAlign w:val="center"/>
            <w:hideMark/>
          </w:tcPr>
          <w:p w:rsidR="006C7AA9" w:rsidRPr="006C7AA9" w:rsidRDefault="006C7AA9" w:rsidP="000A5EE0">
            <w:pPr>
              <w:spacing w:line="360" w:lineRule="auto"/>
              <w:jc w:val="both"/>
              <w:rPr>
                <w:color w:val="000000"/>
                <w:sz w:val="20"/>
                <w:szCs w:val="20"/>
              </w:rPr>
            </w:pPr>
            <w:r w:rsidRPr="006C7AA9">
              <w:rPr>
                <w:color w:val="000000"/>
                <w:sz w:val="20"/>
                <w:szCs w:val="20"/>
              </w:rPr>
              <w:t>Diciembre</w:t>
            </w:r>
          </w:p>
        </w:tc>
        <w:tc>
          <w:tcPr>
            <w:tcW w:w="1194" w:type="dxa"/>
            <w:tcBorders>
              <w:top w:val="nil"/>
              <w:bottom w:val="single" w:sz="4" w:space="0" w:color="auto"/>
            </w:tcBorders>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0,26</w:t>
            </w:r>
          </w:p>
        </w:tc>
        <w:tc>
          <w:tcPr>
            <w:tcW w:w="1115" w:type="dxa"/>
            <w:tcBorders>
              <w:top w:val="nil"/>
              <w:bottom w:val="single" w:sz="4" w:space="0" w:color="auto"/>
            </w:tcBorders>
            <w:shd w:val="clear" w:color="auto" w:fill="auto"/>
            <w:vAlign w:val="center"/>
            <w:hideMark/>
          </w:tcPr>
          <w:p w:rsidR="006C7AA9" w:rsidRPr="006C7AA9" w:rsidRDefault="006C7AA9" w:rsidP="006C7AA9">
            <w:pPr>
              <w:spacing w:line="360" w:lineRule="auto"/>
              <w:jc w:val="center"/>
              <w:rPr>
                <w:color w:val="000000"/>
                <w:sz w:val="20"/>
                <w:szCs w:val="20"/>
              </w:rPr>
            </w:pPr>
            <w:r w:rsidRPr="006C7AA9">
              <w:rPr>
                <w:color w:val="000000"/>
                <w:sz w:val="20"/>
                <w:szCs w:val="20"/>
              </w:rPr>
              <w:t>1,94</w:t>
            </w:r>
          </w:p>
        </w:tc>
      </w:tr>
      <w:tr w:rsidR="006C7AA9" w:rsidRPr="006C7AA9" w:rsidTr="006C7AA9">
        <w:trPr>
          <w:trHeight w:val="363"/>
        </w:trPr>
        <w:tc>
          <w:tcPr>
            <w:tcW w:w="3898" w:type="dxa"/>
            <w:gridSpan w:val="3"/>
            <w:tcBorders>
              <w:top w:val="single" w:sz="4" w:space="0" w:color="auto"/>
            </w:tcBorders>
            <w:shd w:val="clear" w:color="auto" w:fill="auto"/>
            <w:vAlign w:val="center"/>
            <w:hideMark/>
          </w:tcPr>
          <w:p w:rsidR="006C7AA9" w:rsidRPr="006C7AA9" w:rsidRDefault="006C7AA9" w:rsidP="000A5EE0">
            <w:pPr>
              <w:pStyle w:val="Sinespaciado"/>
              <w:rPr>
                <w:rFonts w:ascii="Times New Roman" w:hAnsi="Times New Roman"/>
                <w:bCs/>
                <w:sz w:val="20"/>
                <w:szCs w:val="20"/>
                <w:lang w:eastAsia="es-CO"/>
              </w:rPr>
            </w:pPr>
            <w:r w:rsidRPr="006C7AA9">
              <w:rPr>
                <w:rFonts w:ascii="Times New Roman" w:hAnsi="Times New Roman"/>
                <w:bCs/>
                <w:sz w:val="20"/>
                <w:szCs w:val="20"/>
                <w:lang w:eastAsia="es-CO"/>
              </w:rPr>
              <w:t>Fuente:</w:t>
            </w:r>
            <w:r w:rsidRPr="006C7AA9">
              <w:rPr>
                <w:rFonts w:ascii="Times New Roman" w:hAnsi="Times New Roman"/>
                <w:sz w:val="20"/>
                <w:szCs w:val="20"/>
                <w:lang w:eastAsia="es-CO"/>
              </w:rPr>
              <w:t xml:space="preserve"> Departamento Administrativo Nacional de Estadística – </w:t>
            </w:r>
            <w:r w:rsidR="008F5FB2">
              <w:rPr>
                <w:rFonts w:ascii="Times New Roman" w:hAnsi="Times New Roman"/>
                <w:sz w:val="20"/>
                <w:szCs w:val="20"/>
                <w:lang w:eastAsia="es-CO"/>
              </w:rPr>
              <w:t>DANE</w:t>
            </w:r>
          </w:p>
        </w:tc>
      </w:tr>
    </w:tbl>
    <w:p w:rsidR="006C7AA9" w:rsidRPr="00E44B2A" w:rsidRDefault="006C7AA9" w:rsidP="006C7AA9">
      <w:pPr>
        <w:spacing w:line="360" w:lineRule="auto"/>
        <w:jc w:val="both"/>
      </w:pPr>
    </w:p>
    <w:p w:rsidR="006C7AA9" w:rsidRDefault="006C7AA9" w:rsidP="006C7AA9">
      <w:pPr>
        <w:spacing w:line="360" w:lineRule="auto"/>
        <w:jc w:val="both"/>
      </w:pPr>
    </w:p>
    <w:p w:rsidR="006C7AA9" w:rsidRPr="00E44B2A" w:rsidRDefault="006C7AA9" w:rsidP="006C7AA9">
      <w:pPr>
        <w:spacing w:line="360" w:lineRule="auto"/>
        <w:jc w:val="both"/>
      </w:pPr>
    </w:p>
    <w:p w:rsidR="006C7AA9" w:rsidRPr="006C7AA9" w:rsidRDefault="006C7AA9" w:rsidP="006C7AA9">
      <w:pPr>
        <w:pStyle w:val="Ttulo2"/>
        <w:rPr>
          <w:rFonts w:ascii="Times New Roman" w:hAnsi="Times New Roman" w:cs="Times New Roman"/>
          <w:color w:val="auto"/>
          <w:sz w:val="30"/>
          <w:szCs w:val="30"/>
        </w:rPr>
      </w:pPr>
      <w:bookmarkStart w:id="74" w:name="_Toc396892905"/>
      <w:bookmarkStart w:id="75" w:name="_Toc406754330"/>
      <w:r w:rsidRPr="006C7AA9">
        <w:rPr>
          <w:rFonts w:ascii="Times New Roman" w:hAnsi="Times New Roman" w:cs="Times New Roman"/>
          <w:color w:val="auto"/>
          <w:sz w:val="30"/>
          <w:szCs w:val="30"/>
        </w:rPr>
        <w:lastRenderedPageBreak/>
        <w:t>8.2</w:t>
      </w:r>
      <w:r>
        <w:rPr>
          <w:rFonts w:ascii="Times New Roman" w:hAnsi="Times New Roman" w:cs="Times New Roman"/>
          <w:color w:val="auto"/>
          <w:sz w:val="30"/>
          <w:szCs w:val="30"/>
        </w:rPr>
        <w:t xml:space="preserve"> </w:t>
      </w:r>
      <w:r w:rsidRPr="006C7AA9">
        <w:rPr>
          <w:rFonts w:ascii="Times New Roman" w:hAnsi="Times New Roman" w:cs="Times New Roman"/>
          <w:color w:val="auto"/>
          <w:sz w:val="30"/>
          <w:szCs w:val="30"/>
        </w:rPr>
        <w:t>IPC según nivel de ingresos en Colombia y en Armen</w:t>
      </w:r>
      <w:bookmarkEnd w:id="74"/>
      <w:r>
        <w:rPr>
          <w:rFonts w:ascii="Times New Roman" w:hAnsi="Times New Roman" w:cs="Times New Roman"/>
          <w:color w:val="auto"/>
          <w:sz w:val="30"/>
          <w:szCs w:val="30"/>
        </w:rPr>
        <w:t>ia</w:t>
      </w:r>
      <w:bookmarkEnd w:id="75"/>
    </w:p>
    <w:p w:rsidR="006C7AA9" w:rsidRPr="00E44B2A" w:rsidRDefault="006C7AA9" w:rsidP="006C7AA9">
      <w:pPr>
        <w:spacing w:line="360" w:lineRule="auto"/>
        <w:ind w:firstLine="284"/>
        <w:jc w:val="both"/>
        <w:rPr>
          <w:lang w:val="es-ES"/>
        </w:rPr>
      </w:pPr>
    </w:p>
    <w:p w:rsidR="006C7AA9" w:rsidRPr="00E44B2A" w:rsidRDefault="006C7AA9" w:rsidP="006C7AA9">
      <w:pPr>
        <w:spacing w:line="360" w:lineRule="auto"/>
        <w:ind w:firstLine="284"/>
        <w:jc w:val="both"/>
        <w:rPr>
          <w:lang w:val="es-ES"/>
        </w:rPr>
      </w:pPr>
      <w:r w:rsidRPr="00E44B2A">
        <w:rPr>
          <w:lang w:val="es-ES"/>
        </w:rPr>
        <w:t xml:space="preserve">Según el </w:t>
      </w:r>
      <w:r w:rsidR="008F5FB2">
        <w:rPr>
          <w:lang w:val="es-ES"/>
        </w:rPr>
        <w:t>DANE</w:t>
      </w:r>
      <w:r w:rsidRPr="00E44B2A">
        <w:rPr>
          <w:lang w:val="es-ES"/>
        </w:rPr>
        <w:t>, el departamento del Quindío representado por los datos de Armenia, presenta una inflación del 1,18%, inferior al comportamiento de la media nacional 2013</w:t>
      </w:r>
      <w:r w:rsidR="001B7997">
        <w:rPr>
          <w:lang w:val="es-ES"/>
        </w:rPr>
        <w:t>,</w:t>
      </w:r>
      <w:r w:rsidRPr="00E44B2A">
        <w:rPr>
          <w:lang w:val="es-ES"/>
        </w:rPr>
        <w:t xml:space="preserve"> que fue del 1,94%, donde los hogares más beneficiados fueron aquellos con ingresos bajos y medios.</w:t>
      </w:r>
    </w:p>
    <w:p w:rsidR="006C7AA9" w:rsidRPr="00E44B2A" w:rsidRDefault="006C7AA9" w:rsidP="006C7AA9">
      <w:pPr>
        <w:spacing w:line="360" w:lineRule="auto"/>
        <w:ind w:firstLine="708"/>
        <w:jc w:val="center"/>
        <w:rPr>
          <w:lang w:val="es-ES"/>
        </w:rPr>
      </w:pPr>
    </w:p>
    <w:p w:rsidR="006C7AA9" w:rsidRPr="00E44B2A" w:rsidRDefault="006C7AA9" w:rsidP="006C7AA9">
      <w:pPr>
        <w:pStyle w:val="Sinespaciado"/>
        <w:rPr>
          <w:rFonts w:ascii="Times New Roman" w:hAnsi="Times New Roman"/>
          <w:sz w:val="24"/>
          <w:szCs w:val="24"/>
        </w:rPr>
      </w:pPr>
      <w:r w:rsidRPr="00E44B2A">
        <w:rPr>
          <w:rFonts w:ascii="Times New Roman" w:hAnsi="Times New Roman"/>
          <w:sz w:val="24"/>
          <w:szCs w:val="24"/>
        </w:rPr>
        <w:t>Tabla 8.2</w:t>
      </w:r>
    </w:p>
    <w:p w:rsidR="006C7AA9" w:rsidRPr="00E44B2A" w:rsidRDefault="006C7AA9" w:rsidP="006C7AA9">
      <w:pPr>
        <w:pStyle w:val="Sinespaciado"/>
        <w:rPr>
          <w:rFonts w:ascii="Times New Roman" w:hAnsi="Times New Roman"/>
          <w:sz w:val="24"/>
          <w:szCs w:val="24"/>
        </w:rPr>
      </w:pPr>
      <w:r w:rsidRPr="00E44B2A">
        <w:rPr>
          <w:rFonts w:ascii="Times New Roman" w:hAnsi="Times New Roman"/>
          <w:sz w:val="24"/>
          <w:szCs w:val="24"/>
        </w:rPr>
        <w:t>Variación mensual y anual, total y por niveles de ingresos nacional y Armenia</w:t>
      </w:r>
    </w:p>
    <w:p w:rsidR="006C7AA9" w:rsidRPr="00E44B2A" w:rsidRDefault="006C7AA9" w:rsidP="006C7AA9">
      <w:pPr>
        <w:pStyle w:val="Sinespaciado"/>
        <w:rPr>
          <w:rFonts w:ascii="Times New Roman" w:hAnsi="Times New Roman"/>
          <w:sz w:val="24"/>
          <w:szCs w:val="24"/>
        </w:rPr>
      </w:pPr>
    </w:p>
    <w:tbl>
      <w:tblPr>
        <w:tblW w:w="8889" w:type="dxa"/>
        <w:tblInd w:w="55" w:type="dxa"/>
        <w:tblBorders>
          <w:top w:val="single" w:sz="4" w:space="0" w:color="auto"/>
        </w:tblBorders>
        <w:tblCellMar>
          <w:left w:w="70" w:type="dxa"/>
          <w:right w:w="70" w:type="dxa"/>
        </w:tblCellMar>
        <w:tblLook w:val="04A0" w:firstRow="1" w:lastRow="0" w:firstColumn="1" w:lastColumn="0" w:noHBand="0" w:noVBand="1"/>
      </w:tblPr>
      <w:tblGrid>
        <w:gridCol w:w="2016"/>
        <w:gridCol w:w="986"/>
        <w:gridCol w:w="732"/>
        <w:gridCol w:w="986"/>
        <w:gridCol w:w="732"/>
        <w:gridCol w:w="986"/>
        <w:gridCol w:w="732"/>
        <w:gridCol w:w="986"/>
        <w:gridCol w:w="733"/>
      </w:tblGrid>
      <w:tr w:rsidR="006C7AA9" w:rsidRPr="00E44B2A" w:rsidTr="000A5EE0">
        <w:trPr>
          <w:trHeight w:val="1148"/>
        </w:trPr>
        <w:tc>
          <w:tcPr>
            <w:tcW w:w="2016" w:type="dxa"/>
            <w:tcBorders>
              <w:bottom w:val="nil"/>
            </w:tcBorders>
            <w:shd w:val="clear" w:color="auto" w:fill="auto"/>
            <w:vAlign w:val="center"/>
            <w:hideMark/>
          </w:tcPr>
          <w:p w:rsidR="006C7AA9" w:rsidRPr="006C7AA9" w:rsidRDefault="006C7AA9" w:rsidP="000A5EE0">
            <w:pPr>
              <w:spacing w:line="360" w:lineRule="auto"/>
              <w:rPr>
                <w:b/>
                <w:bCs/>
                <w:color w:val="000000"/>
              </w:rPr>
            </w:pPr>
            <w:r w:rsidRPr="006C7AA9">
              <w:rPr>
                <w:b/>
                <w:bCs/>
                <w:color w:val="000000"/>
              </w:rPr>
              <w:t>NIVELES DE INGRESO </w:t>
            </w:r>
          </w:p>
        </w:tc>
        <w:tc>
          <w:tcPr>
            <w:tcW w:w="1718" w:type="dxa"/>
            <w:gridSpan w:val="2"/>
            <w:tcBorders>
              <w:bottom w:val="nil"/>
            </w:tcBorders>
            <w:shd w:val="clear" w:color="auto" w:fill="auto"/>
            <w:vAlign w:val="center"/>
            <w:hideMark/>
          </w:tcPr>
          <w:p w:rsidR="006C7AA9" w:rsidRPr="006C7AA9" w:rsidRDefault="006C7AA9" w:rsidP="006C7AA9">
            <w:pPr>
              <w:spacing w:line="360" w:lineRule="auto"/>
              <w:jc w:val="center"/>
              <w:rPr>
                <w:b/>
                <w:bCs/>
                <w:color w:val="000000"/>
              </w:rPr>
            </w:pPr>
            <w:r w:rsidRPr="006C7AA9">
              <w:rPr>
                <w:b/>
                <w:bCs/>
                <w:color w:val="000000"/>
              </w:rPr>
              <w:t>TOTAL</w:t>
            </w:r>
          </w:p>
        </w:tc>
        <w:tc>
          <w:tcPr>
            <w:tcW w:w="1718" w:type="dxa"/>
            <w:gridSpan w:val="2"/>
            <w:tcBorders>
              <w:bottom w:val="nil"/>
            </w:tcBorders>
            <w:shd w:val="clear" w:color="auto" w:fill="auto"/>
            <w:vAlign w:val="center"/>
            <w:hideMark/>
          </w:tcPr>
          <w:p w:rsidR="006C7AA9" w:rsidRPr="006C7AA9" w:rsidRDefault="006C7AA9" w:rsidP="006C7AA9">
            <w:pPr>
              <w:spacing w:line="360" w:lineRule="auto"/>
              <w:jc w:val="center"/>
              <w:rPr>
                <w:b/>
                <w:bCs/>
                <w:color w:val="000000"/>
              </w:rPr>
            </w:pPr>
            <w:r w:rsidRPr="006C7AA9">
              <w:rPr>
                <w:b/>
                <w:bCs/>
                <w:color w:val="000000"/>
              </w:rPr>
              <w:t>INGRESOS BAJOS</w:t>
            </w:r>
          </w:p>
        </w:tc>
        <w:tc>
          <w:tcPr>
            <w:tcW w:w="1718" w:type="dxa"/>
            <w:gridSpan w:val="2"/>
            <w:tcBorders>
              <w:bottom w:val="nil"/>
            </w:tcBorders>
            <w:shd w:val="clear" w:color="auto" w:fill="auto"/>
            <w:vAlign w:val="center"/>
            <w:hideMark/>
          </w:tcPr>
          <w:p w:rsidR="006C7AA9" w:rsidRPr="006C7AA9" w:rsidRDefault="006C7AA9" w:rsidP="006C7AA9">
            <w:pPr>
              <w:spacing w:line="360" w:lineRule="auto"/>
              <w:jc w:val="center"/>
              <w:rPr>
                <w:b/>
                <w:bCs/>
                <w:color w:val="000000"/>
              </w:rPr>
            </w:pPr>
            <w:r w:rsidRPr="006C7AA9">
              <w:rPr>
                <w:b/>
                <w:bCs/>
                <w:color w:val="000000"/>
              </w:rPr>
              <w:t>INGRESOS MEDIOS</w:t>
            </w:r>
          </w:p>
        </w:tc>
        <w:tc>
          <w:tcPr>
            <w:tcW w:w="1719" w:type="dxa"/>
            <w:gridSpan w:val="2"/>
            <w:tcBorders>
              <w:bottom w:val="nil"/>
            </w:tcBorders>
            <w:shd w:val="clear" w:color="auto" w:fill="auto"/>
            <w:vAlign w:val="center"/>
            <w:hideMark/>
          </w:tcPr>
          <w:p w:rsidR="006C7AA9" w:rsidRPr="006C7AA9" w:rsidRDefault="006C7AA9" w:rsidP="006C7AA9">
            <w:pPr>
              <w:spacing w:line="360" w:lineRule="auto"/>
              <w:jc w:val="center"/>
              <w:rPr>
                <w:b/>
                <w:bCs/>
                <w:color w:val="000000"/>
              </w:rPr>
            </w:pPr>
            <w:r w:rsidRPr="006C7AA9">
              <w:rPr>
                <w:b/>
                <w:bCs/>
                <w:color w:val="000000"/>
              </w:rPr>
              <w:t>INGRESOS ALTOS</w:t>
            </w:r>
          </w:p>
        </w:tc>
      </w:tr>
      <w:tr w:rsidR="006C7AA9" w:rsidRPr="00E44B2A" w:rsidTr="000A5EE0">
        <w:trPr>
          <w:trHeight w:val="662"/>
        </w:trPr>
        <w:tc>
          <w:tcPr>
            <w:tcW w:w="2016" w:type="dxa"/>
            <w:tcBorders>
              <w:top w:val="nil"/>
              <w:bottom w:val="single" w:sz="4" w:space="0" w:color="auto"/>
            </w:tcBorders>
            <w:shd w:val="clear" w:color="auto" w:fill="auto"/>
            <w:vAlign w:val="center"/>
            <w:hideMark/>
          </w:tcPr>
          <w:p w:rsidR="006C7AA9" w:rsidRPr="006C7AA9" w:rsidRDefault="006C7AA9" w:rsidP="000A5EE0">
            <w:pPr>
              <w:spacing w:line="360" w:lineRule="auto"/>
              <w:jc w:val="both"/>
              <w:rPr>
                <w:b/>
                <w:bCs/>
                <w:color w:val="000000"/>
              </w:rPr>
            </w:pPr>
            <w:r w:rsidRPr="006C7AA9">
              <w:rPr>
                <w:b/>
                <w:bCs/>
                <w:color w:val="000000"/>
              </w:rPr>
              <w:t>TOTAL</w:t>
            </w:r>
          </w:p>
        </w:tc>
        <w:tc>
          <w:tcPr>
            <w:tcW w:w="986" w:type="dxa"/>
            <w:tcBorders>
              <w:top w:val="nil"/>
              <w:bottom w:val="single" w:sz="4" w:space="0" w:color="auto"/>
            </w:tcBorders>
            <w:shd w:val="clear" w:color="auto" w:fill="auto"/>
            <w:vAlign w:val="center"/>
            <w:hideMark/>
          </w:tcPr>
          <w:p w:rsidR="006C7AA9" w:rsidRPr="006C7AA9" w:rsidRDefault="006C7AA9" w:rsidP="006C7AA9">
            <w:pPr>
              <w:spacing w:line="360" w:lineRule="auto"/>
              <w:jc w:val="center"/>
              <w:rPr>
                <w:b/>
                <w:bCs/>
                <w:color w:val="000000"/>
                <w:sz w:val="18"/>
                <w:szCs w:val="18"/>
              </w:rPr>
            </w:pPr>
            <w:r w:rsidRPr="006C7AA9">
              <w:rPr>
                <w:b/>
                <w:bCs/>
                <w:color w:val="000000"/>
                <w:sz w:val="18"/>
                <w:szCs w:val="18"/>
              </w:rPr>
              <w:t>Mensual</w:t>
            </w:r>
          </w:p>
        </w:tc>
        <w:tc>
          <w:tcPr>
            <w:tcW w:w="732" w:type="dxa"/>
            <w:tcBorders>
              <w:top w:val="nil"/>
              <w:bottom w:val="single" w:sz="4" w:space="0" w:color="auto"/>
            </w:tcBorders>
            <w:shd w:val="clear" w:color="auto" w:fill="auto"/>
            <w:vAlign w:val="center"/>
            <w:hideMark/>
          </w:tcPr>
          <w:p w:rsidR="006C7AA9" w:rsidRPr="006C7AA9" w:rsidRDefault="006C7AA9" w:rsidP="006C7AA9">
            <w:pPr>
              <w:spacing w:line="360" w:lineRule="auto"/>
              <w:jc w:val="center"/>
              <w:rPr>
                <w:b/>
                <w:bCs/>
                <w:color w:val="000000"/>
                <w:sz w:val="18"/>
                <w:szCs w:val="18"/>
              </w:rPr>
            </w:pPr>
            <w:r w:rsidRPr="006C7AA9">
              <w:rPr>
                <w:b/>
                <w:bCs/>
                <w:color w:val="000000"/>
                <w:sz w:val="18"/>
                <w:szCs w:val="18"/>
              </w:rPr>
              <w:t>Anual</w:t>
            </w:r>
          </w:p>
        </w:tc>
        <w:tc>
          <w:tcPr>
            <w:tcW w:w="986" w:type="dxa"/>
            <w:tcBorders>
              <w:top w:val="nil"/>
              <w:bottom w:val="single" w:sz="4" w:space="0" w:color="auto"/>
            </w:tcBorders>
            <w:shd w:val="clear" w:color="auto" w:fill="auto"/>
            <w:vAlign w:val="center"/>
            <w:hideMark/>
          </w:tcPr>
          <w:p w:rsidR="006C7AA9" w:rsidRPr="006C7AA9" w:rsidRDefault="006C7AA9" w:rsidP="006C7AA9">
            <w:pPr>
              <w:spacing w:line="360" w:lineRule="auto"/>
              <w:jc w:val="center"/>
              <w:rPr>
                <w:b/>
                <w:bCs/>
                <w:color w:val="000000"/>
                <w:sz w:val="18"/>
                <w:szCs w:val="18"/>
              </w:rPr>
            </w:pPr>
            <w:r w:rsidRPr="006C7AA9">
              <w:rPr>
                <w:b/>
                <w:bCs/>
                <w:color w:val="000000"/>
                <w:sz w:val="18"/>
                <w:szCs w:val="18"/>
              </w:rPr>
              <w:t>Mensual</w:t>
            </w:r>
          </w:p>
        </w:tc>
        <w:tc>
          <w:tcPr>
            <w:tcW w:w="732" w:type="dxa"/>
            <w:tcBorders>
              <w:top w:val="nil"/>
              <w:bottom w:val="single" w:sz="4" w:space="0" w:color="auto"/>
            </w:tcBorders>
            <w:shd w:val="clear" w:color="auto" w:fill="auto"/>
            <w:vAlign w:val="center"/>
            <w:hideMark/>
          </w:tcPr>
          <w:p w:rsidR="006C7AA9" w:rsidRPr="006C7AA9" w:rsidRDefault="006C7AA9" w:rsidP="006C7AA9">
            <w:pPr>
              <w:spacing w:line="360" w:lineRule="auto"/>
              <w:jc w:val="center"/>
              <w:rPr>
                <w:b/>
                <w:bCs/>
                <w:color w:val="000000"/>
                <w:sz w:val="18"/>
                <w:szCs w:val="18"/>
              </w:rPr>
            </w:pPr>
            <w:r w:rsidRPr="006C7AA9">
              <w:rPr>
                <w:b/>
                <w:bCs/>
                <w:color w:val="000000"/>
                <w:sz w:val="18"/>
                <w:szCs w:val="18"/>
              </w:rPr>
              <w:t>Anual</w:t>
            </w:r>
          </w:p>
        </w:tc>
        <w:tc>
          <w:tcPr>
            <w:tcW w:w="986" w:type="dxa"/>
            <w:tcBorders>
              <w:top w:val="nil"/>
              <w:bottom w:val="single" w:sz="4" w:space="0" w:color="auto"/>
            </w:tcBorders>
            <w:shd w:val="clear" w:color="auto" w:fill="auto"/>
            <w:vAlign w:val="center"/>
            <w:hideMark/>
          </w:tcPr>
          <w:p w:rsidR="006C7AA9" w:rsidRPr="006C7AA9" w:rsidRDefault="006C7AA9" w:rsidP="006C7AA9">
            <w:pPr>
              <w:spacing w:line="360" w:lineRule="auto"/>
              <w:jc w:val="center"/>
              <w:rPr>
                <w:b/>
                <w:bCs/>
                <w:color w:val="000000"/>
                <w:sz w:val="18"/>
                <w:szCs w:val="18"/>
              </w:rPr>
            </w:pPr>
            <w:r w:rsidRPr="006C7AA9">
              <w:rPr>
                <w:b/>
                <w:bCs/>
                <w:color w:val="000000"/>
                <w:sz w:val="18"/>
                <w:szCs w:val="18"/>
              </w:rPr>
              <w:t>Mensual</w:t>
            </w:r>
          </w:p>
        </w:tc>
        <w:tc>
          <w:tcPr>
            <w:tcW w:w="732" w:type="dxa"/>
            <w:tcBorders>
              <w:top w:val="nil"/>
              <w:bottom w:val="single" w:sz="4" w:space="0" w:color="auto"/>
            </w:tcBorders>
            <w:shd w:val="clear" w:color="auto" w:fill="auto"/>
            <w:vAlign w:val="center"/>
            <w:hideMark/>
          </w:tcPr>
          <w:p w:rsidR="006C7AA9" w:rsidRPr="006C7AA9" w:rsidRDefault="006C7AA9" w:rsidP="006C7AA9">
            <w:pPr>
              <w:spacing w:line="360" w:lineRule="auto"/>
              <w:jc w:val="center"/>
              <w:rPr>
                <w:b/>
                <w:bCs/>
                <w:color w:val="000000"/>
                <w:sz w:val="18"/>
                <w:szCs w:val="18"/>
              </w:rPr>
            </w:pPr>
            <w:r w:rsidRPr="006C7AA9">
              <w:rPr>
                <w:b/>
                <w:bCs/>
                <w:color w:val="000000"/>
                <w:sz w:val="18"/>
                <w:szCs w:val="18"/>
              </w:rPr>
              <w:t>Anual</w:t>
            </w:r>
          </w:p>
        </w:tc>
        <w:tc>
          <w:tcPr>
            <w:tcW w:w="986" w:type="dxa"/>
            <w:tcBorders>
              <w:top w:val="nil"/>
              <w:bottom w:val="single" w:sz="4" w:space="0" w:color="auto"/>
            </w:tcBorders>
            <w:shd w:val="clear" w:color="auto" w:fill="auto"/>
            <w:vAlign w:val="center"/>
            <w:hideMark/>
          </w:tcPr>
          <w:p w:rsidR="006C7AA9" w:rsidRPr="006C7AA9" w:rsidRDefault="006C7AA9" w:rsidP="006C7AA9">
            <w:pPr>
              <w:spacing w:line="360" w:lineRule="auto"/>
              <w:jc w:val="center"/>
              <w:rPr>
                <w:b/>
                <w:bCs/>
                <w:color w:val="000000"/>
                <w:sz w:val="18"/>
                <w:szCs w:val="18"/>
              </w:rPr>
            </w:pPr>
            <w:r w:rsidRPr="006C7AA9">
              <w:rPr>
                <w:b/>
                <w:bCs/>
                <w:color w:val="000000"/>
                <w:sz w:val="18"/>
                <w:szCs w:val="18"/>
              </w:rPr>
              <w:t>Mensual</w:t>
            </w:r>
          </w:p>
        </w:tc>
        <w:tc>
          <w:tcPr>
            <w:tcW w:w="733" w:type="dxa"/>
            <w:tcBorders>
              <w:top w:val="nil"/>
              <w:bottom w:val="single" w:sz="4" w:space="0" w:color="auto"/>
            </w:tcBorders>
            <w:shd w:val="clear" w:color="auto" w:fill="auto"/>
            <w:vAlign w:val="center"/>
            <w:hideMark/>
          </w:tcPr>
          <w:p w:rsidR="006C7AA9" w:rsidRPr="006C7AA9" w:rsidRDefault="006C7AA9" w:rsidP="006C7AA9">
            <w:pPr>
              <w:spacing w:line="360" w:lineRule="auto"/>
              <w:jc w:val="center"/>
              <w:rPr>
                <w:b/>
                <w:bCs/>
                <w:color w:val="000000"/>
                <w:sz w:val="18"/>
                <w:szCs w:val="18"/>
              </w:rPr>
            </w:pPr>
            <w:r w:rsidRPr="006C7AA9">
              <w:rPr>
                <w:b/>
                <w:bCs/>
                <w:color w:val="000000"/>
                <w:sz w:val="18"/>
                <w:szCs w:val="18"/>
              </w:rPr>
              <w:t>Anual</w:t>
            </w:r>
          </w:p>
        </w:tc>
      </w:tr>
      <w:tr w:rsidR="006C7AA9" w:rsidRPr="00E44B2A" w:rsidTr="000A5EE0">
        <w:trPr>
          <w:trHeight w:val="560"/>
        </w:trPr>
        <w:tc>
          <w:tcPr>
            <w:tcW w:w="2016" w:type="dxa"/>
            <w:tcBorders>
              <w:top w:val="single" w:sz="4" w:space="0" w:color="auto"/>
              <w:bottom w:val="nil"/>
            </w:tcBorders>
            <w:shd w:val="clear" w:color="auto" w:fill="auto"/>
            <w:vAlign w:val="center"/>
            <w:hideMark/>
          </w:tcPr>
          <w:p w:rsidR="006C7AA9" w:rsidRPr="00E44B2A" w:rsidRDefault="006C7AA9" w:rsidP="006C7AA9">
            <w:pPr>
              <w:spacing w:line="360" w:lineRule="auto"/>
              <w:rPr>
                <w:bCs/>
                <w:color w:val="000000"/>
              </w:rPr>
            </w:pPr>
            <w:r>
              <w:rPr>
                <w:bCs/>
                <w:color w:val="000000"/>
              </w:rPr>
              <w:t xml:space="preserve">Total </w:t>
            </w:r>
            <w:r w:rsidRPr="00E44B2A">
              <w:rPr>
                <w:bCs/>
                <w:color w:val="000000"/>
              </w:rPr>
              <w:t>IPC Nacional</w:t>
            </w:r>
          </w:p>
        </w:tc>
        <w:tc>
          <w:tcPr>
            <w:tcW w:w="986" w:type="dxa"/>
            <w:tcBorders>
              <w:top w:val="single" w:sz="4" w:space="0" w:color="auto"/>
              <w:bottom w:val="nil"/>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0,26</w:t>
            </w:r>
          </w:p>
        </w:tc>
        <w:tc>
          <w:tcPr>
            <w:tcW w:w="732" w:type="dxa"/>
            <w:tcBorders>
              <w:top w:val="single" w:sz="4" w:space="0" w:color="auto"/>
              <w:bottom w:val="nil"/>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1,94</w:t>
            </w:r>
          </w:p>
        </w:tc>
        <w:tc>
          <w:tcPr>
            <w:tcW w:w="986" w:type="dxa"/>
            <w:tcBorders>
              <w:top w:val="single" w:sz="4" w:space="0" w:color="auto"/>
              <w:bottom w:val="nil"/>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0,17</w:t>
            </w:r>
          </w:p>
        </w:tc>
        <w:tc>
          <w:tcPr>
            <w:tcW w:w="732" w:type="dxa"/>
            <w:tcBorders>
              <w:top w:val="single" w:sz="4" w:space="0" w:color="auto"/>
              <w:bottom w:val="nil"/>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1,55</w:t>
            </w:r>
          </w:p>
        </w:tc>
        <w:tc>
          <w:tcPr>
            <w:tcW w:w="986" w:type="dxa"/>
            <w:tcBorders>
              <w:top w:val="single" w:sz="4" w:space="0" w:color="auto"/>
              <w:bottom w:val="nil"/>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0,29</w:t>
            </w:r>
          </w:p>
        </w:tc>
        <w:tc>
          <w:tcPr>
            <w:tcW w:w="732" w:type="dxa"/>
            <w:tcBorders>
              <w:top w:val="single" w:sz="4" w:space="0" w:color="auto"/>
              <w:bottom w:val="nil"/>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2,05</w:t>
            </w:r>
          </w:p>
        </w:tc>
        <w:tc>
          <w:tcPr>
            <w:tcW w:w="986" w:type="dxa"/>
            <w:tcBorders>
              <w:top w:val="single" w:sz="4" w:space="0" w:color="auto"/>
              <w:bottom w:val="nil"/>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0,37</w:t>
            </w:r>
          </w:p>
        </w:tc>
        <w:tc>
          <w:tcPr>
            <w:tcW w:w="733" w:type="dxa"/>
            <w:tcBorders>
              <w:top w:val="single" w:sz="4" w:space="0" w:color="auto"/>
              <w:bottom w:val="nil"/>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2,38</w:t>
            </w:r>
          </w:p>
        </w:tc>
      </w:tr>
      <w:tr w:rsidR="006C7AA9" w:rsidRPr="00E44B2A" w:rsidTr="000A5EE0">
        <w:trPr>
          <w:trHeight w:val="560"/>
        </w:trPr>
        <w:tc>
          <w:tcPr>
            <w:tcW w:w="2016" w:type="dxa"/>
            <w:tcBorders>
              <w:top w:val="nil"/>
              <w:bottom w:val="single" w:sz="4" w:space="0" w:color="auto"/>
            </w:tcBorders>
            <w:shd w:val="clear" w:color="auto" w:fill="auto"/>
            <w:vAlign w:val="center"/>
            <w:hideMark/>
          </w:tcPr>
          <w:p w:rsidR="006C7AA9" w:rsidRPr="00E44B2A" w:rsidRDefault="006C7AA9" w:rsidP="000A5EE0">
            <w:pPr>
              <w:spacing w:line="360" w:lineRule="auto"/>
              <w:jc w:val="both"/>
              <w:rPr>
                <w:bCs/>
                <w:color w:val="000000"/>
              </w:rPr>
            </w:pPr>
            <w:r w:rsidRPr="00E44B2A">
              <w:rPr>
                <w:bCs/>
                <w:color w:val="000000"/>
              </w:rPr>
              <w:t>Armenia-Quindío</w:t>
            </w:r>
          </w:p>
        </w:tc>
        <w:tc>
          <w:tcPr>
            <w:tcW w:w="986" w:type="dxa"/>
            <w:tcBorders>
              <w:top w:val="nil"/>
              <w:bottom w:val="single" w:sz="4" w:space="0" w:color="auto"/>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0,15</w:t>
            </w:r>
          </w:p>
        </w:tc>
        <w:tc>
          <w:tcPr>
            <w:tcW w:w="732" w:type="dxa"/>
            <w:tcBorders>
              <w:top w:val="nil"/>
              <w:bottom w:val="single" w:sz="4" w:space="0" w:color="auto"/>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1,18</w:t>
            </w:r>
          </w:p>
        </w:tc>
        <w:tc>
          <w:tcPr>
            <w:tcW w:w="986" w:type="dxa"/>
            <w:tcBorders>
              <w:top w:val="nil"/>
              <w:bottom w:val="single" w:sz="4" w:space="0" w:color="auto"/>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0,09</w:t>
            </w:r>
          </w:p>
        </w:tc>
        <w:tc>
          <w:tcPr>
            <w:tcW w:w="732" w:type="dxa"/>
            <w:tcBorders>
              <w:top w:val="nil"/>
              <w:bottom w:val="single" w:sz="4" w:space="0" w:color="auto"/>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0,51</w:t>
            </w:r>
          </w:p>
        </w:tc>
        <w:tc>
          <w:tcPr>
            <w:tcW w:w="986" w:type="dxa"/>
            <w:tcBorders>
              <w:top w:val="nil"/>
              <w:bottom w:val="single" w:sz="4" w:space="0" w:color="auto"/>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0,11</w:t>
            </w:r>
          </w:p>
        </w:tc>
        <w:tc>
          <w:tcPr>
            <w:tcW w:w="732" w:type="dxa"/>
            <w:tcBorders>
              <w:top w:val="nil"/>
              <w:bottom w:val="single" w:sz="4" w:space="0" w:color="auto"/>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1,23</w:t>
            </w:r>
          </w:p>
        </w:tc>
        <w:tc>
          <w:tcPr>
            <w:tcW w:w="986" w:type="dxa"/>
            <w:tcBorders>
              <w:top w:val="nil"/>
              <w:bottom w:val="single" w:sz="4" w:space="0" w:color="auto"/>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0,45</w:t>
            </w:r>
          </w:p>
        </w:tc>
        <w:tc>
          <w:tcPr>
            <w:tcW w:w="733" w:type="dxa"/>
            <w:tcBorders>
              <w:top w:val="nil"/>
              <w:bottom w:val="single" w:sz="4" w:space="0" w:color="auto"/>
            </w:tcBorders>
            <w:shd w:val="clear" w:color="auto" w:fill="auto"/>
            <w:vAlign w:val="center"/>
            <w:hideMark/>
          </w:tcPr>
          <w:p w:rsidR="006C7AA9" w:rsidRPr="00E44B2A" w:rsidRDefault="006C7AA9" w:rsidP="006C7AA9">
            <w:pPr>
              <w:spacing w:line="360" w:lineRule="auto"/>
              <w:jc w:val="center"/>
              <w:rPr>
                <w:bCs/>
                <w:color w:val="000000"/>
              </w:rPr>
            </w:pPr>
            <w:r w:rsidRPr="00E44B2A">
              <w:rPr>
                <w:bCs/>
                <w:color w:val="000000"/>
              </w:rPr>
              <w:t>2,25</w:t>
            </w:r>
          </w:p>
        </w:tc>
      </w:tr>
    </w:tbl>
    <w:p w:rsidR="006C7AA9" w:rsidRDefault="000A5EE0" w:rsidP="000A5EE0">
      <w:pPr>
        <w:spacing w:line="360" w:lineRule="auto"/>
        <w:rPr>
          <w:iCs/>
          <w:color w:val="000000"/>
          <w:sz w:val="16"/>
          <w:szCs w:val="16"/>
        </w:rPr>
      </w:pPr>
      <w:r w:rsidRPr="00E44B2A">
        <w:rPr>
          <w:bCs/>
          <w:iCs/>
          <w:color w:val="000000"/>
          <w:sz w:val="16"/>
          <w:szCs w:val="16"/>
        </w:rPr>
        <w:t>Fuente:</w:t>
      </w:r>
      <w:r w:rsidRPr="00E44B2A">
        <w:rPr>
          <w:iCs/>
          <w:color w:val="000000"/>
          <w:sz w:val="16"/>
          <w:szCs w:val="16"/>
        </w:rPr>
        <w:t xml:space="preserve"> Departamento Administrativo Nacional de Estadística – </w:t>
      </w:r>
      <w:r w:rsidR="008F5FB2">
        <w:rPr>
          <w:iCs/>
          <w:color w:val="000000"/>
          <w:sz w:val="16"/>
          <w:szCs w:val="16"/>
        </w:rPr>
        <w:t>DANE</w:t>
      </w:r>
    </w:p>
    <w:p w:rsidR="000A5EE0" w:rsidRDefault="000A5EE0" w:rsidP="000A5EE0">
      <w:pPr>
        <w:spacing w:line="360" w:lineRule="auto"/>
        <w:rPr>
          <w:iCs/>
          <w:color w:val="000000"/>
          <w:sz w:val="16"/>
          <w:szCs w:val="16"/>
        </w:rPr>
      </w:pPr>
    </w:p>
    <w:p w:rsidR="006C7AA9" w:rsidRPr="000A5EE0" w:rsidRDefault="000A5EE0" w:rsidP="000A5EE0">
      <w:pPr>
        <w:pStyle w:val="Ttulo2"/>
        <w:jc w:val="both"/>
        <w:rPr>
          <w:rFonts w:ascii="Times New Roman" w:hAnsi="Times New Roman" w:cs="Times New Roman"/>
          <w:color w:val="auto"/>
          <w:sz w:val="30"/>
          <w:szCs w:val="30"/>
        </w:rPr>
      </w:pPr>
      <w:bookmarkStart w:id="76" w:name="_Toc406754331"/>
      <w:r w:rsidRPr="000A5EE0">
        <w:rPr>
          <w:rFonts w:ascii="Times New Roman" w:hAnsi="Times New Roman" w:cs="Times New Roman"/>
          <w:color w:val="auto"/>
          <w:sz w:val="30"/>
          <w:szCs w:val="30"/>
        </w:rPr>
        <w:t xml:space="preserve">8.3 </w:t>
      </w:r>
      <w:r w:rsidR="006C7AA9" w:rsidRPr="000A5EE0">
        <w:rPr>
          <w:rFonts w:ascii="Times New Roman" w:hAnsi="Times New Roman" w:cs="Times New Roman"/>
          <w:color w:val="auto"/>
          <w:sz w:val="30"/>
          <w:szCs w:val="30"/>
        </w:rPr>
        <w:t>Variación anual y total por grupos de bienes y servicios, según ciudades 2013</w:t>
      </w:r>
      <w:bookmarkEnd w:id="76"/>
    </w:p>
    <w:p w:rsidR="006C7AA9" w:rsidRPr="00E44B2A" w:rsidRDefault="006C7AA9" w:rsidP="006C7AA9">
      <w:pPr>
        <w:pStyle w:val="Sinespaciado"/>
        <w:rPr>
          <w:rFonts w:ascii="Times New Roman" w:hAnsi="Times New Roman"/>
        </w:rPr>
      </w:pPr>
    </w:p>
    <w:p w:rsidR="000A5EE0" w:rsidRDefault="000A5EE0" w:rsidP="006C7AA9">
      <w:pPr>
        <w:spacing w:line="360" w:lineRule="auto"/>
        <w:ind w:firstLine="284"/>
        <w:jc w:val="both"/>
        <w:rPr>
          <w:lang w:val="es-ES"/>
        </w:rPr>
      </w:pPr>
    </w:p>
    <w:p w:rsidR="006C7AA9" w:rsidRPr="00E44B2A" w:rsidRDefault="006C7AA9" w:rsidP="006C7AA9">
      <w:pPr>
        <w:spacing w:line="360" w:lineRule="auto"/>
        <w:ind w:firstLine="284"/>
        <w:jc w:val="both"/>
        <w:rPr>
          <w:lang w:val="es-ES"/>
        </w:rPr>
      </w:pPr>
      <w:r w:rsidRPr="00E44B2A">
        <w:rPr>
          <w:lang w:val="es-ES"/>
        </w:rPr>
        <w:t>El comportamiento inflacionario de los diferentes grupos de bienes y servicios de la canasta familiar del Quindío representado en su capital Armenia, es inferior a la media nacional, en términos de alimentos, salud, educación y diversión; es similar en términos de vivienda y</w:t>
      </w:r>
      <w:r w:rsidR="001B7997">
        <w:rPr>
          <w:lang w:val="es-ES"/>
        </w:rPr>
        <w:t>,</w:t>
      </w:r>
      <w:r w:rsidRPr="00E44B2A">
        <w:rPr>
          <w:lang w:val="es-ES"/>
        </w:rPr>
        <w:t xml:space="preserve"> superior en vestuario, transporte y otros. En comunicaciones se presenta el caso más atípico, toda vez que mientras a nivel nacional creció el 2,75%, en el Quindío no se presentó crecimiento (0,08%).</w:t>
      </w:r>
    </w:p>
    <w:p w:rsidR="006C7AA9" w:rsidRPr="00E44B2A" w:rsidRDefault="006C7AA9" w:rsidP="006C7AA9">
      <w:pPr>
        <w:pStyle w:val="Sinespaciado"/>
        <w:rPr>
          <w:rFonts w:ascii="Times New Roman" w:hAnsi="Times New Roman"/>
          <w:sz w:val="24"/>
          <w:szCs w:val="24"/>
        </w:rPr>
      </w:pPr>
    </w:p>
    <w:p w:rsidR="006C7AA9" w:rsidRPr="00E44B2A" w:rsidRDefault="006C7AA9" w:rsidP="006C7AA9">
      <w:pPr>
        <w:pStyle w:val="Sinespaciado"/>
        <w:rPr>
          <w:rFonts w:ascii="Times New Roman" w:hAnsi="Times New Roman"/>
          <w:sz w:val="24"/>
          <w:szCs w:val="24"/>
        </w:rPr>
      </w:pPr>
    </w:p>
    <w:p w:rsidR="006C7AA9" w:rsidRPr="00E44B2A" w:rsidRDefault="006C7AA9" w:rsidP="006C7AA9">
      <w:pPr>
        <w:pStyle w:val="Sinespaciado"/>
        <w:rPr>
          <w:rFonts w:ascii="Times New Roman" w:hAnsi="Times New Roman"/>
          <w:sz w:val="24"/>
          <w:szCs w:val="24"/>
        </w:rPr>
      </w:pPr>
    </w:p>
    <w:p w:rsidR="006C7AA9" w:rsidRPr="00E44B2A" w:rsidRDefault="006C7AA9" w:rsidP="006C7AA9">
      <w:pPr>
        <w:pStyle w:val="Sinespaciado"/>
        <w:rPr>
          <w:rFonts w:ascii="Times New Roman" w:hAnsi="Times New Roman"/>
          <w:sz w:val="24"/>
          <w:szCs w:val="24"/>
        </w:rPr>
      </w:pPr>
    </w:p>
    <w:p w:rsidR="006C7AA9" w:rsidRPr="00E44B2A" w:rsidRDefault="00AD5B19" w:rsidP="006C7AA9">
      <w:pPr>
        <w:pStyle w:val="Sinespaciado"/>
        <w:rPr>
          <w:rFonts w:ascii="Times New Roman" w:hAnsi="Times New Roman"/>
          <w:sz w:val="24"/>
          <w:szCs w:val="24"/>
        </w:rPr>
      </w:pPr>
      <w:r>
        <w:rPr>
          <w:rFonts w:ascii="Times New Roman" w:hAnsi="Times New Roman"/>
          <w:sz w:val="24"/>
          <w:szCs w:val="24"/>
        </w:rPr>
        <w:lastRenderedPageBreak/>
        <w:t>Gráfico 8</w:t>
      </w:r>
      <w:r w:rsidR="006C7AA9" w:rsidRPr="00E44B2A">
        <w:rPr>
          <w:rFonts w:ascii="Times New Roman" w:hAnsi="Times New Roman"/>
          <w:sz w:val="24"/>
          <w:szCs w:val="24"/>
        </w:rPr>
        <w:t>.1</w:t>
      </w:r>
    </w:p>
    <w:p w:rsidR="006C7AA9" w:rsidRPr="00E44B2A" w:rsidRDefault="006C7AA9" w:rsidP="006C7AA9">
      <w:pPr>
        <w:pStyle w:val="Sinespaciado"/>
        <w:rPr>
          <w:rFonts w:ascii="Times New Roman" w:hAnsi="Times New Roman"/>
          <w:sz w:val="24"/>
          <w:szCs w:val="24"/>
        </w:rPr>
      </w:pPr>
      <w:r w:rsidRPr="00E44B2A">
        <w:rPr>
          <w:rFonts w:ascii="Times New Roman" w:hAnsi="Times New Roman"/>
          <w:sz w:val="24"/>
          <w:szCs w:val="24"/>
        </w:rPr>
        <w:t>Variación del IPC por grupos de  bienes y servicios</w:t>
      </w:r>
    </w:p>
    <w:p w:rsidR="006C7AA9" w:rsidRPr="00E44B2A" w:rsidRDefault="006C7AA9" w:rsidP="006C7AA9">
      <w:pPr>
        <w:pStyle w:val="Sinespaciado"/>
        <w:rPr>
          <w:rFonts w:ascii="Times New Roman" w:hAnsi="Times New Roman"/>
          <w:sz w:val="24"/>
          <w:szCs w:val="24"/>
        </w:rPr>
      </w:pPr>
    </w:p>
    <w:p w:rsidR="006C7AA9" w:rsidRPr="00E44B2A" w:rsidRDefault="006C7AA9" w:rsidP="006C7AA9">
      <w:pPr>
        <w:spacing w:line="360" w:lineRule="auto"/>
        <w:rPr>
          <w:sz w:val="16"/>
          <w:szCs w:val="16"/>
        </w:rPr>
      </w:pPr>
      <w:r w:rsidRPr="00E44B2A">
        <w:rPr>
          <w:noProof/>
          <w:sz w:val="16"/>
          <w:szCs w:val="16"/>
        </w:rPr>
        <w:drawing>
          <wp:inline distT="0" distB="0" distL="0" distR="0" wp14:anchorId="7C56CB60" wp14:editId="28C52886">
            <wp:extent cx="4726719" cy="2094614"/>
            <wp:effectExtent l="0" t="0" r="17145" b="20320"/>
            <wp:docPr id="73" name="Gráfico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C7AA9" w:rsidRPr="00E44B2A" w:rsidRDefault="006C7AA9" w:rsidP="006C7AA9">
      <w:pPr>
        <w:pStyle w:val="Sinespaciado"/>
        <w:rPr>
          <w:rFonts w:ascii="Times New Roman" w:hAnsi="Times New Roman"/>
          <w:sz w:val="16"/>
          <w:szCs w:val="16"/>
        </w:rPr>
      </w:pPr>
      <w:r w:rsidRPr="00E44B2A">
        <w:rPr>
          <w:rFonts w:ascii="Times New Roman" w:hAnsi="Times New Roman"/>
          <w:sz w:val="16"/>
          <w:szCs w:val="16"/>
        </w:rPr>
        <w:t xml:space="preserve">Fuente: </w:t>
      </w:r>
      <w:r w:rsidR="008F5FB2">
        <w:rPr>
          <w:rFonts w:ascii="Times New Roman" w:hAnsi="Times New Roman"/>
          <w:sz w:val="16"/>
          <w:szCs w:val="16"/>
        </w:rPr>
        <w:t>DANE</w:t>
      </w:r>
    </w:p>
    <w:p w:rsidR="006C7AA9" w:rsidRPr="00E44B2A" w:rsidRDefault="006C7AA9" w:rsidP="006C7AA9">
      <w:pPr>
        <w:spacing w:line="360" w:lineRule="auto"/>
        <w:jc w:val="both"/>
        <w:rPr>
          <w:lang w:val="es-ES"/>
        </w:rPr>
      </w:pPr>
    </w:p>
    <w:p w:rsidR="006C7AA9" w:rsidRPr="00AD5B19" w:rsidRDefault="00AD5B19" w:rsidP="00AD5B19">
      <w:pPr>
        <w:pStyle w:val="Ttulo2"/>
        <w:jc w:val="both"/>
        <w:rPr>
          <w:rFonts w:ascii="Times New Roman" w:hAnsi="Times New Roman" w:cs="Times New Roman"/>
          <w:color w:val="auto"/>
          <w:sz w:val="30"/>
          <w:szCs w:val="30"/>
        </w:rPr>
      </w:pPr>
      <w:bookmarkStart w:id="77" w:name="_Toc396892907"/>
      <w:bookmarkStart w:id="78" w:name="_Toc406754332"/>
      <w:r w:rsidRPr="00AD5B19">
        <w:rPr>
          <w:rFonts w:ascii="Times New Roman" w:hAnsi="Times New Roman" w:cs="Times New Roman"/>
          <w:color w:val="auto"/>
          <w:sz w:val="30"/>
          <w:szCs w:val="30"/>
        </w:rPr>
        <w:t xml:space="preserve">8.4 </w:t>
      </w:r>
      <w:r w:rsidR="006C7AA9" w:rsidRPr="00AD5B19">
        <w:rPr>
          <w:rFonts w:ascii="Times New Roman" w:hAnsi="Times New Roman" w:cs="Times New Roman"/>
          <w:color w:val="auto"/>
          <w:sz w:val="30"/>
          <w:szCs w:val="30"/>
        </w:rPr>
        <w:t>Variación y contribución del IPC en Colombia por grupos y subgrupos</w:t>
      </w:r>
      <w:bookmarkEnd w:id="77"/>
      <w:bookmarkEnd w:id="78"/>
    </w:p>
    <w:p w:rsidR="006C7AA9" w:rsidRPr="00E44B2A" w:rsidRDefault="006C7AA9" w:rsidP="006C7AA9">
      <w:pPr>
        <w:pStyle w:val="Sinespaciado"/>
        <w:spacing w:line="360" w:lineRule="auto"/>
        <w:rPr>
          <w:rFonts w:ascii="Times New Roman" w:hAnsi="Times New Roman"/>
          <w:sz w:val="24"/>
          <w:szCs w:val="24"/>
        </w:rPr>
      </w:pPr>
    </w:p>
    <w:p w:rsidR="006C7AA9" w:rsidRPr="00E44B2A" w:rsidRDefault="00625C35" w:rsidP="00AD5B19">
      <w:pPr>
        <w:pStyle w:val="Sinespaciado"/>
        <w:spacing w:line="360" w:lineRule="auto"/>
        <w:ind w:firstLine="284"/>
        <w:rPr>
          <w:rFonts w:ascii="Times New Roman" w:hAnsi="Times New Roman"/>
          <w:sz w:val="24"/>
          <w:szCs w:val="24"/>
        </w:rPr>
      </w:pPr>
      <w:r>
        <w:rPr>
          <w:rFonts w:ascii="Times New Roman" w:hAnsi="Times New Roman"/>
          <w:sz w:val="24"/>
          <w:szCs w:val="24"/>
        </w:rPr>
        <w:t xml:space="preserve">Dentro de </w:t>
      </w:r>
      <w:r w:rsidR="006C7AA9" w:rsidRPr="00E44B2A">
        <w:rPr>
          <w:rFonts w:ascii="Times New Roman" w:hAnsi="Times New Roman"/>
          <w:sz w:val="24"/>
          <w:szCs w:val="24"/>
        </w:rPr>
        <w:t xml:space="preserve">los grupos que conforman la canasta que proporcionan los datos para la medición de la variación del IPC, los que muestran mayor incremento </w:t>
      </w:r>
      <w:r w:rsidR="00AD5B19">
        <w:rPr>
          <w:rFonts w:ascii="Times New Roman" w:hAnsi="Times New Roman"/>
          <w:sz w:val="24"/>
          <w:szCs w:val="24"/>
        </w:rPr>
        <w:t>en</w:t>
      </w:r>
      <w:r w:rsidR="006C7AA9" w:rsidRPr="00E44B2A">
        <w:rPr>
          <w:rFonts w:ascii="Times New Roman" w:hAnsi="Times New Roman"/>
          <w:sz w:val="24"/>
          <w:szCs w:val="24"/>
        </w:rPr>
        <w:t xml:space="preserve"> la vigencia 2013, superiores al crecimiento del IPC del 1,94%, fueron: Educación con el 4,37%, seguido por Salud con el 3,29%, Comunicaciones con el 2,75% y Vivienda con el 2,74%.</w:t>
      </w:r>
    </w:p>
    <w:p w:rsidR="006C7AA9" w:rsidRPr="00E44B2A" w:rsidRDefault="006C7AA9" w:rsidP="006C7AA9">
      <w:pPr>
        <w:spacing w:line="360" w:lineRule="auto"/>
        <w:jc w:val="both"/>
        <w:rPr>
          <w:lang w:val="es-ES"/>
        </w:rPr>
      </w:pPr>
    </w:p>
    <w:p w:rsidR="006C7AA9" w:rsidRPr="00E44B2A" w:rsidRDefault="006C7AA9" w:rsidP="006C7AA9">
      <w:pPr>
        <w:pStyle w:val="Sinespaciado"/>
        <w:rPr>
          <w:rFonts w:ascii="Times New Roman" w:hAnsi="Times New Roman"/>
          <w:sz w:val="24"/>
          <w:szCs w:val="24"/>
        </w:rPr>
      </w:pPr>
      <w:r w:rsidRPr="00E44B2A">
        <w:rPr>
          <w:rFonts w:ascii="Times New Roman" w:hAnsi="Times New Roman"/>
          <w:sz w:val="24"/>
          <w:szCs w:val="24"/>
        </w:rPr>
        <w:t>Tabla 8.3</w:t>
      </w:r>
    </w:p>
    <w:p w:rsidR="006C7AA9" w:rsidRPr="00E44B2A" w:rsidRDefault="006C7AA9" w:rsidP="006C7AA9">
      <w:pPr>
        <w:pStyle w:val="Sinespaciado"/>
        <w:rPr>
          <w:rFonts w:ascii="Times New Roman" w:hAnsi="Times New Roman"/>
          <w:sz w:val="24"/>
          <w:szCs w:val="24"/>
        </w:rPr>
      </w:pPr>
      <w:r w:rsidRPr="00E44B2A">
        <w:rPr>
          <w:rFonts w:ascii="Times New Roman" w:hAnsi="Times New Roman"/>
          <w:sz w:val="24"/>
          <w:szCs w:val="24"/>
        </w:rPr>
        <w:t>COLOMBIA. IPC Variación y contribución mensual y anual</w:t>
      </w:r>
    </w:p>
    <w:p w:rsidR="006C7AA9" w:rsidRPr="00E44B2A" w:rsidRDefault="006C7AA9" w:rsidP="006C7AA9">
      <w:pPr>
        <w:pStyle w:val="Sinespaciado"/>
        <w:rPr>
          <w:rFonts w:ascii="Times New Roman" w:hAnsi="Times New Roman"/>
          <w:sz w:val="24"/>
          <w:szCs w:val="24"/>
        </w:rPr>
      </w:pPr>
      <w:r w:rsidRPr="00E44B2A">
        <w:rPr>
          <w:rFonts w:ascii="Times New Roman" w:hAnsi="Times New Roman"/>
          <w:sz w:val="24"/>
          <w:szCs w:val="24"/>
        </w:rPr>
        <w:t>Diciembre de 2013</w:t>
      </w:r>
    </w:p>
    <w:p w:rsidR="006C7AA9" w:rsidRPr="00E44B2A" w:rsidRDefault="006C7AA9" w:rsidP="006C7AA9">
      <w:pPr>
        <w:pStyle w:val="Sinespaciado"/>
        <w:rPr>
          <w:rFonts w:ascii="Times New Roman" w:hAnsi="Times New Roman"/>
          <w:sz w:val="24"/>
          <w:szCs w:val="24"/>
        </w:rPr>
      </w:pPr>
    </w:p>
    <w:tbl>
      <w:tblPr>
        <w:tblW w:w="9282" w:type="dxa"/>
        <w:tblInd w:w="55" w:type="dxa"/>
        <w:tblCellMar>
          <w:left w:w="70" w:type="dxa"/>
          <w:right w:w="70" w:type="dxa"/>
        </w:tblCellMar>
        <w:tblLook w:val="04A0" w:firstRow="1" w:lastRow="0" w:firstColumn="1" w:lastColumn="0" w:noHBand="0" w:noVBand="1"/>
      </w:tblPr>
      <w:tblGrid>
        <w:gridCol w:w="764"/>
        <w:gridCol w:w="4098"/>
        <w:gridCol w:w="1283"/>
        <w:gridCol w:w="998"/>
        <w:gridCol w:w="1227"/>
        <w:gridCol w:w="912"/>
      </w:tblGrid>
      <w:tr w:rsidR="006C7AA9" w:rsidRPr="00AD5B19" w:rsidTr="000A5EE0">
        <w:trPr>
          <w:trHeight w:val="675"/>
          <w:tblHeader/>
        </w:trPr>
        <w:tc>
          <w:tcPr>
            <w:tcW w:w="764" w:type="dxa"/>
            <w:vMerge w:val="restart"/>
            <w:tcBorders>
              <w:top w:val="single" w:sz="4" w:space="0" w:color="auto"/>
            </w:tcBorders>
            <w:shd w:val="clear" w:color="auto" w:fill="auto"/>
            <w:noWrap/>
            <w:vAlign w:val="center"/>
            <w:hideMark/>
          </w:tcPr>
          <w:p w:rsidR="006C7AA9" w:rsidRPr="00AD5B19" w:rsidRDefault="006C7AA9" w:rsidP="000A5EE0">
            <w:pPr>
              <w:spacing w:line="360" w:lineRule="auto"/>
              <w:jc w:val="center"/>
              <w:rPr>
                <w:b/>
                <w:bCs/>
                <w:color w:val="000000"/>
                <w:sz w:val="20"/>
                <w:szCs w:val="20"/>
              </w:rPr>
            </w:pPr>
            <w:r w:rsidRPr="00AD5B19">
              <w:rPr>
                <w:b/>
                <w:bCs/>
                <w:color w:val="000000"/>
                <w:sz w:val="20"/>
                <w:szCs w:val="20"/>
              </w:rPr>
              <w:t>CÓD.</w:t>
            </w:r>
          </w:p>
        </w:tc>
        <w:tc>
          <w:tcPr>
            <w:tcW w:w="4098" w:type="dxa"/>
            <w:vMerge w:val="restart"/>
            <w:tcBorders>
              <w:top w:val="single" w:sz="4" w:space="0" w:color="auto"/>
            </w:tcBorders>
            <w:shd w:val="clear" w:color="auto" w:fill="auto"/>
            <w:noWrap/>
            <w:vAlign w:val="center"/>
            <w:hideMark/>
          </w:tcPr>
          <w:p w:rsidR="006C7AA9" w:rsidRPr="00AD5B19" w:rsidRDefault="006C7AA9" w:rsidP="000A5EE0">
            <w:pPr>
              <w:spacing w:line="360" w:lineRule="auto"/>
              <w:jc w:val="center"/>
              <w:rPr>
                <w:b/>
                <w:bCs/>
                <w:color w:val="000000"/>
                <w:sz w:val="20"/>
                <w:szCs w:val="20"/>
              </w:rPr>
            </w:pPr>
            <w:r w:rsidRPr="00AD5B19">
              <w:rPr>
                <w:b/>
                <w:bCs/>
                <w:color w:val="000000"/>
                <w:sz w:val="20"/>
                <w:szCs w:val="20"/>
              </w:rPr>
              <w:t>GRUPO Y SUBGRUPO</w:t>
            </w:r>
          </w:p>
        </w:tc>
        <w:tc>
          <w:tcPr>
            <w:tcW w:w="2281" w:type="dxa"/>
            <w:gridSpan w:val="2"/>
            <w:tcBorders>
              <w:top w:val="single" w:sz="4" w:space="0" w:color="auto"/>
            </w:tcBorders>
            <w:shd w:val="clear" w:color="auto" w:fill="auto"/>
            <w:noWrap/>
            <w:vAlign w:val="center"/>
            <w:hideMark/>
          </w:tcPr>
          <w:p w:rsidR="006C7AA9" w:rsidRPr="00AD5B19" w:rsidRDefault="006C7AA9" w:rsidP="000A5EE0">
            <w:pPr>
              <w:spacing w:line="360" w:lineRule="auto"/>
              <w:jc w:val="center"/>
              <w:rPr>
                <w:b/>
                <w:bCs/>
                <w:color w:val="000000"/>
                <w:sz w:val="20"/>
                <w:szCs w:val="20"/>
              </w:rPr>
            </w:pPr>
            <w:r w:rsidRPr="00AD5B19">
              <w:rPr>
                <w:b/>
                <w:bCs/>
                <w:color w:val="000000"/>
                <w:sz w:val="20"/>
                <w:szCs w:val="20"/>
              </w:rPr>
              <w:t>VARIACION %</w:t>
            </w:r>
          </w:p>
        </w:tc>
        <w:tc>
          <w:tcPr>
            <w:tcW w:w="2139" w:type="dxa"/>
            <w:gridSpan w:val="2"/>
            <w:tcBorders>
              <w:top w:val="single" w:sz="4" w:space="0" w:color="auto"/>
            </w:tcBorders>
            <w:shd w:val="clear" w:color="auto" w:fill="auto"/>
            <w:vAlign w:val="center"/>
            <w:hideMark/>
          </w:tcPr>
          <w:p w:rsidR="006C7AA9" w:rsidRPr="00AD5B19" w:rsidRDefault="006C7AA9" w:rsidP="000A5EE0">
            <w:pPr>
              <w:pStyle w:val="Sinespaciado"/>
              <w:ind w:firstLine="213"/>
              <w:jc w:val="center"/>
              <w:rPr>
                <w:rFonts w:ascii="Times New Roman" w:hAnsi="Times New Roman"/>
                <w:b/>
                <w:sz w:val="20"/>
                <w:szCs w:val="20"/>
                <w:lang w:eastAsia="es-CO"/>
              </w:rPr>
            </w:pPr>
            <w:r w:rsidRPr="00AD5B19">
              <w:rPr>
                <w:rFonts w:ascii="Times New Roman" w:hAnsi="Times New Roman"/>
                <w:b/>
                <w:sz w:val="20"/>
                <w:szCs w:val="20"/>
                <w:lang w:eastAsia="es-CO"/>
              </w:rPr>
              <w:t>CONTRIBUCION (PUNTOS %)</w:t>
            </w:r>
          </w:p>
        </w:tc>
      </w:tr>
      <w:tr w:rsidR="006C7AA9" w:rsidRPr="00AD5B19" w:rsidTr="000A5EE0">
        <w:trPr>
          <w:trHeight w:val="400"/>
          <w:tblHeader/>
        </w:trPr>
        <w:tc>
          <w:tcPr>
            <w:tcW w:w="764" w:type="dxa"/>
            <w:vMerge/>
            <w:tcBorders>
              <w:bottom w:val="single" w:sz="4" w:space="0" w:color="auto"/>
            </w:tcBorders>
            <w:shd w:val="clear" w:color="auto" w:fill="auto"/>
            <w:vAlign w:val="center"/>
            <w:hideMark/>
          </w:tcPr>
          <w:p w:rsidR="006C7AA9" w:rsidRPr="00AD5B19" w:rsidRDefault="006C7AA9" w:rsidP="000A5EE0">
            <w:pPr>
              <w:spacing w:line="360" w:lineRule="auto"/>
              <w:jc w:val="center"/>
              <w:rPr>
                <w:b/>
                <w:bCs/>
                <w:color w:val="000000"/>
                <w:sz w:val="20"/>
                <w:szCs w:val="20"/>
              </w:rPr>
            </w:pPr>
          </w:p>
        </w:tc>
        <w:tc>
          <w:tcPr>
            <w:tcW w:w="4098" w:type="dxa"/>
            <w:vMerge/>
            <w:tcBorders>
              <w:bottom w:val="single" w:sz="4" w:space="0" w:color="auto"/>
            </w:tcBorders>
            <w:shd w:val="clear" w:color="auto" w:fill="auto"/>
            <w:vAlign w:val="center"/>
            <w:hideMark/>
          </w:tcPr>
          <w:p w:rsidR="006C7AA9" w:rsidRPr="00AD5B19" w:rsidRDefault="006C7AA9" w:rsidP="000A5EE0">
            <w:pPr>
              <w:spacing w:line="360" w:lineRule="auto"/>
              <w:jc w:val="center"/>
              <w:rPr>
                <w:b/>
                <w:bCs/>
                <w:color w:val="000000"/>
                <w:sz w:val="20"/>
                <w:szCs w:val="20"/>
              </w:rPr>
            </w:pPr>
          </w:p>
        </w:tc>
        <w:tc>
          <w:tcPr>
            <w:tcW w:w="1283" w:type="dxa"/>
            <w:tcBorders>
              <w:bottom w:val="single" w:sz="4" w:space="0" w:color="auto"/>
            </w:tcBorders>
            <w:shd w:val="clear" w:color="auto" w:fill="auto"/>
            <w:noWrap/>
            <w:vAlign w:val="center"/>
            <w:hideMark/>
          </w:tcPr>
          <w:p w:rsidR="006C7AA9" w:rsidRPr="00AD5B19" w:rsidRDefault="006C7AA9" w:rsidP="000A5EE0">
            <w:pPr>
              <w:spacing w:line="360" w:lineRule="auto"/>
              <w:jc w:val="center"/>
              <w:rPr>
                <w:b/>
                <w:bCs/>
                <w:color w:val="000000"/>
                <w:sz w:val="20"/>
                <w:szCs w:val="20"/>
              </w:rPr>
            </w:pPr>
            <w:r w:rsidRPr="00AD5B19">
              <w:rPr>
                <w:b/>
                <w:bCs/>
                <w:color w:val="000000"/>
                <w:sz w:val="20"/>
                <w:szCs w:val="20"/>
              </w:rPr>
              <w:t>MENSUAL</w:t>
            </w:r>
          </w:p>
        </w:tc>
        <w:tc>
          <w:tcPr>
            <w:tcW w:w="998" w:type="dxa"/>
            <w:tcBorders>
              <w:bottom w:val="single" w:sz="4" w:space="0" w:color="auto"/>
            </w:tcBorders>
            <w:shd w:val="clear" w:color="auto" w:fill="auto"/>
            <w:noWrap/>
            <w:vAlign w:val="center"/>
            <w:hideMark/>
          </w:tcPr>
          <w:p w:rsidR="006C7AA9" w:rsidRPr="00AD5B19" w:rsidRDefault="006C7AA9" w:rsidP="000A5EE0">
            <w:pPr>
              <w:spacing w:line="360" w:lineRule="auto"/>
              <w:jc w:val="center"/>
              <w:rPr>
                <w:b/>
                <w:bCs/>
                <w:color w:val="000000"/>
                <w:sz w:val="20"/>
                <w:szCs w:val="20"/>
              </w:rPr>
            </w:pPr>
            <w:r w:rsidRPr="00AD5B19">
              <w:rPr>
                <w:b/>
                <w:bCs/>
                <w:color w:val="000000"/>
                <w:sz w:val="20"/>
                <w:szCs w:val="20"/>
              </w:rPr>
              <w:t>ANUAL</w:t>
            </w:r>
          </w:p>
        </w:tc>
        <w:tc>
          <w:tcPr>
            <w:tcW w:w="1227" w:type="dxa"/>
            <w:tcBorders>
              <w:bottom w:val="single" w:sz="4" w:space="0" w:color="auto"/>
            </w:tcBorders>
            <w:shd w:val="clear" w:color="auto" w:fill="auto"/>
            <w:noWrap/>
            <w:vAlign w:val="center"/>
            <w:hideMark/>
          </w:tcPr>
          <w:p w:rsidR="006C7AA9" w:rsidRPr="00AD5B19" w:rsidRDefault="006C7AA9" w:rsidP="000A5EE0">
            <w:pPr>
              <w:spacing w:line="360" w:lineRule="auto"/>
              <w:jc w:val="center"/>
              <w:rPr>
                <w:b/>
                <w:bCs/>
                <w:color w:val="000000"/>
                <w:sz w:val="20"/>
                <w:szCs w:val="20"/>
              </w:rPr>
            </w:pPr>
            <w:r w:rsidRPr="00AD5B19">
              <w:rPr>
                <w:b/>
                <w:bCs/>
                <w:color w:val="000000"/>
                <w:sz w:val="20"/>
                <w:szCs w:val="20"/>
              </w:rPr>
              <w:t>MENSUAL</w:t>
            </w:r>
          </w:p>
        </w:tc>
        <w:tc>
          <w:tcPr>
            <w:tcW w:w="912" w:type="dxa"/>
            <w:tcBorders>
              <w:bottom w:val="single" w:sz="4" w:space="0" w:color="auto"/>
            </w:tcBorders>
            <w:shd w:val="clear" w:color="auto" w:fill="auto"/>
            <w:noWrap/>
            <w:vAlign w:val="center"/>
            <w:hideMark/>
          </w:tcPr>
          <w:p w:rsidR="006C7AA9" w:rsidRPr="00AD5B19" w:rsidRDefault="006C7AA9" w:rsidP="000A5EE0">
            <w:pPr>
              <w:spacing w:line="360" w:lineRule="auto"/>
              <w:jc w:val="center"/>
              <w:rPr>
                <w:b/>
                <w:bCs/>
                <w:color w:val="000000"/>
                <w:sz w:val="20"/>
                <w:szCs w:val="20"/>
              </w:rPr>
            </w:pPr>
            <w:r w:rsidRPr="00AD5B19">
              <w:rPr>
                <w:b/>
                <w:bCs/>
                <w:color w:val="000000"/>
                <w:sz w:val="20"/>
                <w:szCs w:val="20"/>
              </w:rPr>
              <w:t>ANUAL</w:t>
            </w:r>
          </w:p>
        </w:tc>
      </w:tr>
      <w:tr w:rsidR="006C7AA9" w:rsidRPr="00AD5B19" w:rsidTr="000A5EE0">
        <w:trPr>
          <w:trHeight w:val="400"/>
        </w:trPr>
        <w:tc>
          <w:tcPr>
            <w:tcW w:w="764" w:type="dxa"/>
            <w:tcBorders>
              <w:top w:val="single" w:sz="4" w:space="0" w:color="auto"/>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1</w:t>
            </w:r>
          </w:p>
        </w:tc>
        <w:tc>
          <w:tcPr>
            <w:tcW w:w="4098" w:type="dxa"/>
            <w:tcBorders>
              <w:top w:val="single" w:sz="4" w:space="0" w:color="auto"/>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Alimentos</w:t>
            </w:r>
          </w:p>
        </w:tc>
        <w:tc>
          <w:tcPr>
            <w:tcW w:w="1283" w:type="dxa"/>
            <w:tcBorders>
              <w:top w:val="single" w:sz="4" w:space="0" w:color="auto"/>
            </w:tcBorders>
            <w:shd w:val="clear" w:color="auto" w:fill="auto"/>
            <w:noWrap/>
            <w:vAlign w:val="center"/>
            <w:hideMark/>
          </w:tcPr>
          <w:p w:rsidR="006C7AA9" w:rsidRPr="00AD5B19" w:rsidRDefault="006C7AA9" w:rsidP="00AD5B19">
            <w:pPr>
              <w:spacing w:line="360" w:lineRule="auto"/>
              <w:jc w:val="center"/>
              <w:rPr>
                <w:sz w:val="20"/>
                <w:szCs w:val="20"/>
              </w:rPr>
            </w:pPr>
            <w:r w:rsidRPr="00AD5B19">
              <w:rPr>
                <w:sz w:val="20"/>
                <w:szCs w:val="20"/>
              </w:rPr>
              <w:t>0,31</w:t>
            </w:r>
          </w:p>
        </w:tc>
        <w:tc>
          <w:tcPr>
            <w:tcW w:w="998" w:type="dxa"/>
            <w:tcBorders>
              <w:top w:val="single" w:sz="4" w:space="0" w:color="auto"/>
            </w:tcBorders>
            <w:shd w:val="clear" w:color="auto" w:fill="auto"/>
            <w:noWrap/>
            <w:vAlign w:val="center"/>
            <w:hideMark/>
          </w:tcPr>
          <w:p w:rsidR="006C7AA9" w:rsidRPr="00AD5B19" w:rsidRDefault="006C7AA9" w:rsidP="00AD5B19">
            <w:pPr>
              <w:spacing w:line="360" w:lineRule="auto"/>
              <w:jc w:val="center"/>
              <w:rPr>
                <w:sz w:val="20"/>
                <w:szCs w:val="20"/>
              </w:rPr>
            </w:pPr>
            <w:r w:rsidRPr="00AD5B19">
              <w:rPr>
                <w:sz w:val="20"/>
                <w:szCs w:val="20"/>
              </w:rPr>
              <w:t>0,86</w:t>
            </w:r>
          </w:p>
        </w:tc>
        <w:tc>
          <w:tcPr>
            <w:tcW w:w="1227" w:type="dxa"/>
            <w:tcBorders>
              <w:top w:val="single" w:sz="4" w:space="0" w:color="auto"/>
            </w:tcBorders>
            <w:shd w:val="clear" w:color="auto" w:fill="auto"/>
            <w:noWrap/>
            <w:vAlign w:val="center"/>
            <w:hideMark/>
          </w:tcPr>
          <w:p w:rsidR="006C7AA9" w:rsidRPr="00AD5B19" w:rsidRDefault="006C7AA9" w:rsidP="00AD5B19">
            <w:pPr>
              <w:spacing w:line="360" w:lineRule="auto"/>
              <w:jc w:val="center"/>
              <w:rPr>
                <w:sz w:val="20"/>
                <w:szCs w:val="20"/>
              </w:rPr>
            </w:pPr>
            <w:r w:rsidRPr="00AD5B19">
              <w:rPr>
                <w:sz w:val="20"/>
                <w:szCs w:val="20"/>
              </w:rPr>
              <w:t>0,09</w:t>
            </w:r>
          </w:p>
        </w:tc>
        <w:tc>
          <w:tcPr>
            <w:tcW w:w="912" w:type="dxa"/>
            <w:tcBorders>
              <w:top w:val="single" w:sz="4" w:space="0" w:color="auto"/>
            </w:tcBorders>
            <w:shd w:val="clear" w:color="auto" w:fill="auto"/>
            <w:noWrap/>
            <w:vAlign w:val="center"/>
            <w:hideMark/>
          </w:tcPr>
          <w:p w:rsidR="006C7AA9" w:rsidRPr="00AD5B19" w:rsidRDefault="006C7AA9" w:rsidP="00AD5B19">
            <w:pPr>
              <w:spacing w:line="360" w:lineRule="auto"/>
              <w:jc w:val="center"/>
              <w:rPr>
                <w:sz w:val="20"/>
                <w:szCs w:val="20"/>
              </w:rPr>
            </w:pPr>
            <w:r w:rsidRPr="00AD5B19">
              <w:rPr>
                <w:sz w:val="20"/>
                <w:szCs w:val="20"/>
              </w:rPr>
              <w:t>0,24</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11</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Cereales y productos de panadería</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0,24</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-5,02</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-0,18</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12</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Tubérculos y plátanos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-3,32</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-9,48</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-0,03</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-0,08</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13</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Hortalizas y legumbres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3,90</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-0,95</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0,06</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14</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Frutas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-2,92</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8,12</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-0,03</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0,08</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lastRenderedPageBreak/>
              <w:t>15</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Carnes y derivados de la carne</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0,52</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3,00</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0,13</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16</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Pescado y otras de mar</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-0,42</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3,80</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17</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Lácteos, grasas y huevos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0,57</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18</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Alimentos varios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0,16</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-0,75</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19</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Comidas fuera del hogar</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0,54</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3,26</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0,05</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0,29</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2</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Vivienda</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0,29</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2,74</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0,09</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0,85</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21</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Gasto de ocupación</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0,17</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3,60</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0,04</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0,75</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22</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Gas y servicios públicos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0,74</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1,37</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0,05</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0,09</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23</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Muebles del hogar</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-0,06</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-0,24</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24</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Aparatos domésticos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0,04</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-0,85</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25</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Utensilios domésticos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0,84</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26</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Ropa del hogar</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-0,06</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-0,39</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27</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Artículos para limpieza</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0,23</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0,35</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3</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Vestuario</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0,17</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0,94</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0,04</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31</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Vestuario</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0,12</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0,70</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32</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Calzado</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0,31</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1,31</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33</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Servicios de vestuario</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0,35</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3,46</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4</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Salud</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0,22</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3,29</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41</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Servicios de salud</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0,04</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3,29</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42</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Bienes y artículos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0,14</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4,89</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0,07</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43</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Gastos de aseguramiento privado y otros gastos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0,57</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4,24</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0,03</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5</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Educación</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4,37</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0,27</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51</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Instrucción y enseñanza</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4,90</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0,26</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52</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Artículos escolares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1,19</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6</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Diversión</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1,46</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1,84</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0,04</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0,05</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61</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Artículos culturales y otros artículos relacionados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0,23</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-0,33</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62</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Aparatos para diversión y esparcimiento</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-0,46</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-4,04</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-0,02</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lastRenderedPageBreak/>
              <w:t>63</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Servicios de diversión</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2,31</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4,04</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0,04</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0,07</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7</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Transporte</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0,34</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1,39</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0,05</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0,20</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71</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Transporte personal</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-0,04</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-0,72</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-0,05</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72</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Transporte público</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0,73</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3,64</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0,05</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0,26</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8</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Comunicaciones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-0,23</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2,75</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0,10</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81</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Comunicaciones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-0,23</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2,75</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0,10</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9</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Otros gastos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-0,14</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1,02</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0,06</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91</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Bebidas alcohólicas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-0,44</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2,07</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0,03</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92</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Artículos para el aseo y cuidado personal</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-0,13</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0,67</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0,03</w:t>
            </w:r>
          </w:p>
        </w:tc>
      </w:tr>
      <w:tr w:rsidR="006C7AA9" w:rsidRPr="00AD5B19" w:rsidTr="000A5EE0">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93</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Artículos de joyería y otros personales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-1,66</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r>
      <w:tr w:rsidR="006C7AA9" w:rsidRPr="00AD5B19" w:rsidTr="00AD5B19">
        <w:trPr>
          <w:trHeight w:val="400"/>
        </w:trPr>
        <w:tc>
          <w:tcPr>
            <w:tcW w:w="764"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94</w:t>
            </w:r>
          </w:p>
        </w:tc>
        <w:tc>
          <w:tcPr>
            <w:tcW w:w="4098" w:type="dxa"/>
            <w:tcBorders>
              <w:top w:val="nil"/>
            </w:tcBorders>
            <w:shd w:val="clear" w:color="auto" w:fill="auto"/>
            <w:noWrap/>
            <w:vAlign w:val="center"/>
            <w:hideMark/>
          </w:tcPr>
          <w:p w:rsidR="006C7AA9" w:rsidRPr="00AD5B19" w:rsidRDefault="006C7AA9" w:rsidP="000A5EE0">
            <w:pPr>
              <w:spacing w:line="360" w:lineRule="auto"/>
              <w:jc w:val="both"/>
              <w:rPr>
                <w:color w:val="000000"/>
                <w:sz w:val="20"/>
                <w:szCs w:val="20"/>
              </w:rPr>
            </w:pPr>
            <w:r w:rsidRPr="00AD5B19">
              <w:rPr>
                <w:color w:val="000000"/>
                <w:sz w:val="20"/>
                <w:szCs w:val="20"/>
              </w:rPr>
              <w:t>Otros bienes y servicios</w:t>
            </w:r>
          </w:p>
        </w:tc>
        <w:tc>
          <w:tcPr>
            <w:tcW w:w="1283"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0,38</w:t>
            </w:r>
          </w:p>
        </w:tc>
        <w:tc>
          <w:tcPr>
            <w:tcW w:w="998"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2,31</w:t>
            </w:r>
          </w:p>
        </w:tc>
        <w:tc>
          <w:tcPr>
            <w:tcW w:w="1227"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0,00</w:t>
            </w:r>
          </w:p>
        </w:tc>
        <w:tc>
          <w:tcPr>
            <w:tcW w:w="912" w:type="dxa"/>
            <w:tcBorders>
              <w:top w:val="nil"/>
            </w:tcBorders>
            <w:shd w:val="clear" w:color="auto" w:fill="auto"/>
            <w:noWrap/>
            <w:vAlign w:val="center"/>
            <w:hideMark/>
          </w:tcPr>
          <w:p w:rsidR="006C7AA9" w:rsidRPr="00AD5B19" w:rsidRDefault="006C7AA9" w:rsidP="00AD5B19">
            <w:pPr>
              <w:spacing w:line="360" w:lineRule="auto"/>
              <w:jc w:val="center"/>
              <w:rPr>
                <w:color w:val="000000"/>
                <w:sz w:val="20"/>
                <w:szCs w:val="20"/>
              </w:rPr>
            </w:pPr>
            <w:r w:rsidRPr="00AD5B19">
              <w:rPr>
                <w:color w:val="000000"/>
                <w:sz w:val="20"/>
                <w:szCs w:val="20"/>
              </w:rPr>
              <w:t>0,01</w:t>
            </w:r>
          </w:p>
        </w:tc>
      </w:tr>
      <w:tr w:rsidR="006C7AA9" w:rsidRPr="00AD5B19" w:rsidTr="00AD5B19">
        <w:trPr>
          <w:trHeight w:val="400"/>
        </w:trPr>
        <w:tc>
          <w:tcPr>
            <w:tcW w:w="764" w:type="dxa"/>
            <w:tcBorders>
              <w:bottom w:val="single" w:sz="4" w:space="0" w:color="auto"/>
            </w:tcBorders>
            <w:shd w:val="clear" w:color="auto" w:fill="auto"/>
            <w:noWrap/>
            <w:vAlign w:val="center"/>
          </w:tcPr>
          <w:p w:rsidR="006C7AA9" w:rsidRPr="00AD5B19" w:rsidRDefault="006C7AA9" w:rsidP="000A5EE0">
            <w:pPr>
              <w:spacing w:line="360" w:lineRule="auto"/>
              <w:jc w:val="both"/>
              <w:rPr>
                <w:color w:val="000000"/>
                <w:sz w:val="20"/>
                <w:szCs w:val="20"/>
              </w:rPr>
            </w:pPr>
          </w:p>
        </w:tc>
        <w:tc>
          <w:tcPr>
            <w:tcW w:w="4098" w:type="dxa"/>
            <w:tcBorders>
              <w:bottom w:val="single" w:sz="4" w:space="0" w:color="auto"/>
            </w:tcBorders>
            <w:shd w:val="clear" w:color="auto" w:fill="auto"/>
            <w:noWrap/>
            <w:vAlign w:val="center"/>
          </w:tcPr>
          <w:p w:rsidR="006C7AA9" w:rsidRPr="00AD5B19" w:rsidRDefault="006C7AA9" w:rsidP="000A5EE0">
            <w:pPr>
              <w:spacing w:line="360" w:lineRule="auto"/>
              <w:jc w:val="both"/>
              <w:rPr>
                <w:color w:val="000000"/>
                <w:sz w:val="20"/>
                <w:szCs w:val="20"/>
              </w:rPr>
            </w:pPr>
            <w:r w:rsidRPr="00AD5B19">
              <w:rPr>
                <w:color w:val="000000"/>
                <w:sz w:val="20"/>
                <w:szCs w:val="20"/>
              </w:rPr>
              <w:t>TOTAL</w:t>
            </w:r>
          </w:p>
        </w:tc>
        <w:tc>
          <w:tcPr>
            <w:tcW w:w="1283" w:type="dxa"/>
            <w:tcBorders>
              <w:bottom w:val="single" w:sz="4" w:space="0" w:color="auto"/>
            </w:tcBorders>
            <w:shd w:val="clear" w:color="auto" w:fill="auto"/>
            <w:noWrap/>
            <w:vAlign w:val="center"/>
          </w:tcPr>
          <w:p w:rsidR="006C7AA9" w:rsidRPr="00AD5B19" w:rsidRDefault="006C7AA9" w:rsidP="00AD5B19">
            <w:pPr>
              <w:spacing w:line="360" w:lineRule="auto"/>
              <w:jc w:val="center"/>
              <w:rPr>
                <w:bCs/>
                <w:color w:val="000000"/>
                <w:sz w:val="20"/>
                <w:szCs w:val="20"/>
              </w:rPr>
            </w:pPr>
            <w:r w:rsidRPr="00AD5B19">
              <w:rPr>
                <w:bCs/>
                <w:color w:val="000000"/>
                <w:sz w:val="20"/>
                <w:szCs w:val="20"/>
              </w:rPr>
              <w:t>0,26</w:t>
            </w:r>
          </w:p>
        </w:tc>
        <w:tc>
          <w:tcPr>
            <w:tcW w:w="998" w:type="dxa"/>
            <w:tcBorders>
              <w:bottom w:val="single" w:sz="4" w:space="0" w:color="auto"/>
            </w:tcBorders>
            <w:shd w:val="clear" w:color="auto" w:fill="auto"/>
            <w:noWrap/>
            <w:vAlign w:val="center"/>
          </w:tcPr>
          <w:p w:rsidR="006C7AA9" w:rsidRPr="00AD5B19" w:rsidRDefault="006C7AA9" w:rsidP="00AD5B19">
            <w:pPr>
              <w:spacing w:line="360" w:lineRule="auto"/>
              <w:jc w:val="center"/>
              <w:rPr>
                <w:bCs/>
                <w:color w:val="000000"/>
                <w:sz w:val="20"/>
                <w:szCs w:val="20"/>
              </w:rPr>
            </w:pPr>
            <w:r w:rsidRPr="00AD5B19">
              <w:rPr>
                <w:bCs/>
                <w:color w:val="000000"/>
                <w:sz w:val="20"/>
                <w:szCs w:val="20"/>
              </w:rPr>
              <w:t>1,94</w:t>
            </w:r>
          </w:p>
        </w:tc>
        <w:tc>
          <w:tcPr>
            <w:tcW w:w="1227" w:type="dxa"/>
            <w:tcBorders>
              <w:bottom w:val="single" w:sz="4" w:space="0" w:color="auto"/>
            </w:tcBorders>
            <w:shd w:val="clear" w:color="auto" w:fill="auto"/>
            <w:noWrap/>
            <w:vAlign w:val="center"/>
          </w:tcPr>
          <w:p w:rsidR="006C7AA9" w:rsidRPr="00AD5B19" w:rsidRDefault="006C7AA9" w:rsidP="00AD5B19">
            <w:pPr>
              <w:spacing w:line="360" w:lineRule="auto"/>
              <w:jc w:val="center"/>
              <w:rPr>
                <w:bCs/>
                <w:color w:val="000000"/>
                <w:sz w:val="20"/>
                <w:szCs w:val="20"/>
              </w:rPr>
            </w:pPr>
            <w:r w:rsidRPr="00AD5B19">
              <w:rPr>
                <w:bCs/>
                <w:color w:val="000000"/>
                <w:sz w:val="20"/>
                <w:szCs w:val="20"/>
              </w:rPr>
              <w:t>0,26</w:t>
            </w:r>
          </w:p>
        </w:tc>
        <w:tc>
          <w:tcPr>
            <w:tcW w:w="912" w:type="dxa"/>
            <w:tcBorders>
              <w:bottom w:val="single" w:sz="4" w:space="0" w:color="auto"/>
            </w:tcBorders>
            <w:shd w:val="clear" w:color="auto" w:fill="auto"/>
            <w:noWrap/>
            <w:vAlign w:val="center"/>
          </w:tcPr>
          <w:p w:rsidR="006C7AA9" w:rsidRPr="00AD5B19" w:rsidRDefault="006C7AA9" w:rsidP="00AD5B19">
            <w:pPr>
              <w:spacing w:line="360" w:lineRule="auto"/>
              <w:jc w:val="center"/>
              <w:rPr>
                <w:bCs/>
                <w:color w:val="000000"/>
                <w:sz w:val="20"/>
                <w:szCs w:val="20"/>
              </w:rPr>
            </w:pPr>
            <w:r w:rsidRPr="00AD5B19">
              <w:rPr>
                <w:bCs/>
                <w:color w:val="000000"/>
                <w:sz w:val="20"/>
                <w:szCs w:val="20"/>
              </w:rPr>
              <w:t>1,94</w:t>
            </w:r>
          </w:p>
        </w:tc>
      </w:tr>
    </w:tbl>
    <w:p w:rsidR="006C7AA9" w:rsidRPr="00E44B2A" w:rsidRDefault="00AD5B19" w:rsidP="006C7AA9">
      <w:pPr>
        <w:spacing w:line="360" w:lineRule="auto"/>
        <w:jc w:val="both"/>
      </w:pPr>
      <w:r w:rsidRPr="00AD5B19">
        <w:rPr>
          <w:iCs/>
          <w:color w:val="000000"/>
          <w:sz w:val="20"/>
          <w:szCs w:val="20"/>
        </w:rPr>
        <w:t xml:space="preserve">Fuente: Departamento Administrativo Nacional de Estadística </w:t>
      </w:r>
      <w:r w:rsidR="008F5FB2">
        <w:rPr>
          <w:iCs/>
          <w:color w:val="000000"/>
          <w:sz w:val="20"/>
          <w:szCs w:val="20"/>
        </w:rPr>
        <w:t>DANE</w:t>
      </w:r>
    </w:p>
    <w:p w:rsidR="00AD5B19" w:rsidRDefault="00AD5B19" w:rsidP="006C7AA9">
      <w:pPr>
        <w:pStyle w:val="Sinespaciado"/>
        <w:spacing w:line="360" w:lineRule="auto"/>
        <w:ind w:firstLine="284"/>
        <w:rPr>
          <w:rFonts w:ascii="Times New Roman" w:hAnsi="Times New Roman"/>
          <w:sz w:val="24"/>
          <w:szCs w:val="24"/>
          <w:lang w:val="es-CO"/>
        </w:rPr>
      </w:pPr>
    </w:p>
    <w:p w:rsidR="006C7AA9" w:rsidRPr="00E44B2A" w:rsidRDefault="006C7AA9" w:rsidP="006C7AA9">
      <w:pPr>
        <w:pStyle w:val="Sinespaciado"/>
        <w:spacing w:line="360" w:lineRule="auto"/>
        <w:ind w:firstLine="284"/>
        <w:rPr>
          <w:rFonts w:ascii="Times New Roman" w:hAnsi="Times New Roman"/>
          <w:sz w:val="24"/>
          <w:szCs w:val="24"/>
        </w:rPr>
      </w:pPr>
      <w:r w:rsidRPr="00E44B2A">
        <w:rPr>
          <w:rFonts w:ascii="Times New Roman" w:hAnsi="Times New Roman"/>
          <w:sz w:val="24"/>
          <w:szCs w:val="24"/>
        </w:rPr>
        <w:t>Los grupos que presentaron crecimiento inferior al IPC Nacional del 2,94%, pero superior a la inflación del departamento del Quindío de 1,18%, fueron: Diversión con una participación del 1,84% y Transporte con el 1,39%.</w:t>
      </w:r>
    </w:p>
    <w:p w:rsidR="006C7AA9" w:rsidRPr="00E44B2A" w:rsidRDefault="006C7AA9" w:rsidP="006C7AA9">
      <w:pPr>
        <w:pStyle w:val="Sinespaciado"/>
        <w:spacing w:line="360" w:lineRule="auto"/>
        <w:ind w:firstLine="284"/>
        <w:rPr>
          <w:rFonts w:ascii="Times New Roman" w:hAnsi="Times New Roman"/>
          <w:sz w:val="24"/>
          <w:szCs w:val="24"/>
        </w:rPr>
      </w:pPr>
    </w:p>
    <w:p w:rsidR="006C7AA9" w:rsidRPr="00E44B2A" w:rsidRDefault="006C7AA9" w:rsidP="006C7AA9">
      <w:pPr>
        <w:pStyle w:val="Sinespaciado"/>
        <w:spacing w:line="360" w:lineRule="auto"/>
        <w:ind w:firstLine="284"/>
        <w:rPr>
          <w:rFonts w:ascii="Times New Roman" w:hAnsi="Times New Roman"/>
          <w:sz w:val="24"/>
          <w:szCs w:val="24"/>
        </w:rPr>
      </w:pPr>
      <w:r w:rsidRPr="00E44B2A">
        <w:rPr>
          <w:rFonts w:ascii="Times New Roman" w:hAnsi="Times New Roman"/>
          <w:sz w:val="24"/>
          <w:szCs w:val="24"/>
        </w:rPr>
        <w:t>Quedan los grupos de la Canasta Familiar que en el departamento del Quindío mostraron un comportamiento muy bajo en inflación, inferior al 1,18%, como fueron: Alimentos con el 0,86%; Vestuario con el 0,94% y Otros Gastos con el 1,02%.</w:t>
      </w:r>
    </w:p>
    <w:p w:rsidR="006C7AA9" w:rsidRDefault="006C7AA9" w:rsidP="006C7AA9">
      <w:pPr>
        <w:spacing w:line="360" w:lineRule="auto"/>
        <w:ind w:firstLine="284"/>
        <w:jc w:val="both"/>
        <w:rPr>
          <w:lang w:val="es-ES"/>
        </w:rPr>
      </w:pPr>
    </w:p>
    <w:p w:rsidR="006C7AA9" w:rsidRPr="00974949" w:rsidRDefault="00974949" w:rsidP="00974949">
      <w:pPr>
        <w:pStyle w:val="Ttulo2"/>
        <w:rPr>
          <w:rFonts w:ascii="Times New Roman" w:hAnsi="Times New Roman" w:cs="Times New Roman"/>
          <w:color w:val="auto"/>
          <w:sz w:val="30"/>
          <w:szCs w:val="30"/>
          <w:lang w:val="es-ES"/>
        </w:rPr>
      </w:pPr>
      <w:bookmarkStart w:id="79" w:name="_Toc406754333"/>
      <w:r w:rsidRPr="00974949">
        <w:rPr>
          <w:rFonts w:ascii="Times New Roman" w:hAnsi="Times New Roman" w:cs="Times New Roman"/>
          <w:color w:val="auto"/>
          <w:sz w:val="30"/>
          <w:szCs w:val="30"/>
          <w:lang w:val="es-ES"/>
        </w:rPr>
        <w:t>8.5</w:t>
      </w:r>
      <w:r w:rsidR="006C7AA9" w:rsidRPr="00974949">
        <w:rPr>
          <w:rFonts w:ascii="Times New Roman" w:hAnsi="Times New Roman" w:cs="Times New Roman"/>
          <w:color w:val="auto"/>
          <w:sz w:val="30"/>
          <w:szCs w:val="30"/>
          <w:lang w:val="es-ES"/>
        </w:rPr>
        <w:t xml:space="preserve"> Índice de Precios al Productor</w:t>
      </w:r>
      <w:bookmarkEnd w:id="79"/>
    </w:p>
    <w:p w:rsidR="006C7AA9" w:rsidRPr="00E44B2A" w:rsidRDefault="006C7AA9" w:rsidP="006C7AA9">
      <w:pPr>
        <w:pStyle w:val="Sinespaciado"/>
        <w:spacing w:line="360" w:lineRule="auto"/>
        <w:ind w:firstLine="284"/>
        <w:rPr>
          <w:rFonts w:ascii="Times New Roman" w:hAnsi="Times New Roman"/>
          <w:sz w:val="24"/>
          <w:szCs w:val="24"/>
        </w:rPr>
      </w:pPr>
    </w:p>
    <w:p w:rsidR="006C7AA9" w:rsidRPr="00E44B2A" w:rsidRDefault="006C7AA9" w:rsidP="006C7AA9">
      <w:pPr>
        <w:pStyle w:val="Sinespaciado"/>
        <w:spacing w:line="360" w:lineRule="auto"/>
        <w:ind w:firstLine="284"/>
        <w:rPr>
          <w:rFonts w:ascii="Times New Roman" w:hAnsi="Times New Roman"/>
          <w:sz w:val="24"/>
          <w:szCs w:val="24"/>
        </w:rPr>
      </w:pPr>
      <w:r w:rsidRPr="00E44B2A">
        <w:rPr>
          <w:rFonts w:ascii="Times New Roman" w:hAnsi="Times New Roman"/>
          <w:sz w:val="24"/>
          <w:szCs w:val="24"/>
        </w:rPr>
        <w:t>El Índice de Precios del Productor (IPP) es un indicador económico que presenta la variación promedio de precios de una canasta representativa de bienes ofrecidos al interior del país en la primera etapa de comercialización dentro de la estructura productiva del país.</w:t>
      </w:r>
    </w:p>
    <w:p w:rsidR="006C7AA9" w:rsidRPr="00E44B2A" w:rsidRDefault="006C7AA9" w:rsidP="006C7AA9">
      <w:pPr>
        <w:pStyle w:val="Sinespaciado"/>
        <w:spacing w:line="360" w:lineRule="auto"/>
        <w:ind w:firstLine="284"/>
        <w:rPr>
          <w:rFonts w:ascii="Times New Roman" w:hAnsi="Times New Roman"/>
          <w:sz w:val="24"/>
          <w:szCs w:val="24"/>
        </w:rPr>
      </w:pPr>
    </w:p>
    <w:p w:rsidR="006C7AA9" w:rsidRPr="00E44B2A" w:rsidRDefault="006C7AA9" w:rsidP="006C7AA9">
      <w:pPr>
        <w:pStyle w:val="Sinespaciado"/>
        <w:spacing w:line="360" w:lineRule="auto"/>
        <w:ind w:firstLine="284"/>
        <w:rPr>
          <w:rFonts w:ascii="Times New Roman" w:hAnsi="Times New Roman"/>
          <w:sz w:val="24"/>
          <w:szCs w:val="24"/>
        </w:rPr>
      </w:pPr>
      <w:r w:rsidRPr="00E44B2A">
        <w:rPr>
          <w:rFonts w:ascii="Times New Roman" w:hAnsi="Times New Roman"/>
          <w:sz w:val="24"/>
          <w:szCs w:val="24"/>
        </w:rPr>
        <w:t xml:space="preserve">Los primeros trabajos sobre IPP los realizó el Banco de la República en 1948 y en 1970 pasó a manos del </w:t>
      </w:r>
      <w:r w:rsidR="008F5FB2">
        <w:rPr>
          <w:rFonts w:ascii="Times New Roman" w:hAnsi="Times New Roman"/>
          <w:sz w:val="24"/>
          <w:szCs w:val="24"/>
        </w:rPr>
        <w:t>DANE</w:t>
      </w:r>
      <w:r w:rsidRPr="00E44B2A">
        <w:rPr>
          <w:rFonts w:ascii="Times New Roman" w:hAnsi="Times New Roman"/>
          <w:sz w:val="24"/>
          <w:szCs w:val="24"/>
        </w:rPr>
        <w:t>, el manejo y suministro de dicha información.</w:t>
      </w:r>
    </w:p>
    <w:p w:rsidR="006C7AA9" w:rsidRPr="00E44B2A" w:rsidRDefault="006C7AA9" w:rsidP="006C7AA9">
      <w:pPr>
        <w:pStyle w:val="Sinespaciado"/>
        <w:spacing w:line="360" w:lineRule="auto"/>
        <w:ind w:firstLine="284"/>
        <w:rPr>
          <w:rFonts w:ascii="Times New Roman" w:hAnsi="Times New Roman"/>
          <w:sz w:val="24"/>
          <w:szCs w:val="24"/>
        </w:rPr>
      </w:pPr>
    </w:p>
    <w:p w:rsidR="006C7AA9" w:rsidRPr="00E44B2A" w:rsidRDefault="006C7AA9" w:rsidP="006C7AA9">
      <w:pPr>
        <w:pStyle w:val="Sinespaciado"/>
        <w:spacing w:line="360" w:lineRule="auto"/>
        <w:ind w:firstLine="284"/>
        <w:rPr>
          <w:rFonts w:ascii="Times New Roman" w:hAnsi="Times New Roman"/>
          <w:sz w:val="24"/>
          <w:szCs w:val="24"/>
        </w:rPr>
      </w:pPr>
      <w:r w:rsidRPr="00E44B2A">
        <w:rPr>
          <w:rFonts w:ascii="Times New Roman" w:hAnsi="Times New Roman"/>
          <w:sz w:val="24"/>
          <w:szCs w:val="24"/>
        </w:rPr>
        <w:t>Según información</w:t>
      </w:r>
      <w:r w:rsidR="00974949">
        <w:rPr>
          <w:rFonts w:ascii="Times New Roman" w:hAnsi="Times New Roman"/>
          <w:sz w:val="24"/>
          <w:szCs w:val="24"/>
        </w:rPr>
        <w:t xml:space="preserve"> </w:t>
      </w:r>
      <w:r w:rsidRPr="00E44B2A">
        <w:rPr>
          <w:rFonts w:ascii="Times New Roman" w:hAnsi="Times New Roman"/>
          <w:sz w:val="24"/>
          <w:szCs w:val="24"/>
        </w:rPr>
        <w:t xml:space="preserve"> reportada por el </w:t>
      </w:r>
      <w:r w:rsidR="008F5FB2">
        <w:rPr>
          <w:rFonts w:ascii="Times New Roman" w:hAnsi="Times New Roman"/>
          <w:sz w:val="24"/>
          <w:szCs w:val="24"/>
        </w:rPr>
        <w:t>DANE</w:t>
      </w:r>
      <w:r w:rsidRPr="00E44B2A">
        <w:rPr>
          <w:rFonts w:ascii="Times New Roman" w:hAnsi="Times New Roman"/>
          <w:sz w:val="24"/>
          <w:szCs w:val="24"/>
        </w:rPr>
        <w:t>, las variaciones anuales presentadas para el Índice de Precios al Productor para la vigencia 2013 por sectores eco</w:t>
      </w:r>
      <w:r w:rsidR="00F71459">
        <w:rPr>
          <w:rFonts w:ascii="Times New Roman" w:hAnsi="Times New Roman"/>
          <w:sz w:val="24"/>
          <w:szCs w:val="24"/>
        </w:rPr>
        <w:t xml:space="preserve">nómicos de la oferta doméstica, </w:t>
      </w:r>
      <w:r w:rsidRPr="00E44B2A">
        <w:rPr>
          <w:rFonts w:ascii="Times New Roman" w:hAnsi="Times New Roman"/>
          <w:sz w:val="24"/>
          <w:szCs w:val="24"/>
        </w:rPr>
        <w:t>muestra</w:t>
      </w:r>
      <w:r w:rsidR="00974949">
        <w:rPr>
          <w:rFonts w:ascii="Times New Roman" w:hAnsi="Times New Roman"/>
          <w:sz w:val="24"/>
          <w:szCs w:val="24"/>
        </w:rPr>
        <w:t>n</w:t>
      </w:r>
      <w:r w:rsidR="00F71459">
        <w:rPr>
          <w:rFonts w:ascii="Times New Roman" w:hAnsi="Times New Roman"/>
          <w:sz w:val="24"/>
          <w:szCs w:val="24"/>
        </w:rPr>
        <w:t xml:space="preserve"> </w:t>
      </w:r>
      <w:r w:rsidRPr="00E44B2A">
        <w:rPr>
          <w:rFonts w:ascii="Times New Roman" w:hAnsi="Times New Roman"/>
          <w:sz w:val="24"/>
          <w:szCs w:val="24"/>
        </w:rPr>
        <w:t xml:space="preserve">características variadas, donde la Agricultura </w:t>
      </w:r>
      <w:r w:rsidR="00974949">
        <w:rPr>
          <w:rFonts w:ascii="Times New Roman" w:hAnsi="Times New Roman"/>
          <w:sz w:val="24"/>
          <w:szCs w:val="24"/>
        </w:rPr>
        <w:t>reportó</w:t>
      </w:r>
      <w:r w:rsidRPr="00E44B2A">
        <w:rPr>
          <w:rFonts w:ascii="Times New Roman" w:hAnsi="Times New Roman"/>
          <w:sz w:val="24"/>
          <w:szCs w:val="24"/>
        </w:rPr>
        <w:t xml:space="preserve"> un comportamiento </w:t>
      </w:r>
      <w:r w:rsidR="00974949">
        <w:rPr>
          <w:rFonts w:ascii="Times New Roman" w:hAnsi="Times New Roman"/>
          <w:sz w:val="24"/>
          <w:szCs w:val="24"/>
        </w:rPr>
        <w:t xml:space="preserve">negativo </w:t>
      </w:r>
      <w:r w:rsidRPr="00E44B2A">
        <w:rPr>
          <w:rFonts w:ascii="Times New Roman" w:hAnsi="Times New Roman"/>
          <w:sz w:val="24"/>
          <w:szCs w:val="24"/>
        </w:rPr>
        <w:t>del -4,8%, seguido de la Minería que presento un cam</w:t>
      </w:r>
      <w:r w:rsidR="00F71459">
        <w:rPr>
          <w:rFonts w:ascii="Times New Roman" w:hAnsi="Times New Roman"/>
          <w:sz w:val="24"/>
          <w:szCs w:val="24"/>
        </w:rPr>
        <w:t>bio del -</w:t>
      </w:r>
      <w:r w:rsidR="00974949">
        <w:rPr>
          <w:rFonts w:ascii="Times New Roman" w:hAnsi="Times New Roman"/>
          <w:sz w:val="24"/>
          <w:szCs w:val="24"/>
        </w:rPr>
        <w:t xml:space="preserve">3,27%; </w:t>
      </w:r>
      <w:r w:rsidRPr="00E44B2A">
        <w:rPr>
          <w:rFonts w:ascii="Times New Roman" w:hAnsi="Times New Roman"/>
          <w:sz w:val="24"/>
          <w:szCs w:val="24"/>
        </w:rPr>
        <w:t>en contraste</w:t>
      </w:r>
      <w:r w:rsidR="00974949">
        <w:rPr>
          <w:rFonts w:ascii="Times New Roman" w:hAnsi="Times New Roman"/>
          <w:sz w:val="24"/>
          <w:szCs w:val="24"/>
        </w:rPr>
        <w:t>,</w:t>
      </w:r>
      <w:r w:rsidRPr="00E44B2A">
        <w:rPr>
          <w:rFonts w:ascii="Times New Roman" w:hAnsi="Times New Roman"/>
          <w:sz w:val="24"/>
          <w:szCs w:val="24"/>
        </w:rPr>
        <w:t xml:space="preserve"> con las clases de productos </w:t>
      </w:r>
      <w:r w:rsidR="00974949">
        <w:rPr>
          <w:rFonts w:ascii="Times New Roman" w:hAnsi="Times New Roman"/>
          <w:sz w:val="24"/>
          <w:szCs w:val="24"/>
        </w:rPr>
        <w:t xml:space="preserve">de </w:t>
      </w:r>
      <w:r w:rsidR="00B71713">
        <w:rPr>
          <w:rFonts w:ascii="Times New Roman" w:hAnsi="Times New Roman"/>
          <w:sz w:val="24"/>
          <w:szCs w:val="24"/>
        </w:rPr>
        <w:t>Pesca que aumentaron</w:t>
      </w:r>
      <w:r w:rsidRPr="00E44B2A">
        <w:rPr>
          <w:rFonts w:ascii="Times New Roman" w:hAnsi="Times New Roman"/>
          <w:sz w:val="24"/>
          <w:szCs w:val="24"/>
        </w:rPr>
        <w:t xml:space="preserve"> </w:t>
      </w:r>
      <w:r w:rsidR="00B71713">
        <w:rPr>
          <w:rFonts w:ascii="Times New Roman" w:hAnsi="Times New Roman"/>
          <w:sz w:val="24"/>
          <w:szCs w:val="24"/>
        </w:rPr>
        <w:t>un</w:t>
      </w:r>
      <w:r w:rsidRPr="00E44B2A">
        <w:rPr>
          <w:rFonts w:ascii="Times New Roman" w:hAnsi="Times New Roman"/>
          <w:sz w:val="24"/>
          <w:szCs w:val="24"/>
        </w:rPr>
        <w:t xml:space="preserve"> 4,3% y</w:t>
      </w:r>
      <w:r w:rsidR="00B71713">
        <w:rPr>
          <w:rFonts w:ascii="Times New Roman" w:hAnsi="Times New Roman"/>
          <w:sz w:val="24"/>
          <w:szCs w:val="24"/>
        </w:rPr>
        <w:t>,</w:t>
      </w:r>
      <w:r w:rsidRPr="00E44B2A">
        <w:rPr>
          <w:rFonts w:ascii="Times New Roman" w:hAnsi="Times New Roman"/>
          <w:sz w:val="24"/>
          <w:szCs w:val="24"/>
        </w:rPr>
        <w:t xml:space="preserve"> la Industria que incrementó su</w:t>
      </w:r>
      <w:r w:rsidR="00974949">
        <w:rPr>
          <w:rFonts w:ascii="Times New Roman" w:hAnsi="Times New Roman"/>
          <w:sz w:val="24"/>
          <w:szCs w:val="24"/>
        </w:rPr>
        <w:t>s</w:t>
      </w:r>
      <w:r w:rsidRPr="00E44B2A">
        <w:rPr>
          <w:rFonts w:ascii="Times New Roman" w:hAnsi="Times New Roman"/>
          <w:sz w:val="24"/>
          <w:szCs w:val="24"/>
        </w:rPr>
        <w:t xml:space="preserve"> precios en el 0,7%.</w:t>
      </w:r>
    </w:p>
    <w:p w:rsidR="006C7AA9" w:rsidRPr="00E44B2A" w:rsidRDefault="006C7AA9" w:rsidP="006C7AA9">
      <w:pPr>
        <w:pStyle w:val="Sinespaciado"/>
        <w:spacing w:line="360" w:lineRule="auto"/>
        <w:ind w:firstLine="284"/>
        <w:rPr>
          <w:rFonts w:ascii="Times New Roman" w:hAnsi="Times New Roman"/>
          <w:sz w:val="24"/>
          <w:szCs w:val="24"/>
        </w:rPr>
      </w:pPr>
    </w:p>
    <w:p w:rsidR="006C7AA9" w:rsidRPr="00E44B2A" w:rsidRDefault="006C7AA9" w:rsidP="006C7AA9">
      <w:pPr>
        <w:pStyle w:val="Sinespaciado"/>
        <w:spacing w:line="360" w:lineRule="auto"/>
        <w:ind w:firstLine="284"/>
        <w:rPr>
          <w:rFonts w:ascii="Times New Roman" w:hAnsi="Times New Roman"/>
          <w:sz w:val="24"/>
          <w:szCs w:val="24"/>
        </w:rPr>
      </w:pPr>
      <w:r w:rsidRPr="00E44B2A">
        <w:rPr>
          <w:rFonts w:ascii="Times New Roman" w:hAnsi="Times New Roman"/>
          <w:sz w:val="24"/>
          <w:szCs w:val="24"/>
        </w:rPr>
        <w:t>Las variaci</w:t>
      </w:r>
      <w:r w:rsidR="00974949">
        <w:rPr>
          <w:rFonts w:ascii="Times New Roman" w:hAnsi="Times New Roman"/>
          <w:sz w:val="24"/>
          <w:szCs w:val="24"/>
        </w:rPr>
        <w:t>ones más significativas de las s</w:t>
      </w:r>
      <w:r w:rsidRPr="00E44B2A">
        <w:rPr>
          <w:rFonts w:ascii="Times New Roman" w:hAnsi="Times New Roman"/>
          <w:sz w:val="24"/>
          <w:szCs w:val="24"/>
        </w:rPr>
        <w:t>ubclases, que presentaron disminución en los precios fueron el Café Pergamino con el -25,4%, las Raíces y Tubérculos con el -</w:t>
      </w:r>
      <w:r w:rsidR="005646D6">
        <w:rPr>
          <w:rFonts w:ascii="Times New Roman" w:hAnsi="Times New Roman"/>
          <w:sz w:val="24"/>
          <w:szCs w:val="24"/>
        </w:rPr>
        <w:t xml:space="preserve">24,9% y el Arroz con el -16,4%; por su parte, </w:t>
      </w:r>
      <w:r w:rsidRPr="00E44B2A">
        <w:rPr>
          <w:rFonts w:ascii="Times New Roman" w:hAnsi="Times New Roman"/>
          <w:sz w:val="24"/>
          <w:szCs w:val="24"/>
        </w:rPr>
        <w:t>los productos que mayor crecimiento en los precios al productor presentaron fueron: Aceite de Palma con el 22,8%, Otras Legumbres Frescas con 11,5% de incremento y Ganado Bovino vivo con el 7,9%.</w:t>
      </w:r>
    </w:p>
    <w:p w:rsidR="006C7AA9" w:rsidRPr="00E44B2A" w:rsidRDefault="006C7AA9" w:rsidP="006C7AA9">
      <w:pPr>
        <w:pStyle w:val="Sinespaciado"/>
        <w:spacing w:line="360" w:lineRule="auto"/>
        <w:ind w:firstLine="284"/>
        <w:rPr>
          <w:rFonts w:ascii="Times New Roman" w:hAnsi="Times New Roman"/>
          <w:sz w:val="24"/>
          <w:szCs w:val="24"/>
        </w:rPr>
      </w:pPr>
    </w:p>
    <w:p w:rsidR="006C7AA9" w:rsidRPr="00E44B2A" w:rsidRDefault="006C7AA9" w:rsidP="006C7AA9">
      <w:pPr>
        <w:pStyle w:val="Sinespaciado"/>
        <w:spacing w:line="360" w:lineRule="auto"/>
        <w:ind w:firstLine="284"/>
        <w:rPr>
          <w:rFonts w:ascii="Times New Roman" w:hAnsi="Times New Roman"/>
          <w:sz w:val="24"/>
          <w:szCs w:val="24"/>
        </w:rPr>
      </w:pPr>
      <w:r w:rsidRPr="00E44B2A">
        <w:rPr>
          <w:rFonts w:ascii="Times New Roman" w:hAnsi="Times New Roman"/>
          <w:sz w:val="24"/>
          <w:szCs w:val="24"/>
        </w:rPr>
        <w:t xml:space="preserve">En diciembre de 2013, la variación del Índice de Precios del Productor -IPP, fue 0,11%. Esta tasa es superior en 0,85 puntos porcentuales frente a la registrada en diciembre de 2012, cuando se ubicó en -0,74%. </w:t>
      </w:r>
    </w:p>
    <w:p w:rsidR="006C7AA9" w:rsidRPr="00E44B2A" w:rsidRDefault="006C7AA9" w:rsidP="006C7AA9">
      <w:pPr>
        <w:pStyle w:val="Sinespaciado"/>
        <w:spacing w:line="360" w:lineRule="auto"/>
        <w:ind w:firstLine="284"/>
        <w:rPr>
          <w:rFonts w:ascii="Times New Roman" w:hAnsi="Times New Roman"/>
          <w:sz w:val="24"/>
          <w:szCs w:val="24"/>
        </w:rPr>
      </w:pPr>
    </w:p>
    <w:p w:rsidR="006C7AA9" w:rsidRPr="00E44B2A" w:rsidRDefault="006C7AA9" w:rsidP="006C7AA9">
      <w:pPr>
        <w:pStyle w:val="Sinespaciado"/>
        <w:spacing w:line="360" w:lineRule="auto"/>
        <w:ind w:firstLine="284"/>
        <w:rPr>
          <w:rFonts w:ascii="Times New Roman" w:hAnsi="Times New Roman"/>
          <w:sz w:val="24"/>
          <w:szCs w:val="24"/>
        </w:rPr>
      </w:pPr>
      <w:r w:rsidRPr="00E44B2A">
        <w:rPr>
          <w:rFonts w:ascii="Times New Roman" w:hAnsi="Times New Roman"/>
          <w:sz w:val="24"/>
          <w:szCs w:val="24"/>
        </w:rPr>
        <w:t xml:space="preserve">En el año 2013, el IPP de los bienes finales de la oferta interna presentó una reducción de 0,20%; los precios de los bienes finales producidos y consumidos presentaron una reducción de 0,48%; mientras que los bienes finales importados aumentaron sus precios en 1,33%. </w:t>
      </w:r>
    </w:p>
    <w:p w:rsidR="006C7AA9" w:rsidRPr="00E44B2A" w:rsidRDefault="006C7AA9" w:rsidP="006C7AA9">
      <w:pPr>
        <w:pStyle w:val="Sinespaciado"/>
        <w:spacing w:line="360" w:lineRule="auto"/>
        <w:ind w:firstLine="284"/>
        <w:rPr>
          <w:rFonts w:ascii="Times New Roman" w:hAnsi="Times New Roman"/>
          <w:sz w:val="24"/>
          <w:szCs w:val="24"/>
        </w:rPr>
      </w:pPr>
    </w:p>
    <w:p w:rsidR="006C7AA9" w:rsidRPr="00E44B2A" w:rsidRDefault="006C7AA9" w:rsidP="006C7AA9">
      <w:pPr>
        <w:spacing w:line="360" w:lineRule="auto"/>
        <w:ind w:firstLine="284"/>
        <w:jc w:val="both"/>
        <w:rPr>
          <w:lang w:val="es-ES"/>
        </w:rPr>
      </w:pPr>
      <w:r w:rsidRPr="00E44B2A">
        <w:rPr>
          <w:lang w:val="es-ES"/>
        </w:rPr>
        <w:t>Por destino económico, la mayor reducción en precios durante el año, se presentó en los Bienes de Consumo Intermedio (-0,75%); por el contrario, el mayor incremento se presentó en los Bienes de Capital (2,65%).</w:t>
      </w:r>
    </w:p>
    <w:p w:rsidR="006C7AA9" w:rsidRDefault="006C7AA9" w:rsidP="00B40925">
      <w:pPr>
        <w:spacing w:line="360" w:lineRule="auto"/>
        <w:rPr>
          <w:lang w:val="es-ES"/>
        </w:rPr>
      </w:pPr>
    </w:p>
    <w:p w:rsidR="00AE5FB1" w:rsidRDefault="00CB6798" w:rsidP="00B40925">
      <w:pPr>
        <w:spacing w:line="360" w:lineRule="auto"/>
        <w:rPr>
          <w:lang w:val="es-ES"/>
        </w:rPr>
      </w:pPr>
      <w:r>
        <w:rPr>
          <w:noProof/>
        </w:rPr>
        <w:lastRenderedPageBreak/>
        <w:drawing>
          <wp:anchor distT="0" distB="0" distL="114300" distR="114300" simplePos="0" relativeHeight="251719680" behindDoc="0" locked="0" layoutInCell="1" allowOverlap="0" wp14:anchorId="608C7767" wp14:editId="07CDA647">
            <wp:simplePos x="0" y="0"/>
            <wp:positionH relativeFrom="page">
              <wp:posOffset>635</wp:posOffset>
            </wp:positionH>
            <wp:positionV relativeFrom="page">
              <wp:posOffset>-19050</wp:posOffset>
            </wp:positionV>
            <wp:extent cx="7771765" cy="10078085"/>
            <wp:effectExtent l="0" t="0" r="635" b="0"/>
            <wp:wrapNone/>
            <wp:docPr id="14"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95"/>
                    <a:stretch>
                      <a:fillRect/>
                    </a:stretch>
                  </pic:blipFill>
                  <pic:spPr>
                    <a:xfrm>
                      <a:off x="0" y="0"/>
                      <a:ext cx="7771765" cy="10078085"/>
                    </a:xfrm>
                    <a:prstGeom prst="rect">
                      <a:avLst/>
                    </a:prstGeom>
                  </pic:spPr>
                </pic:pic>
              </a:graphicData>
            </a:graphic>
            <wp14:sizeRelH relativeFrom="margin">
              <wp14:pctWidth>0</wp14:pctWidth>
            </wp14:sizeRelH>
            <wp14:sizeRelV relativeFrom="margin">
              <wp14:pctHeight>0</wp14:pctHeight>
            </wp14:sizeRelV>
          </wp:anchor>
        </w:drawing>
      </w: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Pr="00AE5FB1" w:rsidRDefault="00AE5FB1" w:rsidP="00AE5FB1">
      <w:pPr>
        <w:pStyle w:val="Ttulo1"/>
        <w:ind w:left="2832"/>
        <w:rPr>
          <w:rFonts w:ascii="Times New Roman" w:hAnsi="Times New Roman"/>
        </w:rPr>
      </w:pPr>
      <w:bookmarkStart w:id="80" w:name="_Toc406754334"/>
      <w:r w:rsidRPr="00AE5FB1">
        <w:rPr>
          <w:rFonts w:ascii="Times New Roman" w:hAnsi="Times New Roman"/>
        </w:rPr>
        <w:t>9 Agr</w:t>
      </w:r>
      <w:r w:rsidR="0088736D">
        <w:rPr>
          <w:rFonts w:ascii="Times New Roman" w:hAnsi="Times New Roman"/>
        </w:rPr>
        <w:t>opecuario</w:t>
      </w:r>
      <w:bookmarkEnd w:id="80"/>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Default="00AE5FB1" w:rsidP="00B40925">
      <w:pPr>
        <w:spacing w:line="360" w:lineRule="auto"/>
        <w:rPr>
          <w:lang w:val="es-ES"/>
        </w:rPr>
      </w:pPr>
    </w:p>
    <w:p w:rsidR="00AE5FB1" w:rsidRPr="006C7AA9" w:rsidRDefault="00AE5FB1" w:rsidP="00B40925">
      <w:pPr>
        <w:spacing w:line="360" w:lineRule="auto"/>
        <w:rPr>
          <w:lang w:val="es-ES"/>
        </w:rPr>
      </w:pPr>
    </w:p>
    <w:p w:rsidR="006C7AA9" w:rsidRDefault="006C7AA9" w:rsidP="00B40925">
      <w:pPr>
        <w:spacing w:line="360" w:lineRule="auto"/>
      </w:pPr>
    </w:p>
    <w:p w:rsidR="006C7AA9" w:rsidRDefault="006C7AA9" w:rsidP="00B40925">
      <w:pPr>
        <w:spacing w:line="360" w:lineRule="auto"/>
      </w:pPr>
    </w:p>
    <w:p w:rsidR="00AE5FB1" w:rsidRDefault="00AE5FB1" w:rsidP="00B40925">
      <w:pPr>
        <w:spacing w:line="360" w:lineRule="auto"/>
      </w:pPr>
    </w:p>
    <w:p w:rsidR="00AE5FB1" w:rsidRDefault="00AE5FB1" w:rsidP="00B40925">
      <w:pPr>
        <w:spacing w:line="360" w:lineRule="auto"/>
      </w:pPr>
    </w:p>
    <w:p w:rsidR="00AE5FB1" w:rsidRDefault="00AE5FB1" w:rsidP="00B40925">
      <w:pPr>
        <w:spacing w:line="360" w:lineRule="auto"/>
      </w:pPr>
    </w:p>
    <w:p w:rsidR="00DF516D" w:rsidRDefault="00DF516D" w:rsidP="0038518C">
      <w:pPr>
        <w:pStyle w:val="Sinespaciado"/>
        <w:spacing w:line="360" w:lineRule="auto"/>
        <w:ind w:firstLine="284"/>
        <w:rPr>
          <w:rFonts w:ascii="Times New Roman" w:hAnsi="Times New Roman"/>
          <w:sz w:val="24"/>
        </w:rPr>
      </w:pPr>
      <w:r>
        <w:rPr>
          <w:rFonts w:ascii="Times New Roman" w:hAnsi="Times New Roman"/>
          <w:sz w:val="24"/>
        </w:rPr>
        <w:lastRenderedPageBreak/>
        <w:t>La agricultura es ampliamente reconocida como una de las actividades económicas de mayor importancia dentro del contexto  económico  mundial, en la medida en que garantiza la adquisición de alimentos y fomenta el desarrollo de un país. De acuerdo con las estadísticas presentadas por la FAO existe una especial preocupación por mejorar las condiciones actuales de vida de la población en general y una de las vías para lograr este propósito es mediante la disminución</w:t>
      </w:r>
      <w:r w:rsidRPr="003C1591">
        <w:rPr>
          <w:rFonts w:ascii="Times New Roman" w:hAnsi="Times New Roman"/>
          <w:sz w:val="24"/>
        </w:rPr>
        <w:t xml:space="preserve"> </w:t>
      </w:r>
      <w:r>
        <w:rPr>
          <w:rFonts w:ascii="Times New Roman" w:hAnsi="Times New Roman"/>
          <w:sz w:val="24"/>
        </w:rPr>
        <w:t>d</w:t>
      </w:r>
      <w:r w:rsidRPr="003C1591">
        <w:rPr>
          <w:rFonts w:ascii="Times New Roman" w:hAnsi="Times New Roman"/>
          <w:sz w:val="24"/>
        </w:rPr>
        <w:t>el índice de personas sub- nutridas.</w:t>
      </w:r>
    </w:p>
    <w:p w:rsidR="00DF516D" w:rsidRPr="003C1591" w:rsidRDefault="00DF516D" w:rsidP="00DF516D">
      <w:pPr>
        <w:pStyle w:val="Sinespaciado"/>
        <w:spacing w:line="360" w:lineRule="auto"/>
        <w:ind w:left="284"/>
        <w:rPr>
          <w:rFonts w:ascii="Times New Roman" w:hAnsi="Times New Roman"/>
          <w:sz w:val="24"/>
        </w:rPr>
      </w:pPr>
    </w:p>
    <w:p w:rsidR="00DF516D" w:rsidRPr="002E520C" w:rsidRDefault="00DF516D" w:rsidP="00DF516D">
      <w:pPr>
        <w:pStyle w:val="Sinespaciado"/>
        <w:jc w:val="left"/>
        <w:rPr>
          <w:rFonts w:ascii="Times New Roman" w:hAnsi="Times New Roman"/>
          <w:sz w:val="24"/>
          <w:szCs w:val="24"/>
        </w:rPr>
      </w:pPr>
      <w:r>
        <w:rPr>
          <w:rFonts w:ascii="Times New Roman" w:hAnsi="Times New Roman"/>
          <w:sz w:val="24"/>
          <w:szCs w:val="24"/>
        </w:rPr>
        <w:t>Tabla</w:t>
      </w:r>
      <w:r w:rsidRPr="002E520C">
        <w:rPr>
          <w:rFonts w:ascii="Times New Roman" w:hAnsi="Times New Roman"/>
          <w:sz w:val="24"/>
          <w:szCs w:val="24"/>
        </w:rPr>
        <w:t xml:space="preserve"> 9.1</w:t>
      </w:r>
    </w:p>
    <w:p w:rsidR="00DF516D" w:rsidRPr="002E520C" w:rsidRDefault="00DF516D" w:rsidP="00DF516D">
      <w:pPr>
        <w:pStyle w:val="Sinespaciado"/>
        <w:jc w:val="left"/>
        <w:rPr>
          <w:rFonts w:ascii="Times New Roman" w:hAnsi="Times New Roman"/>
          <w:sz w:val="24"/>
          <w:szCs w:val="24"/>
        </w:rPr>
      </w:pPr>
      <w:r w:rsidRPr="002E520C">
        <w:rPr>
          <w:rFonts w:ascii="Times New Roman" w:hAnsi="Times New Roman"/>
          <w:sz w:val="24"/>
          <w:szCs w:val="24"/>
        </w:rPr>
        <w:t>Número y prevalencia de personas sub-nutridas</w:t>
      </w:r>
      <w:r>
        <w:rPr>
          <w:rFonts w:ascii="Times New Roman" w:hAnsi="Times New Roman"/>
          <w:sz w:val="24"/>
          <w:szCs w:val="24"/>
        </w:rPr>
        <w:t xml:space="preserve">. </w:t>
      </w:r>
      <w:r w:rsidRPr="002E520C">
        <w:rPr>
          <w:rFonts w:ascii="Times New Roman" w:hAnsi="Times New Roman"/>
          <w:sz w:val="24"/>
          <w:szCs w:val="24"/>
        </w:rPr>
        <w:t>Nivel mundial</w:t>
      </w:r>
    </w:p>
    <w:p w:rsidR="00DF516D" w:rsidRPr="002E520C" w:rsidRDefault="00DF516D" w:rsidP="00DF516D">
      <w:pPr>
        <w:pStyle w:val="Sinespaciado"/>
        <w:spacing w:line="360" w:lineRule="auto"/>
        <w:jc w:val="left"/>
        <w:rPr>
          <w:rFonts w:ascii="Times New Roman" w:hAnsi="Times New Roman"/>
          <w:sz w:val="24"/>
          <w:szCs w:val="24"/>
        </w:rPr>
      </w:pPr>
      <w:r w:rsidRPr="002E520C">
        <w:rPr>
          <w:rFonts w:ascii="Times New Roman" w:hAnsi="Times New Roman"/>
          <w:sz w:val="24"/>
          <w:szCs w:val="24"/>
        </w:rPr>
        <w:t>1990 - 2013</w:t>
      </w:r>
    </w:p>
    <w:tbl>
      <w:tblPr>
        <w:tblW w:w="4349" w:type="dxa"/>
        <w:tblCellMar>
          <w:left w:w="70" w:type="dxa"/>
          <w:right w:w="70" w:type="dxa"/>
        </w:tblCellMar>
        <w:tblLook w:val="04A0" w:firstRow="1" w:lastRow="0" w:firstColumn="1" w:lastColumn="0" w:noHBand="0" w:noVBand="1"/>
      </w:tblPr>
      <w:tblGrid>
        <w:gridCol w:w="1430"/>
        <w:gridCol w:w="1058"/>
        <w:gridCol w:w="1861"/>
      </w:tblGrid>
      <w:tr w:rsidR="00DF516D" w:rsidRPr="002E520C" w:rsidTr="002044DE">
        <w:trPr>
          <w:trHeight w:val="297"/>
        </w:trPr>
        <w:tc>
          <w:tcPr>
            <w:tcW w:w="1430" w:type="dxa"/>
            <w:tcBorders>
              <w:top w:val="single" w:sz="4" w:space="0" w:color="auto"/>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1990-1992</w:t>
            </w:r>
          </w:p>
        </w:tc>
        <w:tc>
          <w:tcPr>
            <w:tcW w:w="1058" w:type="dxa"/>
            <w:tcBorders>
              <w:top w:val="single" w:sz="4" w:space="0" w:color="auto"/>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1015</w:t>
            </w:r>
          </w:p>
        </w:tc>
        <w:tc>
          <w:tcPr>
            <w:tcW w:w="1861" w:type="dxa"/>
            <w:tcBorders>
              <w:top w:val="single" w:sz="4" w:space="0" w:color="auto"/>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Millones (19%)</w:t>
            </w:r>
          </w:p>
        </w:tc>
      </w:tr>
      <w:tr w:rsidR="00DF516D" w:rsidRPr="002E520C" w:rsidTr="002044DE">
        <w:trPr>
          <w:trHeight w:val="297"/>
        </w:trPr>
        <w:tc>
          <w:tcPr>
            <w:tcW w:w="1430" w:type="dxa"/>
            <w:tcBorders>
              <w:top w:val="nil"/>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2000-2002</w:t>
            </w:r>
          </w:p>
        </w:tc>
        <w:tc>
          <w:tcPr>
            <w:tcW w:w="1058" w:type="dxa"/>
            <w:tcBorders>
              <w:top w:val="nil"/>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957</w:t>
            </w:r>
          </w:p>
        </w:tc>
        <w:tc>
          <w:tcPr>
            <w:tcW w:w="1861" w:type="dxa"/>
            <w:tcBorders>
              <w:top w:val="nil"/>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Millones (15%)</w:t>
            </w:r>
          </w:p>
        </w:tc>
      </w:tr>
      <w:tr w:rsidR="00DF516D" w:rsidRPr="002E520C" w:rsidTr="002044DE">
        <w:trPr>
          <w:trHeight w:val="297"/>
        </w:trPr>
        <w:tc>
          <w:tcPr>
            <w:tcW w:w="1430" w:type="dxa"/>
            <w:tcBorders>
              <w:top w:val="nil"/>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2005-2007</w:t>
            </w:r>
          </w:p>
        </w:tc>
        <w:tc>
          <w:tcPr>
            <w:tcW w:w="1058" w:type="dxa"/>
            <w:tcBorders>
              <w:top w:val="nil"/>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907</w:t>
            </w:r>
          </w:p>
        </w:tc>
        <w:tc>
          <w:tcPr>
            <w:tcW w:w="1861" w:type="dxa"/>
            <w:tcBorders>
              <w:top w:val="nil"/>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Millones (14%)</w:t>
            </w:r>
          </w:p>
        </w:tc>
      </w:tr>
      <w:tr w:rsidR="00DF516D" w:rsidRPr="002E520C" w:rsidTr="002044DE">
        <w:trPr>
          <w:trHeight w:val="297"/>
        </w:trPr>
        <w:tc>
          <w:tcPr>
            <w:tcW w:w="1430" w:type="dxa"/>
            <w:tcBorders>
              <w:top w:val="nil"/>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2008-2010</w:t>
            </w:r>
          </w:p>
        </w:tc>
        <w:tc>
          <w:tcPr>
            <w:tcW w:w="1058" w:type="dxa"/>
            <w:tcBorders>
              <w:top w:val="nil"/>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878</w:t>
            </w:r>
          </w:p>
        </w:tc>
        <w:tc>
          <w:tcPr>
            <w:tcW w:w="1861" w:type="dxa"/>
            <w:tcBorders>
              <w:top w:val="nil"/>
              <w:left w:val="nil"/>
              <w:bottom w:val="nil"/>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Millones (13%)</w:t>
            </w:r>
          </w:p>
        </w:tc>
      </w:tr>
      <w:tr w:rsidR="00DF516D" w:rsidRPr="002E520C" w:rsidTr="002044DE">
        <w:trPr>
          <w:trHeight w:val="297"/>
        </w:trPr>
        <w:tc>
          <w:tcPr>
            <w:tcW w:w="1430" w:type="dxa"/>
            <w:tcBorders>
              <w:top w:val="nil"/>
              <w:left w:val="nil"/>
              <w:bottom w:val="single" w:sz="4" w:space="0" w:color="auto"/>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2011-2013</w:t>
            </w:r>
          </w:p>
        </w:tc>
        <w:tc>
          <w:tcPr>
            <w:tcW w:w="1058" w:type="dxa"/>
            <w:tcBorders>
              <w:top w:val="nil"/>
              <w:left w:val="nil"/>
              <w:bottom w:val="single" w:sz="4" w:space="0" w:color="auto"/>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842</w:t>
            </w:r>
          </w:p>
        </w:tc>
        <w:tc>
          <w:tcPr>
            <w:tcW w:w="1861" w:type="dxa"/>
            <w:tcBorders>
              <w:top w:val="nil"/>
              <w:left w:val="nil"/>
              <w:bottom w:val="single" w:sz="4" w:space="0" w:color="auto"/>
              <w:right w:val="nil"/>
            </w:tcBorders>
            <w:shd w:val="clear" w:color="000000" w:fill="FFFFFF"/>
            <w:vAlign w:val="center"/>
            <w:hideMark/>
          </w:tcPr>
          <w:p w:rsidR="00DF516D" w:rsidRPr="002E520C" w:rsidRDefault="00DF516D" w:rsidP="002044DE">
            <w:pPr>
              <w:jc w:val="center"/>
              <w:rPr>
                <w:color w:val="000000"/>
                <w:sz w:val="20"/>
                <w:szCs w:val="20"/>
              </w:rPr>
            </w:pPr>
            <w:r w:rsidRPr="002E520C">
              <w:rPr>
                <w:color w:val="000000"/>
                <w:sz w:val="20"/>
                <w:szCs w:val="20"/>
              </w:rPr>
              <w:t>Millones (12%)</w:t>
            </w:r>
          </w:p>
        </w:tc>
      </w:tr>
    </w:tbl>
    <w:p w:rsidR="00DF516D" w:rsidRPr="00DD5188" w:rsidRDefault="00DF516D" w:rsidP="00DF516D">
      <w:pPr>
        <w:pStyle w:val="NormalWeb"/>
        <w:spacing w:before="0" w:beforeAutospacing="0" w:after="0" w:afterAutospacing="0" w:line="360" w:lineRule="auto"/>
        <w:jc w:val="both"/>
        <w:rPr>
          <w:rFonts w:eastAsia="Calibri"/>
          <w:sz w:val="16"/>
          <w:szCs w:val="16"/>
        </w:rPr>
      </w:pPr>
      <w:r w:rsidRPr="00DD5188">
        <w:rPr>
          <w:rFonts w:eastAsia="Calibri"/>
          <w:sz w:val="16"/>
          <w:szCs w:val="16"/>
          <w:lang w:eastAsia="en-US"/>
        </w:rPr>
        <w:t xml:space="preserve">Fuente: </w:t>
      </w:r>
      <w:hyperlink r:id="rId96" w:history="1">
        <w:r w:rsidRPr="00DD5188">
          <w:rPr>
            <w:rFonts w:eastAsia="Calibri"/>
            <w:sz w:val="16"/>
            <w:szCs w:val="16"/>
          </w:rPr>
          <w:t>FAO</w:t>
        </w:r>
      </w:hyperlink>
    </w:p>
    <w:p w:rsidR="00DF516D" w:rsidRDefault="00DF516D" w:rsidP="00DF516D">
      <w:pPr>
        <w:pStyle w:val="Sinespaciado"/>
        <w:spacing w:line="360" w:lineRule="auto"/>
        <w:ind w:left="284"/>
        <w:rPr>
          <w:rFonts w:ascii="Times New Roman" w:hAnsi="Times New Roman"/>
          <w:sz w:val="28"/>
          <w:szCs w:val="42"/>
          <w:lang w:val="es-CO"/>
        </w:rPr>
      </w:pPr>
    </w:p>
    <w:p w:rsidR="00DF516D" w:rsidRDefault="00DF516D" w:rsidP="00B853CB">
      <w:pPr>
        <w:pStyle w:val="NormalWeb"/>
        <w:spacing w:before="0" w:beforeAutospacing="0" w:after="0" w:afterAutospacing="0" w:line="360" w:lineRule="auto"/>
        <w:ind w:firstLine="284"/>
        <w:jc w:val="both"/>
        <w:rPr>
          <w:rFonts w:eastAsia="Calibri"/>
          <w:lang w:eastAsia="en-US"/>
        </w:rPr>
      </w:pPr>
      <w:r>
        <w:rPr>
          <w:rFonts w:eastAsia="Calibri"/>
          <w:lang w:eastAsia="en-US"/>
        </w:rPr>
        <w:t>Co</w:t>
      </w:r>
      <w:r w:rsidR="007D1B23">
        <w:rPr>
          <w:rFonts w:eastAsia="Calibri"/>
          <w:lang w:eastAsia="en-US"/>
        </w:rPr>
        <w:t>n el paso del tiempo, los temas</w:t>
      </w:r>
      <w:r>
        <w:rPr>
          <w:rFonts w:eastAsia="Calibri"/>
          <w:lang w:eastAsia="en-US"/>
        </w:rPr>
        <w:t xml:space="preserve"> objeto de estudio en relación a las prioridades </w:t>
      </w:r>
      <w:r w:rsidRPr="003C1591">
        <w:rPr>
          <w:rFonts w:eastAsia="Calibri"/>
          <w:lang w:eastAsia="en-US"/>
        </w:rPr>
        <w:t xml:space="preserve">de </w:t>
      </w:r>
      <w:r>
        <w:rPr>
          <w:rFonts w:eastAsia="Calibri"/>
          <w:lang w:eastAsia="en-US"/>
        </w:rPr>
        <w:t>políticas y transformación del E</w:t>
      </w:r>
      <w:r w:rsidRPr="003C1591">
        <w:rPr>
          <w:rFonts w:eastAsia="Calibri"/>
          <w:lang w:eastAsia="en-US"/>
        </w:rPr>
        <w:t>stado</w:t>
      </w:r>
      <w:r>
        <w:rPr>
          <w:rFonts w:eastAsia="Calibri"/>
          <w:lang w:eastAsia="en-US"/>
        </w:rPr>
        <w:t xml:space="preserve"> han enfrentado cambios que han orientado hacia otra dirección los desafíos para el desarrollo en pro del bienestar general y el desarrollo social. </w:t>
      </w:r>
    </w:p>
    <w:p w:rsidR="00B853CB" w:rsidRPr="00DD5188" w:rsidRDefault="00B853CB" w:rsidP="00B853CB">
      <w:pPr>
        <w:pStyle w:val="NormalWeb"/>
        <w:spacing w:before="0" w:beforeAutospacing="0" w:after="0" w:afterAutospacing="0" w:line="360" w:lineRule="auto"/>
        <w:ind w:firstLine="284"/>
        <w:jc w:val="both"/>
        <w:rPr>
          <w:rFonts w:eastAsia="Calibri"/>
          <w:lang w:eastAsia="en-US"/>
        </w:rPr>
      </w:pPr>
    </w:p>
    <w:p w:rsidR="00DF516D" w:rsidRDefault="00DF516D" w:rsidP="00DF516D">
      <w:pPr>
        <w:shd w:val="clear" w:color="auto" w:fill="FFFFFF"/>
        <w:spacing w:line="360" w:lineRule="auto"/>
        <w:ind w:firstLine="284"/>
        <w:jc w:val="both"/>
      </w:pPr>
      <w:r w:rsidRPr="003C1591">
        <w:t xml:space="preserve">En el contexto Latinoamericano, la Comisión Económica para América Latina y el Caribe (CEPAL), la Oficina Regional para América Latina y el Caribe de la Organización de las Naciones Unidas para la Alimentación y la Agricultura (FAO) y el Instituto Interamericano de Cooperación para la Agricultura (IICA), generaron esfuerzos conjuntos por cuarto años consecutivos, complejizando los procesos de formulación de políticas y de toma de decisiones, tanto para los agentes públicos como para los privados, suministrando una oportunidad para el desarrollo de políticas públicas más sofisticadas, integrales y de largo aliento y abordando temas que trascienden lo puramente agrícola. </w:t>
      </w:r>
    </w:p>
    <w:p w:rsidR="00B853CB" w:rsidRDefault="00B853CB" w:rsidP="00DF516D">
      <w:pPr>
        <w:shd w:val="clear" w:color="auto" w:fill="FFFFFF"/>
        <w:spacing w:line="360" w:lineRule="auto"/>
        <w:ind w:firstLine="284"/>
        <w:jc w:val="both"/>
      </w:pPr>
    </w:p>
    <w:p w:rsidR="00DF516D" w:rsidRDefault="00DF516D" w:rsidP="00DF516D">
      <w:pPr>
        <w:shd w:val="clear" w:color="auto" w:fill="FFFFFF"/>
        <w:spacing w:line="360" w:lineRule="auto"/>
        <w:ind w:firstLine="284"/>
        <w:jc w:val="both"/>
      </w:pPr>
      <w:r>
        <w:t xml:space="preserve">A nivel mundial, organizaciones e instituciones han aunado esfuerzos con el fin de atacar y erradicar </w:t>
      </w:r>
      <w:r w:rsidRPr="003C1591">
        <w:t xml:space="preserve">factores críticos </w:t>
      </w:r>
      <w:r>
        <w:t>como la pobreza y la inseguridad</w:t>
      </w:r>
      <w:r w:rsidRPr="003C1591">
        <w:t xml:space="preserve">, esto </w:t>
      </w:r>
      <w:r>
        <w:t>ha generado</w:t>
      </w:r>
      <w:r w:rsidRPr="003C1591">
        <w:t xml:space="preserve"> una </w:t>
      </w:r>
      <w:r w:rsidRPr="003C1591">
        <w:lastRenderedPageBreak/>
        <w:t xml:space="preserve">tendencia a la integración económica internacional </w:t>
      </w:r>
      <w:r>
        <w:t>para</w:t>
      </w:r>
      <w:r w:rsidRPr="003C1591">
        <w:t xml:space="preserve"> asistir poblaciones vulneradas</w:t>
      </w:r>
      <w:r>
        <w:t>, ya que al ser</w:t>
      </w:r>
      <w:r w:rsidRPr="003C1591">
        <w:t xml:space="preserve"> protegidas </w:t>
      </w:r>
      <w:r>
        <w:t>será posible logr</w:t>
      </w:r>
      <w:r w:rsidR="00E6463B">
        <w:t xml:space="preserve">ar </w:t>
      </w:r>
      <w:r w:rsidRPr="003C1591">
        <w:t xml:space="preserve">mercados </w:t>
      </w:r>
      <w:r>
        <w:t xml:space="preserve">más </w:t>
      </w:r>
      <w:r w:rsidRPr="003C1591">
        <w:t>estables, justos y seguros.</w:t>
      </w:r>
      <w:r>
        <w:t xml:space="preserve"> En este sentido organizaciones como la FA</w:t>
      </w:r>
      <w:r w:rsidRPr="003C1591">
        <w:t xml:space="preserve">O </w:t>
      </w:r>
      <w:r>
        <w:t xml:space="preserve">afirman que: </w:t>
      </w:r>
      <w:r w:rsidRPr="003C1591">
        <w:t>“</w:t>
      </w:r>
      <w:r w:rsidRPr="00A866C8">
        <w:rPr>
          <w:i/>
        </w:rPr>
        <w:t>Un importante desafío, será integrar a los países y poblaciones marginados y desfavorecidos en el progreso económico y social mundial y conseguir que los beneficios de la liberalización y la globalización se distribuyan entre todos</w:t>
      </w:r>
      <w:r w:rsidRPr="003C1591">
        <w:t>”.</w:t>
      </w:r>
      <w:r>
        <w:t xml:space="preserve"> (FAO, 2013). </w:t>
      </w:r>
    </w:p>
    <w:p w:rsidR="00DF516D" w:rsidRDefault="00DF516D" w:rsidP="00DF516D">
      <w:pPr>
        <w:shd w:val="clear" w:color="auto" w:fill="FFFFFF"/>
        <w:spacing w:line="360" w:lineRule="auto"/>
        <w:ind w:firstLine="284"/>
        <w:jc w:val="both"/>
      </w:pPr>
    </w:p>
    <w:p w:rsidR="00DF516D" w:rsidRDefault="00DF516D" w:rsidP="00DF516D">
      <w:pPr>
        <w:shd w:val="clear" w:color="auto" w:fill="FFFFFF"/>
        <w:spacing w:line="360" w:lineRule="auto"/>
        <w:ind w:firstLine="284"/>
        <w:jc w:val="both"/>
        <w:rPr>
          <w:rFonts w:eastAsia="Calibri"/>
        </w:rPr>
      </w:pPr>
      <w:r w:rsidRPr="00E33E44">
        <w:rPr>
          <w:rFonts w:eastAsia="Calibri"/>
        </w:rPr>
        <w:t>A nivel departamental, el Quindío ha logrado resultados positivos en el valor monetario de su producción interna</w:t>
      </w:r>
      <w:r>
        <w:rPr>
          <w:rFonts w:eastAsia="Calibri"/>
        </w:rPr>
        <w:t>,</w:t>
      </w:r>
      <w:r w:rsidRPr="00E33E44">
        <w:rPr>
          <w:rFonts w:eastAsia="Calibri"/>
        </w:rPr>
        <w:t xml:space="preserve"> ya que el PIB ha </w:t>
      </w:r>
      <w:r>
        <w:rPr>
          <w:rFonts w:eastAsia="Calibri"/>
        </w:rPr>
        <w:t>mostra</w:t>
      </w:r>
      <w:r w:rsidRPr="00E33E44">
        <w:rPr>
          <w:rFonts w:eastAsia="Calibri"/>
        </w:rPr>
        <w:t>do una tendencia creciente en los últimos 10 años, al pasar de  2.633 miles de millones de pesos en 2004 a 3.707 miles d</w:t>
      </w:r>
      <w:r>
        <w:rPr>
          <w:rFonts w:eastAsia="Calibri"/>
        </w:rPr>
        <w:t xml:space="preserve">e millones de pesos en el 2013 </w:t>
      </w:r>
      <w:r w:rsidRPr="00E33E44">
        <w:rPr>
          <w:rFonts w:eastAsia="Calibri"/>
        </w:rPr>
        <w:t xml:space="preserve">en valores constantes. </w:t>
      </w:r>
      <w:r>
        <w:rPr>
          <w:rFonts w:eastAsia="Calibri"/>
        </w:rPr>
        <w:t>El</w:t>
      </w:r>
      <w:r w:rsidRPr="00E33E44">
        <w:rPr>
          <w:rFonts w:eastAsia="Calibri"/>
        </w:rPr>
        <w:t xml:space="preserve"> informe de cuentas nacionales </w:t>
      </w:r>
      <w:r>
        <w:rPr>
          <w:rFonts w:eastAsia="Calibri"/>
        </w:rPr>
        <w:t xml:space="preserve">y </w:t>
      </w:r>
      <w:r w:rsidRPr="00E33E44">
        <w:rPr>
          <w:rFonts w:eastAsia="Calibri"/>
        </w:rPr>
        <w:t>departamentales</w:t>
      </w:r>
      <w:r>
        <w:rPr>
          <w:rFonts w:eastAsia="Calibri"/>
        </w:rPr>
        <w:t xml:space="preserve"> del </w:t>
      </w:r>
      <w:r w:rsidR="008F5FB2">
        <w:rPr>
          <w:rFonts w:eastAsia="Calibri"/>
        </w:rPr>
        <w:t>DANE</w:t>
      </w:r>
      <w:r w:rsidRPr="00E33E44">
        <w:rPr>
          <w:rFonts w:eastAsia="Calibri"/>
        </w:rPr>
        <w:t xml:space="preserve"> de 2013, señala que</w:t>
      </w:r>
      <w:r>
        <w:rPr>
          <w:rFonts w:eastAsia="Calibri"/>
        </w:rPr>
        <w:t xml:space="preserve"> </w:t>
      </w:r>
      <w:r w:rsidRPr="00E33E44">
        <w:rPr>
          <w:rFonts w:eastAsia="Calibri"/>
        </w:rPr>
        <w:t>Bogotá participó con el 24,7%, seguido de Antioquia (13,1%), Valle del Cauca (9,3%), Santander (7,4%), Cundinamarca (5,0%) y Bolívar (4,0%). Dentro de la composición económica del departamento del Quindío, la actividad agropecuaria representa la tercera actividad económica más importante dentro de la generación de valor agregado al presentar un 13,9% de participación dentro del total.</w:t>
      </w:r>
    </w:p>
    <w:p w:rsidR="00DF516D" w:rsidRDefault="00DF516D" w:rsidP="00DF516D">
      <w:pPr>
        <w:shd w:val="clear" w:color="auto" w:fill="FFFFFF"/>
        <w:spacing w:line="360" w:lineRule="auto"/>
        <w:ind w:firstLine="284"/>
        <w:jc w:val="both"/>
        <w:rPr>
          <w:rFonts w:eastAsia="Calibri"/>
        </w:rPr>
      </w:pPr>
    </w:p>
    <w:p w:rsidR="00B853CB" w:rsidRDefault="00B853CB" w:rsidP="00DF516D">
      <w:pPr>
        <w:shd w:val="clear" w:color="auto" w:fill="FFFFFF"/>
        <w:spacing w:line="360" w:lineRule="auto"/>
        <w:ind w:firstLine="284"/>
        <w:jc w:val="both"/>
        <w:rPr>
          <w:rFonts w:eastAsia="Calibri"/>
        </w:rPr>
      </w:pPr>
    </w:p>
    <w:p w:rsidR="00DF516D" w:rsidRPr="00DF516D" w:rsidRDefault="00DF516D" w:rsidP="00DF516D">
      <w:pPr>
        <w:pStyle w:val="Ttulo2"/>
        <w:rPr>
          <w:rFonts w:ascii="Times New Roman" w:hAnsi="Times New Roman" w:cs="Times New Roman"/>
          <w:color w:val="auto"/>
          <w:sz w:val="30"/>
          <w:szCs w:val="30"/>
        </w:rPr>
      </w:pPr>
      <w:bookmarkStart w:id="81" w:name="_Toc406754335"/>
      <w:r w:rsidRPr="00DF516D">
        <w:rPr>
          <w:rFonts w:ascii="Times New Roman" w:hAnsi="Times New Roman" w:cs="Times New Roman"/>
          <w:color w:val="auto"/>
          <w:sz w:val="30"/>
          <w:szCs w:val="30"/>
        </w:rPr>
        <w:t>9</w:t>
      </w:r>
      <w:r>
        <w:rPr>
          <w:rFonts w:ascii="Times New Roman" w:hAnsi="Times New Roman" w:cs="Times New Roman"/>
          <w:color w:val="auto"/>
          <w:sz w:val="30"/>
          <w:szCs w:val="30"/>
        </w:rPr>
        <w:t>.1</w:t>
      </w:r>
      <w:r w:rsidRPr="00DF516D">
        <w:rPr>
          <w:rFonts w:ascii="Times New Roman" w:hAnsi="Times New Roman" w:cs="Times New Roman"/>
          <w:color w:val="auto"/>
          <w:sz w:val="30"/>
          <w:szCs w:val="30"/>
        </w:rPr>
        <w:t xml:space="preserve"> Uso del suelo</w:t>
      </w:r>
      <w:bookmarkEnd w:id="81"/>
    </w:p>
    <w:p w:rsidR="00DF516D" w:rsidRPr="00262C53" w:rsidRDefault="00DF516D" w:rsidP="00DF516D"/>
    <w:p w:rsidR="00DF516D" w:rsidRDefault="00DF516D" w:rsidP="00DF516D">
      <w:pPr>
        <w:spacing w:line="360" w:lineRule="auto"/>
        <w:ind w:firstLine="284"/>
        <w:jc w:val="both"/>
      </w:pPr>
      <w:r>
        <w:t>De acuerdo con</w:t>
      </w:r>
      <w:r w:rsidRPr="003C1591">
        <w:t xml:space="preserve"> las e</w:t>
      </w:r>
      <w:r>
        <w:t>valuaciones Agropecuarias, el  u</w:t>
      </w:r>
      <w:r w:rsidRPr="003C1591">
        <w:t>so aproximado del suelo en pastos, bosques y actividad agrícola en el Departamento del Quin</w:t>
      </w:r>
      <w:r>
        <w:t>dío para la vigencia 2013 asciende a</w:t>
      </w:r>
      <w:r w:rsidRPr="003C1591">
        <w:t xml:space="preserve"> 193.049.9 hectáreas</w:t>
      </w:r>
      <w:r>
        <w:t>,</w:t>
      </w:r>
      <w:r w:rsidRPr="003C1591">
        <w:t xml:space="preserve"> de las cuales  el 28,5% corresponde al sect</w:t>
      </w:r>
      <w:r>
        <w:t xml:space="preserve">or Agrícola, donde el municipio de Calarcá se destaca con una </w:t>
      </w:r>
      <w:r w:rsidRPr="003C1591">
        <w:t>participación</w:t>
      </w:r>
      <w:r>
        <w:t xml:space="preserve"> del 15,92%. E</w:t>
      </w:r>
      <w:r w:rsidRPr="003C1591">
        <w:t xml:space="preserve">l 32,7% </w:t>
      </w:r>
      <w:r>
        <w:t xml:space="preserve">del área total del departamento </w:t>
      </w:r>
      <w:r w:rsidRPr="003C1591">
        <w:t>corresponde al área de</w:t>
      </w:r>
      <w:r>
        <w:t>stinada a</w:t>
      </w:r>
      <w:r w:rsidRPr="003C1591">
        <w:t xml:space="preserve"> pastos,</w:t>
      </w:r>
      <w:r>
        <w:t xml:space="preserve"> donde el municipio de </w:t>
      </w:r>
      <w:r w:rsidRPr="003C1591">
        <w:t xml:space="preserve">Salento </w:t>
      </w:r>
      <w:r>
        <w:t>agrupa el  17,83</w:t>
      </w:r>
      <w:r w:rsidRPr="003C1591">
        <w:t>%</w:t>
      </w:r>
      <w:r>
        <w:t xml:space="preserve"> dentro del total; por su parte, el área de bosques representa el 38,8% de los cuales el municipio de Salento aporta el 29,72%</w:t>
      </w:r>
      <w:r w:rsidRPr="003C1591">
        <w:t xml:space="preserve">. </w:t>
      </w:r>
    </w:p>
    <w:p w:rsidR="00DF516D" w:rsidRDefault="00DF516D" w:rsidP="00DF516D">
      <w:pPr>
        <w:spacing w:line="360" w:lineRule="auto"/>
        <w:ind w:firstLine="284"/>
        <w:jc w:val="both"/>
      </w:pPr>
    </w:p>
    <w:p w:rsidR="00DF516D" w:rsidRPr="000C1DA3" w:rsidRDefault="00DF516D" w:rsidP="00DF516D">
      <w:pPr>
        <w:tabs>
          <w:tab w:val="left" w:pos="2460"/>
        </w:tabs>
        <w:ind w:right="-232"/>
      </w:pPr>
      <w:r>
        <w:t>Tabla</w:t>
      </w:r>
      <w:r w:rsidRPr="000C1DA3">
        <w:t xml:space="preserve"> 9.2</w:t>
      </w:r>
    </w:p>
    <w:p w:rsidR="00DF516D" w:rsidRPr="000C1DA3" w:rsidRDefault="00DF516D" w:rsidP="00DF516D">
      <w:pPr>
        <w:tabs>
          <w:tab w:val="left" w:pos="2460"/>
        </w:tabs>
        <w:ind w:right="-232"/>
        <w:rPr>
          <w:color w:val="000000"/>
          <w:lang w:eastAsia="es-ES"/>
        </w:rPr>
      </w:pPr>
      <w:r w:rsidRPr="000C1DA3">
        <w:rPr>
          <w:color w:val="000000"/>
          <w:lang w:eastAsia="es-ES"/>
        </w:rPr>
        <w:t>Uso aproximado del suelo</w:t>
      </w:r>
    </w:p>
    <w:p w:rsidR="00DF516D" w:rsidRPr="000C1DA3" w:rsidRDefault="00DF516D" w:rsidP="00DF516D">
      <w:pPr>
        <w:tabs>
          <w:tab w:val="left" w:pos="2460"/>
        </w:tabs>
        <w:ind w:right="-232"/>
      </w:pPr>
      <w:r w:rsidRPr="000C1DA3">
        <w:t>2013</w:t>
      </w:r>
    </w:p>
    <w:p w:rsidR="00DF516D" w:rsidRPr="003C1591" w:rsidRDefault="00DF516D" w:rsidP="00DF516D">
      <w:pPr>
        <w:tabs>
          <w:tab w:val="left" w:pos="2460"/>
        </w:tabs>
        <w:ind w:right="-232"/>
        <w:jc w:val="center"/>
      </w:pPr>
    </w:p>
    <w:tbl>
      <w:tblPr>
        <w:tblW w:w="6566" w:type="dxa"/>
        <w:tblCellMar>
          <w:left w:w="70" w:type="dxa"/>
          <w:right w:w="70" w:type="dxa"/>
        </w:tblCellMar>
        <w:tblLook w:val="04A0" w:firstRow="1" w:lastRow="0" w:firstColumn="1" w:lastColumn="0" w:noHBand="0" w:noVBand="1"/>
      </w:tblPr>
      <w:tblGrid>
        <w:gridCol w:w="2050"/>
        <w:gridCol w:w="2394"/>
        <w:gridCol w:w="2122"/>
      </w:tblGrid>
      <w:tr w:rsidR="00DF516D" w:rsidRPr="000C1DA3" w:rsidTr="002044DE">
        <w:trPr>
          <w:trHeight w:val="549"/>
        </w:trPr>
        <w:tc>
          <w:tcPr>
            <w:tcW w:w="2050" w:type="dxa"/>
            <w:tcBorders>
              <w:top w:val="single" w:sz="4" w:space="0" w:color="auto"/>
              <w:left w:val="nil"/>
              <w:bottom w:val="double" w:sz="4" w:space="0" w:color="auto"/>
              <w:right w:val="nil"/>
            </w:tcBorders>
            <w:shd w:val="clear" w:color="auto" w:fill="auto"/>
            <w:noWrap/>
            <w:vAlign w:val="center"/>
            <w:hideMark/>
          </w:tcPr>
          <w:p w:rsidR="00DF516D" w:rsidRPr="000C1DA3" w:rsidRDefault="00DF516D" w:rsidP="002044DE">
            <w:pPr>
              <w:jc w:val="center"/>
              <w:rPr>
                <w:b/>
                <w:color w:val="000000"/>
                <w:sz w:val="20"/>
                <w:szCs w:val="20"/>
                <w:lang w:eastAsia="es-ES"/>
              </w:rPr>
            </w:pPr>
            <w:r w:rsidRPr="000C1DA3">
              <w:rPr>
                <w:b/>
                <w:color w:val="000000"/>
                <w:sz w:val="20"/>
                <w:szCs w:val="20"/>
                <w:lang w:eastAsia="es-ES"/>
              </w:rPr>
              <w:t>TIPO</w:t>
            </w:r>
          </w:p>
        </w:tc>
        <w:tc>
          <w:tcPr>
            <w:tcW w:w="2394" w:type="dxa"/>
            <w:tcBorders>
              <w:top w:val="single" w:sz="4" w:space="0" w:color="auto"/>
              <w:left w:val="nil"/>
              <w:bottom w:val="double" w:sz="4" w:space="0" w:color="auto"/>
              <w:right w:val="nil"/>
            </w:tcBorders>
            <w:shd w:val="clear" w:color="auto" w:fill="auto"/>
            <w:noWrap/>
            <w:vAlign w:val="center"/>
            <w:hideMark/>
          </w:tcPr>
          <w:p w:rsidR="00DF516D" w:rsidRPr="000C1DA3" w:rsidRDefault="00DF516D" w:rsidP="002044DE">
            <w:pPr>
              <w:jc w:val="center"/>
              <w:rPr>
                <w:b/>
                <w:color w:val="000000"/>
                <w:sz w:val="20"/>
                <w:szCs w:val="20"/>
                <w:lang w:eastAsia="es-ES"/>
              </w:rPr>
            </w:pPr>
            <w:r w:rsidRPr="000C1DA3">
              <w:rPr>
                <w:b/>
                <w:color w:val="000000"/>
                <w:sz w:val="20"/>
                <w:szCs w:val="20"/>
                <w:lang w:eastAsia="es-ES"/>
              </w:rPr>
              <w:t>HECTÁREAS</w:t>
            </w:r>
          </w:p>
        </w:tc>
        <w:tc>
          <w:tcPr>
            <w:tcW w:w="2122" w:type="dxa"/>
            <w:tcBorders>
              <w:top w:val="single" w:sz="4" w:space="0" w:color="auto"/>
              <w:left w:val="nil"/>
              <w:bottom w:val="double" w:sz="4" w:space="0" w:color="auto"/>
              <w:right w:val="nil"/>
            </w:tcBorders>
            <w:shd w:val="clear" w:color="auto" w:fill="auto"/>
            <w:noWrap/>
            <w:vAlign w:val="center"/>
            <w:hideMark/>
          </w:tcPr>
          <w:p w:rsidR="00DF516D" w:rsidRPr="000C1DA3" w:rsidRDefault="00DF516D" w:rsidP="002044DE">
            <w:pPr>
              <w:jc w:val="center"/>
              <w:rPr>
                <w:b/>
                <w:color w:val="000000"/>
                <w:sz w:val="20"/>
                <w:szCs w:val="20"/>
                <w:lang w:eastAsia="es-ES"/>
              </w:rPr>
            </w:pPr>
            <w:r w:rsidRPr="000C1DA3">
              <w:rPr>
                <w:b/>
                <w:color w:val="000000"/>
                <w:sz w:val="20"/>
                <w:szCs w:val="20"/>
                <w:lang w:eastAsia="es-ES"/>
              </w:rPr>
              <w:t>PORCENTAJES</w:t>
            </w:r>
          </w:p>
        </w:tc>
      </w:tr>
      <w:tr w:rsidR="00DF516D" w:rsidRPr="000C1DA3" w:rsidTr="002044DE">
        <w:trPr>
          <w:trHeight w:val="549"/>
        </w:trPr>
        <w:tc>
          <w:tcPr>
            <w:tcW w:w="2050" w:type="dxa"/>
            <w:tcBorders>
              <w:top w:val="double" w:sz="4" w:space="0" w:color="auto"/>
              <w:left w:val="nil"/>
              <w:bottom w:val="nil"/>
              <w:right w:val="nil"/>
            </w:tcBorders>
            <w:shd w:val="clear" w:color="auto" w:fill="auto"/>
            <w:noWrap/>
            <w:vAlign w:val="center"/>
            <w:hideMark/>
          </w:tcPr>
          <w:p w:rsidR="00DF516D" w:rsidRPr="000C1DA3" w:rsidRDefault="00DF516D" w:rsidP="002044DE">
            <w:pPr>
              <w:jc w:val="center"/>
              <w:rPr>
                <w:color w:val="000000"/>
                <w:sz w:val="20"/>
                <w:szCs w:val="20"/>
                <w:lang w:eastAsia="es-ES"/>
              </w:rPr>
            </w:pPr>
            <w:r w:rsidRPr="000C1DA3">
              <w:rPr>
                <w:color w:val="000000"/>
                <w:sz w:val="20"/>
                <w:szCs w:val="20"/>
                <w:lang w:eastAsia="es-ES"/>
              </w:rPr>
              <w:t>Agrícola</w:t>
            </w:r>
          </w:p>
        </w:tc>
        <w:tc>
          <w:tcPr>
            <w:tcW w:w="2394" w:type="dxa"/>
            <w:tcBorders>
              <w:top w:val="double" w:sz="4" w:space="0" w:color="auto"/>
              <w:left w:val="nil"/>
              <w:bottom w:val="nil"/>
              <w:right w:val="nil"/>
            </w:tcBorders>
            <w:shd w:val="clear" w:color="auto" w:fill="auto"/>
            <w:noWrap/>
            <w:vAlign w:val="center"/>
            <w:hideMark/>
          </w:tcPr>
          <w:p w:rsidR="00DF516D" w:rsidRPr="000C1DA3" w:rsidRDefault="00DF516D" w:rsidP="002044DE">
            <w:pPr>
              <w:jc w:val="center"/>
              <w:rPr>
                <w:color w:val="000000"/>
                <w:sz w:val="20"/>
                <w:szCs w:val="20"/>
                <w:lang w:eastAsia="es-ES"/>
              </w:rPr>
            </w:pPr>
            <w:r w:rsidRPr="000C1DA3">
              <w:rPr>
                <w:color w:val="000000"/>
                <w:sz w:val="20"/>
                <w:szCs w:val="20"/>
                <w:lang w:eastAsia="es-ES"/>
              </w:rPr>
              <w:t>54.189,71</w:t>
            </w:r>
          </w:p>
        </w:tc>
        <w:tc>
          <w:tcPr>
            <w:tcW w:w="2122" w:type="dxa"/>
            <w:tcBorders>
              <w:top w:val="double" w:sz="4" w:space="0" w:color="auto"/>
              <w:left w:val="nil"/>
              <w:bottom w:val="nil"/>
              <w:right w:val="nil"/>
            </w:tcBorders>
            <w:shd w:val="clear" w:color="auto" w:fill="auto"/>
            <w:noWrap/>
            <w:vAlign w:val="center"/>
            <w:hideMark/>
          </w:tcPr>
          <w:p w:rsidR="00DF516D" w:rsidRPr="000C1DA3" w:rsidRDefault="00DF516D" w:rsidP="002044DE">
            <w:pPr>
              <w:jc w:val="center"/>
              <w:rPr>
                <w:color w:val="000000"/>
                <w:sz w:val="20"/>
                <w:szCs w:val="20"/>
                <w:lang w:eastAsia="es-ES"/>
              </w:rPr>
            </w:pPr>
            <w:r w:rsidRPr="000C1DA3">
              <w:rPr>
                <w:color w:val="000000"/>
                <w:sz w:val="20"/>
                <w:szCs w:val="20"/>
                <w:lang w:eastAsia="es-ES"/>
              </w:rPr>
              <w:t>28.5%</w:t>
            </w:r>
          </w:p>
        </w:tc>
      </w:tr>
      <w:tr w:rsidR="00DF516D" w:rsidRPr="000C1DA3" w:rsidTr="002044DE">
        <w:trPr>
          <w:trHeight w:val="549"/>
        </w:trPr>
        <w:tc>
          <w:tcPr>
            <w:tcW w:w="2050" w:type="dxa"/>
            <w:tcBorders>
              <w:top w:val="nil"/>
              <w:left w:val="nil"/>
              <w:bottom w:val="nil"/>
              <w:right w:val="nil"/>
            </w:tcBorders>
            <w:shd w:val="clear" w:color="auto" w:fill="auto"/>
            <w:noWrap/>
            <w:vAlign w:val="center"/>
            <w:hideMark/>
          </w:tcPr>
          <w:p w:rsidR="00DF516D" w:rsidRPr="000C1DA3" w:rsidRDefault="00DF516D" w:rsidP="002044DE">
            <w:pPr>
              <w:jc w:val="center"/>
              <w:rPr>
                <w:color w:val="000000"/>
                <w:sz w:val="20"/>
                <w:szCs w:val="20"/>
                <w:lang w:eastAsia="es-ES"/>
              </w:rPr>
            </w:pPr>
            <w:r w:rsidRPr="000C1DA3">
              <w:rPr>
                <w:color w:val="000000"/>
                <w:sz w:val="20"/>
                <w:szCs w:val="20"/>
                <w:lang w:eastAsia="es-ES"/>
              </w:rPr>
              <w:t>Pastos</w:t>
            </w:r>
          </w:p>
        </w:tc>
        <w:tc>
          <w:tcPr>
            <w:tcW w:w="2394" w:type="dxa"/>
            <w:tcBorders>
              <w:top w:val="nil"/>
              <w:left w:val="nil"/>
              <w:bottom w:val="nil"/>
              <w:right w:val="nil"/>
            </w:tcBorders>
            <w:shd w:val="clear" w:color="auto" w:fill="auto"/>
            <w:noWrap/>
            <w:vAlign w:val="center"/>
            <w:hideMark/>
          </w:tcPr>
          <w:p w:rsidR="00DF516D" w:rsidRPr="000C1DA3" w:rsidRDefault="00DF516D" w:rsidP="002044DE">
            <w:pPr>
              <w:jc w:val="center"/>
              <w:rPr>
                <w:color w:val="000000"/>
                <w:sz w:val="20"/>
                <w:szCs w:val="20"/>
                <w:lang w:eastAsia="es-ES"/>
              </w:rPr>
            </w:pPr>
            <w:r w:rsidRPr="000C1DA3">
              <w:rPr>
                <w:color w:val="000000"/>
                <w:sz w:val="20"/>
                <w:szCs w:val="20"/>
                <w:lang w:eastAsia="es-ES"/>
              </w:rPr>
              <w:t>63.878</w:t>
            </w:r>
          </w:p>
        </w:tc>
        <w:tc>
          <w:tcPr>
            <w:tcW w:w="2122" w:type="dxa"/>
            <w:tcBorders>
              <w:top w:val="nil"/>
              <w:left w:val="nil"/>
              <w:bottom w:val="nil"/>
              <w:right w:val="nil"/>
            </w:tcBorders>
            <w:shd w:val="clear" w:color="auto" w:fill="auto"/>
            <w:noWrap/>
            <w:vAlign w:val="center"/>
            <w:hideMark/>
          </w:tcPr>
          <w:p w:rsidR="00DF516D" w:rsidRPr="000C1DA3" w:rsidRDefault="00DF516D" w:rsidP="002044DE">
            <w:pPr>
              <w:jc w:val="center"/>
              <w:rPr>
                <w:color w:val="000000"/>
                <w:sz w:val="20"/>
                <w:szCs w:val="20"/>
                <w:lang w:eastAsia="es-ES"/>
              </w:rPr>
            </w:pPr>
            <w:r w:rsidRPr="000C1DA3">
              <w:rPr>
                <w:color w:val="000000"/>
                <w:sz w:val="20"/>
                <w:szCs w:val="20"/>
                <w:lang w:eastAsia="es-ES"/>
              </w:rPr>
              <w:t>32.7%</w:t>
            </w:r>
          </w:p>
        </w:tc>
      </w:tr>
      <w:tr w:rsidR="00DF516D" w:rsidRPr="000C1DA3" w:rsidTr="002044DE">
        <w:trPr>
          <w:trHeight w:val="549"/>
        </w:trPr>
        <w:tc>
          <w:tcPr>
            <w:tcW w:w="2050" w:type="dxa"/>
            <w:tcBorders>
              <w:top w:val="nil"/>
              <w:left w:val="nil"/>
              <w:bottom w:val="nil"/>
              <w:right w:val="nil"/>
            </w:tcBorders>
            <w:shd w:val="clear" w:color="auto" w:fill="auto"/>
            <w:noWrap/>
            <w:vAlign w:val="center"/>
            <w:hideMark/>
          </w:tcPr>
          <w:p w:rsidR="00DF516D" w:rsidRPr="000C1DA3" w:rsidRDefault="00DF516D" w:rsidP="002044DE">
            <w:pPr>
              <w:jc w:val="center"/>
              <w:rPr>
                <w:color w:val="000000"/>
                <w:sz w:val="20"/>
                <w:szCs w:val="20"/>
                <w:lang w:eastAsia="es-ES"/>
              </w:rPr>
            </w:pPr>
            <w:r w:rsidRPr="000C1DA3">
              <w:rPr>
                <w:color w:val="000000"/>
                <w:sz w:val="20"/>
                <w:szCs w:val="20"/>
                <w:lang w:eastAsia="es-ES"/>
              </w:rPr>
              <w:t>Bosques</w:t>
            </w:r>
          </w:p>
        </w:tc>
        <w:tc>
          <w:tcPr>
            <w:tcW w:w="2394" w:type="dxa"/>
            <w:tcBorders>
              <w:top w:val="nil"/>
              <w:left w:val="nil"/>
              <w:bottom w:val="nil"/>
              <w:right w:val="nil"/>
            </w:tcBorders>
            <w:shd w:val="clear" w:color="auto" w:fill="auto"/>
            <w:noWrap/>
            <w:vAlign w:val="center"/>
            <w:hideMark/>
          </w:tcPr>
          <w:p w:rsidR="00DF516D" w:rsidRPr="000C1DA3" w:rsidRDefault="00DF516D" w:rsidP="002044DE">
            <w:pPr>
              <w:jc w:val="center"/>
              <w:rPr>
                <w:color w:val="000000"/>
                <w:sz w:val="20"/>
                <w:szCs w:val="20"/>
                <w:lang w:eastAsia="es-ES"/>
              </w:rPr>
            </w:pPr>
            <w:r w:rsidRPr="000C1DA3">
              <w:rPr>
                <w:color w:val="000000"/>
                <w:sz w:val="20"/>
                <w:szCs w:val="20"/>
                <w:lang w:eastAsia="es-ES"/>
              </w:rPr>
              <w:t>74.982,19</w:t>
            </w:r>
          </w:p>
        </w:tc>
        <w:tc>
          <w:tcPr>
            <w:tcW w:w="2122" w:type="dxa"/>
            <w:tcBorders>
              <w:top w:val="nil"/>
              <w:left w:val="nil"/>
              <w:bottom w:val="nil"/>
              <w:right w:val="nil"/>
            </w:tcBorders>
            <w:shd w:val="clear" w:color="auto" w:fill="auto"/>
            <w:noWrap/>
            <w:vAlign w:val="center"/>
            <w:hideMark/>
          </w:tcPr>
          <w:p w:rsidR="00DF516D" w:rsidRPr="000C1DA3" w:rsidRDefault="00DF516D" w:rsidP="002044DE">
            <w:pPr>
              <w:jc w:val="center"/>
              <w:rPr>
                <w:color w:val="000000"/>
                <w:sz w:val="20"/>
                <w:szCs w:val="20"/>
                <w:lang w:eastAsia="es-ES"/>
              </w:rPr>
            </w:pPr>
            <w:r w:rsidRPr="000C1DA3">
              <w:rPr>
                <w:color w:val="000000"/>
                <w:sz w:val="20"/>
                <w:szCs w:val="20"/>
                <w:lang w:eastAsia="es-ES"/>
              </w:rPr>
              <w:t>38.8%</w:t>
            </w:r>
          </w:p>
        </w:tc>
      </w:tr>
      <w:tr w:rsidR="00DF516D" w:rsidRPr="000C1DA3" w:rsidTr="002044DE">
        <w:trPr>
          <w:trHeight w:val="363"/>
        </w:trPr>
        <w:tc>
          <w:tcPr>
            <w:tcW w:w="2050" w:type="dxa"/>
            <w:tcBorders>
              <w:top w:val="single" w:sz="4" w:space="0" w:color="auto"/>
              <w:left w:val="nil"/>
              <w:bottom w:val="single" w:sz="4" w:space="0" w:color="auto"/>
              <w:right w:val="nil"/>
            </w:tcBorders>
            <w:shd w:val="clear" w:color="auto" w:fill="auto"/>
            <w:noWrap/>
            <w:vAlign w:val="center"/>
            <w:hideMark/>
          </w:tcPr>
          <w:p w:rsidR="00DF516D" w:rsidRPr="00721C50" w:rsidRDefault="00DF516D" w:rsidP="002044DE">
            <w:pPr>
              <w:jc w:val="center"/>
              <w:rPr>
                <w:b/>
                <w:color w:val="000000"/>
                <w:sz w:val="20"/>
                <w:szCs w:val="20"/>
                <w:lang w:eastAsia="es-ES"/>
              </w:rPr>
            </w:pPr>
            <w:r w:rsidRPr="00721C50">
              <w:rPr>
                <w:b/>
                <w:color w:val="000000"/>
                <w:sz w:val="20"/>
                <w:szCs w:val="20"/>
                <w:lang w:eastAsia="es-ES"/>
              </w:rPr>
              <w:t>TOTAL</w:t>
            </w:r>
          </w:p>
        </w:tc>
        <w:tc>
          <w:tcPr>
            <w:tcW w:w="2394" w:type="dxa"/>
            <w:tcBorders>
              <w:top w:val="single" w:sz="4" w:space="0" w:color="auto"/>
              <w:left w:val="nil"/>
              <w:bottom w:val="single" w:sz="4" w:space="0" w:color="auto"/>
              <w:right w:val="nil"/>
            </w:tcBorders>
            <w:shd w:val="clear" w:color="auto" w:fill="auto"/>
            <w:noWrap/>
            <w:vAlign w:val="center"/>
            <w:hideMark/>
          </w:tcPr>
          <w:p w:rsidR="00DF516D" w:rsidRPr="00721C50" w:rsidRDefault="00DF516D" w:rsidP="002044DE">
            <w:pPr>
              <w:jc w:val="center"/>
              <w:rPr>
                <w:b/>
                <w:color w:val="000000"/>
                <w:sz w:val="20"/>
                <w:szCs w:val="20"/>
                <w:lang w:eastAsia="es-ES"/>
              </w:rPr>
            </w:pPr>
            <w:r w:rsidRPr="00721C50">
              <w:rPr>
                <w:b/>
                <w:color w:val="000000"/>
                <w:sz w:val="20"/>
                <w:szCs w:val="20"/>
                <w:lang w:eastAsia="es-ES"/>
              </w:rPr>
              <w:t>193.049,90</w:t>
            </w:r>
          </w:p>
        </w:tc>
        <w:tc>
          <w:tcPr>
            <w:tcW w:w="2122" w:type="dxa"/>
            <w:tcBorders>
              <w:top w:val="single" w:sz="4" w:space="0" w:color="auto"/>
              <w:left w:val="nil"/>
              <w:bottom w:val="single" w:sz="4" w:space="0" w:color="auto"/>
              <w:right w:val="nil"/>
            </w:tcBorders>
            <w:shd w:val="clear" w:color="auto" w:fill="auto"/>
            <w:noWrap/>
            <w:vAlign w:val="center"/>
            <w:hideMark/>
          </w:tcPr>
          <w:p w:rsidR="00DF516D" w:rsidRPr="00721C50" w:rsidRDefault="00DF516D" w:rsidP="002044DE">
            <w:pPr>
              <w:jc w:val="center"/>
              <w:rPr>
                <w:b/>
                <w:color w:val="000000"/>
                <w:sz w:val="20"/>
                <w:szCs w:val="20"/>
                <w:lang w:eastAsia="es-ES"/>
              </w:rPr>
            </w:pPr>
            <w:r w:rsidRPr="00721C50">
              <w:rPr>
                <w:b/>
                <w:color w:val="000000"/>
                <w:sz w:val="20"/>
                <w:szCs w:val="20"/>
                <w:lang w:eastAsia="es-ES"/>
              </w:rPr>
              <w:t>100,00%</w:t>
            </w:r>
          </w:p>
        </w:tc>
      </w:tr>
    </w:tbl>
    <w:p w:rsidR="00DF516D" w:rsidRPr="000C1DA3" w:rsidRDefault="00DF516D" w:rsidP="00DF516D">
      <w:pPr>
        <w:pStyle w:val="Sinespaciado"/>
        <w:spacing w:line="360" w:lineRule="auto"/>
        <w:jc w:val="left"/>
        <w:rPr>
          <w:rFonts w:ascii="Times New Roman" w:hAnsi="Times New Roman"/>
          <w:sz w:val="16"/>
          <w:szCs w:val="16"/>
        </w:rPr>
      </w:pPr>
      <w:r w:rsidRPr="000C1DA3">
        <w:rPr>
          <w:rFonts w:ascii="Times New Roman" w:hAnsi="Times New Roman"/>
          <w:sz w:val="16"/>
          <w:szCs w:val="16"/>
        </w:rPr>
        <w:t>Fuente: Evaluaciones agropecuarias 2013 y cálculos propios.</w:t>
      </w:r>
    </w:p>
    <w:p w:rsidR="00DF516D" w:rsidRPr="00254AE2" w:rsidRDefault="00DF516D" w:rsidP="00DF516D">
      <w:pPr>
        <w:pStyle w:val="Sinespaciado"/>
        <w:spacing w:line="360" w:lineRule="auto"/>
        <w:rPr>
          <w:rFonts w:ascii="Times New Roman" w:hAnsi="Times New Roman"/>
          <w:sz w:val="18"/>
          <w:szCs w:val="24"/>
        </w:rPr>
      </w:pPr>
    </w:p>
    <w:p w:rsidR="00DF516D" w:rsidRDefault="00DF516D" w:rsidP="00DF516D">
      <w:pPr>
        <w:spacing w:line="360" w:lineRule="auto"/>
        <w:ind w:firstLine="284"/>
        <w:jc w:val="both"/>
      </w:pPr>
      <w:r>
        <w:t>Las cifras evidencian que el municipio de Salento destina una mayor proporción del uso del suelo a pastos y bosques; por lo cual, no se caracteriza como un municipio agrícola dentro del departamento, puesto que tan solo el 1,87% del suelo se destina a este uso; esto lo convierte como el municipio con menor actividad agrícola en el Quindío. Es importante destacar, que este municipio agrupa el mayor porcentaje de áreas protegidas a nivel departamental.</w:t>
      </w:r>
    </w:p>
    <w:p w:rsidR="00DF516D" w:rsidRDefault="00DF516D" w:rsidP="00DF516D">
      <w:pPr>
        <w:spacing w:line="360" w:lineRule="auto"/>
        <w:ind w:firstLine="284"/>
        <w:jc w:val="both"/>
      </w:pPr>
    </w:p>
    <w:p w:rsidR="00DF516D" w:rsidRPr="00092380" w:rsidRDefault="00DF516D" w:rsidP="00DF516D">
      <w:r w:rsidRPr="00092380">
        <w:t>Gráfico 9.1</w:t>
      </w:r>
    </w:p>
    <w:p w:rsidR="00DF516D" w:rsidRPr="00092380" w:rsidRDefault="00687997" w:rsidP="00DF516D">
      <w:r>
        <w:t>Porcentaje de suelo destinado a la agricultura</w:t>
      </w:r>
    </w:p>
    <w:p w:rsidR="00DF516D" w:rsidRDefault="00DF516D" w:rsidP="00DF516D">
      <w:r w:rsidRPr="00092380">
        <w:t>2013</w:t>
      </w:r>
    </w:p>
    <w:p w:rsidR="00DF516D" w:rsidRDefault="00DF516D" w:rsidP="00DF516D"/>
    <w:p w:rsidR="00DF516D" w:rsidRPr="00092380" w:rsidRDefault="00DF516D" w:rsidP="00DF516D">
      <w:pPr>
        <w:rPr>
          <w:sz w:val="14"/>
        </w:rPr>
      </w:pPr>
    </w:p>
    <w:p w:rsidR="00DF516D" w:rsidRDefault="00DF516D" w:rsidP="00DF516D">
      <w:pPr>
        <w:spacing w:line="360" w:lineRule="auto"/>
      </w:pPr>
      <w:r>
        <w:rPr>
          <w:noProof/>
        </w:rPr>
        <w:drawing>
          <wp:inline distT="0" distB="0" distL="0" distR="0" wp14:anchorId="5E6D165F" wp14:editId="1A001255">
            <wp:extent cx="3276600" cy="2257425"/>
            <wp:effectExtent l="0" t="0" r="0" b="952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F516D" w:rsidRPr="00092380" w:rsidRDefault="00DF516D" w:rsidP="00DF516D">
      <w:pPr>
        <w:spacing w:line="360" w:lineRule="auto"/>
        <w:rPr>
          <w:sz w:val="16"/>
          <w:szCs w:val="16"/>
        </w:rPr>
      </w:pPr>
      <w:r w:rsidRPr="00092380">
        <w:rPr>
          <w:sz w:val="16"/>
          <w:szCs w:val="16"/>
        </w:rPr>
        <w:t>Fuente: Evaluaciones Agropecuarias 2013 y elaboración propia.</w:t>
      </w:r>
    </w:p>
    <w:p w:rsidR="00DF516D" w:rsidRDefault="00DF516D" w:rsidP="00DF516D">
      <w:r>
        <w:t>Tabla 9.3</w:t>
      </w:r>
    </w:p>
    <w:p w:rsidR="00DF516D" w:rsidRDefault="00DF516D" w:rsidP="00DF516D">
      <w:r>
        <w:t>Conflicto de uso de suelo en el departamento del Quindío</w:t>
      </w:r>
    </w:p>
    <w:p w:rsidR="00DF516D" w:rsidRDefault="00DF516D" w:rsidP="00DF516D">
      <w:r>
        <w:lastRenderedPageBreak/>
        <w:t>2013</w:t>
      </w:r>
    </w:p>
    <w:p w:rsidR="00DF516D" w:rsidRPr="00092380" w:rsidRDefault="00DF516D" w:rsidP="00DF516D">
      <w:pPr>
        <w:jc w:val="center"/>
        <w:rPr>
          <w:sz w:val="8"/>
        </w:rPr>
      </w:pPr>
    </w:p>
    <w:tbl>
      <w:tblPr>
        <w:tblW w:w="7528" w:type="dxa"/>
        <w:tblCellMar>
          <w:left w:w="70" w:type="dxa"/>
          <w:right w:w="70" w:type="dxa"/>
        </w:tblCellMar>
        <w:tblLook w:val="04A0" w:firstRow="1" w:lastRow="0" w:firstColumn="1" w:lastColumn="0" w:noHBand="0" w:noVBand="1"/>
      </w:tblPr>
      <w:tblGrid>
        <w:gridCol w:w="3397"/>
        <w:gridCol w:w="2391"/>
        <w:gridCol w:w="1740"/>
      </w:tblGrid>
      <w:tr w:rsidR="00DF516D" w:rsidRPr="0028514C" w:rsidTr="00B42BFA">
        <w:trPr>
          <w:trHeight w:val="603"/>
          <w:tblHeader/>
        </w:trPr>
        <w:tc>
          <w:tcPr>
            <w:tcW w:w="3397" w:type="dxa"/>
            <w:tcBorders>
              <w:top w:val="single" w:sz="4" w:space="0" w:color="auto"/>
              <w:left w:val="nil"/>
              <w:bottom w:val="single" w:sz="4" w:space="0" w:color="auto"/>
              <w:right w:val="nil"/>
            </w:tcBorders>
            <w:shd w:val="clear" w:color="auto" w:fill="auto"/>
            <w:vAlign w:val="center"/>
            <w:hideMark/>
          </w:tcPr>
          <w:p w:rsidR="00DF516D" w:rsidRPr="006212BF" w:rsidRDefault="00DF516D" w:rsidP="002044DE">
            <w:pPr>
              <w:jc w:val="center"/>
              <w:rPr>
                <w:b/>
                <w:bCs/>
                <w:color w:val="000000"/>
                <w:sz w:val="20"/>
                <w:szCs w:val="20"/>
                <w:lang w:val="es-ES" w:eastAsia="es-ES"/>
              </w:rPr>
            </w:pPr>
            <w:r w:rsidRPr="006212BF">
              <w:rPr>
                <w:b/>
                <w:bCs/>
                <w:color w:val="000000"/>
                <w:sz w:val="20"/>
                <w:szCs w:val="20"/>
                <w:lang w:val="es-ES" w:eastAsia="es-ES"/>
              </w:rPr>
              <w:t>TIPO DE CONFLICTO DE USO</w:t>
            </w:r>
          </w:p>
        </w:tc>
        <w:tc>
          <w:tcPr>
            <w:tcW w:w="2391" w:type="dxa"/>
            <w:tcBorders>
              <w:top w:val="single" w:sz="4" w:space="0" w:color="auto"/>
              <w:left w:val="nil"/>
              <w:bottom w:val="single" w:sz="4" w:space="0" w:color="auto"/>
              <w:right w:val="nil"/>
            </w:tcBorders>
            <w:shd w:val="clear" w:color="auto" w:fill="auto"/>
            <w:vAlign w:val="center"/>
            <w:hideMark/>
          </w:tcPr>
          <w:p w:rsidR="00DF516D" w:rsidRPr="006212BF" w:rsidRDefault="00DF516D" w:rsidP="002044DE">
            <w:pPr>
              <w:jc w:val="center"/>
              <w:rPr>
                <w:b/>
                <w:bCs/>
                <w:color w:val="000000"/>
                <w:sz w:val="20"/>
                <w:szCs w:val="20"/>
                <w:lang w:val="es-ES" w:eastAsia="es-ES"/>
              </w:rPr>
            </w:pPr>
            <w:r w:rsidRPr="006212BF">
              <w:rPr>
                <w:b/>
                <w:bCs/>
                <w:color w:val="000000"/>
                <w:sz w:val="20"/>
                <w:szCs w:val="20"/>
                <w:lang w:val="es-ES" w:eastAsia="es-ES"/>
              </w:rPr>
              <w:t>% ÁREA DEPARTAMENTAL</w:t>
            </w:r>
          </w:p>
        </w:tc>
        <w:tc>
          <w:tcPr>
            <w:tcW w:w="1740" w:type="dxa"/>
            <w:tcBorders>
              <w:top w:val="single" w:sz="4" w:space="0" w:color="auto"/>
              <w:left w:val="nil"/>
              <w:bottom w:val="single" w:sz="4" w:space="0" w:color="auto"/>
              <w:right w:val="nil"/>
            </w:tcBorders>
            <w:shd w:val="clear" w:color="auto" w:fill="auto"/>
            <w:noWrap/>
            <w:vAlign w:val="center"/>
            <w:hideMark/>
          </w:tcPr>
          <w:p w:rsidR="00DF516D" w:rsidRPr="006212BF" w:rsidRDefault="00DF516D" w:rsidP="002044DE">
            <w:pPr>
              <w:jc w:val="center"/>
              <w:rPr>
                <w:b/>
                <w:bCs/>
                <w:color w:val="000000"/>
                <w:sz w:val="20"/>
                <w:szCs w:val="20"/>
                <w:lang w:val="es-ES" w:eastAsia="es-ES"/>
              </w:rPr>
            </w:pPr>
            <w:r w:rsidRPr="006212BF">
              <w:rPr>
                <w:b/>
                <w:bCs/>
                <w:color w:val="000000"/>
                <w:sz w:val="20"/>
                <w:szCs w:val="20"/>
                <w:lang w:val="es-ES" w:eastAsia="es-ES"/>
              </w:rPr>
              <w:t>% TOTAL</w:t>
            </w:r>
          </w:p>
        </w:tc>
      </w:tr>
      <w:tr w:rsidR="00DF516D" w:rsidRPr="0028514C" w:rsidTr="00B42BFA">
        <w:trPr>
          <w:trHeight w:val="309"/>
        </w:trPr>
        <w:tc>
          <w:tcPr>
            <w:tcW w:w="3397"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Adecuado</w:t>
            </w: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22,13</w:t>
            </w:r>
          </w:p>
        </w:tc>
        <w:tc>
          <w:tcPr>
            <w:tcW w:w="1740" w:type="dxa"/>
            <w:tcBorders>
              <w:top w:val="nil"/>
              <w:left w:val="nil"/>
              <w:bottom w:val="nil"/>
              <w:right w:val="nil"/>
            </w:tcBorders>
            <w:shd w:val="clear" w:color="auto" w:fill="auto"/>
            <w:noWrap/>
            <w:vAlign w:val="bottom"/>
            <w:hideMark/>
          </w:tcPr>
          <w:p w:rsidR="00DF516D" w:rsidRPr="008B7947" w:rsidRDefault="00DF516D" w:rsidP="002044DE">
            <w:pPr>
              <w:jc w:val="center"/>
              <w:rPr>
                <w:b/>
                <w:bCs/>
                <w:color w:val="000000"/>
                <w:sz w:val="18"/>
                <w:szCs w:val="18"/>
                <w:lang w:val="es-ES" w:eastAsia="es-ES"/>
              </w:rPr>
            </w:pPr>
            <w:r w:rsidRPr="008B7947">
              <w:rPr>
                <w:b/>
                <w:bCs/>
                <w:color w:val="000000"/>
                <w:sz w:val="18"/>
                <w:szCs w:val="18"/>
                <w:lang w:val="es-ES" w:eastAsia="es-ES"/>
              </w:rPr>
              <w:t>22,13</w:t>
            </w:r>
          </w:p>
        </w:tc>
      </w:tr>
      <w:tr w:rsidR="00DF516D" w:rsidRPr="0028514C" w:rsidTr="00B42BFA">
        <w:trPr>
          <w:trHeight w:val="309"/>
        </w:trPr>
        <w:tc>
          <w:tcPr>
            <w:tcW w:w="3397" w:type="dxa"/>
            <w:vMerge w:val="restart"/>
            <w:tcBorders>
              <w:top w:val="nil"/>
              <w:left w:val="nil"/>
              <w:bottom w:val="nil"/>
              <w:right w:val="nil"/>
            </w:tcBorders>
            <w:shd w:val="clear" w:color="auto" w:fill="auto"/>
            <w:vAlign w:val="center"/>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Sobreutilización</w:t>
            </w: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0,01</w:t>
            </w:r>
          </w:p>
        </w:tc>
        <w:tc>
          <w:tcPr>
            <w:tcW w:w="1740" w:type="dxa"/>
            <w:vMerge w:val="restart"/>
            <w:tcBorders>
              <w:top w:val="nil"/>
              <w:left w:val="nil"/>
              <w:bottom w:val="nil"/>
              <w:right w:val="nil"/>
            </w:tcBorders>
            <w:shd w:val="clear" w:color="auto" w:fill="auto"/>
            <w:noWrap/>
            <w:vAlign w:val="center"/>
            <w:hideMark/>
          </w:tcPr>
          <w:p w:rsidR="00DF516D" w:rsidRPr="008B7947" w:rsidRDefault="00DF516D" w:rsidP="002044DE">
            <w:pPr>
              <w:jc w:val="center"/>
              <w:rPr>
                <w:b/>
                <w:bCs/>
                <w:color w:val="000000"/>
                <w:sz w:val="18"/>
                <w:szCs w:val="18"/>
                <w:lang w:val="es-ES" w:eastAsia="es-ES"/>
              </w:rPr>
            </w:pPr>
            <w:r w:rsidRPr="008B7947">
              <w:rPr>
                <w:b/>
                <w:bCs/>
                <w:color w:val="000000"/>
                <w:sz w:val="18"/>
                <w:szCs w:val="18"/>
                <w:lang w:val="es-ES" w:eastAsia="es-ES"/>
              </w:rPr>
              <w:t>32,44</w:t>
            </w: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0,08</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0,02</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0,02</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0,04</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0,63</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0,11</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3,19</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8,59</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19,75</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val="restart"/>
            <w:tcBorders>
              <w:top w:val="nil"/>
              <w:left w:val="nil"/>
              <w:bottom w:val="nil"/>
              <w:right w:val="nil"/>
            </w:tcBorders>
            <w:shd w:val="clear" w:color="auto" w:fill="auto"/>
            <w:vAlign w:val="center"/>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Subutilización</w:t>
            </w: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0,69</w:t>
            </w:r>
          </w:p>
        </w:tc>
        <w:tc>
          <w:tcPr>
            <w:tcW w:w="1740" w:type="dxa"/>
            <w:vMerge w:val="restart"/>
            <w:tcBorders>
              <w:top w:val="nil"/>
              <w:left w:val="nil"/>
              <w:bottom w:val="nil"/>
              <w:right w:val="nil"/>
            </w:tcBorders>
            <w:shd w:val="clear" w:color="auto" w:fill="auto"/>
            <w:noWrap/>
            <w:vAlign w:val="center"/>
            <w:hideMark/>
          </w:tcPr>
          <w:p w:rsidR="00DF516D" w:rsidRPr="008B7947" w:rsidRDefault="00DF516D" w:rsidP="002044DE">
            <w:pPr>
              <w:jc w:val="center"/>
              <w:rPr>
                <w:b/>
                <w:bCs/>
                <w:color w:val="000000"/>
                <w:sz w:val="18"/>
                <w:szCs w:val="18"/>
                <w:lang w:val="es-ES" w:eastAsia="es-ES"/>
              </w:rPr>
            </w:pPr>
            <w:r w:rsidRPr="008B7947">
              <w:rPr>
                <w:b/>
                <w:bCs/>
                <w:color w:val="000000"/>
                <w:sz w:val="18"/>
                <w:szCs w:val="18"/>
                <w:lang w:val="es-ES" w:eastAsia="es-ES"/>
              </w:rPr>
              <w:t>6,35</w:t>
            </w: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5,05</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0,61</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val="restart"/>
            <w:tcBorders>
              <w:top w:val="nil"/>
              <w:left w:val="nil"/>
              <w:bottom w:val="nil"/>
              <w:right w:val="nil"/>
            </w:tcBorders>
            <w:shd w:val="clear" w:color="auto" w:fill="auto"/>
            <w:vAlign w:val="center"/>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Coberturas naturales</w:t>
            </w: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10,18</w:t>
            </w:r>
          </w:p>
        </w:tc>
        <w:tc>
          <w:tcPr>
            <w:tcW w:w="1740" w:type="dxa"/>
            <w:vMerge w:val="restart"/>
            <w:tcBorders>
              <w:top w:val="nil"/>
              <w:left w:val="nil"/>
              <w:bottom w:val="nil"/>
              <w:right w:val="nil"/>
            </w:tcBorders>
            <w:shd w:val="clear" w:color="auto" w:fill="auto"/>
            <w:noWrap/>
            <w:vAlign w:val="center"/>
            <w:hideMark/>
          </w:tcPr>
          <w:p w:rsidR="00DF516D" w:rsidRPr="008B7947" w:rsidRDefault="00DF516D" w:rsidP="002044DE">
            <w:pPr>
              <w:jc w:val="center"/>
              <w:rPr>
                <w:b/>
                <w:bCs/>
                <w:color w:val="000000"/>
                <w:sz w:val="18"/>
                <w:szCs w:val="18"/>
                <w:lang w:val="es-ES" w:eastAsia="es-ES"/>
              </w:rPr>
            </w:pPr>
            <w:r w:rsidRPr="008B7947">
              <w:rPr>
                <w:b/>
                <w:bCs/>
                <w:color w:val="000000"/>
                <w:sz w:val="18"/>
                <w:szCs w:val="18"/>
                <w:lang w:val="es-ES" w:eastAsia="es-ES"/>
              </w:rPr>
              <w:t>17,1</w:t>
            </w: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3,07</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3,85</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val="restart"/>
            <w:tcBorders>
              <w:top w:val="nil"/>
              <w:left w:val="nil"/>
              <w:bottom w:val="nil"/>
              <w:right w:val="nil"/>
            </w:tcBorders>
            <w:shd w:val="clear" w:color="auto" w:fill="auto"/>
            <w:noWrap/>
            <w:vAlign w:val="center"/>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Otros</w:t>
            </w: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18,7</w:t>
            </w:r>
          </w:p>
        </w:tc>
        <w:tc>
          <w:tcPr>
            <w:tcW w:w="1740" w:type="dxa"/>
            <w:vMerge w:val="restart"/>
            <w:tcBorders>
              <w:top w:val="nil"/>
              <w:left w:val="nil"/>
              <w:bottom w:val="nil"/>
              <w:right w:val="nil"/>
            </w:tcBorders>
            <w:shd w:val="clear" w:color="auto" w:fill="auto"/>
            <w:noWrap/>
            <w:vAlign w:val="center"/>
            <w:hideMark/>
          </w:tcPr>
          <w:p w:rsidR="00DF516D" w:rsidRPr="008B7947" w:rsidRDefault="00DF516D" w:rsidP="002044DE">
            <w:pPr>
              <w:jc w:val="center"/>
              <w:rPr>
                <w:b/>
                <w:bCs/>
                <w:color w:val="000000"/>
                <w:sz w:val="18"/>
                <w:szCs w:val="18"/>
                <w:lang w:val="es-ES" w:eastAsia="es-ES"/>
              </w:rPr>
            </w:pPr>
            <w:r w:rsidRPr="008B7947">
              <w:rPr>
                <w:b/>
                <w:bCs/>
                <w:color w:val="000000"/>
                <w:sz w:val="18"/>
                <w:szCs w:val="18"/>
                <w:lang w:val="es-ES" w:eastAsia="es-ES"/>
              </w:rPr>
              <w:t>21,51</w:t>
            </w: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2,48</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0,18</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309"/>
        </w:trPr>
        <w:tc>
          <w:tcPr>
            <w:tcW w:w="3397" w:type="dxa"/>
            <w:vMerge/>
            <w:tcBorders>
              <w:top w:val="nil"/>
              <w:left w:val="nil"/>
              <w:bottom w:val="nil"/>
              <w:right w:val="nil"/>
            </w:tcBorders>
            <w:vAlign w:val="center"/>
            <w:hideMark/>
          </w:tcPr>
          <w:p w:rsidR="00DF516D" w:rsidRPr="008B7947" w:rsidRDefault="00DF516D" w:rsidP="002044DE">
            <w:pPr>
              <w:rPr>
                <w:color w:val="000000"/>
                <w:sz w:val="18"/>
                <w:szCs w:val="18"/>
                <w:lang w:val="es-ES" w:eastAsia="es-ES"/>
              </w:rPr>
            </w:pPr>
          </w:p>
        </w:tc>
        <w:tc>
          <w:tcPr>
            <w:tcW w:w="2391" w:type="dxa"/>
            <w:tcBorders>
              <w:top w:val="nil"/>
              <w:left w:val="nil"/>
              <w:bottom w:val="nil"/>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0,15</w:t>
            </w:r>
          </w:p>
        </w:tc>
        <w:tc>
          <w:tcPr>
            <w:tcW w:w="1740" w:type="dxa"/>
            <w:vMerge/>
            <w:tcBorders>
              <w:top w:val="nil"/>
              <w:left w:val="nil"/>
              <w:bottom w:val="nil"/>
              <w:right w:val="nil"/>
            </w:tcBorders>
            <w:vAlign w:val="center"/>
            <w:hideMark/>
          </w:tcPr>
          <w:p w:rsidR="00DF516D" w:rsidRPr="008B7947" w:rsidRDefault="00DF516D" w:rsidP="002044DE">
            <w:pPr>
              <w:rPr>
                <w:b/>
                <w:bCs/>
                <w:color w:val="000000"/>
                <w:sz w:val="18"/>
                <w:szCs w:val="18"/>
                <w:lang w:val="es-ES" w:eastAsia="es-ES"/>
              </w:rPr>
            </w:pPr>
          </w:p>
        </w:tc>
      </w:tr>
      <w:tr w:rsidR="00DF516D" w:rsidRPr="0028514C" w:rsidTr="00B42BFA">
        <w:trPr>
          <w:trHeight w:val="456"/>
        </w:trPr>
        <w:tc>
          <w:tcPr>
            <w:tcW w:w="3397" w:type="dxa"/>
            <w:tcBorders>
              <w:top w:val="nil"/>
              <w:left w:val="nil"/>
              <w:bottom w:val="single" w:sz="4" w:space="0" w:color="auto"/>
              <w:right w:val="nil"/>
            </w:tcBorders>
            <w:shd w:val="clear" w:color="auto" w:fill="auto"/>
            <w:noWrap/>
            <w:vAlign w:val="center"/>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Cuerpos de agua</w:t>
            </w:r>
          </w:p>
        </w:tc>
        <w:tc>
          <w:tcPr>
            <w:tcW w:w="2391" w:type="dxa"/>
            <w:tcBorders>
              <w:top w:val="nil"/>
              <w:left w:val="nil"/>
              <w:bottom w:val="single" w:sz="4" w:space="0" w:color="auto"/>
              <w:right w:val="nil"/>
            </w:tcBorders>
            <w:shd w:val="clear" w:color="auto" w:fill="auto"/>
            <w:noWrap/>
            <w:vAlign w:val="bottom"/>
            <w:hideMark/>
          </w:tcPr>
          <w:p w:rsidR="00DF516D" w:rsidRPr="008B7947" w:rsidRDefault="00DF516D" w:rsidP="002044DE">
            <w:pPr>
              <w:jc w:val="center"/>
              <w:rPr>
                <w:color w:val="000000"/>
                <w:sz w:val="18"/>
                <w:szCs w:val="18"/>
                <w:lang w:val="es-ES" w:eastAsia="es-ES"/>
              </w:rPr>
            </w:pPr>
            <w:r w:rsidRPr="008B7947">
              <w:rPr>
                <w:color w:val="000000"/>
                <w:sz w:val="18"/>
                <w:szCs w:val="18"/>
                <w:lang w:val="es-ES" w:eastAsia="es-ES"/>
              </w:rPr>
              <w:t>0,46</w:t>
            </w:r>
          </w:p>
        </w:tc>
        <w:tc>
          <w:tcPr>
            <w:tcW w:w="1740" w:type="dxa"/>
            <w:tcBorders>
              <w:top w:val="nil"/>
              <w:left w:val="nil"/>
              <w:bottom w:val="single" w:sz="4" w:space="0" w:color="auto"/>
              <w:right w:val="nil"/>
            </w:tcBorders>
            <w:shd w:val="clear" w:color="auto" w:fill="auto"/>
            <w:noWrap/>
            <w:vAlign w:val="center"/>
            <w:hideMark/>
          </w:tcPr>
          <w:p w:rsidR="00DF516D" w:rsidRPr="008B7947" w:rsidRDefault="00DF516D" w:rsidP="002044DE">
            <w:pPr>
              <w:jc w:val="center"/>
              <w:rPr>
                <w:b/>
                <w:bCs/>
                <w:color w:val="000000"/>
                <w:sz w:val="18"/>
                <w:szCs w:val="18"/>
                <w:lang w:val="es-ES" w:eastAsia="es-ES"/>
              </w:rPr>
            </w:pPr>
            <w:r w:rsidRPr="008B7947">
              <w:rPr>
                <w:b/>
                <w:bCs/>
                <w:color w:val="000000"/>
                <w:sz w:val="18"/>
                <w:szCs w:val="18"/>
                <w:lang w:val="es-ES" w:eastAsia="es-ES"/>
              </w:rPr>
              <w:t>0,46</w:t>
            </w:r>
          </w:p>
        </w:tc>
      </w:tr>
      <w:tr w:rsidR="00DF516D" w:rsidRPr="0028514C" w:rsidTr="00B42BFA">
        <w:trPr>
          <w:trHeight w:val="582"/>
        </w:trPr>
        <w:tc>
          <w:tcPr>
            <w:tcW w:w="5788" w:type="dxa"/>
            <w:gridSpan w:val="2"/>
            <w:tcBorders>
              <w:top w:val="single" w:sz="4" w:space="0" w:color="auto"/>
              <w:left w:val="nil"/>
              <w:bottom w:val="single" w:sz="4" w:space="0" w:color="auto"/>
              <w:right w:val="nil"/>
            </w:tcBorders>
            <w:shd w:val="clear" w:color="auto" w:fill="auto"/>
            <w:noWrap/>
            <w:vAlign w:val="center"/>
            <w:hideMark/>
          </w:tcPr>
          <w:p w:rsidR="00DF516D" w:rsidRPr="008B7947" w:rsidRDefault="00DF516D" w:rsidP="002044DE">
            <w:pPr>
              <w:jc w:val="center"/>
              <w:rPr>
                <w:b/>
                <w:bCs/>
                <w:color w:val="000000"/>
                <w:sz w:val="18"/>
                <w:szCs w:val="18"/>
                <w:lang w:val="es-ES" w:eastAsia="es-ES"/>
              </w:rPr>
            </w:pPr>
            <w:r w:rsidRPr="008B7947">
              <w:rPr>
                <w:b/>
                <w:bCs/>
                <w:color w:val="000000"/>
                <w:sz w:val="18"/>
                <w:szCs w:val="18"/>
                <w:lang w:val="es-ES" w:eastAsia="es-ES"/>
              </w:rPr>
              <w:t>Total</w:t>
            </w:r>
          </w:p>
        </w:tc>
        <w:tc>
          <w:tcPr>
            <w:tcW w:w="1740" w:type="dxa"/>
            <w:tcBorders>
              <w:top w:val="nil"/>
              <w:left w:val="nil"/>
              <w:bottom w:val="single" w:sz="4" w:space="0" w:color="auto"/>
              <w:right w:val="nil"/>
            </w:tcBorders>
            <w:shd w:val="clear" w:color="auto" w:fill="auto"/>
            <w:noWrap/>
            <w:vAlign w:val="center"/>
            <w:hideMark/>
          </w:tcPr>
          <w:p w:rsidR="00DF516D" w:rsidRPr="008B7947" w:rsidRDefault="00DF516D" w:rsidP="002044DE">
            <w:pPr>
              <w:jc w:val="center"/>
              <w:rPr>
                <w:b/>
                <w:bCs/>
                <w:color w:val="000000"/>
                <w:sz w:val="18"/>
                <w:szCs w:val="18"/>
                <w:lang w:val="es-ES" w:eastAsia="es-ES"/>
              </w:rPr>
            </w:pPr>
            <w:r w:rsidRPr="008B7947">
              <w:rPr>
                <w:b/>
                <w:bCs/>
                <w:color w:val="000000"/>
                <w:sz w:val="18"/>
                <w:szCs w:val="18"/>
                <w:lang w:val="es-ES" w:eastAsia="es-ES"/>
              </w:rPr>
              <w:t>100,0</w:t>
            </w:r>
          </w:p>
        </w:tc>
      </w:tr>
    </w:tbl>
    <w:p w:rsidR="00DF516D" w:rsidRPr="002306B4" w:rsidRDefault="00DF516D" w:rsidP="00DF516D">
      <w:pPr>
        <w:rPr>
          <w:sz w:val="16"/>
          <w:szCs w:val="16"/>
        </w:rPr>
      </w:pPr>
      <w:r w:rsidRPr="002306B4">
        <w:rPr>
          <w:sz w:val="16"/>
          <w:szCs w:val="16"/>
        </w:rPr>
        <w:t xml:space="preserve">Fuente: Estudio </w:t>
      </w:r>
      <w:proofErr w:type="spellStart"/>
      <w:r w:rsidRPr="002306B4">
        <w:rPr>
          <w:sz w:val="16"/>
          <w:szCs w:val="16"/>
        </w:rPr>
        <w:t>Semidetallado</w:t>
      </w:r>
      <w:proofErr w:type="spellEnd"/>
      <w:r w:rsidRPr="002306B4">
        <w:rPr>
          <w:sz w:val="16"/>
          <w:szCs w:val="16"/>
        </w:rPr>
        <w:t xml:space="preserve"> de Suelos departamento del Quindío.</w:t>
      </w:r>
    </w:p>
    <w:p w:rsidR="00DF516D" w:rsidRDefault="00DF516D" w:rsidP="00DF516D">
      <w:pPr>
        <w:spacing w:line="360" w:lineRule="auto"/>
        <w:jc w:val="both"/>
      </w:pPr>
    </w:p>
    <w:p w:rsidR="00B42BFA" w:rsidRDefault="00B42BFA" w:rsidP="00DF516D">
      <w:pPr>
        <w:spacing w:line="360" w:lineRule="auto"/>
        <w:ind w:firstLine="284"/>
        <w:jc w:val="both"/>
      </w:pPr>
    </w:p>
    <w:p w:rsidR="00DF516D" w:rsidRDefault="00DF516D" w:rsidP="00DF516D">
      <w:pPr>
        <w:spacing w:line="360" w:lineRule="auto"/>
        <w:ind w:firstLine="284"/>
        <w:jc w:val="both"/>
      </w:pPr>
      <w:r>
        <w:t xml:space="preserve">De acuerdo con la calificación del índice del conflicto de suelo del estudio </w:t>
      </w:r>
      <w:proofErr w:type="spellStart"/>
      <w:r>
        <w:t>semidetallado</w:t>
      </w:r>
      <w:proofErr w:type="spellEnd"/>
      <w:r>
        <w:t>, el 22,13% del área del departamento presenta una adecuada utilización, mientras que el 32,44% se en</w:t>
      </w:r>
      <w:r w:rsidR="00E6463B">
        <w:t xml:space="preserve">cuentra </w:t>
      </w:r>
      <w:proofErr w:type="spellStart"/>
      <w:r w:rsidR="00E6463B">
        <w:t>sobreutilizado</w:t>
      </w:r>
      <w:proofErr w:type="spellEnd"/>
      <w:r w:rsidR="00E6463B">
        <w:t xml:space="preserve">  y el 6,3</w:t>
      </w:r>
      <w:r>
        <w:t>5% subutilizado.</w:t>
      </w:r>
    </w:p>
    <w:p w:rsidR="00DF516D" w:rsidRDefault="00DF516D" w:rsidP="00DF516D">
      <w:pPr>
        <w:tabs>
          <w:tab w:val="left" w:pos="-426"/>
        </w:tabs>
        <w:spacing w:line="360" w:lineRule="auto"/>
        <w:ind w:left="-567" w:right="-232"/>
        <w:jc w:val="center"/>
        <w:sectPr w:rsidR="00DF516D" w:rsidSect="002044DE">
          <w:headerReference w:type="default" r:id="rId98"/>
          <w:pgSz w:w="12242" w:h="15842" w:code="1"/>
          <w:pgMar w:top="1701" w:right="1701" w:bottom="1701" w:left="1701" w:header="709" w:footer="709" w:gutter="0"/>
          <w:cols w:space="708"/>
          <w:docGrid w:linePitch="360"/>
        </w:sectPr>
      </w:pPr>
    </w:p>
    <w:p w:rsidR="00DF516D" w:rsidRPr="008316AD" w:rsidRDefault="00DF516D" w:rsidP="00DF516D">
      <w:pPr>
        <w:tabs>
          <w:tab w:val="left" w:pos="-426"/>
        </w:tabs>
        <w:ind w:right="-232"/>
      </w:pPr>
      <w:r>
        <w:lastRenderedPageBreak/>
        <w:t>Tabla</w:t>
      </w:r>
      <w:r w:rsidRPr="008316AD">
        <w:t xml:space="preserve"> 9.4</w:t>
      </w:r>
    </w:p>
    <w:p w:rsidR="00DF516D" w:rsidRPr="008316AD" w:rsidRDefault="00DF516D" w:rsidP="00DF516D">
      <w:pPr>
        <w:tabs>
          <w:tab w:val="left" w:pos="-426"/>
        </w:tabs>
        <w:ind w:right="-232"/>
        <w:rPr>
          <w:color w:val="000000"/>
          <w:szCs w:val="18"/>
          <w:lang w:eastAsia="es-ES"/>
        </w:rPr>
      </w:pPr>
      <w:r w:rsidRPr="008316AD">
        <w:rPr>
          <w:color w:val="000000"/>
          <w:szCs w:val="18"/>
          <w:lang w:eastAsia="es-ES"/>
        </w:rPr>
        <w:t>Uso del suelo según  sectores por municipios</w:t>
      </w:r>
    </w:p>
    <w:p w:rsidR="00DF516D" w:rsidRPr="008316AD" w:rsidRDefault="00DF516D" w:rsidP="00DF516D">
      <w:pPr>
        <w:tabs>
          <w:tab w:val="left" w:pos="-426"/>
        </w:tabs>
        <w:ind w:right="-232"/>
        <w:rPr>
          <w:color w:val="000000"/>
          <w:szCs w:val="18"/>
          <w:lang w:eastAsia="es-ES"/>
        </w:rPr>
      </w:pPr>
      <w:r w:rsidRPr="008316AD">
        <w:rPr>
          <w:color w:val="000000"/>
          <w:szCs w:val="18"/>
          <w:lang w:eastAsia="es-ES"/>
        </w:rPr>
        <w:t>2013</w:t>
      </w:r>
    </w:p>
    <w:p w:rsidR="00DF516D" w:rsidRPr="003C1591" w:rsidRDefault="00DF516D" w:rsidP="00DF516D">
      <w:pPr>
        <w:tabs>
          <w:tab w:val="left" w:pos="-426"/>
        </w:tabs>
        <w:spacing w:line="360" w:lineRule="auto"/>
        <w:ind w:left="-567" w:right="-232"/>
        <w:jc w:val="center"/>
        <w:rPr>
          <w:sz w:val="36"/>
        </w:rPr>
      </w:pPr>
    </w:p>
    <w:tbl>
      <w:tblPr>
        <w:tblW w:w="12905" w:type="dxa"/>
        <w:tblInd w:w="-5" w:type="dxa"/>
        <w:tblCellMar>
          <w:left w:w="70" w:type="dxa"/>
          <w:right w:w="70" w:type="dxa"/>
        </w:tblCellMar>
        <w:tblLook w:val="04A0" w:firstRow="1" w:lastRow="0" w:firstColumn="1" w:lastColumn="0" w:noHBand="0" w:noVBand="1"/>
      </w:tblPr>
      <w:tblGrid>
        <w:gridCol w:w="1361"/>
        <w:gridCol w:w="860"/>
        <w:gridCol w:w="991"/>
        <w:gridCol w:w="860"/>
        <w:gridCol w:w="780"/>
        <w:gridCol w:w="821"/>
        <w:gridCol w:w="860"/>
        <w:gridCol w:w="860"/>
        <w:gridCol w:w="770"/>
        <w:gridCol w:w="1080"/>
        <w:gridCol w:w="860"/>
        <w:gridCol w:w="951"/>
        <w:gridCol w:w="860"/>
        <w:gridCol w:w="991"/>
      </w:tblGrid>
      <w:tr w:rsidR="00DF516D" w:rsidRPr="003C1591" w:rsidTr="002044DE">
        <w:trPr>
          <w:trHeight w:val="1119"/>
        </w:trPr>
        <w:tc>
          <w:tcPr>
            <w:tcW w:w="1361"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MUNICIPIOS</w:t>
            </w:r>
          </w:p>
        </w:tc>
        <w:tc>
          <w:tcPr>
            <w:tcW w:w="860"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Armenia</w:t>
            </w:r>
          </w:p>
        </w:tc>
        <w:tc>
          <w:tcPr>
            <w:tcW w:w="991"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Buenavista</w:t>
            </w:r>
          </w:p>
        </w:tc>
        <w:tc>
          <w:tcPr>
            <w:tcW w:w="860"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Calarcá</w:t>
            </w:r>
          </w:p>
        </w:tc>
        <w:tc>
          <w:tcPr>
            <w:tcW w:w="780"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Circasia</w:t>
            </w:r>
          </w:p>
        </w:tc>
        <w:tc>
          <w:tcPr>
            <w:tcW w:w="821"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Córdoba</w:t>
            </w:r>
          </w:p>
        </w:tc>
        <w:tc>
          <w:tcPr>
            <w:tcW w:w="860"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Filandia</w:t>
            </w:r>
          </w:p>
        </w:tc>
        <w:tc>
          <w:tcPr>
            <w:tcW w:w="860"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Génova</w:t>
            </w:r>
          </w:p>
        </w:tc>
        <w:tc>
          <w:tcPr>
            <w:tcW w:w="770"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 xml:space="preserve">La tebaida </w:t>
            </w:r>
          </w:p>
        </w:tc>
        <w:tc>
          <w:tcPr>
            <w:tcW w:w="1080"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 xml:space="preserve">Montenegro </w:t>
            </w:r>
          </w:p>
        </w:tc>
        <w:tc>
          <w:tcPr>
            <w:tcW w:w="860"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Pijao</w:t>
            </w:r>
          </w:p>
        </w:tc>
        <w:tc>
          <w:tcPr>
            <w:tcW w:w="951"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Quimbaya</w:t>
            </w:r>
          </w:p>
        </w:tc>
        <w:tc>
          <w:tcPr>
            <w:tcW w:w="860"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Salento</w:t>
            </w:r>
          </w:p>
        </w:tc>
        <w:tc>
          <w:tcPr>
            <w:tcW w:w="991" w:type="dxa"/>
            <w:tcBorders>
              <w:top w:val="single" w:sz="4" w:space="0" w:color="auto"/>
              <w:left w:val="nil"/>
              <w:bottom w:val="doub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Totales por sector</w:t>
            </w:r>
          </w:p>
        </w:tc>
      </w:tr>
      <w:tr w:rsidR="00DF516D" w:rsidRPr="003C1591" w:rsidTr="002044DE">
        <w:trPr>
          <w:trHeight w:val="719"/>
        </w:trPr>
        <w:tc>
          <w:tcPr>
            <w:tcW w:w="1361" w:type="dxa"/>
            <w:vMerge w:val="restart"/>
            <w:tcBorders>
              <w:top w:val="double" w:sz="4" w:space="0" w:color="auto"/>
              <w:left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Sector Agrícola</w:t>
            </w:r>
          </w:p>
          <w:p w:rsidR="00DF516D" w:rsidRPr="003C1591" w:rsidRDefault="00DF516D" w:rsidP="002044DE">
            <w:pPr>
              <w:spacing w:line="360" w:lineRule="auto"/>
              <w:jc w:val="center"/>
              <w:rPr>
                <w:color w:val="000000"/>
                <w:sz w:val="18"/>
                <w:szCs w:val="18"/>
                <w:lang w:eastAsia="es-ES"/>
              </w:rPr>
            </w:pPr>
          </w:p>
        </w:tc>
        <w:tc>
          <w:tcPr>
            <w:tcW w:w="860"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6.979,00</w:t>
            </w:r>
          </w:p>
        </w:tc>
        <w:tc>
          <w:tcPr>
            <w:tcW w:w="991"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2.094,00</w:t>
            </w:r>
          </w:p>
        </w:tc>
        <w:tc>
          <w:tcPr>
            <w:tcW w:w="860"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8.624,90</w:t>
            </w:r>
          </w:p>
        </w:tc>
        <w:tc>
          <w:tcPr>
            <w:tcW w:w="780"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3.211,00</w:t>
            </w:r>
          </w:p>
        </w:tc>
        <w:tc>
          <w:tcPr>
            <w:tcW w:w="821"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2.619,00</w:t>
            </w:r>
          </w:p>
        </w:tc>
        <w:tc>
          <w:tcPr>
            <w:tcW w:w="860"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2.916,40</w:t>
            </w:r>
          </w:p>
        </w:tc>
        <w:tc>
          <w:tcPr>
            <w:tcW w:w="860"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6.413,18</w:t>
            </w:r>
          </w:p>
        </w:tc>
        <w:tc>
          <w:tcPr>
            <w:tcW w:w="770"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4.054,33</w:t>
            </w:r>
          </w:p>
        </w:tc>
        <w:tc>
          <w:tcPr>
            <w:tcW w:w="1080"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4.678,10</w:t>
            </w:r>
          </w:p>
        </w:tc>
        <w:tc>
          <w:tcPr>
            <w:tcW w:w="860"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5.177,80</w:t>
            </w:r>
          </w:p>
        </w:tc>
        <w:tc>
          <w:tcPr>
            <w:tcW w:w="951"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6.406,00</w:t>
            </w:r>
          </w:p>
        </w:tc>
        <w:tc>
          <w:tcPr>
            <w:tcW w:w="860"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1.016,00</w:t>
            </w:r>
          </w:p>
        </w:tc>
        <w:tc>
          <w:tcPr>
            <w:tcW w:w="991" w:type="dxa"/>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54.189,71</w:t>
            </w:r>
          </w:p>
        </w:tc>
      </w:tr>
      <w:tr w:rsidR="00DF516D" w:rsidRPr="003C1591" w:rsidTr="002044DE">
        <w:trPr>
          <w:trHeight w:val="466"/>
        </w:trPr>
        <w:tc>
          <w:tcPr>
            <w:tcW w:w="1361" w:type="dxa"/>
            <w:vMerge/>
            <w:tcBorders>
              <w:left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12,88%</w:t>
            </w:r>
          </w:p>
        </w:tc>
        <w:tc>
          <w:tcPr>
            <w:tcW w:w="99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3,86%</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15,92%</w:t>
            </w:r>
          </w:p>
        </w:tc>
        <w:tc>
          <w:tcPr>
            <w:tcW w:w="78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5,93%</w:t>
            </w:r>
          </w:p>
        </w:tc>
        <w:tc>
          <w:tcPr>
            <w:tcW w:w="82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4,83%</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5,38%</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11,83%</w:t>
            </w:r>
          </w:p>
        </w:tc>
        <w:tc>
          <w:tcPr>
            <w:tcW w:w="77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7,48%</w:t>
            </w:r>
          </w:p>
        </w:tc>
        <w:tc>
          <w:tcPr>
            <w:tcW w:w="108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8,63%</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9,55%</w:t>
            </w:r>
          </w:p>
        </w:tc>
        <w:tc>
          <w:tcPr>
            <w:tcW w:w="95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11,82%</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1,87%</w:t>
            </w:r>
          </w:p>
        </w:tc>
        <w:tc>
          <w:tcPr>
            <w:tcW w:w="99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100,00%</w:t>
            </w:r>
          </w:p>
        </w:tc>
      </w:tr>
      <w:tr w:rsidR="00DF516D" w:rsidRPr="003C1591" w:rsidTr="002044DE">
        <w:trPr>
          <w:trHeight w:val="466"/>
        </w:trPr>
        <w:tc>
          <w:tcPr>
            <w:tcW w:w="1361" w:type="dxa"/>
            <w:vMerge w:val="restart"/>
            <w:tcBorders>
              <w:top w:val="nil"/>
              <w:left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Área de Pastos</w:t>
            </w:r>
          </w:p>
          <w:p w:rsidR="00DF516D" w:rsidRPr="003C1591" w:rsidRDefault="00DF516D" w:rsidP="002044DE">
            <w:pPr>
              <w:spacing w:line="360" w:lineRule="auto"/>
              <w:jc w:val="center"/>
              <w:rPr>
                <w:color w:val="000000"/>
                <w:sz w:val="18"/>
                <w:szCs w:val="18"/>
                <w:lang w:eastAsia="es-ES"/>
              </w:rPr>
            </w:pP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2.949,00</w:t>
            </w:r>
          </w:p>
        </w:tc>
        <w:tc>
          <w:tcPr>
            <w:tcW w:w="991"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1.060,00</w:t>
            </w: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6.692,00</w:t>
            </w:r>
          </w:p>
        </w:tc>
        <w:tc>
          <w:tcPr>
            <w:tcW w:w="78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3.865,00</w:t>
            </w:r>
          </w:p>
        </w:tc>
        <w:tc>
          <w:tcPr>
            <w:tcW w:w="821"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3.704,00</w:t>
            </w: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3.938,00</w:t>
            </w: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9.649,00</w:t>
            </w:r>
          </w:p>
        </w:tc>
        <w:tc>
          <w:tcPr>
            <w:tcW w:w="77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2.844,00</w:t>
            </w:r>
          </w:p>
        </w:tc>
        <w:tc>
          <w:tcPr>
            <w:tcW w:w="108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5.504,00</w:t>
            </w: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7.872,00</w:t>
            </w:r>
          </w:p>
        </w:tc>
        <w:tc>
          <w:tcPr>
            <w:tcW w:w="951"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4.411,00</w:t>
            </w: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11.390,00</w:t>
            </w:r>
          </w:p>
        </w:tc>
        <w:tc>
          <w:tcPr>
            <w:tcW w:w="991"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63.878,00</w:t>
            </w:r>
          </w:p>
        </w:tc>
      </w:tr>
      <w:tr w:rsidR="00DF516D" w:rsidRPr="003C1591" w:rsidTr="002044DE">
        <w:trPr>
          <w:trHeight w:val="466"/>
        </w:trPr>
        <w:tc>
          <w:tcPr>
            <w:tcW w:w="1361" w:type="dxa"/>
            <w:vMerge/>
            <w:tcBorders>
              <w:left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4,62%</w:t>
            </w:r>
          </w:p>
        </w:tc>
        <w:tc>
          <w:tcPr>
            <w:tcW w:w="99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1,66%</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10,48%</w:t>
            </w:r>
          </w:p>
        </w:tc>
        <w:tc>
          <w:tcPr>
            <w:tcW w:w="78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6,05%</w:t>
            </w:r>
          </w:p>
        </w:tc>
        <w:tc>
          <w:tcPr>
            <w:tcW w:w="82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5,80%</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6,16%</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15,11%</w:t>
            </w:r>
          </w:p>
        </w:tc>
        <w:tc>
          <w:tcPr>
            <w:tcW w:w="77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4,45%</w:t>
            </w:r>
          </w:p>
        </w:tc>
        <w:tc>
          <w:tcPr>
            <w:tcW w:w="108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8,62%</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12,32%</w:t>
            </w:r>
          </w:p>
        </w:tc>
        <w:tc>
          <w:tcPr>
            <w:tcW w:w="95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6,91%</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17,83%</w:t>
            </w:r>
          </w:p>
        </w:tc>
        <w:tc>
          <w:tcPr>
            <w:tcW w:w="99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100,00%</w:t>
            </w:r>
          </w:p>
        </w:tc>
      </w:tr>
      <w:tr w:rsidR="00DF516D" w:rsidRPr="003C1591" w:rsidTr="002044DE">
        <w:trPr>
          <w:trHeight w:val="746"/>
        </w:trPr>
        <w:tc>
          <w:tcPr>
            <w:tcW w:w="1361" w:type="dxa"/>
            <w:vMerge w:val="restart"/>
            <w:tcBorders>
              <w:top w:val="nil"/>
              <w:left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Área de Bosques</w:t>
            </w:r>
          </w:p>
          <w:p w:rsidR="00DF516D" w:rsidRPr="003C1591" w:rsidRDefault="00DF516D" w:rsidP="002044DE">
            <w:pPr>
              <w:spacing w:line="360" w:lineRule="auto"/>
              <w:jc w:val="center"/>
              <w:rPr>
                <w:color w:val="000000"/>
                <w:sz w:val="18"/>
                <w:szCs w:val="18"/>
                <w:lang w:eastAsia="es-ES"/>
              </w:rPr>
            </w:pP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2.021,00</w:t>
            </w:r>
          </w:p>
        </w:tc>
        <w:tc>
          <w:tcPr>
            <w:tcW w:w="991"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539</w:t>
            </w: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6.545,00</w:t>
            </w:r>
          </w:p>
        </w:tc>
        <w:tc>
          <w:tcPr>
            <w:tcW w:w="78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2.068,00</w:t>
            </w:r>
          </w:p>
        </w:tc>
        <w:tc>
          <w:tcPr>
            <w:tcW w:w="821"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3.219,00</w:t>
            </w: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3.496,60</w:t>
            </w: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13.149,00</w:t>
            </w:r>
          </w:p>
        </w:tc>
        <w:tc>
          <w:tcPr>
            <w:tcW w:w="77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2.162,49</w:t>
            </w:r>
          </w:p>
        </w:tc>
        <w:tc>
          <w:tcPr>
            <w:tcW w:w="108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4.792,90</w:t>
            </w: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12.193,20</w:t>
            </w:r>
          </w:p>
        </w:tc>
        <w:tc>
          <w:tcPr>
            <w:tcW w:w="951"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2.513,00</w:t>
            </w:r>
          </w:p>
        </w:tc>
        <w:tc>
          <w:tcPr>
            <w:tcW w:w="860"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22.283,00</w:t>
            </w:r>
          </w:p>
        </w:tc>
        <w:tc>
          <w:tcPr>
            <w:tcW w:w="991" w:type="dxa"/>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18"/>
                <w:szCs w:val="18"/>
                <w:lang w:eastAsia="es-ES"/>
              </w:rPr>
            </w:pPr>
            <w:r w:rsidRPr="003C1591">
              <w:rPr>
                <w:color w:val="000000"/>
                <w:sz w:val="18"/>
                <w:szCs w:val="18"/>
                <w:lang w:eastAsia="es-ES"/>
              </w:rPr>
              <w:t>74.982,19</w:t>
            </w:r>
          </w:p>
        </w:tc>
      </w:tr>
      <w:tr w:rsidR="00DF516D" w:rsidRPr="003C1591" w:rsidTr="002044DE">
        <w:trPr>
          <w:trHeight w:val="466"/>
        </w:trPr>
        <w:tc>
          <w:tcPr>
            <w:tcW w:w="1361" w:type="dxa"/>
            <w:vMerge/>
            <w:tcBorders>
              <w:left w:val="nil"/>
              <w:right w:val="nil"/>
            </w:tcBorders>
            <w:shd w:val="clear" w:color="auto" w:fill="auto"/>
            <w:vAlign w:val="center"/>
            <w:hideMark/>
          </w:tcPr>
          <w:p w:rsidR="00DF516D" w:rsidRPr="003C1591" w:rsidRDefault="00DF516D" w:rsidP="002044DE">
            <w:pPr>
              <w:spacing w:line="360" w:lineRule="auto"/>
              <w:rPr>
                <w:color w:val="000000"/>
                <w:sz w:val="18"/>
                <w:szCs w:val="18"/>
                <w:lang w:eastAsia="es-ES"/>
              </w:rPr>
            </w:pP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2,70%</w:t>
            </w:r>
          </w:p>
        </w:tc>
        <w:tc>
          <w:tcPr>
            <w:tcW w:w="99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0,72%</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8,73%</w:t>
            </w:r>
          </w:p>
        </w:tc>
        <w:tc>
          <w:tcPr>
            <w:tcW w:w="78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2,76%</w:t>
            </w:r>
          </w:p>
        </w:tc>
        <w:tc>
          <w:tcPr>
            <w:tcW w:w="82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4,29%</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4,66%</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17,54%</w:t>
            </w:r>
          </w:p>
        </w:tc>
        <w:tc>
          <w:tcPr>
            <w:tcW w:w="77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2,88%</w:t>
            </w:r>
          </w:p>
        </w:tc>
        <w:tc>
          <w:tcPr>
            <w:tcW w:w="108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6,39%</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16,26%</w:t>
            </w:r>
          </w:p>
        </w:tc>
        <w:tc>
          <w:tcPr>
            <w:tcW w:w="95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3,35%</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29,72%</w:t>
            </w:r>
          </w:p>
        </w:tc>
        <w:tc>
          <w:tcPr>
            <w:tcW w:w="99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100,00%</w:t>
            </w:r>
          </w:p>
        </w:tc>
      </w:tr>
      <w:tr w:rsidR="00DF516D" w:rsidRPr="003C1591" w:rsidTr="002044DE">
        <w:trPr>
          <w:trHeight w:val="1119"/>
        </w:trPr>
        <w:tc>
          <w:tcPr>
            <w:tcW w:w="1361" w:type="dxa"/>
            <w:tcBorders>
              <w:top w:val="nil"/>
              <w:left w:val="nil"/>
              <w:right w:val="nil"/>
            </w:tcBorders>
            <w:shd w:val="clear" w:color="auto" w:fill="auto"/>
            <w:vAlign w:val="center"/>
            <w:hideMark/>
          </w:tcPr>
          <w:p w:rsidR="00DF516D" w:rsidRPr="003C1591" w:rsidRDefault="00DF516D" w:rsidP="002044DE">
            <w:pPr>
              <w:spacing w:line="360" w:lineRule="auto"/>
              <w:rPr>
                <w:b/>
                <w:bCs/>
                <w:color w:val="000000"/>
                <w:sz w:val="18"/>
                <w:szCs w:val="18"/>
                <w:lang w:eastAsia="es-ES"/>
              </w:rPr>
            </w:pPr>
            <w:r w:rsidRPr="003C1591">
              <w:rPr>
                <w:b/>
                <w:bCs/>
                <w:color w:val="000000"/>
                <w:sz w:val="18"/>
                <w:szCs w:val="18"/>
                <w:lang w:eastAsia="es-ES"/>
              </w:rPr>
              <w:t>Totales por municipio</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11.949,00</w:t>
            </w:r>
          </w:p>
        </w:tc>
        <w:tc>
          <w:tcPr>
            <w:tcW w:w="99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3.693,00</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21.861,90</w:t>
            </w:r>
          </w:p>
        </w:tc>
        <w:tc>
          <w:tcPr>
            <w:tcW w:w="78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9.144,00</w:t>
            </w:r>
          </w:p>
        </w:tc>
        <w:tc>
          <w:tcPr>
            <w:tcW w:w="82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9.542,00</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10.351,00</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29.211,18</w:t>
            </w:r>
          </w:p>
        </w:tc>
        <w:tc>
          <w:tcPr>
            <w:tcW w:w="77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9.060,82</w:t>
            </w:r>
          </w:p>
        </w:tc>
        <w:tc>
          <w:tcPr>
            <w:tcW w:w="108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14.975,00</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25.243,00</w:t>
            </w:r>
          </w:p>
        </w:tc>
        <w:tc>
          <w:tcPr>
            <w:tcW w:w="95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13.330,00</w:t>
            </w:r>
          </w:p>
        </w:tc>
        <w:tc>
          <w:tcPr>
            <w:tcW w:w="860"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34.689,00</w:t>
            </w:r>
          </w:p>
        </w:tc>
        <w:tc>
          <w:tcPr>
            <w:tcW w:w="991" w:type="dxa"/>
            <w:tcBorders>
              <w:top w:val="nil"/>
              <w:left w:val="nil"/>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193.049,90</w:t>
            </w:r>
          </w:p>
        </w:tc>
      </w:tr>
      <w:tr w:rsidR="00DF516D" w:rsidRPr="003C1591" w:rsidTr="002044DE">
        <w:trPr>
          <w:trHeight w:val="1119"/>
        </w:trPr>
        <w:tc>
          <w:tcPr>
            <w:tcW w:w="1361"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rPr>
                <w:b/>
                <w:bCs/>
                <w:color w:val="000000"/>
                <w:sz w:val="18"/>
                <w:szCs w:val="18"/>
                <w:lang w:eastAsia="es-ES"/>
              </w:rPr>
            </w:pPr>
            <w:r w:rsidRPr="003C1591">
              <w:rPr>
                <w:b/>
                <w:bCs/>
                <w:color w:val="000000"/>
                <w:sz w:val="18"/>
                <w:szCs w:val="18"/>
                <w:lang w:eastAsia="es-ES"/>
              </w:rPr>
              <w:t>Porcentaje por municipio</w:t>
            </w:r>
          </w:p>
        </w:tc>
        <w:tc>
          <w:tcPr>
            <w:tcW w:w="860"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6,19%</w:t>
            </w:r>
          </w:p>
        </w:tc>
        <w:tc>
          <w:tcPr>
            <w:tcW w:w="991"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1,91%</w:t>
            </w:r>
          </w:p>
        </w:tc>
        <w:tc>
          <w:tcPr>
            <w:tcW w:w="860"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11,32%</w:t>
            </w:r>
          </w:p>
        </w:tc>
        <w:tc>
          <w:tcPr>
            <w:tcW w:w="780"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4,74%</w:t>
            </w:r>
          </w:p>
        </w:tc>
        <w:tc>
          <w:tcPr>
            <w:tcW w:w="821"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4,94%</w:t>
            </w:r>
          </w:p>
        </w:tc>
        <w:tc>
          <w:tcPr>
            <w:tcW w:w="860"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5,36%</w:t>
            </w:r>
          </w:p>
        </w:tc>
        <w:tc>
          <w:tcPr>
            <w:tcW w:w="860"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15,13%</w:t>
            </w:r>
          </w:p>
        </w:tc>
        <w:tc>
          <w:tcPr>
            <w:tcW w:w="770"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4,69%</w:t>
            </w:r>
          </w:p>
        </w:tc>
        <w:tc>
          <w:tcPr>
            <w:tcW w:w="1080"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7,76%</w:t>
            </w:r>
          </w:p>
        </w:tc>
        <w:tc>
          <w:tcPr>
            <w:tcW w:w="860"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13,08%</w:t>
            </w:r>
          </w:p>
        </w:tc>
        <w:tc>
          <w:tcPr>
            <w:tcW w:w="951"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6,90%</w:t>
            </w:r>
          </w:p>
        </w:tc>
        <w:tc>
          <w:tcPr>
            <w:tcW w:w="860"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17,97%</w:t>
            </w:r>
          </w:p>
        </w:tc>
        <w:tc>
          <w:tcPr>
            <w:tcW w:w="991" w:type="dxa"/>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b/>
                <w:bCs/>
                <w:color w:val="000000"/>
                <w:sz w:val="18"/>
                <w:szCs w:val="18"/>
                <w:lang w:eastAsia="es-ES"/>
              </w:rPr>
            </w:pPr>
            <w:r w:rsidRPr="003C1591">
              <w:rPr>
                <w:b/>
                <w:bCs/>
                <w:color w:val="000000"/>
                <w:sz w:val="18"/>
                <w:szCs w:val="18"/>
                <w:lang w:eastAsia="es-ES"/>
              </w:rPr>
              <w:t>100,00%</w:t>
            </w:r>
          </w:p>
        </w:tc>
      </w:tr>
    </w:tbl>
    <w:p w:rsidR="00DF516D" w:rsidRDefault="00DF516D" w:rsidP="00DF516D">
      <w:pPr>
        <w:tabs>
          <w:tab w:val="left" w:pos="-426"/>
        </w:tabs>
        <w:spacing w:line="360" w:lineRule="auto"/>
        <w:ind w:left="-567" w:right="-232"/>
        <w:sectPr w:rsidR="00DF516D" w:rsidSect="002044DE">
          <w:pgSz w:w="15842" w:h="12242" w:orient="landscape" w:code="1"/>
          <w:pgMar w:top="1701" w:right="1701" w:bottom="1701" w:left="1701" w:header="709" w:footer="709" w:gutter="0"/>
          <w:cols w:space="708"/>
          <w:docGrid w:linePitch="360"/>
        </w:sectPr>
      </w:pPr>
      <w:r w:rsidRPr="003C1591">
        <w:tab/>
      </w:r>
      <w:r w:rsidRPr="003C1591">
        <w:tab/>
      </w:r>
      <w:r w:rsidRPr="003C1591">
        <w:rPr>
          <w:b/>
          <w:sz w:val="18"/>
        </w:rPr>
        <w:t>Fuente:</w:t>
      </w:r>
      <w:r w:rsidRPr="003C1591">
        <w:rPr>
          <w:sz w:val="18"/>
        </w:rPr>
        <w:t xml:space="preserve"> Evaluaciones Agropecuarias 2013 y cálculos propios.</w:t>
      </w:r>
    </w:p>
    <w:p w:rsidR="00DF516D" w:rsidRDefault="00DF516D" w:rsidP="00DF516D">
      <w:pPr>
        <w:spacing w:line="360" w:lineRule="auto"/>
        <w:ind w:firstLine="284"/>
        <w:jc w:val="both"/>
      </w:pPr>
      <w:r>
        <w:lastRenderedPageBreak/>
        <w:t>Para el cumplimiento de las políticas  de desarrollo rural, el Gobierno Nacional cuenta con el apoyo de Instituto Colombiano de Desarrollo Rural -</w:t>
      </w:r>
      <w:r w:rsidRPr="003C1591">
        <w:t xml:space="preserve">INCODER, </w:t>
      </w:r>
      <w:r>
        <w:t xml:space="preserve">el cual </w:t>
      </w:r>
      <w:r w:rsidRPr="003C1591">
        <w:t>ejecuta programas y políticas de desarrollo rural encaminadas a garantizar el acceso para que los pobladores rurales tengan título de propiedad sobre la tie</w:t>
      </w:r>
      <w:r>
        <w:t>rra que trabajan, además presta</w:t>
      </w:r>
      <w:r w:rsidRPr="003C1591">
        <w:t xml:space="preserve"> asistencia técnica  para que la comunidades rurales desarrollen capacidades de organización y autogestión aprovechando la tierra para la generación sostenible de ingresos, a través de proyectos productivos.</w:t>
      </w:r>
      <w:r>
        <w:t xml:space="preserve"> Adicionalmente, este Instituto</w:t>
      </w:r>
      <w:r w:rsidRPr="003C1591">
        <w:t xml:space="preserve"> cuenta con herramientas para legalizar la ocupación de un predio baldío</w:t>
      </w:r>
      <w:r w:rsidRPr="003C1591">
        <w:rPr>
          <w:rStyle w:val="Refdenotaalpie"/>
        </w:rPr>
        <w:footnoteReference w:id="34"/>
      </w:r>
      <w:r w:rsidRPr="003C1591">
        <w:t xml:space="preserve"> y convertir en propietario a aquellas personas que durante más de cinco años hayan ocupado el mismo predio  con una explotación de  por lo menos las dos terceras partes.</w:t>
      </w:r>
    </w:p>
    <w:p w:rsidR="00DF516D" w:rsidRDefault="00DF516D" w:rsidP="00DF516D">
      <w:pPr>
        <w:spacing w:line="360" w:lineRule="auto"/>
        <w:ind w:firstLine="284"/>
        <w:jc w:val="both"/>
      </w:pPr>
    </w:p>
    <w:p w:rsidR="00DF516D" w:rsidRDefault="00DF516D" w:rsidP="00DF516D">
      <w:pPr>
        <w:spacing w:line="360" w:lineRule="auto"/>
        <w:ind w:firstLine="284"/>
        <w:jc w:val="both"/>
      </w:pPr>
      <w:r>
        <w:t xml:space="preserve">Uno de los incentivos que se manejan por el INCODER para la ejecución de políticas de  desarrollo rural es el de asistencia técnica; el cual es un recurso que se otorga a los municipios para que contraten empresas de servicio técnico agropecuario que asesoren a los pobladores rurales en la implementación de proyectos productivos; donde se manejan tres tipos de modalidades: directa rural, técnica especial y técnica gremial.  (INCODER, 2014). </w:t>
      </w:r>
      <w:r w:rsidRPr="003C1591">
        <w:t xml:space="preserve">De acuerdo con </w:t>
      </w:r>
      <w:r>
        <w:t>el último informe de la dirección territorial Quindío, el incentivo de asistencia técnica otorgado al departamento en la vigencia 2013 fue de $46</w:t>
      </w:r>
      <w:r w:rsidR="00D53116">
        <w:t>5.328</w:t>
      </w:r>
      <w:r>
        <w:t>.500.</w:t>
      </w:r>
    </w:p>
    <w:p w:rsidR="00DF516D" w:rsidRDefault="00DF516D" w:rsidP="00DF516D">
      <w:pPr>
        <w:spacing w:line="360" w:lineRule="auto"/>
        <w:ind w:right="-232"/>
        <w:jc w:val="both"/>
      </w:pPr>
    </w:p>
    <w:p w:rsidR="002C663D" w:rsidRDefault="002C663D" w:rsidP="002C663D">
      <w:pPr>
        <w:spacing w:line="360" w:lineRule="auto"/>
        <w:ind w:firstLine="284"/>
        <w:jc w:val="both"/>
      </w:pPr>
      <w:r>
        <w:t xml:space="preserve">Los resultados de la convocatoria para la asistencia técnica en el Quindío evidencian que </w:t>
      </w:r>
      <w:r w:rsidRPr="003C1591">
        <w:t>los municipios que reportaron un mayor número de usuarios fueron: Circasia (292), Génova (268) y Quimbaya (181); los cuales representan el 58% del costo total del Plan General de Asistencia Técnica</w:t>
      </w:r>
      <w:r>
        <w:t xml:space="preserve">. Para los ocho municipios del departamento beneficiados con el incentivo de asistencia </w:t>
      </w:r>
      <w:r w:rsidR="0080110A">
        <w:t>técnica, la Gobernación  y las A</w:t>
      </w:r>
      <w:r>
        <w:t>lcaldías realizaron un aporte de</w:t>
      </w:r>
      <w:r w:rsidR="00D53116">
        <w:t xml:space="preserve"> cofinanciación por valor de  $</w:t>
      </w:r>
      <w:r>
        <w:t xml:space="preserve">46.709.250 en ambos casos; lo cual corresponde al 20% del costo total de la asistencia técnica. </w:t>
      </w:r>
    </w:p>
    <w:p w:rsidR="00DF516D" w:rsidRDefault="00DF516D" w:rsidP="00DF516D">
      <w:pPr>
        <w:spacing w:line="360" w:lineRule="auto"/>
        <w:ind w:right="-232"/>
        <w:jc w:val="both"/>
      </w:pPr>
    </w:p>
    <w:p w:rsidR="00DF516D" w:rsidRPr="005A0021" w:rsidRDefault="00DF516D" w:rsidP="00DF516D">
      <w:pPr>
        <w:ind w:right="-232"/>
      </w:pPr>
      <w:r>
        <w:lastRenderedPageBreak/>
        <w:t>Tabla</w:t>
      </w:r>
      <w:r w:rsidRPr="005A0021">
        <w:t xml:space="preserve"> 9.5</w:t>
      </w:r>
    </w:p>
    <w:p w:rsidR="00DF516D" w:rsidRPr="005A0021" w:rsidRDefault="00DF516D" w:rsidP="00DF516D">
      <w:pPr>
        <w:ind w:right="-232"/>
        <w:rPr>
          <w:bCs/>
          <w:color w:val="000000"/>
          <w:lang w:eastAsia="es-ES"/>
        </w:rPr>
      </w:pPr>
      <w:r w:rsidRPr="005A0021">
        <w:rPr>
          <w:bCs/>
          <w:color w:val="000000"/>
          <w:lang w:eastAsia="es-ES"/>
        </w:rPr>
        <w:t xml:space="preserve">Resultados convocatoria </w:t>
      </w:r>
    </w:p>
    <w:p w:rsidR="00DF516D" w:rsidRPr="005A0021" w:rsidRDefault="00DF516D" w:rsidP="00DF516D">
      <w:pPr>
        <w:ind w:right="-232"/>
        <w:rPr>
          <w:bCs/>
          <w:color w:val="000000"/>
          <w:lang w:eastAsia="es-ES"/>
        </w:rPr>
      </w:pPr>
      <w:r w:rsidRPr="005A0021">
        <w:rPr>
          <w:bCs/>
          <w:color w:val="000000"/>
          <w:lang w:eastAsia="es-ES"/>
        </w:rPr>
        <w:t>2013</w:t>
      </w:r>
    </w:p>
    <w:p w:rsidR="00DF516D" w:rsidRPr="005A0021" w:rsidRDefault="00DF516D" w:rsidP="00DF516D">
      <w:pPr>
        <w:spacing w:line="360" w:lineRule="auto"/>
        <w:ind w:right="-232"/>
      </w:pPr>
    </w:p>
    <w:tbl>
      <w:tblPr>
        <w:tblW w:w="9049" w:type="dxa"/>
        <w:tblCellMar>
          <w:left w:w="70" w:type="dxa"/>
          <w:right w:w="70" w:type="dxa"/>
        </w:tblCellMar>
        <w:tblLook w:val="04A0" w:firstRow="1" w:lastRow="0" w:firstColumn="1" w:lastColumn="0" w:noHBand="0" w:noVBand="1"/>
      </w:tblPr>
      <w:tblGrid>
        <w:gridCol w:w="1877"/>
        <w:gridCol w:w="1445"/>
        <w:gridCol w:w="1437"/>
        <w:gridCol w:w="1520"/>
        <w:gridCol w:w="1388"/>
        <w:gridCol w:w="1382"/>
      </w:tblGrid>
      <w:tr w:rsidR="00DF516D" w:rsidRPr="005A0021" w:rsidTr="002044DE">
        <w:trPr>
          <w:trHeight w:val="380"/>
        </w:trPr>
        <w:tc>
          <w:tcPr>
            <w:tcW w:w="1877" w:type="dxa"/>
            <w:vMerge w:val="restart"/>
            <w:tcBorders>
              <w:top w:val="single" w:sz="4" w:space="0" w:color="auto"/>
              <w:left w:val="nil"/>
              <w:right w:val="nil"/>
            </w:tcBorders>
            <w:shd w:val="clear" w:color="auto" w:fill="auto"/>
            <w:noWrap/>
            <w:vAlign w:val="center"/>
            <w:hideMark/>
          </w:tcPr>
          <w:p w:rsidR="00DF516D" w:rsidRPr="005A0021" w:rsidRDefault="00DF516D" w:rsidP="002044DE">
            <w:pPr>
              <w:jc w:val="center"/>
              <w:rPr>
                <w:b/>
                <w:bCs/>
                <w:color w:val="000000"/>
                <w:sz w:val="20"/>
                <w:szCs w:val="20"/>
                <w:lang w:eastAsia="es-ES"/>
              </w:rPr>
            </w:pPr>
            <w:r w:rsidRPr="005A0021">
              <w:rPr>
                <w:b/>
                <w:bCs/>
                <w:color w:val="000000"/>
                <w:sz w:val="20"/>
                <w:szCs w:val="20"/>
                <w:lang w:eastAsia="es-ES"/>
              </w:rPr>
              <w:t>Municipio</w:t>
            </w:r>
          </w:p>
          <w:p w:rsidR="00DF516D" w:rsidRPr="005A0021" w:rsidRDefault="00DF516D" w:rsidP="002044DE">
            <w:pPr>
              <w:rPr>
                <w:b/>
                <w:bCs/>
                <w:color w:val="000000"/>
                <w:sz w:val="20"/>
                <w:szCs w:val="20"/>
                <w:lang w:eastAsia="es-ES"/>
              </w:rPr>
            </w:pPr>
            <w:r w:rsidRPr="005A0021">
              <w:rPr>
                <w:b/>
                <w:bCs/>
                <w:color w:val="000000"/>
                <w:sz w:val="20"/>
                <w:szCs w:val="20"/>
                <w:lang w:eastAsia="es-ES"/>
              </w:rPr>
              <w:t> </w:t>
            </w:r>
          </w:p>
        </w:tc>
        <w:tc>
          <w:tcPr>
            <w:tcW w:w="1445" w:type="dxa"/>
            <w:vMerge w:val="restart"/>
            <w:tcBorders>
              <w:top w:val="single" w:sz="4" w:space="0" w:color="auto"/>
              <w:left w:val="nil"/>
              <w:right w:val="nil"/>
            </w:tcBorders>
            <w:shd w:val="clear" w:color="auto" w:fill="auto"/>
            <w:noWrap/>
            <w:vAlign w:val="center"/>
            <w:hideMark/>
          </w:tcPr>
          <w:p w:rsidR="00DF516D" w:rsidRPr="005A0021" w:rsidRDefault="00DF516D" w:rsidP="002044DE">
            <w:pPr>
              <w:jc w:val="center"/>
              <w:rPr>
                <w:b/>
                <w:bCs/>
                <w:color w:val="000000"/>
                <w:sz w:val="20"/>
                <w:szCs w:val="20"/>
                <w:lang w:eastAsia="es-ES"/>
              </w:rPr>
            </w:pPr>
            <w:r w:rsidRPr="005A0021">
              <w:rPr>
                <w:b/>
                <w:bCs/>
                <w:color w:val="000000"/>
                <w:sz w:val="20"/>
                <w:szCs w:val="20"/>
                <w:lang w:eastAsia="es-ES"/>
              </w:rPr>
              <w:t xml:space="preserve">No. </w:t>
            </w:r>
          </w:p>
          <w:p w:rsidR="00DF516D" w:rsidRPr="005A0021" w:rsidRDefault="00DF516D" w:rsidP="002044DE">
            <w:pPr>
              <w:jc w:val="center"/>
              <w:rPr>
                <w:b/>
                <w:bCs/>
                <w:color w:val="000000"/>
                <w:sz w:val="20"/>
                <w:szCs w:val="20"/>
                <w:lang w:eastAsia="es-ES"/>
              </w:rPr>
            </w:pPr>
            <w:r w:rsidRPr="005A0021">
              <w:rPr>
                <w:b/>
                <w:bCs/>
                <w:color w:val="000000"/>
                <w:sz w:val="20"/>
                <w:szCs w:val="20"/>
                <w:lang w:eastAsia="es-ES"/>
              </w:rPr>
              <w:t>Usuarios</w:t>
            </w:r>
          </w:p>
          <w:p w:rsidR="00DF516D" w:rsidRPr="005A0021" w:rsidRDefault="00DF516D" w:rsidP="002044DE">
            <w:pPr>
              <w:rPr>
                <w:b/>
                <w:bCs/>
                <w:color w:val="000000"/>
                <w:sz w:val="20"/>
                <w:szCs w:val="20"/>
                <w:lang w:eastAsia="es-ES"/>
              </w:rPr>
            </w:pPr>
            <w:r w:rsidRPr="005A0021">
              <w:rPr>
                <w:b/>
                <w:bCs/>
                <w:color w:val="000000"/>
                <w:sz w:val="20"/>
                <w:szCs w:val="20"/>
                <w:lang w:eastAsia="es-ES"/>
              </w:rPr>
              <w:t> </w:t>
            </w:r>
          </w:p>
        </w:tc>
        <w:tc>
          <w:tcPr>
            <w:tcW w:w="4345" w:type="dxa"/>
            <w:gridSpan w:val="3"/>
            <w:tcBorders>
              <w:top w:val="single" w:sz="4" w:space="0" w:color="auto"/>
              <w:left w:val="nil"/>
              <w:bottom w:val="single" w:sz="4" w:space="0" w:color="auto"/>
              <w:right w:val="nil"/>
            </w:tcBorders>
            <w:shd w:val="clear" w:color="auto" w:fill="auto"/>
            <w:noWrap/>
            <w:vAlign w:val="center"/>
            <w:hideMark/>
          </w:tcPr>
          <w:p w:rsidR="00DF516D" w:rsidRPr="005A0021" w:rsidRDefault="00DF516D" w:rsidP="002044DE">
            <w:pPr>
              <w:jc w:val="center"/>
              <w:rPr>
                <w:b/>
                <w:bCs/>
                <w:color w:val="000000"/>
                <w:sz w:val="20"/>
                <w:szCs w:val="20"/>
                <w:lang w:eastAsia="es-ES"/>
              </w:rPr>
            </w:pPr>
            <w:r w:rsidRPr="005A0021">
              <w:rPr>
                <w:b/>
                <w:bCs/>
                <w:color w:val="000000"/>
                <w:sz w:val="20"/>
                <w:szCs w:val="20"/>
                <w:lang w:eastAsia="es-ES"/>
              </w:rPr>
              <w:t>Presupuesto</w:t>
            </w:r>
          </w:p>
        </w:tc>
        <w:tc>
          <w:tcPr>
            <w:tcW w:w="1382" w:type="dxa"/>
            <w:tcBorders>
              <w:top w:val="single" w:sz="4" w:space="0" w:color="auto"/>
              <w:left w:val="nil"/>
              <w:bottom w:val="single" w:sz="4" w:space="0" w:color="auto"/>
              <w:right w:val="nil"/>
            </w:tcBorders>
            <w:shd w:val="clear" w:color="auto" w:fill="auto"/>
            <w:noWrap/>
            <w:vAlign w:val="center"/>
            <w:hideMark/>
          </w:tcPr>
          <w:p w:rsidR="00DF516D" w:rsidRPr="005A0021" w:rsidRDefault="00DF516D" w:rsidP="002044DE">
            <w:pPr>
              <w:jc w:val="center"/>
              <w:rPr>
                <w:b/>
                <w:bCs/>
                <w:color w:val="000000"/>
                <w:sz w:val="20"/>
                <w:szCs w:val="20"/>
                <w:lang w:eastAsia="es-ES"/>
              </w:rPr>
            </w:pPr>
            <w:r w:rsidRPr="005A0021">
              <w:rPr>
                <w:b/>
                <w:bCs/>
                <w:color w:val="000000"/>
                <w:sz w:val="20"/>
                <w:szCs w:val="20"/>
                <w:lang w:eastAsia="es-ES"/>
              </w:rPr>
              <w:t>Costo Total</w:t>
            </w:r>
          </w:p>
        </w:tc>
      </w:tr>
      <w:tr w:rsidR="00DF516D" w:rsidRPr="005A0021" w:rsidTr="002044DE">
        <w:trPr>
          <w:trHeight w:val="380"/>
        </w:trPr>
        <w:tc>
          <w:tcPr>
            <w:tcW w:w="1877" w:type="dxa"/>
            <w:vMerge/>
            <w:tcBorders>
              <w:left w:val="nil"/>
              <w:bottom w:val="double" w:sz="4" w:space="0" w:color="auto"/>
              <w:right w:val="nil"/>
            </w:tcBorders>
            <w:shd w:val="clear" w:color="auto" w:fill="auto"/>
            <w:noWrap/>
            <w:vAlign w:val="bottom"/>
            <w:hideMark/>
          </w:tcPr>
          <w:p w:rsidR="00DF516D" w:rsidRPr="005A0021" w:rsidRDefault="00DF516D" w:rsidP="002044DE">
            <w:pPr>
              <w:rPr>
                <w:b/>
                <w:bCs/>
                <w:color w:val="000000"/>
                <w:sz w:val="20"/>
                <w:szCs w:val="20"/>
                <w:lang w:eastAsia="es-ES"/>
              </w:rPr>
            </w:pPr>
          </w:p>
        </w:tc>
        <w:tc>
          <w:tcPr>
            <w:tcW w:w="1445" w:type="dxa"/>
            <w:vMerge/>
            <w:tcBorders>
              <w:left w:val="nil"/>
              <w:bottom w:val="double" w:sz="4" w:space="0" w:color="auto"/>
              <w:right w:val="nil"/>
            </w:tcBorders>
            <w:shd w:val="clear" w:color="auto" w:fill="auto"/>
            <w:noWrap/>
            <w:vAlign w:val="bottom"/>
            <w:hideMark/>
          </w:tcPr>
          <w:p w:rsidR="00DF516D" w:rsidRPr="005A0021" w:rsidRDefault="00DF516D" w:rsidP="002044DE">
            <w:pPr>
              <w:rPr>
                <w:b/>
                <w:bCs/>
                <w:color w:val="000000"/>
                <w:sz w:val="20"/>
                <w:szCs w:val="20"/>
                <w:lang w:eastAsia="es-ES"/>
              </w:rPr>
            </w:pPr>
          </w:p>
        </w:tc>
        <w:tc>
          <w:tcPr>
            <w:tcW w:w="1437" w:type="dxa"/>
            <w:tcBorders>
              <w:top w:val="single" w:sz="4" w:space="0" w:color="auto"/>
              <w:left w:val="nil"/>
              <w:bottom w:val="double" w:sz="4" w:space="0" w:color="auto"/>
              <w:right w:val="nil"/>
            </w:tcBorders>
            <w:shd w:val="clear" w:color="auto" w:fill="auto"/>
            <w:noWrap/>
            <w:vAlign w:val="center"/>
            <w:hideMark/>
          </w:tcPr>
          <w:p w:rsidR="00DF516D" w:rsidRPr="005A0021" w:rsidRDefault="00DF516D" w:rsidP="002044DE">
            <w:pPr>
              <w:jc w:val="center"/>
              <w:rPr>
                <w:b/>
                <w:bCs/>
                <w:color w:val="000000"/>
                <w:sz w:val="20"/>
                <w:szCs w:val="20"/>
                <w:lang w:eastAsia="es-ES"/>
              </w:rPr>
            </w:pPr>
            <w:r w:rsidRPr="005A0021">
              <w:rPr>
                <w:b/>
                <w:bCs/>
                <w:color w:val="000000"/>
                <w:sz w:val="20"/>
                <w:szCs w:val="20"/>
                <w:lang w:eastAsia="es-ES"/>
              </w:rPr>
              <w:t>Municipio</w:t>
            </w:r>
          </w:p>
        </w:tc>
        <w:tc>
          <w:tcPr>
            <w:tcW w:w="1520" w:type="dxa"/>
            <w:tcBorders>
              <w:top w:val="single" w:sz="4" w:space="0" w:color="auto"/>
              <w:left w:val="nil"/>
              <w:bottom w:val="double" w:sz="4" w:space="0" w:color="auto"/>
              <w:right w:val="nil"/>
            </w:tcBorders>
            <w:shd w:val="clear" w:color="auto" w:fill="auto"/>
            <w:noWrap/>
            <w:vAlign w:val="center"/>
            <w:hideMark/>
          </w:tcPr>
          <w:p w:rsidR="00DF516D" w:rsidRPr="005A0021" w:rsidRDefault="00DF516D" w:rsidP="002044DE">
            <w:pPr>
              <w:jc w:val="center"/>
              <w:rPr>
                <w:b/>
                <w:bCs/>
                <w:color w:val="000000"/>
                <w:sz w:val="20"/>
                <w:szCs w:val="20"/>
                <w:lang w:eastAsia="es-ES"/>
              </w:rPr>
            </w:pPr>
            <w:r w:rsidRPr="005A0021">
              <w:rPr>
                <w:b/>
                <w:bCs/>
                <w:color w:val="000000"/>
                <w:sz w:val="20"/>
                <w:szCs w:val="20"/>
                <w:lang w:eastAsia="es-ES"/>
              </w:rPr>
              <w:t>Gobernación</w:t>
            </w:r>
          </w:p>
        </w:tc>
        <w:tc>
          <w:tcPr>
            <w:tcW w:w="1386" w:type="dxa"/>
            <w:tcBorders>
              <w:top w:val="single" w:sz="4" w:space="0" w:color="auto"/>
              <w:left w:val="nil"/>
              <w:bottom w:val="double" w:sz="4" w:space="0" w:color="auto"/>
              <w:right w:val="nil"/>
            </w:tcBorders>
            <w:shd w:val="clear" w:color="auto" w:fill="auto"/>
            <w:noWrap/>
            <w:vAlign w:val="center"/>
            <w:hideMark/>
          </w:tcPr>
          <w:p w:rsidR="00DF516D" w:rsidRPr="005A0021" w:rsidRDefault="00DF516D" w:rsidP="002044DE">
            <w:pPr>
              <w:jc w:val="center"/>
              <w:rPr>
                <w:b/>
                <w:bCs/>
                <w:color w:val="000000"/>
                <w:sz w:val="20"/>
                <w:szCs w:val="20"/>
                <w:lang w:eastAsia="es-ES"/>
              </w:rPr>
            </w:pPr>
            <w:r w:rsidRPr="005A0021">
              <w:rPr>
                <w:b/>
                <w:bCs/>
                <w:color w:val="000000"/>
                <w:sz w:val="20"/>
                <w:szCs w:val="20"/>
                <w:lang w:eastAsia="es-ES"/>
              </w:rPr>
              <w:t>MADR</w:t>
            </w:r>
          </w:p>
        </w:tc>
        <w:tc>
          <w:tcPr>
            <w:tcW w:w="1382" w:type="dxa"/>
            <w:tcBorders>
              <w:top w:val="single" w:sz="4" w:space="0" w:color="auto"/>
              <w:left w:val="nil"/>
              <w:bottom w:val="double" w:sz="4" w:space="0" w:color="auto"/>
              <w:right w:val="nil"/>
            </w:tcBorders>
            <w:shd w:val="clear" w:color="auto" w:fill="auto"/>
            <w:noWrap/>
            <w:vAlign w:val="center"/>
            <w:hideMark/>
          </w:tcPr>
          <w:p w:rsidR="00DF516D" w:rsidRPr="005A0021" w:rsidRDefault="00DF516D" w:rsidP="002044DE">
            <w:pPr>
              <w:jc w:val="center"/>
              <w:rPr>
                <w:b/>
                <w:bCs/>
                <w:color w:val="000000"/>
                <w:sz w:val="20"/>
                <w:szCs w:val="20"/>
                <w:lang w:eastAsia="es-ES"/>
              </w:rPr>
            </w:pPr>
            <w:r w:rsidRPr="005A0021">
              <w:rPr>
                <w:b/>
                <w:bCs/>
                <w:color w:val="000000"/>
                <w:sz w:val="20"/>
                <w:szCs w:val="20"/>
                <w:lang w:eastAsia="es-ES"/>
              </w:rPr>
              <w:t>PGAT</w:t>
            </w:r>
          </w:p>
        </w:tc>
      </w:tr>
      <w:tr w:rsidR="00DF516D" w:rsidRPr="005A0021" w:rsidTr="002044DE">
        <w:trPr>
          <w:trHeight w:val="380"/>
        </w:trPr>
        <w:tc>
          <w:tcPr>
            <w:tcW w:w="1877" w:type="dxa"/>
            <w:tcBorders>
              <w:top w:val="double" w:sz="4" w:space="0" w:color="auto"/>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Circasia</w:t>
            </w:r>
          </w:p>
        </w:tc>
        <w:tc>
          <w:tcPr>
            <w:tcW w:w="1445" w:type="dxa"/>
            <w:tcBorders>
              <w:top w:val="double" w:sz="4" w:space="0" w:color="auto"/>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292</w:t>
            </w:r>
          </w:p>
        </w:tc>
        <w:tc>
          <w:tcPr>
            <w:tcW w:w="1437" w:type="dxa"/>
            <w:tcBorders>
              <w:top w:val="double" w:sz="4" w:space="0" w:color="auto"/>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10.731.000</w:t>
            </w:r>
          </w:p>
        </w:tc>
        <w:tc>
          <w:tcPr>
            <w:tcW w:w="1520" w:type="dxa"/>
            <w:tcBorders>
              <w:top w:val="double" w:sz="4" w:space="0" w:color="auto"/>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10.731.000</w:t>
            </w:r>
          </w:p>
        </w:tc>
        <w:tc>
          <w:tcPr>
            <w:tcW w:w="1386" w:type="dxa"/>
            <w:tcBorders>
              <w:top w:val="double" w:sz="4" w:space="0" w:color="auto"/>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85.848.000</w:t>
            </w:r>
          </w:p>
        </w:tc>
        <w:tc>
          <w:tcPr>
            <w:tcW w:w="1382" w:type="dxa"/>
            <w:tcBorders>
              <w:top w:val="double" w:sz="4" w:space="0" w:color="auto"/>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107.310.000</w:t>
            </w:r>
          </w:p>
        </w:tc>
      </w:tr>
      <w:tr w:rsidR="00DF516D" w:rsidRPr="005A0021" w:rsidTr="002044DE">
        <w:trPr>
          <w:trHeight w:val="380"/>
        </w:trPr>
        <w:tc>
          <w:tcPr>
            <w:tcW w:w="1877"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Filandia</w:t>
            </w:r>
          </w:p>
        </w:tc>
        <w:tc>
          <w:tcPr>
            <w:tcW w:w="1445"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98</w:t>
            </w:r>
          </w:p>
        </w:tc>
        <w:tc>
          <w:tcPr>
            <w:tcW w:w="1437"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3.601.500</w:t>
            </w:r>
          </w:p>
        </w:tc>
        <w:tc>
          <w:tcPr>
            <w:tcW w:w="1520"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3.601.500</w:t>
            </w:r>
          </w:p>
        </w:tc>
        <w:tc>
          <w:tcPr>
            <w:tcW w:w="1386"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28.812.000</w:t>
            </w:r>
          </w:p>
        </w:tc>
        <w:tc>
          <w:tcPr>
            <w:tcW w:w="1382"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36.015.000</w:t>
            </w:r>
          </w:p>
        </w:tc>
      </w:tr>
      <w:tr w:rsidR="00DF516D" w:rsidRPr="005A0021" w:rsidTr="002044DE">
        <w:trPr>
          <w:trHeight w:val="380"/>
        </w:trPr>
        <w:tc>
          <w:tcPr>
            <w:tcW w:w="1877"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Génova</w:t>
            </w:r>
          </w:p>
        </w:tc>
        <w:tc>
          <w:tcPr>
            <w:tcW w:w="1445"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268</w:t>
            </w:r>
          </w:p>
        </w:tc>
        <w:tc>
          <w:tcPr>
            <w:tcW w:w="1437"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9.849.000</w:t>
            </w:r>
          </w:p>
        </w:tc>
        <w:tc>
          <w:tcPr>
            <w:tcW w:w="1520"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9.849.000</w:t>
            </w:r>
          </w:p>
        </w:tc>
        <w:tc>
          <w:tcPr>
            <w:tcW w:w="1386"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77.028.000</w:t>
            </w:r>
          </w:p>
        </w:tc>
        <w:tc>
          <w:tcPr>
            <w:tcW w:w="1382" w:type="dxa"/>
            <w:tcBorders>
              <w:top w:val="nil"/>
              <w:left w:val="nil"/>
              <w:bottom w:val="nil"/>
              <w:right w:val="nil"/>
            </w:tcBorders>
            <w:shd w:val="clear" w:color="auto" w:fill="auto"/>
            <w:noWrap/>
            <w:vAlign w:val="bottom"/>
            <w:hideMark/>
          </w:tcPr>
          <w:p w:rsidR="00DF516D" w:rsidRPr="005A0021" w:rsidRDefault="00D53116" w:rsidP="002044DE">
            <w:pPr>
              <w:spacing w:line="360" w:lineRule="auto"/>
              <w:jc w:val="center"/>
              <w:rPr>
                <w:color w:val="000000"/>
                <w:sz w:val="20"/>
                <w:szCs w:val="20"/>
                <w:lang w:eastAsia="es-ES"/>
              </w:rPr>
            </w:pPr>
            <w:r>
              <w:rPr>
                <w:color w:val="000000"/>
                <w:sz w:val="20"/>
                <w:szCs w:val="20"/>
                <w:lang w:eastAsia="es-ES"/>
              </w:rPr>
              <w:t>96.726.000</w:t>
            </w:r>
          </w:p>
        </w:tc>
      </w:tr>
      <w:tr w:rsidR="00DF516D" w:rsidRPr="005A0021" w:rsidTr="002044DE">
        <w:trPr>
          <w:trHeight w:val="380"/>
        </w:trPr>
        <w:tc>
          <w:tcPr>
            <w:tcW w:w="1877"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La tebaida</w:t>
            </w:r>
          </w:p>
        </w:tc>
        <w:tc>
          <w:tcPr>
            <w:tcW w:w="1445"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102</w:t>
            </w:r>
          </w:p>
        </w:tc>
        <w:tc>
          <w:tcPr>
            <w:tcW w:w="1437"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3.748.500</w:t>
            </w:r>
          </w:p>
        </w:tc>
        <w:tc>
          <w:tcPr>
            <w:tcW w:w="1520"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3.748.500</w:t>
            </w:r>
          </w:p>
        </w:tc>
        <w:tc>
          <w:tcPr>
            <w:tcW w:w="1386"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29.988.000</w:t>
            </w:r>
          </w:p>
        </w:tc>
        <w:tc>
          <w:tcPr>
            <w:tcW w:w="1382"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37.485.000</w:t>
            </w:r>
          </w:p>
        </w:tc>
      </w:tr>
      <w:tr w:rsidR="00DF516D" w:rsidRPr="005A0021" w:rsidTr="002044DE">
        <w:trPr>
          <w:trHeight w:val="380"/>
        </w:trPr>
        <w:tc>
          <w:tcPr>
            <w:tcW w:w="1877"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Montenegro</w:t>
            </w:r>
          </w:p>
        </w:tc>
        <w:tc>
          <w:tcPr>
            <w:tcW w:w="1445"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107</w:t>
            </w:r>
          </w:p>
        </w:tc>
        <w:tc>
          <w:tcPr>
            <w:tcW w:w="1437"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3.932.250</w:t>
            </w:r>
          </w:p>
        </w:tc>
        <w:tc>
          <w:tcPr>
            <w:tcW w:w="1520"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3.932.250</w:t>
            </w:r>
          </w:p>
        </w:tc>
        <w:tc>
          <w:tcPr>
            <w:tcW w:w="1386"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31.458.000</w:t>
            </w:r>
          </w:p>
        </w:tc>
        <w:tc>
          <w:tcPr>
            <w:tcW w:w="1382"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39.322.500</w:t>
            </w:r>
          </w:p>
        </w:tc>
      </w:tr>
      <w:tr w:rsidR="00DF516D" w:rsidRPr="005A0021" w:rsidTr="002044DE">
        <w:trPr>
          <w:trHeight w:val="380"/>
        </w:trPr>
        <w:tc>
          <w:tcPr>
            <w:tcW w:w="1877"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Pijao</w:t>
            </w:r>
          </w:p>
        </w:tc>
        <w:tc>
          <w:tcPr>
            <w:tcW w:w="1445"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101</w:t>
            </w:r>
          </w:p>
        </w:tc>
        <w:tc>
          <w:tcPr>
            <w:tcW w:w="1437"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3.711.750</w:t>
            </w:r>
          </w:p>
        </w:tc>
        <w:tc>
          <w:tcPr>
            <w:tcW w:w="1520"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3.711.750</w:t>
            </w:r>
          </w:p>
        </w:tc>
        <w:tc>
          <w:tcPr>
            <w:tcW w:w="1386"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29.694.000</w:t>
            </w:r>
          </w:p>
        </w:tc>
        <w:tc>
          <w:tcPr>
            <w:tcW w:w="1382" w:type="dxa"/>
            <w:tcBorders>
              <w:top w:val="nil"/>
              <w:left w:val="nil"/>
              <w:bottom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37.117.500</w:t>
            </w:r>
          </w:p>
        </w:tc>
      </w:tr>
      <w:tr w:rsidR="00DF516D" w:rsidRPr="005A0021" w:rsidTr="002044DE">
        <w:trPr>
          <w:trHeight w:val="380"/>
        </w:trPr>
        <w:tc>
          <w:tcPr>
            <w:tcW w:w="1877"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Quimbaya</w:t>
            </w:r>
          </w:p>
        </w:tc>
        <w:tc>
          <w:tcPr>
            <w:tcW w:w="1445"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181</w:t>
            </w:r>
          </w:p>
        </w:tc>
        <w:tc>
          <w:tcPr>
            <w:tcW w:w="1437"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6.651.750</w:t>
            </w:r>
          </w:p>
        </w:tc>
        <w:tc>
          <w:tcPr>
            <w:tcW w:w="1520"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6.651.750</w:t>
            </w:r>
          </w:p>
        </w:tc>
        <w:tc>
          <w:tcPr>
            <w:tcW w:w="1386"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53.214.000</w:t>
            </w:r>
          </w:p>
        </w:tc>
        <w:tc>
          <w:tcPr>
            <w:tcW w:w="1382"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66.517.500</w:t>
            </w:r>
          </w:p>
        </w:tc>
      </w:tr>
      <w:tr w:rsidR="00DF516D" w:rsidRPr="005A0021" w:rsidTr="002044DE">
        <w:trPr>
          <w:trHeight w:val="380"/>
        </w:trPr>
        <w:tc>
          <w:tcPr>
            <w:tcW w:w="1877"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Salento</w:t>
            </w:r>
          </w:p>
        </w:tc>
        <w:tc>
          <w:tcPr>
            <w:tcW w:w="1445"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122</w:t>
            </w:r>
          </w:p>
        </w:tc>
        <w:tc>
          <w:tcPr>
            <w:tcW w:w="1437"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4.483.500</w:t>
            </w:r>
          </w:p>
        </w:tc>
        <w:tc>
          <w:tcPr>
            <w:tcW w:w="1520"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4.483.500</w:t>
            </w:r>
          </w:p>
        </w:tc>
        <w:tc>
          <w:tcPr>
            <w:tcW w:w="1386"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35.868.000</w:t>
            </w:r>
          </w:p>
        </w:tc>
        <w:tc>
          <w:tcPr>
            <w:tcW w:w="1382" w:type="dxa"/>
            <w:tcBorders>
              <w:top w:val="nil"/>
              <w:left w:val="nil"/>
              <w:right w:val="nil"/>
            </w:tcBorders>
            <w:shd w:val="clear" w:color="auto" w:fill="auto"/>
            <w:noWrap/>
            <w:vAlign w:val="bottom"/>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44.835.000</w:t>
            </w:r>
          </w:p>
        </w:tc>
      </w:tr>
      <w:tr w:rsidR="00DF516D" w:rsidRPr="005A0021" w:rsidTr="002044DE">
        <w:trPr>
          <w:trHeight w:val="380"/>
        </w:trPr>
        <w:tc>
          <w:tcPr>
            <w:tcW w:w="1877" w:type="dxa"/>
            <w:tcBorders>
              <w:left w:val="nil"/>
              <w:bottom w:val="single" w:sz="4" w:space="0" w:color="auto"/>
              <w:right w:val="nil"/>
            </w:tcBorders>
            <w:shd w:val="clear" w:color="auto" w:fill="auto"/>
            <w:noWrap/>
            <w:vAlign w:val="center"/>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TOTAL</w:t>
            </w:r>
          </w:p>
        </w:tc>
        <w:tc>
          <w:tcPr>
            <w:tcW w:w="1445" w:type="dxa"/>
            <w:tcBorders>
              <w:left w:val="nil"/>
              <w:bottom w:val="single" w:sz="4" w:space="0" w:color="auto"/>
              <w:right w:val="nil"/>
            </w:tcBorders>
            <w:shd w:val="clear" w:color="auto" w:fill="auto"/>
            <w:noWrap/>
            <w:vAlign w:val="center"/>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1,271</w:t>
            </w:r>
          </w:p>
        </w:tc>
        <w:tc>
          <w:tcPr>
            <w:tcW w:w="1437" w:type="dxa"/>
            <w:tcBorders>
              <w:left w:val="nil"/>
              <w:bottom w:val="single" w:sz="4" w:space="0" w:color="auto"/>
              <w:right w:val="nil"/>
            </w:tcBorders>
            <w:shd w:val="clear" w:color="auto" w:fill="auto"/>
            <w:noWrap/>
            <w:vAlign w:val="center"/>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46.709.250</w:t>
            </w:r>
          </w:p>
        </w:tc>
        <w:tc>
          <w:tcPr>
            <w:tcW w:w="1520" w:type="dxa"/>
            <w:tcBorders>
              <w:left w:val="nil"/>
              <w:bottom w:val="single" w:sz="4" w:space="0" w:color="auto"/>
              <w:right w:val="nil"/>
            </w:tcBorders>
            <w:shd w:val="clear" w:color="auto" w:fill="auto"/>
            <w:noWrap/>
            <w:vAlign w:val="center"/>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46.709.250</w:t>
            </w:r>
          </w:p>
        </w:tc>
        <w:tc>
          <w:tcPr>
            <w:tcW w:w="1386" w:type="dxa"/>
            <w:tcBorders>
              <w:left w:val="nil"/>
              <w:bottom w:val="single" w:sz="4" w:space="0" w:color="auto"/>
              <w:right w:val="nil"/>
            </w:tcBorders>
            <w:shd w:val="clear" w:color="auto" w:fill="auto"/>
            <w:noWrap/>
            <w:vAlign w:val="center"/>
            <w:hideMark/>
          </w:tcPr>
          <w:p w:rsidR="00DF516D" w:rsidRPr="005A0021" w:rsidRDefault="00DF516D" w:rsidP="002044DE">
            <w:pPr>
              <w:spacing w:line="360" w:lineRule="auto"/>
              <w:jc w:val="center"/>
              <w:rPr>
                <w:color w:val="000000"/>
                <w:sz w:val="20"/>
                <w:szCs w:val="20"/>
                <w:lang w:eastAsia="es-ES"/>
              </w:rPr>
            </w:pPr>
            <w:r w:rsidRPr="005A0021">
              <w:rPr>
                <w:color w:val="000000"/>
                <w:sz w:val="20"/>
                <w:szCs w:val="20"/>
                <w:lang w:eastAsia="es-ES"/>
              </w:rPr>
              <w:t>371.910.000</w:t>
            </w:r>
          </w:p>
        </w:tc>
        <w:tc>
          <w:tcPr>
            <w:tcW w:w="1382" w:type="dxa"/>
            <w:tcBorders>
              <w:left w:val="nil"/>
              <w:bottom w:val="single" w:sz="4" w:space="0" w:color="auto"/>
              <w:right w:val="nil"/>
            </w:tcBorders>
            <w:shd w:val="clear" w:color="auto" w:fill="auto"/>
            <w:noWrap/>
            <w:vAlign w:val="center"/>
            <w:hideMark/>
          </w:tcPr>
          <w:p w:rsidR="00DF516D" w:rsidRPr="005A0021" w:rsidRDefault="00D53116" w:rsidP="002044DE">
            <w:pPr>
              <w:spacing w:line="360" w:lineRule="auto"/>
              <w:jc w:val="center"/>
              <w:rPr>
                <w:color w:val="000000"/>
                <w:sz w:val="20"/>
                <w:szCs w:val="20"/>
                <w:lang w:eastAsia="es-ES"/>
              </w:rPr>
            </w:pPr>
            <w:r>
              <w:rPr>
                <w:color w:val="000000"/>
                <w:sz w:val="20"/>
                <w:szCs w:val="20"/>
                <w:lang w:eastAsia="es-ES"/>
              </w:rPr>
              <w:t>465.328.500</w:t>
            </w:r>
          </w:p>
        </w:tc>
      </w:tr>
    </w:tbl>
    <w:p w:rsidR="00DF516D" w:rsidRPr="00173193" w:rsidRDefault="00DF516D" w:rsidP="00DF516D">
      <w:pPr>
        <w:tabs>
          <w:tab w:val="left" w:pos="9072"/>
        </w:tabs>
        <w:spacing w:line="360" w:lineRule="auto"/>
        <w:ind w:left="-567" w:right="-232"/>
        <w:rPr>
          <w:sz w:val="16"/>
          <w:szCs w:val="16"/>
        </w:rPr>
      </w:pPr>
      <w:r w:rsidRPr="005A0021">
        <w:rPr>
          <w:color w:val="000000"/>
          <w:sz w:val="18"/>
          <w:lang w:eastAsia="es-ES"/>
        </w:rPr>
        <w:t xml:space="preserve">               </w:t>
      </w:r>
      <w:r w:rsidRPr="00173193">
        <w:rPr>
          <w:color w:val="000000"/>
          <w:sz w:val="16"/>
          <w:szCs w:val="16"/>
          <w:lang w:eastAsia="es-ES"/>
        </w:rPr>
        <w:t>Fuente: Instituto Colombiano de Desarrollo Rural. 2013</w:t>
      </w:r>
    </w:p>
    <w:p w:rsidR="00DF516D" w:rsidRDefault="00DF516D" w:rsidP="00DF516D">
      <w:pPr>
        <w:spacing w:line="360" w:lineRule="auto"/>
        <w:ind w:right="-232"/>
        <w:jc w:val="both"/>
      </w:pPr>
      <w:r>
        <w:t xml:space="preserve">    </w:t>
      </w:r>
    </w:p>
    <w:p w:rsidR="00DF516D" w:rsidRDefault="00DF516D" w:rsidP="00DF516D">
      <w:pPr>
        <w:spacing w:line="360" w:lineRule="auto"/>
        <w:ind w:firstLine="284"/>
        <w:jc w:val="both"/>
      </w:pPr>
      <w:r>
        <w:t>Aparte de la asistencia técnica que brinda el INCODER como un</w:t>
      </w:r>
      <w:r w:rsidR="0080110A">
        <w:t>a</w:t>
      </w:r>
      <w:r>
        <w:t xml:space="preserve"> de las políticas de desarrollo rural, también se ejecuta</w:t>
      </w:r>
      <w:r w:rsidR="0080110A">
        <w:t>n</w:t>
      </w:r>
      <w:r>
        <w:t xml:space="preserve"> políticas de formalización y acceso a la tierra, apoyo a los pueblos indígenas y comunidades afrodescendientes y se impulsa la restitución de tierras de víctimas del conflicto interno. Adicionalmente el INCODER promueve el proyecto de alianzas productivas del cual en el año 2013 para el Quindío, se  han registrado un total de  134 beneficiarios en los municipios de Córdoba, Génova y Buenavista.</w:t>
      </w:r>
    </w:p>
    <w:p w:rsidR="002C663D" w:rsidRDefault="002C663D" w:rsidP="00DF516D">
      <w:pPr>
        <w:spacing w:line="360" w:lineRule="auto"/>
        <w:ind w:firstLine="284"/>
        <w:jc w:val="both"/>
      </w:pPr>
    </w:p>
    <w:p w:rsidR="00DF516D" w:rsidRDefault="00DF516D" w:rsidP="00DF516D">
      <w:pPr>
        <w:spacing w:line="360" w:lineRule="auto"/>
        <w:ind w:firstLine="284"/>
        <w:jc w:val="both"/>
      </w:pPr>
      <w:r>
        <w:t>Según lo esta</w:t>
      </w:r>
      <w:r w:rsidR="0080110A">
        <w:t>blecido en el A</w:t>
      </w:r>
      <w:r>
        <w:t xml:space="preserve">cuerdo 266 de 2011 una de las funciones del INCODER es hacer seguimiento a las adjudicaciones de predios y parcelas del Fondo Nacional Agrario (FNA), por lo cual la relación de  predios objeto de seguimientos de la territorial Quindío se encuentra en los municipios de Córdoba, Pijao, La Tebaida, Montenegro y Génova, </w:t>
      </w:r>
      <w:r w:rsidRPr="003C1591">
        <w:t xml:space="preserve">los cultivos sembrados en estos predios en su mayoría son de tipo permanente </w:t>
      </w:r>
      <w:r>
        <w:t xml:space="preserve">y con una alta intensidad de cultivo en el departamento como son Plátano, Café, Banano; entre otros. Han </w:t>
      </w:r>
      <w:r w:rsidRPr="003C1591">
        <w:t xml:space="preserve"> sido beneficiadas total de 114 familias y total de 15 campesinos en el municipio de Córdoba y 10 en la Tebaida.</w:t>
      </w:r>
    </w:p>
    <w:p w:rsidR="00DF516D" w:rsidRPr="00DD2AB6" w:rsidRDefault="00DF516D" w:rsidP="00DF516D">
      <w:pPr>
        <w:ind w:right="-232"/>
      </w:pPr>
      <w:r>
        <w:lastRenderedPageBreak/>
        <w:t>Tabla</w:t>
      </w:r>
      <w:r w:rsidRPr="00DD2AB6">
        <w:t xml:space="preserve"> 9.6</w:t>
      </w:r>
    </w:p>
    <w:p w:rsidR="00DF516D" w:rsidRPr="00DD2AB6" w:rsidRDefault="00DF516D" w:rsidP="00DF516D">
      <w:pPr>
        <w:ind w:right="-232"/>
        <w:rPr>
          <w:bCs/>
          <w:color w:val="000000"/>
          <w:lang w:eastAsia="es-ES"/>
        </w:rPr>
      </w:pPr>
      <w:r w:rsidRPr="00DD2AB6">
        <w:rPr>
          <w:bCs/>
          <w:color w:val="000000"/>
          <w:lang w:eastAsia="es-ES"/>
        </w:rPr>
        <w:t>Relación de predios objeto de seguimiento de la territorial</w:t>
      </w:r>
    </w:p>
    <w:p w:rsidR="00DF516D" w:rsidRPr="00DD2AB6" w:rsidRDefault="00DF516D" w:rsidP="00DF516D">
      <w:pPr>
        <w:ind w:right="-232"/>
        <w:rPr>
          <w:bCs/>
          <w:color w:val="000000"/>
          <w:lang w:eastAsia="es-ES"/>
        </w:rPr>
      </w:pPr>
      <w:r w:rsidRPr="00DD2AB6">
        <w:rPr>
          <w:bCs/>
          <w:color w:val="000000"/>
          <w:lang w:eastAsia="es-ES"/>
        </w:rPr>
        <w:t>2013</w:t>
      </w:r>
    </w:p>
    <w:p w:rsidR="00DF516D" w:rsidRPr="003C1591" w:rsidRDefault="00DF516D" w:rsidP="00DF516D">
      <w:pPr>
        <w:spacing w:line="360" w:lineRule="auto"/>
        <w:ind w:right="-232"/>
        <w:jc w:val="center"/>
      </w:pPr>
    </w:p>
    <w:tbl>
      <w:tblPr>
        <w:tblW w:w="917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55"/>
        <w:gridCol w:w="1770"/>
        <w:gridCol w:w="1716"/>
        <w:gridCol w:w="1047"/>
        <w:gridCol w:w="3382"/>
      </w:tblGrid>
      <w:tr w:rsidR="00DF516D" w:rsidRPr="003C1591" w:rsidTr="005F54D2">
        <w:trPr>
          <w:trHeight w:val="766"/>
          <w:jc w:val="center"/>
        </w:trPr>
        <w:tc>
          <w:tcPr>
            <w:tcW w:w="1255" w:type="dxa"/>
            <w:tcBorders>
              <w:top w:val="single" w:sz="4" w:space="0" w:color="auto"/>
              <w:bottom w:val="double" w:sz="4" w:space="0" w:color="auto"/>
            </w:tcBorders>
            <w:shd w:val="clear" w:color="auto" w:fill="auto"/>
            <w:noWrap/>
            <w:vAlign w:val="center"/>
            <w:hideMark/>
          </w:tcPr>
          <w:p w:rsidR="00DF516D" w:rsidRPr="003C1591" w:rsidRDefault="00DF516D" w:rsidP="002044DE">
            <w:pPr>
              <w:jc w:val="center"/>
              <w:rPr>
                <w:b/>
                <w:bCs/>
                <w:color w:val="000000"/>
                <w:sz w:val="20"/>
                <w:szCs w:val="20"/>
                <w:lang w:eastAsia="es-ES"/>
              </w:rPr>
            </w:pPr>
            <w:r w:rsidRPr="003C1591">
              <w:rPr>
                <w:b/>
                <w:bCs/>
                <w:color w:val="000000"/>
                <w:sz w:val="20"/>
                <w:szCs w:val="20"/>
                <w:lang w:eastAsia="es-ES"/>
              </w:rPr>
              <w:t>Municipio</w:t>
            </w:r>
          </w:p>
        </w:tc>
        <w:tc>
          <w:tcPr>
            <w:tcW w:w="1770" w:type="dxa"/>
            <w:tcBorders>
              <w:top w:val="single" w:sz="4" w:space="0" w:color="auto"/>
              <w:bottom w:val="double" w:sz="4" w:space="0" w:color="auto"/>
            </w:tcBorders>
            <w:shd w:val="clear" w:color="auto" w:fill="auto"/>
            <w:noWrap/>
            <w:vAlign w:val="center"/>
          </w:tcPr>
          <w:p w:rsidR="00DF516D" w:rsidRPr="003C1591" w:rsidRDefault="00DF516D" w:rsidP="002044DE">
            <w:pPr>
              <w:jc w:val="center"/>
              <w:rPr>
                <w:b/>
                <w:bCs/>
                <w:color w:val="000000"/>
                <w:sz w:val="20"/>
                <w:szCs w:val="20"/>
                <w:lang w:eastAsia="es-ES"/>
              </w:rPr>
            </w:pPr>
            <w:r w:rsidRPr="003C1591">
              <w:rPr>
                <w:b/>
                <w:bCs/>
                <w:color w:val="000000"/>
                <w:sz w:val="20"/>
                <w:szCs w:val="20"/>
                <w:lang w:eastAsia="es-ES"/>
              </w:rPr>
              <w:t>Vereda</w:t>
            </w:r>
          </w:p>
        </w:tc>
        <w:tc>
          <w:tcPr>
            <w:tcW w:w="1716" w:type="dxa"/>
            <w:tcBorders>
              <w:top w:val="single" w:sz="4" w:space="0" w:color="auto"/>
              <w:bottom w:val="double" w:sz="4" w:space="0" w:color="auto"/>
            </w:tcBorders>
            <w:shd w:val="clear" w:color="auto" w:fill="auto"/>
            <w:noWrap/>
            <w:vAlign w:val="center"/>
            <w:hideMark/>
          </w:tcPr>
          <w:p w:rsidR="00DF516D" w:rsidRPr="003C1591" w:rsidRDefault="00DF516D" w:rsidP="002044DE">
            <w:pPr>
              <w:jc w:val="center"/>
              <w:rPr>
                <w:b/>
                <w:bCs/>
                <w:color w:val="000000"/>
                <w:sz w:val="20"/>
                <w:szCs w:val="20"/>
                <w:lang w:eastAsia="es-ES"/>
              </w:rPr>
            </w:pPr>
            <w:r w:rsidRPr="003C1591">
              <w:rPr>
                <w:b/>
                <w:bCs/>
                <w:color w:val="000000"/>
                <w:sz w:val="20"/>
                <w:szCs w:val="20"/>
                <w:lang w:eastAsia="es-ES"/>
              </w:rPr>
              <w:t>Corregimiento</w:t>
            </w:r>
          </w:p>
        </w:tc>
        <w:tc>
          <w:tcPr>
            <w:tcW w:w="1047" w:type="dxa"/>
            <w:tcBorders>
              <w:top w:val="single" w:sz="4" w:space="0" w:color="auto"/>
              <w:bottom w:val="double" w:sz="4" w:space="0" w:color="auto"/>
            </w:tcBorders>
            <w:shd w:val="clear" w:color="auto" w:fill="auto"/>
            <w:noWrap/>
            <w:vAlign w:val="center"/>
            <w:hideMark/>
          </w:tcPr>
          <w:p w:rsidR="00DF516D" w:rsidRPr="003C1591" w:rsidRDefault="00DF516D" w:rsidP="002044DE">
            <w:pPr>
              <w:jc w:val="center"/>
              <w:rPr>
                <w:b/>
                <w:bCs/>
                <w:color w:val="000000"/>
                <w:sz w:val="20"/>
                <w:szCs w:val="20"/>
                <w:lang w:eastAsia="es-ES"/>
              </w:rPr>
            </w:pPr>
            <w:r w:rsidRPr="003C1591">
              <w:rPr>
                <w:b/>
                <w:bCs/>
                <w:color w:val="000000"/>
                <w:sz w:val="20"/>
                <w:szCs w:val="20"/>
                <w:lang w:eastAsia="es-ES"/>
              </w:rPr>
              <w:t>Ha. Total</w:t>
            </w:r>
          </w:p>
        </w:tc>
        <w:tc>
          <w:tcPr>
            <w:tcW w:w="3382" w:type="dxa"/>
            <w:tcBorders>
              <w:top w:val="single" w:sz="4" w:space="0" w:color="auto"/>
              <w:bottom w:val="double" w:sz="4" w:space="0" w:color="auto"/>
            </w:tcBorders>
            <w:shd w:val="clear" w:color="auto" w:fill="auto"/>
            <w:noWrap/>
            <w:vAlign w:val="center"/>
            <w:hideMark/>
          </w:tcPr>
          <w:p w:rsidR="00DF516D" w:rsidRPr="003C1591" w:rsidRDefault="00DF516D" w:rsidP="002044DE">
            <w:pPr>
              <w:jc w:val="center"/>
              <w:rPr>
                <w:b/>
                <w:bCs/>
                <w:color w:val="000000"/>
                <w:sz w:val="20"/>
                <w:szCs w:val="20"/>
                <w:lang w:eastAsia="es-ES"/>
              </w:rPr>
            </w:pPr>
            <w:r w:rsidRPr="003C1591">
              <w:rPr>
                <w:b/>
                <w:bCs/>
                <w:color w:val="000000"/>
                <w:sz w:val="20"/>
                <w:szCs w:val="20"/>
                <w:lang w:eastAsia="es-ES"/>
              </w:rPr>
              <w:t>Actividad Productiva</w:t>
            </w:r>
          </w:p>
        </w:tc>
      </w:tr>
      <w:tr w:rsidR="00DF516D" w:rsidRPr="003C1591" w:rsidTr="005F54D2">
        <w:trPr>
          <w:trHeight w:val="393"/>
          <w:jc w:val="center"/>
        </w:trPr>
        <w:tc>
          <w:tcPr>
            <w:tcW w:w="1255" w:type="dxa"/>
            <w:tcBorders>
              <w:top w:val="double" w:sz="4" w:space="0" w:color="auto"/>
            </w:tcBorders>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Córdoba</w:t>
            </w:r>
          </w:p>
        </w:tc>
        <w:tc>
          <w:tcPr>
            <w:tcW w:w="1770" w:type="dxa"/>
            <w:tcBorders>
              <w:top w:val="double" w:sz="4" w:space="0" w:color="auto"/>
            </w:tcBorders>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Guayaquil Alto</w:t>
            </w:r>
          </w:p>
        </w:tc>
        <w:tc>
          <w:tcPr>
            <w:tcW w:w="1716" w:type="dxa"/>
            <w:tcBorders>
              <w:top w:val="double" w:sz="4" w:space="0" w:color="auto"/>
            </w:tcBorders>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Bellavista</w:t>
            </w:r>
          </w:p>
        </w:tc>
        <w:tc>
          <w:tcPr>
            <w:tcW w:w="1047" w:type="dxa"/>
            <w:tcBorders>
              <w:top w:val="double" w:sz="4" w:space="0" w:color="auto"/>
            </w:tcBorders>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61,4000</w:t>
            </w:r>
          </w:p>
        </w:tc>
        <w:tc>
          <w:tcPr>
            <w:tcW w:w="3382" w:type="dxa"/>
            <w:tcBorders>
              <w:top w:val="double" w:sz="4" w:space="0" w:color="auto"/>
            </w:tcBorders>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Mora, Café, Plátano, Ganado</w:t>
            </w:r>
          </w:p>
        </w:tc>
      </w:tr>
      <w:tr w:rsidR="00DF516D" w:rsidRPr="003C1591" w:rsidTr="005F54D2">
        <w:trPr>
          <w:trHeight w:val="766"/>
          <w:jc w:val="center"/>
        </w:trPr>
        <w:tc>
          <w:tcPr>
            <w:tcW w:w="1255"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Córdoba</w:t>
            </w:r>
          </w:p>
        </w:tc>
        <w:tc>
          <w:tcPr>
            <w:tcW w:w="1770"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Guayaquil Bajo</w:t>
            </w:r>
          </w:p>
        </w:tc>
        <w:tc>
          <w:tcPr>
            <w:tcW w:w="1716"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El brillante</w:t>
            </w:r>
          </w:p>
        </w:tc>
        <w:tc>
          <w:tcPr>
            <w:tcW w:w="1047"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25 ,7475</w:t>
            </w:r>
          </w:p>
        </w:tc>
        <w:tc>
          <w:tcPr>
            <w:tcW w:w="3382"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Café, Plátano y Banano</w:t>
            </w:r>
          </w:p>
        </w:tc>
      </w:tr>
      <w:tr w:rsidR="00DF516D" w:rsidRPr="003C1591" w:rsidTr="005F54D2">
        <w:trPr>
          <w:trHeight w:val="756"/>
          <w:jc w:val="center"/>
        </w:trPr>
        <w:tc>
          <w:tcPr>
            <w:tcW w:w="1255"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Pijao</w:t>
            </w:r>
          </w:p>
        </w:tc>
        <w:tc>
          <w:tcPr>
            <w:tcW w:w="1770"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Patio Bonito</w:t>
            </w:r>
          </w:p>
        </w:tc>
        <w:tc>
          <w:tcPr>
            <w:tcW w:w="1716"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Las Brisas</w:t>
            </w:r>
          </w:p>
        </w:tc>
        <w:tc>
          <w:tcPr>
            <w:tcW w:w="1047"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28,7434</w:t>
            </w:r>
          </w:p>
        </w:tc>
        <w:tc>
          <w:tcPr>
            <w:tcW w:w="3382"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café, Plátano y Banano</w:t>
            </w:r>
          </w:p>
        </w:tc>
      </w:tr>
      <w:tr w:rsidR="00DF516D" w:rsidRPr="003C1591" w:rsidTr="005F54D2">
        <w:trPr>
          <w:trHeight w:val="766"/>
          <w:jc w:val="center"/>
        </w:trPr>
        <w:tc>
          <w:tcPr>
            <w:tcW w:w="1255"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La Tebaida</w:t>
            </w:r>
          </w:p>
        </w:tc>
        <w:tc>
          <w:tcPr>
            <w:tcW w:w="1770" w:type="dxa"/>
            <w:shd w:val="clear" w:color="auto" w:fill="auto"/>
            <w:noWrap/>
            <w:vAlign w:val="center"/>
            <w:hideMark/>
          </w:tcPr>
          <w:p w:rsidR="00DF516D" w:rsidRPr="003C1591" w:rsidRDefault="00DF516D" w:rsidP="002044DE">
            <w:pPr>
              <w:jc w:val="center"/>
              <w:rPr>
                <w:color w:val="000000"/>
                <w:sz w:val="20"/>
                <w:szCs w:val="20"/>
                <w:lang w:eastAsia="es-ES"/>
              </w:rPr>
            </w:pPr>
            <w:proofErr w:type="spellStart"/>
            <w:r w:rsidRPr="003C1591">
              <w:rPr>
                <w:color w:val="000000"/>
                <w:sz w:val="20"/>
                <w:szCs w:val="20"/>
                <w:lang w:eastAsia="es-ES"/>
              </w:rPr>
              <w:t>Pisamal</w:t>
            </w:r>
            <w:proofErr w:type="spellEnd"/>
          </w:p>
        </w:tc>
        <w:tc>
          <w:tcPr>
            <w:tcW w:w="1716" w:type="dxa"/>
            <w:shd w:val="clear" w:color="auto" w:fill="auto"/>
            <w:noWrap/>
            <w:vAlign w:val="center"/>
            <w:hideMark/>
          </w:tcPr>
          <w:p w:rsidR="00DF516D" w:rsidRPr="003C1591" w:rsidRDefault="00DF516D" w:rsidP="002044DE">
            <w:pPr>
              <w:jc w:val="center"/>
              <w:rPr>
                <w:color w:val="000000"/>
                <w:sz w:val="20"/>
                <w:szCs w:val="20"/>
                <w:lang w:eastAsia="es-ES"/>
              </w:rPr>
            </w:pPr>
            <w:proofErr w:type="spellStart"/>
            <w:r w:rsidRPr="003C1591">
              <w:rPr>
                <w:color w:val="000000"/>
                <w:sz w:val="20"/>
                <w:szCs w:val="20"/>
                <w:lang w:eastAsia="es-ES"/>
              </w:rPr>
              <w:t>Pisamal</w:t>
            </w:r>
            <w:proofErr w:type="spellEnd"/>
          </w:p>
        </w:tc>
        <w:tc>
          <w:tcPr>
            <w:tcW w:w="1047"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563,5924</w:t>
            </w:r>
          </w:p>
        </w:tc>
        <w:tc>
          <w:tcPr>
            <w:tcW w:w="3382"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Caña de Azúcar, Ganado y Plátano</w:t>
            </w:r>
          </w:p>
        </w:tc>
      </w:tr>
      <w:tr w:rsidR="00DF516D" w:rsidRPr="003C1591" w:rsidTr="005F54D2">
        <w:trPr>
          <w:trHeight w:val="766"/>
          <w:jc w:val="center"/>
        </w:trPr>
        <w:tc>
          <w:tcPr>
            <w:tcW w:w="1255"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Montenegro</w:t>
            </w:r>
          </w:p>
        </w:tc>
        <w:tc>
          <w:tcPr>
            <w:tcW w:w="1770"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Guatemala</w:t>
            </w:r>
          </w:p>
        </w:tc>
        <w:tc>
          <w:tcPr>
            <w:tcW w:w="1716"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Orinoco</w:t>
            </w:r>
          </w:p>
        </w:tc>
        <w:tc>
          <w:tcPr>
            <w:tcW w:w="1047"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27,6930</w:t>
            </w:r>
          </w:p>
        </w:tc>
        <w:tc>
          <w:tcPr>
            <w:tcW w:w="3382"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Cítricos, Plátano, Aguacate y Yuca</w:t>
            </w:r>
          </w:p>
        </w:tc>
      </w:tr>
      <w:tr w:rsidR="00DF516D" w:rsidRPr="003C1591" w:rsidTr="005F54D2">
        <w:trPr>
          <w:trHeight w:val="766"/>
          <w:jc w:val="center"/>
        </w:trPr>
        <w:tc>
          <w:tcPr>
            <w:tcW w:w="1255"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Génova</w:t>
            </w:r>
          </w:p>
        </w:tc>
        <w:tc>
          <w:tcPr>
            <w:tcW w:w="1770"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La Coca</w:t>
            </w:r>
          </w:p>
        </w:tc>
        <w:tc>
          <w:tcPr>
            <w:tcW w:w="1716"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Buenos Aires</w:t>
            </w:r>
          </w:p>
        </w:tc>
        <w:tc>
          <w:tcPr>
            <w:tcW w:w="1047"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84,4850</w:t>
            </w:r>
          </w:p>
        </w:tc>
        <w:tc>
          <w:tcPr>
            <w:tcW w:w="3382"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Café, Plátano , Banano mora y ganadería</w:t>
            </w:r>
          </w:p>
        </w:tc>
      </w:tr>
      <w:tr w:rsidR="00DF516D" w:rsidRPr="003C1591" w:rsidTr="005F54D2">
        <w:trPr>
          <w:trHeight w:val="766"/>
          <w:jc w:val="center"/>
        </w:trPr>
        <w:tc>
          <w:tcPr>
            <w:tcW w:w="1255"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Génova</w:t>
            </w:r>
          </w:p>
        </w:tc>
        <w:tc>
          <w:tcPr>
            <w:tcW w:w="1770"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El Retiro</w:t>
            </w:r>
          </w:p>
        </w:tc>
        <w:tc>
          <w:tcPr>
            <w:tcW w:w="1716"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La Miranda</w:t>
            </w:r>
          </w:p>
        </w:tc>
        <w:tc>
          <w:tcPr>
            <w:tcW w:w="1047"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74,2357</w:t>
            </w:r>
          </w:p>
        </w:tc>
        <w:tc>
          <w:tcPr>
            <w:tcW w:w="3382" w:type="dxa"/>
            <w:shd w:val="clear" w:color="auto" w:fill="auto"/>
            <w:noWrap/>
            <w:vAlign w:val="center"/>
            <w:hideMark/>
          </w:tcPr>
          <w:p w:rsidR="00DF516D" w:rsidRPr="003C1591" w:rsidRDefault="00DF516D" w:rsidP="002044DE">
            <w:pPr>
              <w:jc w:val="center"/>
              <w:rPr>
                <w:color w:val="000000"/>
                <w:sz w:val="20"/>
                <w:szCs w:val="20"/>
                <w:lang w:eastAsia="es-ES"/>
              </w:rPr>
            </w:pPr>
            <w:r w:rsidRPr="003C1591">
              <w:rPr>
                <w:color w:val="000000"/>
                <w:sz w:val="20"/>
                <w:szCs w:val="20"/>
                <w:lang w:eastAsia="es-ES"/>
              </w:rPr>
              <w:t>Café, Plátano, banano, ganadería.</w:t>
            </w:r>
          </w:p>
        </w:tc>
      </w:tr>
    </w:tbl>
    <w:p w:rsidR="00DF516D" w:rsidRDefault="00DF516D" w:rsidP="00DF516D">
      <w:pPr>
        <w:spacing w:line="360" w:lineRule="auto"/>
        <w:ind w:right="-232"/>
        <w:jc w:val="both"/>
        <w:rPr>
          <w:sz w:val="18"/>
        </w:rPr>
      </w:pPr>
      <w:r w:rsidRPr="003C1591">
        <w:rPr>
          <w:b/>
          <w:sz w:val="18"/>
        </w:rPr>
        <w:t>Fuente:</w:t>
      </w:r>
      <w:r w:rsidRPr="003C1591">
        <w:rPr>
          <w:sz w:val="18"/>
        </w:rPr>
        <w:t xml:space="preserve"> Instituto Colombiano de Desarrollo Rural        </w:t>
      </w:r>
    </w:p>
    <w:p w:rsidR="00DF516D" w:rsidRPr="003C1591" w:rsidRDefault="00DF516D" w:rsidP="00DF516D">
      <w:pPr>
        <w:spacing w:line="360" w:lineRule="auto"/>
        <w:ind w:right="-232"/>
        <w:jc w:val="both"/>
      </w:pPr>
    </w:p>
    <w:p w:rsidR="005F54D2" w:rsidRDefault="005F54D2" w:rsidP="002C663D">
      <w:pPr>
        <w:spacing w:line="360" w:lineRule="auto"/>
        <w:ind w:firstLine="284"/>
        <w:jc w:val="both"/>
      </w:pPr>
    </w:p>
    <w:p w:rsidR="002C663D" w:rsidRPr="003C1591" w:rsidRDefault="002C663D" w:rsidP="002C663D">
      <w:pPr>
        <w:spacing w:line="360" w:lineRule="auto"/>
        <w:ind w:firstLine="284"/>
        <w:jc w:val="both"/>
      </w:pPr>
      <w:r>
        <w:t>En relación a los pr</w:t>
      </w:r>
      <w:r w:rsidRPr="003C1591">
        <w:t>incipales cultivos en el Departamento del Quindío, el reglón más significativo, sigue siendo el Café con un área cultivada para el año de 2013 de 28.880 hectáreas  presentando una disminución del  4.3% en el área sembrada, con respecto al año anterior en el que se tenía un área  30.181 hectáreas; no obstante, su producción aumentó en  un 9.13%.  Siendo Calarcá y Génova los municipios con mayor área sembrada, con 4.668.46 y 4.524.56 hectáreas, respectivamente.</w:t>
      </w:r>
    </w:p>
    <w:p w:rsidR="002C663D" w:rsidRPr="003C1591" w:rsidRDefault="002C663D" w:rsidP="002C663D">
      <w:pPr>
        <w:spacing w:line="360" w:lineRule="auto"/>
        <w:ind w:right="-232"/>
        <w:jc w:val="both"/>
      </w:pPr>
    </w:p>
    <w:p w:rsidR="00DF516D" w:rsidRPr="003C1591" w:rsidRDefault="00DF516D" w:rsidP="00DF516D">
      <w:pPr>
        <w:pStyle w:val="Sinespaciado"/>
        <w:spacing w:line="360" w:lineRule="auto"/>
        <w:rPr>
          <w:rFonts w:ascii="Times New Roman" w:hAnsi="Times New Roman"/>
          <w:sz w:val="24"/>
          <w:szCs w:val="42"/>
          <w:lang w:val="es-CO"/>
        </w:rPr>
        <w:sectPr w:rsidR="00DF516D" w:rsidRPr="003C1591" w:rsidSect="002044DE">
          <w:pgSz w:w="12242" w:h="15842" w:code="1"/>
          <w:pgMar w:top="1701" w:right="1701" w:bottom="1701" w:left="1701" w:header="709" w:footer="709" w:gutter="0"/>
          <w:cols w:space="708"/>
          <w:docGrid w:linePitch="360"/>
        </w:sectPr>
      </w:pPr>
    </w:p>
    <w:p w:rsidR="00DF516D" w:rsidRPr="00DD2AB6" w:rsidRDefault="00DF516D" w:rsidP="00DF516D">
      <w:pPr>
        <w:ind w:right="-232"/>
      </w:pPr>
      <w:r>
        <w:lastRenderedPageBreak/>
        <w:t>Tabla</w:t>
      </w:r>
      <w:r w:rsidRPr="00DD2AB6">
        <w:t xml:space="preserve"> 9.7</w:t>
      </w:r>
    </w:p>
    <w:p w:rsidR="00DF516D" w:rsidRPr="00DD2AB6" w:rsidRDefault="00DF516D" w:rsidP="00DF516D">
      <w:pPr>
        <w:ind w:right="-232"/>
        <w:rPr>
          <w:bCs/>
          <w:color w:val="000000"/>
          <w:lang w:eastAsia="es-ES"/>
        </w:rPr>
      </w:pPr>
      <w:r w:rsidRPr="00DD2AB6">
        <w:rPr>
          <w:bCs/>
          <w:color w:val="000000"/>
          <w:lang w:eastAsia="es-ES"/>
        </w:rPr>
        <w:t>Área, producción y rendimiento según tipo de cultivo</w:t>
      </w:r>
    </w:p>
    <w:p w:rsidR="00DF516D" w:rsidRDefault="00DF516D" w:rsidP="00DF516D">
      <w:pPr>
        <w:ind w:right="-232"/>
        <w:rPr>
          <w:bCs/>
          <w:color w:val="000000"/>
          <w:lang w:eastAsia="es-ES"/>
        </w:rPr>
      </w:pPr>
      <w:r w:rsidRPr="00DD2AB6">
        <w:rPr>
          <w:bCs/>
          <w:color w:val="000000"/>
          <w:lang w:eastAsia="es-ES"/>
        </w:rPr>
        <w:t xml:space="preserve"> 2012 – 2013</w:t>
      </w:r>
    </w:p>
    <w:p w:rsidR="00DF516D" w:rsidRPr="003C1591" w:rsidRDefault="00DF516D" w:rsidP="00DF516D">
      <w:pPr>
        <w:ind w:right="-232"/>
        <w:jc w:val="center"/>
      </w:pPr>
    </w:p>
    <w:tbl>
      <w:tblPr>
        <w:tblW w:w="9922" w:type="dxa"/>
        <w:jc w:val="center"/>
        <w:tblCellMar>
          <w:left w:w="70" w:type="dxa"/>
          <w:right w:w="70" w:type="dxa"/>
        </w:tblCellMar>
        <w:tblLook w:val="04A0" w:firstRow="1" w:lastRow="0" w:firstColumn="1" w:lastColumn="0" w:noHBand="0" w:noVBand="1"/>
      </w:tblPr>
      <w:tblGrid>
        <w:gridCol w:w="119"/>
        <w:gridCol w:w="1466"/>
        <w:gridCol w:w="119"/>
        <w:gridCol w:w="1376"/>
        <w:gridCol w:w="119"/>
        <w:gridCol w:w="1853"/>
        <w:gridCol w:w="119"/>
        <w:gridCol w:w="1320"/>
        <w:gridCol w:w="115"/>
        <w:gridCol w:w="906"/>
        <w:gridCol w:w="115"/>
        <w:gridCol w:w="906"/>
        <w:gridCol w:w="115"/>
        <w:gridCol w:w="1155"/>
        <w:gridCol w:w="119"/>
      </w:tblGrid>
      <w:tr w:rsidR="00DF516D" w:rsidRPr="003C1591" w:rsidTr="002044DE">
        <w:trPr>
          <w:gridAfter w:val="1"/>
          <w:wAfter w:w="117" w:type="dxa"/>
          <w:trHeight w:val="384"/>
          <w:jc w:val="center"/>
        </w:trPr>
        <w:tc>
          <w:tcPr>
            <w:tcW w:w="1585" w:type="dxa"/>
            <w:gridSpan w:val="2"/>
            <w:vMerge w:val="restart"/>
            <w:tcBorders>
              <w:top w:val="single" w:sz="4" w:space="0" w:color="auto"/>
              <w:left w:val="nil"/>
              <w:bottom w:val="single" w:sz="4" w:space="0" w:color="000000"/>
              <w:right w:val="nil"/>
            </w:tcBorders>
            <w:shd w:val="clear" w:color="000000" w:fill="FFFFFF"/>
            <w:vAlign w:val="center"/>
            <w:hideMark/>
          </w:tcPr>
          <w:p w:rsidR="00DF516D" w:rsidRPr="003C1591" w:rsidRDefault="00DF516D" w:rsidP="002044DE">
            <w:pPr>
              <w:spacing w:line="360" w:lineRule="auto"/>
              <w:jc w:val="center"/>
              <w:rPr>
                <w:b/>
                <w:bCs/>
                <w:color w:val="000000"/>
                <w:sz w:val="20"/>
                <w:szCs w:val="20"/>
                <w:lang w:eastAsia="es-ES"/>
              </w:rPr>
            </w:pPr>
            <w:r w:rsidRPr="003C1591">
              <w:rPr>
                <w:b/>
                <w:bCs/>
                <w:color w:val="000000"/>
                <w:sz w:val="20"/>
                <w:szCs w:val="20"/>
                <w:lang w:eastAsia="es-ES"/>
              </w:rPr>
              <w:t>CULTIVOS</w:t>
            </w:r>
          </w:p>
        </w:tc>
        <w:tc>
          <w:tcPr>
            <w:tcW w:w="4908" w:type="dxa"/>
            <w:gridSpan w:val="6"/>
            <w:tcBorders>
              <w:top w:val="single" w:sz="4" w:space="0" w:color="auto"/>
              <w:left w:val="nil"/>
              <w:bottom w:val="nil"/>
              <w:right w:val="nil"/>
            </w:tcBorders>
            <w:shd w:val="clear" w:color="000000" w:fill="FFFFFF"/>
            <w:vAlign w:val="center"/>
            <w:hideMark/>
          </w:tcPr>
          <w:p w:rsidR="00DF516D" w:rsidRPr="003C1591" w:rsidRDefault="00DF516D" w:rsidP="002044DE">
            <w:pPr>
              <w:spacing w:line="360" w:lineRule="auto"/>
              <w:jc w:val="center"/>
              <w:rPr>
                <w:b/>
                <w:bCs/>
                <w:color w:val="000000"/>
                <w:sz w:val="20"/>
                <w:szCs w:val="20"/>
                <w:lang w:eastAsia="es-ES"/>
              </w:rPr>
            </w:pPr>
            <w:r w:rsidRPr="003C1591">
              <w:rPr>
                <w:b/>
                <w:bCs/>
                <w:color w:val="000000"/>
                <w:sz w:val="20"/>
                <w:szCs w:val="20"/>
                <w:lang w:eastAsia="es-ES"/>
              </w:rPr>
              <w:t>ÁREA</w:t>
            </w:r>
          </w:p>
        </w:tc>
        <w:tc>
          <w:tcPr>
            <w:tcW w:w="3312" w:type="dxa"/>
            <w:gridSpan w:val="6"/>
            <w:vMerge w:val="restart"/>
            <w:tcBorders>
              <w:top w:val="single" w:sz="4" w:space="0" w:color="auto"/>
              <w:left w:val="nil"/>
              <w:bottom w:val="nil"/>
              <w:right w:val="nil"/>
            </w:tcBorders>
            <w:shd w:val="clear" w:color="000000" w:fill="FFFFFF"/>
            <w:vAlign w:val="center"/>
            <w:hideMark/>
          </w:tcPr>
          <w:p w:rsidR="00DF516D" w:rsidRPr="003C1591" w:rsidRDefault="00DF516D" w:rsidP="002044DE">
            <w:pPr>
              <w:spacing w:line="360" w:lineRule="auto"/>
              <w:jc w:val="center"/>
              <w:rPr>
                <w:b/>
                <w:bCs/>
                <w:color w:val="000000"/>
                <w:sz w:val="20"/>
                <w:szCs w:val="20"/>
                <w:lang w:eastAsia="es-ES"/>
              </w:rPr>
            </w:pPr>
            <w:r w:rsidRPr="003C1591">
              <w:rPr>
                <w:b/>
                <w:bCs/>
                <w:color w:val="000000"/>
                <w:sz w:val="20"/>
                <w:szCs w:val="20"/>
                <w:lang w:eastAsia="es-ES"/>
              </w:rPr>
              <w:t>PRODUCCIÓN TONELADAS</w:t>
            </w:r>
          </w:p>
        </w:tc>
      </w:tr>
      <w:tr w:rsidR="00DF516D" w:rsidRPr="003C1591" w:rsidTr="002044DE">
        <w:trPr>
          <w:gridAfter w:val="1"/>
          <w:wAfter w:w="117" w:type="dxa"/>
          <w:trHeight w:val="384"/>
          <w:jc w:val="center"/>
        </w:trPr>
        <w:tc>
          <w:tcPr>
            <w:tcW w:w="1585" w:type="dxa"/>
            <w:gridSpan w:val="2"/>
            <w:vMerge/>
            <w:tcBorders>
              <w:top w:val="nil"/>
              <w:left w:val="nil"/>
              <w:bottom w:val="single" w:sz="4" w:space="0" w:color="000000"/>
              <w:right w:val="nil"/>
            </w:tcBorders>
            <w:vAlign w:val="center"/>
            <w:hideMark/>
          </w:tcPr>
          <w:p w:rsidR="00DF516D" w:rsidRPr="003C1591" w:rsidRDefault="00DF516D" w:rsidP="002044DE">
            <w:pPr>
              <w:spacing w:line="360" w:lineRule="auto"/>
              <w:rPr>
                <w:b/>
                <w:bCs/>
                <w:color w:val="000000"/>
                <w:sz w:val="20"/>
                <w:szCs w:val="20"/>
                <w:lang w:eastAsia="es-ES"/>
              </w:rPr>
            </w:pPr>
          </w:p>
        </w:tc>
        <w:tc>
          <w:tcPr>
            <w:tcW w:w="4908" w:type="dxa"/>
            <w:gridSpan w:val="6"/>
            <w:tcBorders>
              <w:top w:val="nil"/>
              <w:left w:val="nil"/>
              <w:bottom w:val="nil"/>
              <w:right w:val="nil"/>
            </w:tcBorders>
            <w:shd w:val="clear" w:color="000000" w:fill="FFFFFF"/>
            <w:vAlign w:val="center"/>
            <w:hideMark/>
          </w:tcPr>
          <w:p w:rsidR="00DF516D" w:rsidRPr="003C1591" w:rsidRDefault="00DF516D" w:rsidP="002044DE">
            <w:pPr>
              <w:spacing w:line="360" w:lineRule="auto"/>
              <w:jc w:val="center"/>
              <w:rPr>
                <w:b/>
                <w:bCs/>
                <w:color w:val="000000"/>
                <w:sz w:val="20"/>
                <w:szCs w:val="20"/>
                <w:lang w:eastAsia="es-ES"/>
              </w:rPr>
            </w:pPr>
            <w:r w:rsidRPr="003C1591">
              <w:rPr>
                <w:b/>
                <w:bCs/>
                <w:color w:val="000000"/>
                <w:sz w:val="20"/>
                <w:szCs w:val="20"/>
                <w:lang w:eastAsia="es-ES"/>
              </w:rPr>
              <w:t>PLANTADA (HAS)</w:t>
            </w:r>
          </w:p>
        </w:tc>
        <w:tc>
          <w:tcPr>
            <w:tcW w:w="3312" w:type="dxa"/>
            <w:gridSpan w:val="6"/>
            <w:vMerge/>
            <w:tcBorders>
              <w:top w:val="single" w:sz="4" w:space="0" w:color="auto"/>
              <w:left w:val="nil"/>
              <w:bottom w:val="nil"/>
              <w:right w:val="nil"/>
            </w:tcBorders>
            <w:vAlign w:val="center"/>
            <w:hideMark/>
          </w:tcPr>
          <w:p w:rsidR="00DF516D" w:rsidRPr="003C1591" w:rsidRDefault="00DF516D" w:rsidP="002044DE">
            <w:pPr>
              <w:spacing w:line="360" w:lineRule="auto"/>
              <w:rPr>
                <w:b/>
                <w:bCs/>
                <w:color w:val="000000"/>
                <w:sz w:val="20"/>
                <w:szCs w:val="20"/>
                <w:lang w:eastAsia="es-ES"/>
              </w:rPr>
            </w:pPr>
          </w:p>
        </w:tc>
      </w:tr>
      <w:tr w:rsidR="00DF516D" w:rsidRPr="003C1591" w:rsidTr="002044DE">
        <w:trPr>
          <w:gridAfter w:val="1"/>
          <w:wAfter w:w="119" w:type="dxa"/>
          <w:trHeight w:val="384"/>
          <w:jc w:val="center"/>
        </w:trPr>
        <w:tc>
          <w:tcPr>
            <w:tcW w:w="1585" w:type="dxa"/>
            <w:gridSpan w:val="2"/>
            <w:vMerge/>
            <w:tcBorders>
              <w:top w:val="nil"/>
              <w:left w:val="nil"/>
              <w:bottom w:val="double" w:sz="4" w:space="0" w:color="auto"/>
              <w:right w:val="nil"/>
            </w:tcBorders>
            <w:vAlign w:val="center"/>
            <w:hideMark/>
          </w:tcPr>
          <w:p w:rsidR="00DF516D" w:rsidRPr="003C1591" w:rsidRDefault="00DF516D" w:rsidP="002044DE">
            <w:pPr>
              <w:spacing w:line="360" w:lineRule="auto"/>
              <w:rPr>
                <w:b/>
                <w:bCs/>
                <w:color w:val="000000"/>
                <w:sz w:val="20"/>
                <w:szCs w:val="20"/>
                <w:lang w:eastAsia="es-ES"/>
              </w:rPr>
            </w:pPr>
          </w:p>
        </w:tc>
        <w:tc>
          <w:tcPr>
            <w:tcW w:w="1496" w:type="dxa"/>
            <w:gridSpan w:val="2"/>
            <w:tcBorders>
              <w:top w:val="nil"/>
              <w:left w:val="nil"/>
              <w:bottom w:val="double" w:sz="4" w:space="0" w:color="auto"/>
              <w:right w:val="nil"/>
            </w:tcBorders>
            <w:shd w:val="clear" w:color="000000" w:fill="FFFFFF"/>
            <w:vAlign w:val="center"/>
            <w:hideMark/>
          </w:tcPr>
          <w:p w:rsidR="00DF516D" w:rsidRPr="003C1591" w:rsidRDefault="00DF516D" w:rsidP="002044DE">
            <w:pPr>
              <w:spacing w:line="360" w:lineRule="auto"/>
              <w:jc w:val="center"/>
              <w:rPr>
                <w:b/>
                <w:bCs/>
                <w:color w:val="000000"/>
                <w:sz w:val="20"/>
                <w:szCs w:val="20"/>
                <w:lang w:eastAsia="es-ES"/>
              </w:rPr>
            </w:pPr>
            <w:r w:rsidRPr="003C1591">
              <w:rPr>
                <w:b/>
                <w:bCs/>
                <w:color w:val="000000"/>
                <w:sz w:val="20"/>
                <w:szCs w:val="20"/>
                <w:lang w:eastAsia="es-ES"/>
              </w:rPr>
              <w:t>AÑO 2012</w:t>
            </w:r>
          </w:p>
        </w:tc>
        <w:tc>
          <w:tcPr>
            <w:tcW w:w="1973" w:type="dxa"/>
            <w:gridSpan w:val="2"/>
            <w:tcBorders>
              <w:top w:val="nil"/>
              <w:left w:val="nil"/>
              <w:bottom w:val="double" w:sz="4" w:space="0" w:color="auto"/>
              <w:right w:val="nil"/>
            </w:tcBorders>
            <w:shd w:val="clear" w:color="000000" w:fill="FFFFFF"/>
            <w:vAlign w:val="center"/>
            <w:hideMark/>
          </w:tcPr>
          <w:p w:rsidR="00DF516D" w:rsidRPr="003C1591" w:rsidRDefault="00DF516D" w:rsidP="002044DE">
            <w:pPr>
              <w:spacing w:line="360" w:lineRule="auto"/>
              <w:jc w:val="center"/>
              <w:rPr>
                <w:b/>
                <w:bCs/>
                <w:color w:val="000000"/>
                <w:sz w:val="20"/>
                <w:szCs w:val="20"/>
                <w:lang w:eastAsia="es-ES"/>
              </w:rPr>
            </w:pPr>
            <w:r w:rsidRPr="003C1591">
              <w:rPr>
                <w:b/>
                <w:bCs/>
                <w:color w:val="000000"/>
                <w:sz w:val="20"/>
                <w:szCs w:val="20"/>
                <w:lang w:eastAsia="es-ES"/>
              </w:rPr>
              <w:t>AÑO 2013</w:t>
            </w:r>
          </w:p>
        </w:tc>
        <w:tc>
          <w:tcPr>
            <w:tcW w:w="1439" w:type="dxa"/>
            <w:gridSpan w:val="2"/>
            <w:tcBorders>
              <w:top w:val="nil"/>
              <w:left w:val="nil"/>
              <w:bottom w:val="double" w:sz="4" w:space="0" w:color="auto"/>
              <w:right w:val="nil"/>
            </w:tcBorders>
            <w:shd w:val="clear" w:color="000000" w:fill="FFFFFF"/>
            <w:vAlign w:val="center"/>
            <w:hideMark/>
          </w:tcPr>
          <w:p w:rsidR="00DF516D" w:rsidRPr="003C1591" w:rsidRDefault="00DF516D" w:rsidP="002044DE">
            <w:pPr>
              <w:spacing w:line="360" w:lineRule="auto"/>
              <w:jc w:val="center"/>
              <w:rPr>
                <w:b/>
                <w:bCs/>
                <w:color w:val="000000"/>
                <w:sz w:val="20"/>
                <w:szCs w:val="20"/>
                <w:lang w:eastAsia="es-ES"/>
              </w:rPr>
            </w:pPr>
            <w:r w:rsidRPr="003C1591">
              <w:rPr>
                <w:b/>
                <w:bCs/>
                <w:color w:val="000000"/>
                <w:sz w:val="20"/>
                <w:szCs w:val="20"/>
                <w:lang w:eastAsia="es-ES"/>
              </w:rPr>
              <w:t>%</w:t>
            </w:r>
          </w:p>
        </w:tc>
        <w:tc>
          <w:tcPr>
            <w:tcW w:w="1021" w:type="dxa"/>
            <w:gridSpan w:val="2"/>
            <w:tcBorders>
              <w:top w:val="nil"/>
              <w:left w:val="nil"/>
              <w:bottom w:val="double" w:sz="4" w:space="0" w:color="auto"/>
              <w:right w:val="nil"/>
            </w:tcBorders>
            <w:shd w:val="clear" w:color="000000" w:fill="FFFFFF"/>
            <w:vAlign w:val="center"/>
            <w:hideMark/>
          </w:tcPr>
          <w:p w:rsidR="00DF516D" w:rsidRPr="003C1591" w:rsidRDefault="00DF516D" w:rsidP="002044DE">
            <w:pPr>
              <w:spacing w:line="360" w:lineRule="auto"/>
              <w:jc w:val="center"/>
              <w:rPr>
                <w:b/>
                <w:bCs/>
                <w:color w:val="000000"/>
                <w:sz w:val="20"/>
                <w:szCs w:val="20"/>
                <w:lang w:eastAsia="es-ES"/>
              </w:rPr>
            </w:pPr>
            <w:r w:rsidRPr="003C1591">
              <w:rPr>
                <w:b/>
                <w:bCs/>
                <w:color w:val="000000"/>
                <w:sz w:val="20"/>
                <w:szCs w:val="20"/>
                <w:lang w:eastAsia="es-ES"/>
              </w:rPr>
              <w:t>AÑO 2012</w:t>
            </w:r>
          </w:p>
        </w:tc>
        <w:tc>
          <w:tcPr>
            <w:tcW w:w="1021" w:type="dxa"/>
            <w:gridSpan w:val="2"/>
            <w:tcBorders>
              <w:top w:val="nil"/>
              <w:left w:val="nil"/>
              <w:bottom w:val="double" w:sz="4" w:space="0" w:color="auto"/>
              <w:right w:val="nil"/>
            </w:tcBorders>
            <w:shd w:val="clear" w:color="000000" w:fill="FFFFFF"/>
            <w:vAlign w:val="center"/>
            <w:hideMark/>
          </w:tcPr>
          <w:p w:rsidR="00DF516D" w:rsidRPr="003C1591" w:rsidRDefault="00DF516D" w:rsidP="002044DE">
            <w:pPr>
              <w:spacing w:line="360" w:lineRule="auto"/>
              <w:jc w:val="center"/>
              <w:rPr>
                <w:b/>
                <w:bCs/>
                <w:color w:val="000000"/>
                <w:sz w:val="20"/>
                <w:szCs w:val="20"/>
                <w:lang w:eastAsia="es-ES"/>
              </w:rPr>
            </w:pPr>
            <w:r w:rsidRPr="003C1591">
              <w:rPr>
                <w:b/>
                <w:bCs/>
                <w:color w:val="000000"/>
                <w:sz w:val="20"/>
                <w:szCs w:val="20"/>
                <w:lang w:eastAsia="es-ES"/>
              </w:rPr>
              <w:t>AÑO 2013</w:t>
            </w:r>
          </w:p>
        </w:tc>
        <w:tc>
          <w:tcPr>
            <w:tcW w:w="1268" w:type="dxa"/>
            <w:gridSpan w:val="2"/>
            <w:tcBorders>
              <w:top w:val="nil"/>
              <w:left w:val="nil"/>
              <w:bottom w:val="double" w:sz="4" w:space="0" w:color="auto"/>
              <w:right w:val="nil"/>
            </w:tcBorders>
            <w:shd w:val="clear" w:color="000000" w:fill="FFFFFF"/>
            <w:vAlign w:val="center"/>
            <w:hideMark/>
          </w:tcPr>
          <w:p w:rsidR="00DF516D" w:rsidRPr="003C1591" w:rsidRDefault="00DF516D" w:rsidP="002044DE">
            <w:pPr>
              <w:spacing w:line="360" w:lineRule="auto"/>
              <w:jc w:val="center"/>
              <w:rPr>
                <w:b/>
                <w:bCs/>
                <w:color w:val="000000"/>
                <w:sz w:val="20"/>
                <w:szCs w:val="20"/>
                <w:lang w:eastAsia="es-ES"/>
              </w:rPr>
            </w:pPr>
            <w:r w:rsidRPr="003C1591">
              <w:rPr>
                <w:b/>
                <w:bCs/>
                <w:color w:val="000000"/>
                <w:sz w:val="20"/>
                <w:szCs w:val="20"/>
                <w:lang w:eastAsia="es-ES"/>
              </w:rPr>
              <w:t>%</w:t>
            </w:r>
          </w:p>
        </w:tc>
      </w:tr>
      <w:tr w:rsidR="00DF516D" w:rsidRPr="003C1591" w:rsidTr="002044DE">
        <w:trPr>
          <w:gridBefore w:val="1"/>
          <w:wBefore w:w="119" w:type="dxa"/>
          <w:trHeight w:val="384"/>
          <w:jc w:val="center"/>
        </w:trPr>
        <w:tc>
          <w:tcPr>
            <w:tcW w:w="1585" w:type="dxa"/>
            <w:gridSpan w:val="2"/>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Aguacate</w:t>
            </w:r>
          </w:p>
        </w:tc>
        <w:tc>
          <w:tcPr>
            <w:tcW w:w="1496" w:type="dxa"/>
            <w:gridSpan w:val="2"/>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w:t>
            </w:r>
            <w:r>
              <w:rPr>
                <w:color w:val="000000"/>
                <w:sz w:val="20"/>
                <w:szCs w:val="20"/>
                <w:lang w:eastAsia="es-ES"/>
              </w:rPr>
              <w:t>.</w:t>
            </w:r>
            <w:r w:rsidRPr="003C1591">
              <w:rPr>
                <w:color w:val="000000"/>
                <w:sz w:val="20"/>
                <w:szCs w:val="20"/>
                <w:lang w:eastAsia="es-ES"/>
              </w:rPr>
              <w:t>368</w:t>
            </w:r>
          </w:p>
        </w:tc>
        <w:tc>
          <w:tcPr>
            <w:tcW w:w="1973" w:type="dxa"/>
            <w:gridSpan w:val="2"/>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w:t>
            </w:r>
            <w:r>
              <w:rPr>
                <w:color w:val="000000"/>
                <w:sz w:val="20"/>
                <w:szCs w:val="20"/>
                <w:lang w:eastAsia="es-ES"/>
              </w:rPr>
              <w:t>.</w:t>
            </w:r>
            <w:r w:rsidRPr="003C1591">
              <w:rPr>
                <w:color w:val="000000"/>
                <w:sz w:val="20"/>
                <w:szCs w:val="20"/>
                <w:lang w:eastAsia="es-ES"/>
              </w:rPr>
              <w:t>866</w:t>
            </w:r>
          </w:p>
        </w:tc>
        <w:tc>
          <w:tcPr>
            <w:tcW w:w="1435" w:type="dxa"/>
            <w:gridSpan w:val="2"/>
            <w:tcBorders>
              <w:top w:val="double" w:sz="4" w:space="0" w:color="auto"/>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36,40%</w:t>
            </w:r>
          </w:p>
        </w:tc>
        <w:tc>
          <w:tcPr>
            <w:tcW w:w="1021" w:type="dxa"/>
            <w:gridSpan w:val="2"/>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4</w:t>
            </w:r>
            <w:r>
              <w:rPr>
                <w:color w:val="000000"/>
                <w:sz w:val="20"/>
                <w:szCs w:val="20"/>
                <w:lang w:eastAsia="es-ES"/>
              </w:rPr>
              <w:t>.</w:t>
            </w:r>
            <w:r w:rsidRPr="003C1591">
              <w:rPr>
                <w:color w:val="000000"/>
                <w:sz w:val="20"/>
                <w:szCs w:val="20"/>
                <w:lang w:eastAsia="es-ES"/>
              </w:rPr>
              <w:t>894</w:t>
            </w:r>
          </w:p>
        </w:tc>
        <w:tc>
          <w:tcPr>
            <w:tcW w:w="1021" w:type="dxa"/>
            <w:gridSpan w:val="2"/>
            <w:tcBorders>
              <w:top w:val="double" w:sz="4" w:space="0" w:color="auto"/>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9</w:t>
            </w:r>
            <w:r>
              <w:rPr>
                <w:color w:val="000000"/>
                <w:sz w:val="20"/>
                <w:szCs w:val="20"/>
                <w:lang w:eastAsia="es-ES"/>
              </w:rPr>
              <w:t>.</w:t>
            </w:r>
            <w:r w:rsidRPr="003C1591">
              <w:rPr>
                <w:color w:val="000000"/>
                <w:sz w:val="20"/>
                <w:szCs w:val="20"/>
                <w:lang w:eastAsia="es-ES"/>
              </w:rPr>
              <w:t>105</w:t>
            </w:r>
          </w:p>
        </w:tc>
        <w:tc>
          <w:tcPr>
            <w:tcW w:w="1272" w:type="dxa"/>
            <w:gridSpan w:val="2"/>
            <w:tcBorders>
              <w:top w:val="double" w:sz="4" w:space="0" w:color="auto"/>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86,04%</w:t>
            </w:r>
          </w:p>
        </w:tc>
      </w:tr>
      <w:tr w:rsidR="00DF516D" w:rsidRPr="003C1591" w:rsidTr="002044DE">
        <w:trPr>
          <w:gridBefore w:val="1"/>
          <w:wBefore w:w="119" w:type="dxa"/>
          <w:trHeight w:val="384"/>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Banano</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w:t>
            </w:r>
            <w:r>
              <w:rPr>
                <w:color w:val="000000"/>
                <w:sz w:val="20"/>
                <w:szCs w:val="20"/>
                <w:lang w:eastAsia="es-ES"/>
              </w:rPr>
              <w:t>.</w:t>
            </w:r>
            <w:r w:rsidRPr="003C1591">
              <w:rPr>
                <w:color w:val="000000"/>
                <w:sz w:val="20"/>
                <w:szCs w:val="20"/>
                <w:lang w:eastAsia="es-ES"/>
              </w:rPr>
              <w:t>579</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w:t>
            </w:r>
            <w:r>
              <w:rPr>
                <w:color w:val="000000"/>
                <w:sz w:val="20"/>
                <w:szCs w:val="20"/>
                <w:lang w:eastAsia="es-ES"/>
              </w:rPr>
              <w:t>.</w:t>
            </w:r>
            <w:r w:rsidRPr="003C1591">
              <w:rPr>
                <w:color w:val="000000"/>
                <w:sz w:val="20"/>
                <w:szCs w:val="20"/>
                <w:lang w:eastAsia="es-ES"/>
              </w:rPr>
              <w:t>988</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25,90%</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20</w:t>
            </w:r>
            <w:r>
              <w:rPr>
                <w:color w:val="000000"/>
                <w:sz w:val="20"/>
                <w:szCs w:val="20"/>
                <w:lang w:eastAsia="es-ES"/>
              </w:rPr>
              <w:t>.</w:t>
            </w:r>
            <w:r w:rsidRPr="003C1591">
              <w:rPr>
                <w:color w:val="000000"/>
                <w:sz w:val="20"/>
                <w:szCs w:val="20"/>
                <w:lang w:eastAsia="es-ES"/>
              </w:rPr>
              <w:t>669</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23</w:t>
            </w:r>
            <w:r>
              <w:rPr>
                <w:color w:val="000000"/>
                <w:sz w:val="20"/>
                <w:szCs w:val="20"/>
                <w:lang w:eastAsia="es-ES"/>
              </w:rPr>
              <w:t>.</w:t>
            </w:r>
            <w:r w:rsidRPr="003C1591">
              <w:rPr>
                <w:color w:val="000000"/>
                <w:sz w:val="20"/>
                <w:szCs w:val="20"/>
                <w:lang w:eastAsia="es-ES"/>
              </w:rPr>
              <w:t>351</w:t>
            </w:r>
          </w:p>
        </w:tc>
        <w:tc>
          <w:tcPr>
            <w:tcW w:w="1272"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12,98%</w:t>
            </w:r>
          </w:p>
        </w:tc>
      </w:tr>
      <w:tr w:rsidR="00DF516D" w:rsidRPr="003C1591" w:rsidTr="002044DE">
        <w:trPr>
          <w:gridBefore w:val="1"/>
          <w:wBefore w:w="119" w:type="dxa"/>
          <w:trHeight w:val="384"/>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Bananito</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50</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0</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-100,00%</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335</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0</w:t>
            </w:r>
          </w:p>
        </w:tc>
        <w:tc>
          <w:tcPr>
            <w:tcW w:w="1272"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-100,00%</w:t>
            </w:r>
          </w:p>
        </w:tc>
      </w:tr>
      <w:tr w:rsidR="00DF516D" w:rsidRPr="003C1591" w:rsidTr="002044DE">
        <w:trPr>
          <w:gridBefore w:val="1"/>
          <w:wBefore w:w="119" w:type="dxa"/>
          <w:trHeight w:val="384"/>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Cacao</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82</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100</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21,95%</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34</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29</w:t>
            </w:r>
          </w:p>
        </w:tc>
        <w:tc>
          <w:tcPr>
            <w:tcW w:w="1272"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-14,71%</w:t>
            </w:r>
          </w:p>
        </w:tc>
      </w:tr>
      <w:tr w:rsidR="00DF516D" w:rsidRPr="003C1591" w:rsidTr="002044DE">
        <w:trPr>
          <w:gridBefore w:val="1"/>
          <w:wBefore w:w="119" w:type="dxa"/>
          <w:trHeight w:val="347"/>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Café</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30</w:t>
            </w:r>
            <w:r>
              <w:rPr>
                <w:color w:val="000000"/>
                <w:sz w:val="20"/>
                <w:szCs w:val="20"/>
                <w:lang w:eastAsia="es-ES"/>
              </w:rPr>
              <w:t>.</w:t>
            </w:r>
            <w:r w:rsidRPr="003C1591">
              <w:rPr>
                <w:color w:val="000000"/>
                <w:sz w:val="20"/>
                <w:szCs w:val="20"/>
                <w:lang w:eastAsia="es-ES"/>
              </w:rPr>
              <w:t>181</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28</w:t>
            </w:r>
            <w:r>
              <w:rPr>
                <w:color w:val="000000"/>
                <w:sz w:val="20"/>
                <w:szCs w:val="20"/>
                <w:lang w:eastAsia="es-ES"/>
              </w:rPr>
              <w:t>.</w:t>
            </w:r>
            <w:r w:rsidRPr="003C1591">
              <w:rPr>
                <w:color w:val="000000"/>
                <w:sz w:val="20"/>
                <w:szCs w:val="20"/>
                <w:lang w:eastAsia="es-ES"/>
              </w:rPr>
              <w:t>880</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-4,31%</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17</w:t>
            </w:r>
            <w:r>
              <w:rPr>
                <w:color w:val="000000"/>
                <w:sz w:val="20"/>
                <w:szCs w:val="20"/>
                <w:lang w:eastAsia="es-ES"/>
              </w:rPr>
              <w:t>.</w:t>
            </w:r>
            <w:r w:rsidRPr="003C1591">
              <w:rPr>
                <w:color w:val="000000"/>
                <w:sz w:val="20"/>
                <w:szCs w:val="20"/>
                <w:lang w:eastAsia="es-ES"/>
              </w:rPr>
              <w:t>738</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19</w:t>
            </w:r>
            <w:r>
              <w:rPr>
                <w:color w:val="000000"/>
                <w:sz w:val="20"/>
                <w:szCs w:val="20"/>
                <w:lang w:eastAsia="es-ES"/>
              </w:rPr>
              <w:t>.</w:t>
            </w:r>
            <w:r w:rsidRPr="003C1591">
              <w:rPr>
                <w:color w:val="000000"/>
                <w:sz w:val="20"/>
                <w:szCs w:val="20"/>
                <w:lang w:eastAsia="es-ES"/>
              </w:rPr>
              <w:t>358</w:t>
            </w:r>
          </w:p>
        </w:tc>
        <w:tc>
          <w:tcPr>
            <w:tcW w:w="1272"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9,13%</w:t>
            </w:r>
          </w:p>
        </w:tc>
      </w:tr>
      <w:tr w:rsidR="00DF516D" w:rsidRPr="003C1591" w:rsidTr="002044DE">
        <w:trPr>
          <w:gridBefore w:val="1"/>
          <w:wBefore w:w="119" w:type="dxa"/>
          <w:trHeight w:val="401"/>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Caña Panelera</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297</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512</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72,39%</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w:t>
            </w:r>
            <w:r>
              <w:rPr>
                <w:color w:val="000000"/>
                <w:sz w:val="20"/>
                <w:szCs w:val="20"/>
                <w:lang w:eastAsia="es-ES"/>
              </w:rPr>
              <w:t>.</w:t>
            </w:r>
            <w:r w:rsidRPr="003C1591">
              <w:rPr>
                <w:color w:val="000000"/>
                <w:sz w:val="20"/>
                <w:szCs w:val="20"/>
                <w:lang w:eastAsia="es-ES"/>
              </w:rPr>
              <w:t>221</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w:t>
            </w:r>
            <w:r>
              <w:rPr>
                <w:color w:val="000000"/>
                <w:sz w:val="20"/>
                <w:szCs w:val="20"/>
                <w:lang w:eastAsia="es-ES"/>
              </w:rPr>
              <w:t>.</w:t>
            </w:r>
            <w:r w:rsidRPr="003C1591">
              <w:rPr>
                <w:color w:val="000000"/>
                <w:sz w:val="20"/>
                <w:szCs w:val="20"/>
                <w:lang w:eastAsia="es-ES"/>
              </w:rPr>
              <w:t>554</w:t>
            </w:r>
          </w:p>
        </w:tc>
        <w:tc>
          <w:tcPr>
            <w:tcW w:w="1272"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14,99%</w:t>
            </w:r>
          </w:p>
        </w:tc>
      </w:tr>
      <w:tr w:rsidR="00DF516D" w:rsidRPr="003C1591" w:rsidTr="002044DE">
        <w:trPr>
          <w:gridBefore w:val="1"/>
          <w:wBefore w:w="119" w:type="dxa"/>
          <w:trHeight w:val="384"/>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Caña Azucarera</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270</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270</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b/>
                <w:color w:val="000000"/>
                <w:sz w:val="20"/>
                <w:szCs w:val="20"/>
                <w:lang w:eastAsia="es-ES"/>
              </w:rPr>
            </w:pPr>
            <w:r w:rsidRPr="003C1591">
              <w:rPr>
                <w:b/>
                <w:color w:val="000000"/>
                <w:sz w:val="20"/>
                <w:szCs w:val="20"/>
                <w:lang w:eastAsia="es-ES"/>
              </w:rPr>
              <w:t>0,00%</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29</w:t>
            </w:r>
            <w:r>
              <w:rPr>
                <w:color w:val="000000"/>
                <w:sz w:val="20"/>
                <w:szCs w:val="20"/>
                <w:lang w:eastAsia="es-ES"/>
              </w:rPr>
              <w:t>.</w:t>
            </w:r>
            <w:r w:rsidRPr="003C1591">
              <w:rPr>
                <w:color w:val="000000"/>
                <w:sz w:val="20"/>
                <w:szCs w:val="20"/>
                <w:lang w:eastAsia="es-ES"/>
              </w:rPr>
              <w:t>258</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28</w:t>
            </w:r>
            <w:r>
              <w:rPr>
                <w:color w:val="000000"/>
                <w:sz w:val="20"/>
                <w:szCs w:val="20"/>
                <w:lang w:eastAsia="es-ES"/>
              </w:rPr>
              <w:t>.</w:t>
            </w:r>
            <w:r w:rsidRPr="003C1591">
              <w:rPr>
                <w:color w:val="000000"/>
                <w:sz w:val="20"/>
                <w:szCs w:val="20"/>
                <w:lang w:eastAsia="es-ES"/>
              </w:rPr>
              <w:t>573</w:t>
            </w:r>
          </w:p>
        </w:tc>
        <w:tc>
          <w:tcPr>
            <w:tcW w:w="1272"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-2,34%</w:t>
            </w:r>
          </w:p>
        </w:tc>
      </w:tr>
      <w:tr w:rsidR="00DF516D" w:rsidRPr="003C1591" w:rsidTr="002044DE">
        <w:trPr>
          <w:gridBefore w:val="1"/>
          <w:wBefore w:w="119" w:type="dxa"/>
          <w:trHeight w:val="401"/>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Caucho</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5</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66,67%</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w:t>
            </w:r>
          </w:p>
        </w:tc>
        <w:tc>
          <w:tcPr>
            <w:tcW w:w="1272"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100,00%</w:t>
            </w:r>
          </w:p>
        </w:tc>
      </w:tr>
      <w:tr w:rsidR="00DF516D" w:rsidRPr="003C1591" w:rsidTr="002044DE">
        <w:trPr>
          <w:gridBefore w:val="1"/>
          <w:wBefore w:w="119" w:type="dxa"/>
          <w:trHeight w:val="421"/>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 xml:space="preserve">Cebolla </w:t>
            </w:r>
            <w:proofErr w:type="spellStart"/>
            <w:r w:rsidRPr="003C1591">
              <w:rPr>
                <w:color w:val="000000"/>
                <w:sz w:val="20"/>
                <w:szCs w:val="20"/>
                <w:lang w:eastAsia="es-ES"/>
              </w:rPr>
              <w:t>Junca</w:t>
            </w:r>
            <w:proofErr w:type="spellEnd"/>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0</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-100,00%</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11</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0</w:t>
            </w:r>
          </w:p>
        </w:tc>
        <w:tc>
          <w:tcPr>
            <w:tcW w:w="1272"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-100,00%</w:t>
            </w:r>
          </w:p>
        </w:tc>
      </w:tr>
      <w:tr w:rsidR="00DF516D" w:rsidRPr="003C1591" w:rsidTr="002044DE">
        <w:trPr>
          <w:gridBefore w:val="1"/>
          <w:wBefore w:w="119" w:type="dxa"/>
          <w:trHeight w:val="384"/>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Cebolla de Bulbo</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0</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0.5</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0,00%</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0</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w:t>
            </w:r>
          </w:p>
        </w:tc>
        <w:tc>
          <w:tcPr>
            <w:tcW w:w="1272" w:type="dxa"/>
            <w:gridSpan w:val="2"/>
            <w:tcBorders>
              <w:top w:val="nil"/>
              <w:left w:val="nil"/>
              <w:bottom w:val="nil"/>
              <w:right w:val="nil"/>
            </w:tcBorders>
            <w:shd w:val="clear" w:color="auto" w:fill="auto"/>
            <w:noWrap/>
            <w:vAlign w:val="bottom"/>
            <w:hideMark/>
          </w:tcPr>
          <w:p w:rsidR="00DF516D" w:rsidRPr="003C1591" w:rsidRDefault="00C2019A" w:rsidP="002044DE">
            <w:pPr>
              <w:spacing w:line="360" w:lineRule="auto"/>
              <w:jc w:val="center"/>
              <w:rPr>
                <w:color w:val="000000"/>
                <w:sz w:val="20"/>
                <w:szCs w:val="20"/>
                <w:lang w:eastAsia="es-ES"/>
              </w:rPr>
            </w:pPr>
            <w:r>
              <w:rPr>
                <w:color w:val="000000"/>
                <w:sz w:val="20"/>
                <w:szCs w:val="20"/>
                <w:lang w:eastAsia="es-ES"/>
              </w:rPr>
              <w:t>-</w:t>
            </w:r>
          </w:p>
        </w:tc>
      </w:tr>
      <w:tr w:rsidR="00DF516D" w:rsidRPr="003C1591" w:rsidTr="002044DE">
        <w:trPr>
          <w:gridBefore w:val="1"/>
          <w:wBefore w:w="119" w:type="dxa"/>
          <w:trHeight w:val="384"/>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Cítricos</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4</w:t>
            </w:r>
            <w:r>
              <w:rPr>
                <w:color w:val="000000"/>
                <w:sz w:val="20"/>
                <w:szCs w:val="20"/>
                <w:lang w:eastAsia="es-ES"/>
              </w:rPr>
              <w:t>.</w:t>
            </w:r>
            <w:r w:rsidRPr="003C1591">
              <w:rPr>
                <w:color w:val="000000"/>
                <w:sz w:val="20"/>
                <w:szCs w:val="20"/>
                <w:lang w:eastAsia="es-ES"/>
              </w:rPr>
              <w:t>545</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4</w:t>
            </w:r>
            <w:r>
              <w:rPr>
                <w:color w:val="000000"/>
                <w:sz w:val="20"/>
                <w:szCs w:val="20"/>
                <w:lang w:eastAsia="es-ES"/>
              </w:rPr>
              <w:t>.</w:t>
            </w:r>
            <w:r w:rsidRPr="003C1591">
              <w:rPr>
                <w:color w:val="000000"/>
                <w:sz w:val="20"/>
                <w:szCs w:val="20"/>
                <w:lang w:eastAsia="es-ES"/>
              </w:rPr>
              <w:t>855</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6,82%</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105</w:t>
            </w:r>
            <w:r>
              <w:rPr>
                <w:color w:val="000000"/>
                <w:sz w:val="20"/>
                <w:szCs w:val="20"/>
                <w:lang w:eastAsia="es-ES"/>
              </w:rPr>
              <w:t>.</w:t>
            </w:r>
            <w:r w:rsidRPr="003C1591">
              <w:rPr>
                <w:color w:val="000000"/>
                <w:sz w:val="20"/>
                <w:szCs w:val="20"/>
                <w:lang w:eastAsia="es-ES"/>
              </w:rPr>
              <w:t>736</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111</w:t>
            </w:r>
            <w:r>
              <w:rPr>
                <w:color w:val="000000"/>
                <w:sz w:val="20"/>
                <w:szCs w:val="20"/>
                <w:lang w:eastAsia="es-ES"/>
              </w:rPr>
              <w:t>.</w:t>
            </w:r>
            <w:r w:rsidRPr="003C1591">
              <w:rPr>
                <w:color w:val="000000"/>
                <w:sz w:val="20"/>
                <w:szCs w:val="20"/>
                <w:lang w:eastAsia="es-ES"/>
              </w:rPr>
              <w:t>757</w:t>
            </w:r>
          </w:p>
        </w:tc>
        <w:tc>
          <w:tcPr>
            <w:tcW w:w="1272"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5,69%</w:t>
            </w:r>
          </w:p>
        </w:tc>
      </w:tr>
      <w:tr w:rsidR="00DF516D" w:rsidRPr="003C1591" w:rsidTr="002044DE">
        <w:trPr>
          <w:gridBefore w:val="1"/>
          <w:wBefore w:w="119" w:type="dxa"/>
          <w:trHeight w:val="384"/>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Flores y follajes</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42</w:t>
            </w:r>
          </w:p>
        </w:tc>
        <w:tc>
          <w:tcPr>
            <w:tcW w:w="1435" w:type="dxa"/>
            <w:gridSpan w:val="2"/>
            <w:tcBorders>
              <w:top w:val="nil"/>
              <w:left w:val="nil"/>
              <w:bottom w:val="nil"/>
              <w:right w:val="nil"/>
            </w:tcBorders>
            <w:shd w:val="clear" w:color="auto" w:fill="auto"/>
            <w:noWrap/>
            <w:vAlign w:val="bottom"/>
            <w:hideMark/>
          </w:tcPr>
          <w:p w:rsidR="00DF516D" w:rsidRPr="003C1591" w:rsidRDefault="00B222AE" w:rsidP="00B222AE">
            <w:pPr>
              <w:spacing w:line="360" w:lineRule="auto"/>
              <w:jc w:val="center"/>
              <w:rPr>
                <w:color w:val="000000"/>
                <w:sz w:val="20"/>
                <w:szCs w:val="20"/>
                <w:lang w:eastAsia="es-ES"/>
              </w:rPr>
            </w:pPr>
            <w:r>
              <w:rPr>
                <w:color w:val="000000"/>
                <w:sz w:val="20"/>
                <w:szCs w:val="20"/>
                <w:lang w:eastAsia="es-ES"/>
              </w:rPr>
              <w:t>&gt;100%</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14</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178</w:t>
            </w:r>
          </w:p>
        </w:tc>
        <w:tc>
          <w:tcPr>
            <w:tcW w:w="1272" w:type="dxa"/>
            <w:gridSpan w:val="2"/>
            <w:tcBorders>
              <w:top w:val="nil"/>
              <w:left w:val="nil"/>
              <w:bottom w:val="nil"/>
              <w:right w:val="nil"/>
            </w:tcBorders>
            <w:shd w:val="clear" w:color="auto" w:fill="auto"/>
            <w:noWrap/>
            <w:vAlign w:val="bottom"/>
          </w:tcPr>
          <w:p w:rsidR="00DF516D" w:rsidRPr="003C1591" w:rsidRDefault="00C2019A" w:rsidP="002044DE">
            <w:pPr>
              <w:spacing w:line="360" w:lineRule="auto"/>
              <w:jc w:val="center"/>
              <w:rPr>
                <w:color w:val="000000"/>
                <w:sz w:val="20"/>
                <w:szCs w:val="20"/>
                <w:lang w:eastAsia="es-ES"/>
              </w:rPr>
            </w:pPr>
            <w:r>
              <w:rPr>
                <w:color w:val="000000"/>
                <w:sz w:val="20"/>
                <w:szCs w:val="20"/>
                <w:lang w:eastAsia="es-ES"/>
              </w:rPr>
              <w:t>&gt;100</w:t>
            </w:r>
            <w:r w:rsidR="00DF516D" w:rsidRPr="003C1591">
              <w:rPr>
                <w:color w:val="000000"/>
                <w:sz w:val="20"/>
                <w:szCs w:val="20"/>
                <w:lang w:eastAsia="es-ES"/>
              </w:rPr>
              <w:t>%</w:t>
            </w:r>
          </w:p>
        </w:tc>
      </w:tr>
      <w:tr w:rsidR="00DF516D" w:rsidRPr="003C1591" w:rsidTr="002044DE">
        <w:trPr>
          <w:gridBefore w:val="1"/>
          <w:wBefore w:w="119" w:type="dxa"/>
          <w:trHeight w:val="384"/>
          <w:jc w:val="center"/>
        </w:trPr>
        <w:tc>
          <w:tcPr>
            <w:tcW w:w="1585" w:type="dxa"/>
            <w:gridSpan w:val="2"/>
            <w:tcBorders>
              <w:top w:val="nil"/>
              <w:left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Granadilla</w:t>
            </w:r>
          </w:p>
        </w:tc>
        <w:tc>
          <w:tcPr>
            <w:tcW w:w="1496" w:type="dxa"/>
            <w:gridSpan w:val="2"/>
            <w:tcBorders>
              <w:top w:val="nil"/>
              <w:left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82</w:t>
            </w:r>
          </w:p>
        </w:tc>
        <w:tc>
          <w:tcPr>
            <w:tcW w:w="1973" w:type="dxa"/>
            <w:gridSpan w:val="2"/>
            <w:tcBorders>
              <w:top w:val="nil"/>
              <w:left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51</w:t>
            </w:r>
          </w:p>
        </w:tc>
        <w:tc>
          <w:tcPr>
            <w:tcW w:w="1435" w:type="dxa"/>
            <w:gridSpan w:val="2"/>
            <w:tcBorders>
              <w:top w:val="nil"/>
              <w:left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-37,80%</w:t>
            </w:r>
          </w:p>
        </w:tc>
        <w:tc>
          <w:tcPr>
            <w:tcW w:w="1021" w:type="dxa"/>
            <w:gridSpan w:val="2"/>
            <w:tcBorders>
              <w:top w:val="nil"/>
              <w:left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471</w:t>
            </w:r>
          </w:p>
        </w:tc>
        <w:tc>
          <w:tcPr>
            <w:tcW w:w="1021" w:type="dxa"/>
            <w:gridSpan w:val="2"/>
            <w:tcBorders>
              <w:top w:val="nil"/>
              <w:left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241</w:t>
            </w:r>
          </w:p>
        </w:tc>
        <w:tc>
          <w:tcPr>
            <w:tcW w:w="1272" w:type="dxa"/>
            <w:gridSpan w:val="2"/>
            <w:tcBorders>
              <w:top w:val="nil"/>
              <w:left w:val="nil"/>
              <w:right w:val="nil"/>
            </w:tcBorders>
            <w:shd w:val="clear" w:color="auto" w:fill="auto"/>
            <w:noWrap/>
            <w:vAlign w:val="bottom"/>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-48.83</w:t>
            </w:r>
          </w:p>
        </w:tc>
      </w:tr>
      <w:tr w:rsidR="00DF516D" w:rsidRPr="003C1591" w:rsidTr="002044DE">
        <w:trPr>
          <w:gridBefore w:val="1"/>
          <w:wBefore w:w="119" w:type="dxa"/>
          <w:trHeight w:val="384"/>
          <w:jc w:val="center"/>
        </w:trPr>
        <w:tc>
          <w:tcPr>
            <w:tcW w:w="1585"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Guayaba</w:t>
            </w:r>
          </w:p>
        </w:tc>
        <w:tc>
          <w:tcPr>
            <w:tcW w:w="1496"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38</w:t>
            </w:r>
          </w:p>
        </w:tc>
        <w:tc>
          <w:tcPr>
            <w:tcW w:w="1973"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43</w:t>
            </w:r>
          </w:p>
        </w:tc>
        <w:tc>
          <w:tcPr>
            <w:tcW w:w="1435"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13,16%</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235</w:t>
            </w:r>
          </w:p>
        </w:tc>
        <w:tc>
          <w:tcPr>
            <w:tcW w:w="1021" w:type="dxa"/>
            <w:gridSpan w:val="2"/>
            <w:tcBorders>
              <w:top w:val="nil"/>
              <w:left w:val="nil"/>
              <w:bottom w:val="nil"/>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376</w:t>
            </w:r>
          </w:p>
        </w:tc>
        <w:tc>
          <w:tcPr>
            <w:tcW w:w="1272" w:type="dxa"/>
            <w:gridSpan w:val="2"/>
            <w:tcBorders>
              <w:top w:val="nil"/>
              <w:left w:val="nil"/>
              <w:bottom w:val="nil"/>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60,00%</w:t>
            </w:r>
          </w:p>
        </w:tc>
      </w:tr>
      <w:tr w:rsidR="00DF516D" w:rsidRPr="003C1591" w:rsidTr="002044DE">
        <w:trPr>
          <w:gridBefore w:val="1"/>
          <w:wBefore w:w="119" w:type="dxa"/>
          <w:trHeight w:val="384"/>
          <w:jc w:val="center"/>
        </w:trPr>
        <w:tc>
          <w:tcPr>
            <w:tcW w:w="1585" w:type="dxa"/>
            <w:gridSpan w:val="2"/>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rPr>
                <w:color w:val="000000"/>
                <w:sz w:val="20"/>
                <w:szCs w:val="20"/>
                <w:lang w:eastAsia="es-ES"/>
              </w:rPr>
            </w:pPr>
            <w:r w:rsidRPr="003C1591">
              <w:rPr>
                <w:color w:val="000000"/>
                <w:sz w:val="20"/>
                <w:szCs w:val="20"/>
                <w:lang w:eastAsia="es-ES"/>
              </w:rPr>
              <w:t>Lulo</w:t>
            </w:r>
          </w:p>
        </w:tc>
        <w:tc>
          <w:tcPr>
            <w:tcW w:w="1496" w:type="dxa"/>
            <w:gridSpan w:val="2"/>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233</w:t>
            </w:r>
          </w:p>
        </w:tc>
        <w:tc>
          <w:tcPr>
            <w:tcW w:w="1973" w:type="dxa"/>
            <w:gridSpan w:val="2"/>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170</w:t>
            </w:r>
          </w:p>
        </w:tc>
        <w:tc>
          <w:tcPr>
            <w:tcW w:w="1435" w:type="dxa"/>
            <w:gridSpan w:val="2"/>
            <w:tcBorders>
              <w:top w:val="nil"/>
              <w:left w:val="nil"/>
              <w:bottom w:val="single" w:sz="4" w:space="0" w:color="auto"/>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-27,04%</w:t>
            </w:r>
          </w:p>
        </w:tc>
        <w:tc>
          <w:tcPr>
            <w:tcW w:w="1021" w:type="dxa"/>
            <w:gridSpan w:val="2"/>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1188</w:t>
            </w:r>
          </w:p>
        </w:tc>
        <w:tc>
          <w:tcPr>
            <w:tcW w:w="1021" w:type="dxa"/>
            <w:gridSpan w:val="2"/>
            <w:tcBorders>
              <w:top w:val="nil"/>
              <w:left w:val="nil"/>
              <w:bottom w:val="single" w:sz="4" w:space="0" w:color="auto"/>
              <w:right w:val="nil"/>
            </w:tcBorders>
            <w:shd w:val="clear" w:color="auto" w:fill="auto"/>
            <w:vAlign w:val="center"/>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842</w:t>
            </w:r>
          </w:p>
        </w:tc>
        <w:tc>
          <w:tcPr>
            <w:tcW w:w="1272" w:type="dxa"/>
            <w:gridSpan w:val="2"/>
            <w:tcBorders>
              <w:top w:val="nil"/>
              <w:left w:val="nil"/>
              <w:bottom w:val="single" w:sz="4" w:space="0" w:color="auto"/>
              <w:right w:val="nil"/>
            </w:tcBorders>
            <w:shd w:val="clear" w:color="auto" w:fill="auto"/>
            <w:noWrap/>
            <w:vAlign w:val="bottom"/>
            <w:hideMark/>
          </w:tcPr>
          <w:p w:rsidR="00DF516D" w:rsidRPr="003C1591" w:rsidRDefault="00DF516D" w:rsidP="002044DE">
            <w:pPr>
              <w:spacing w:line="360" w:lineRule="auto"/>
              <w:jc w:val="center"/>
              <w:rPr>
                <w:color w:val="000000"/>
                <w:sz w:val="20"/>
                <w:szCs w:val="20"/>
                <w:lang w:eastAsia="es-ES"/>
              </w:rPr>
            </w:pPr>
            <w:r w:rsidRPr="003C1591">
              <w:rPr>
                <w:color w:val="000000"/>
                <w:sz w:val="20"/>
                <w:szCs w:val="20"/>
                <w:lang w:eastAsia="es-ES"/>
              </w:rPr>
              <w:t>-29,12%</w:t>
            </w:r>
          </w:p>
        </w:tc>
      </w:tr>
    </w:tbl>
    <w:p w:rsidR="00DF516D" w:rsidRDefault="00DF516D" w:rsidP="00624581">
      <w:pPr>
        <w:pStyle w:val="Sinespaciado"/>
        <w:spacing w:line="360" w:lineRule="auto"/>
        <w:jc w:val="left"/>
        <w:rPr>
          <w:rFonts w:ascii="Times New Roman" w:eastAsia="Times New Roman" w:hAnsi="Times New Roman"/>
          <w:color w:val="000000"/>
          <w:sz w:val="18"/>
          <w:lang w:eastAsia="es-ES"/>
        </w:rPr>
      </w:pPr>
      <w:r w:rsidRPr="00624581">
        <w:rPr>
          <w:rFonts w:ascii="Times New Roman" w:eastAsia="Times New Roman" w:hAnsi="Times New Roman"/>
          <w:color w:val="000000"/>
          <w:sz w:val="18"/>
          <w:lang w:eastAsia="es-ES"/>
        </w:rPr>
        <w:t>Fuente:</w:t>
      </w:r>
      <w:r w:rsidRPr="003C1591">
        <w:rPr>
          <w:rFonts w:ascii="Times New Roman" w:eastAsia="Times New Roman" w:hAnsi="Times New Roman"/>
          <w:b/>
          <w:color w:val="000000"/>
          <w:sz w:val="18"/>
          <w:lang w:eastAsia="es-ES"/>
        </w:rPr>
        <w:t xml:space="preserve"> </w:t>
      </w:r>
      <w:r w:rsidRPr="003C1591">
        <w:rPr>
          <w:rFonts w:ascii="Times New Roman" w:eastAsia="Times New Roman" w:hAnsi="Times New Roman"/>
          <w:color w:val="000000"/>
          <w:sz w:val="18"/>
          <w:lang w:eastAsia="es-ES"/>
        </w:rPr>
        <w:t>Evaluaciones Agropecuari</w:t>
      </w:r>
      <w:r>
        <w:rPr>
          <w:rFonts w:ascii="Times New Roman" w:eastAsia="Times New Roman" w:hAnsi="Times New Roman"/>
          <w:color w:val="000000"/>
          <w:sz w:val="18"/>
          <w:lang w:eastAsia="es-ES"/>
        </w:rPr>
        <w:t>as 2012-2013 y cálculos propios.</w:t>
      </w:r>
    </w:p>
    <w:p w:rsidR="00DF516D" w:rsidRDefault="00DF516D" w:rsidP="00DF516D">
      <w:pPr>
        <w:pStyle w:val="Sinespaciado"/>
        <w:spacing w:line="360" w:lineRule="auto"/>
        <w:ind w:firstLine="708"/>
        <w:jc w:val="left"/>
        <w:rPr>
          <w:rFonts w:ascii="Times New Roman" w:eastAsia="Times New Roman" w:hAnsi="Times New Roman"/>
          <w:color w:val="000000"/>
          <w:sz w:val="18"/>
          <w:lang w:eastAsia="es-ES"/>
        </w:rPr>
      </w:pPr>
    </w:p>
    <w:p w:rsidR="00DF516D" w:rsidRDefault="00DF516D" w:rsidP="00DF516D">
      <w:pPr>
        <w:spacing w:line="360" w:lineRule="auto"/>
        <w:ind w:firstLine="284"/>
        <w:jc w:val="both"/>
      </w:pPr>
      <w:r w:rsidRPr="003C1591">
        <w:t>L</w:t>
      </w:r>
      <w:r>
        <w:t xml:space="preserve">os cítricos presentan un área </w:t>
      </w:r>
      <w:r w:rsidRPr="003C1591">
        <w:t>ind</w:t>
      </w:r>
      <w:r>
        <w:t>ependiente de apro</w:t>
      </w:r>
      <w:r w:rsidRPr="003C1591">
        <w:t xml:space="preserve">ximadamente </w:t>
      </w:r>
      <w:r>
        <w:t xml:space="preserve">3.740 hectáreas, también </w:t>
      </w:r>
      <w:r w:rsidRPr="003C1591">
        <w:t>exi</w:t>
      </w:r>
      <w:r>
        <w:t xml:space="preserve">sten  otras  áreas  que alternan </w:t>
      </w:r>
      <w:r w:rsidRPr="003C1591">
        <w:t xml:space="preserve"> con  otros  cultivos, </w:t>
      </w:r>
      <w:r>
        <w:t xml:space="preserve"> reportando 4.545 hectáreas sembradas en el año 2012, </w:t>
      </w:r>
      <w:r w:rsidRPr="003C1591">
        <w:t>y 4.854 hect</w:t>
      </w:r>
      <w:r>
        <w:t xml:space="preserve">áreas en el  año </w:t>
      </w:r>
      <w:r w:rsidRPr="003C1591">
        <w:t>2013, con un incremento del 6.82% debido  a  nuevas  siembras  que  se  han realizado. El  área sembrada de banano para el año 2012 fue de 1.579 Has; mientras que en el año 2013 fue de 1.988 hectáreas reportando un incremento d</w:t>
      </w:r>
      <w:r>
        <w:t xml:space="preserve">e  un 25.9% el área  cultivada, </w:t>
      </w:r>
      <w:r w:rsidRPr="003C1591">
        <w:t xml:space="preserve"> aumentand</w:t>
      </w:r>
      <w:r>
        <w:t xml:space="preserve">o su producción en el 12,98%. </w:t>
      </w:r>
    </w:p>
    <w:p w:rsidR="00DF516D" w:rsidRDefault="00DF516D" w:rsidP="00DF516D">
      <w:pPr>
        <w:spacing w:line="360" w:lineRule="auto"/>
        <w:ind w:firstLine="284"/>
        <w:jc w:val="both"/>
      </w:pPr>
    </w:p>
    <w:p w:rsidR="00DF516D" w:rsidRDefault="00DF516D" w:rsidP="00DF516D">
      <w:pPr>
        <w:spacing w:line="360" w:lineRule="auto"/>
        <w:ind w:firstLine="284"/>
        <w:jc w:val="both"/>
      </w:pPr>
      <w:r>
        <w:lastRenderedPageBreak/>
        <w:t xml:space="preserve">El cultivo de aguacate ha venido incursionando como producto de exportación, especialmente la variedad </w:t>
      </w:r>
      <w:proofErr w:type="spellStart"/>
      <w:r>
        <w:t>Hass</w:t>
      </w:r>
      <w:proofErr w:type="spellEnd"/>
      <w:r>
        <w:t>. Para el año 2012, el Quindío contó con 1.368 hectáreas sembradas en aguacate y para el año 2013, el área sembrada a</w:t>
      </w:r>
      <w:r w:rsidR="00C2019A">
        <w:t xml:space="preserve">umentó en un 36,40%; es decir, </w:t>
      </w:r>
      <w:r>
        <w:t>1.866 hectáreas, a nivel de producción se</w:t>
      </w:r>
      <w:r w:rsidR="00C2019A">
        <w:t xml:space="preserve"> </w:t>
      </w:r>
      <w:proofErr w:type="gramStart"/>
      <w:r w:rsidR="00C2019A">
        <w:t>registró</w:t>
      </w:r>
      <w:proofErr w:type="gramEnd"/>
      <w:r w:rsidR="00C2019A">
        <w:t xml:space="preserve"> un incremento del 86,</w:t>
      </w:r>
      <w:r>
        <w:t>0</w:t>
      </w:r>
      <w:r w:rsidR="00C2019A">
        <w:t>4</w:t>
      </w:r>
      <w:r>
        <w:t>% al pasar de 4.894 toneladas producidas en el 2012 a 9.105 toneladas en el año 2013.</w:t>
      </w:r>
    </w:p>
    <w:p w:rsidR="00DF516D" w:rsidRPr="003C1591" w:rsidRDefault="00DF516D" w:rsidP="00DF516D">
      <w:pPr>
        <w:spacing w:line="360" w:lineRule="auto"/>
        <w:ind w:right="304"/>
        <w:jc w:val="both"/>
      </w:pPr>
    </w:p>
    <w:p w:rsidR="00DF516D" w:rsidRPr="00F73C65" w:rsidRDefault="00DF516D" w:rsidP="00DF516D">
      <w:pPr>
        <w:rPr>
          <w:bCs/>
          <w:color w:val="000000"/>
          <w:lang w:eastAsia="es-ES"/>
        </w:rPr>
      </w:pPr>
      <w:r>
        <w:rPr>
          <w:bCs/>
          <w:color w:val="000000"/>
          <w:lang w:eastAsia="es-ES"/>
        </w:rPr>
        <w:t>Tabla</w:t>
      </w:r>
      <w:r w:rsidRPr="00F73C65">
        <w:rPr>
          <w:bCs/>
          <w:color w:val="000000"/>
          <w:lang w:eastAsia="es-ES"/>
        </w:rPr>
        <w:t xml:space="preserve"> 9.8</w:t>
      </w:r>
    </w:p>
    <w:p w:rsidR="00DF516D" w:rsidRPr="00F73C65" w:rsidRDefault="00DF516D" w:rsidP="00DF516D">
      <w:pPr>
        <w:rPr>
          <w:bCs/>
          <w:color w:val="000000"/>
          <w:lang w:eastAsia="es-ES"/>
        </w:rPr>
      </w:pPr>
      <w:r w:rsidRPr="00F73C65">
        <w:rPr>
          <w:bCs/>
          <w:color w:val="000000"/>
          <w:lang w:eastAsia="es-ES"/>
        </w:rPr>
        <w:t>Producción en toneladas de los principales cultivos (sin contar café)</w:t>
      </w:r>
    </w:p>
    <w:p w:rsidR="00DF516D" w:rsidRPr="00F73C65" w:rsidRDefault="00DF516D" w:rsidP="00DF516D">
      <w:pPr>
        <w:rPr>
          <w:bCs/>
          <w:color w:val="000000"/>
          <w:lang w:eastAsia="es-ES"/>
        </w:rPr>
      </w:pPr>
      <w:r w:rsidRPr="00F73C65">
        <w:rPr>
          <w:bCs/>
          <w:color w:val="000000"/>
          <w:lang w:eastAsia="es-ES"/>
        </w:rPr>
        <w:t>2013</w:t>
      </w:r>
    </w:p>
    <w:tbl>
      <w:tblPr>
        <w:tblW w:w="8838" w:type="dxa"/>
        <w:tblCellMar>
          <w:left w:w="70" w:type="dxa"/>
          <w:right w:w="70" w:type="dxa"/>
        </w:tblCellMar>
        <w:tblLook w:val="04A0" w:firstRow="1" w:lastRow="0" w:firstColumn="1" w:lastColumn="0" w:noHBand="0" w:noVBand="1"/>
      </w:tblPr>
      <w:tblGrid>
        <w:gridCol w:w="2666"/>
        <w:gridCol w:w="2084"/>
        <w:gridCol w:w="2428"/>
        <w:gridCol w:w="1660"/>
      </w:tblGrid>
      <w:tr w:rsidR="00DF516D" w:rsidRPr="00F73C65" w:rsidTr="002044DE">
        <w:trPr>
          <w:trHeight w:val="420"/>
          <w:tblHeader/>
        </w:trPr>
        <w:tc>
          <w:tcPr>
            <w:tcW w:w="2666" w:type="dxa"/>
            <w:tcBorders>
              <w:top w:val="single" w:sz="4" w:space="0" w:color="auto"/>
              <w:left w:val="nil"/>
              <w:bottom w:val="double" w:sz="4" w:space="0" w:color="auto"/>
              <w:right w:val="nil"/>
            </w:tcBorders>
            <w:shd w:val="clear" w:color="auto" w:fill="auto"/>
            <w:noWrap/>
            <w:vAlign w:val="center"/>
            <w:hideMark/>
          </w:tcPr>
          <w:p w:rsidR="00DF516D" w:rsidRPr="00F73C65" w:rsidRDefault="00DF516D" w:rsidP="002044DE">
            <w:pPr>
              <w:jc w:val="center"/>
              <w:rPr>
                <w:color w:val="000000"/>
                <w:sz w:val="20"/>
                <w:szCs w:val="20"/>
                <w:lang w:eastAsia="es-ES"/>
              </w:rPr>
            </w:pPr>
          </w:p>
        </w:tc>
        <w:tc>
          <w:tcPr>
            <w:tcW w:w="2084" w:type="dxa"/>
            <w:tcBorders>
              <w:top w:val="single" w:sz="4" w:space="0" w:color="auto"/>
              <w:left w:val="nil"/>
              <w:bottom w:val="double" w:sz="4" w:space="0" w:color="auto"/>
              <w:right w:val="nil"/>
            </w:tcBorders>
            <w:shd w:val="clear" w:color="auto" w:fill="auto"/>
            <w:noWrap/>
            <w:vAlign w:val="center"/>
            <w:hideMark/>
          </w:tcPr>
          <w:p w:rsidR="00DF516D" w:rsidRPr="00F73C65" w:rsidRDefault="00DF516D" w:rsidP="002044DE">
            <w:pPr>
              <w:jc w:val="center"/>
              <w:rPr>
                <w:b/>
                <w:color w:val="000000"/>
                <w:sz w:val="20"/>
                <w:szCs w:val="20"/>
                <w:lang w:eastAsia="es-ES"/>
              </w:rPr>
            </w:pPr>
            <w:r w:rsidRPr="00F73C65">
              <w:rPr>
                <w:b/>
                <w:color w:val="000000"/>
                <w:sz w:val="20"/>
                <w:szCs w:val="20"/>
                <w:lang w:eastAsia="es-ES"/>
              </w:rPr>
              <w:t>TIPO DE CULTIVO</w:t>
            </w:r>
          </w:p>
        </w:tc>
        <w:tc>
          <w:tcPr>
            <w:tcW w:w="2428" w:type="dxa"/>
            <w:tcBorders>
              <w:top w:val="single" w:sz="4" w:space="0" w:color="auto"/>
              <w:left w:val="nil"/>
              <w:bottom w:val="double" w:sz="4" w:space="0" w:color="auto"/>
              <w:right w:val="nil"/>
            </w:tcBorders>
            <w:shd w:val="clear" w:color="auto" w:fill="auto"/>
            <w:noWrap/>
            <w:vAlign w:val="center"/>
            <w:hideMark/>
          </w:tcPr>
          <w:p w:rsidR="00DF516D" w:rsidRPr="00F73C65" w:rsidRDefault="00DF516D" w:rsidP="002044DE">
            <w:pPr>
              <w:jc w:val="center"/>
              <w:rPr>
                <w:b/>
                <w:color w:val="000000"/>
                <w:sz w:val="20"/>
                <w:szCs w:val="20"/>
                <w:lang w:eastAsia="es-ES"/>
              </w:rPr>
            </w:pPr>
            <w:r w:rsidRPr="00F73C65">
              <w:rPr>
                <w:b/>
                <w:color w:val="000000"/>
                <w:sz w:val="20"/>
                <w:szCs w:val="20"/>
                <w:lang w:eastAsia="es-ES"/>
              </w:rPr>
              <w:t>PRODUCCIÓN (TON)</w:t>
            </w:r>
          </w:p>
        </w:tc>
        <w:tc>
          <w:tcPr>
            <w:tcW w:w="1660" w:type="dxa"/>
            <w:tcBorders>
              <w:top w:val="single" w:sz="4" w:space="0" w:color="auto"/>
              <w:left w:val="nil"/>
              <w:bottom w:val="double" w:sz="4" w:space="0" w:color="auto"/>
              <w:right w:val="nil"/>
            </w:tcBorders>
            <w:shd w:val="clear" w:color="auto" w:fill="auto"/>
            <w:noWrap/>
            <w:vAlign w:val="center"/>
            <w:hideMark/>
          </w:tcPr>
          <w:p w:rsidR="00DF516D" w:rsidRPr="00F73C65" w:rsidRDefault="00DF516D" w:rsidP="002044DE">
            <w:pPr>
              <w:jc w:val="center"/>
              <w:rPr>
                <w:b/>
                <w:color w:val="000000"/>
                <w:sz w:val="20"/>
                <w:szCs w:val="20"/>
                <w:lang w:eastAsia="es-ES"/>
              </w:rPr>
            </w:pPr>
            <w:r w:rsidRPr="00F73C65">
              <w:rPr>
                <w:b/>
                <w:color w:val="000000"/>
                <w:sz w:val="20"/>
                <w:szCs w:val="20"/>
                <w:lang w:eastAsia="es-ES"/>
              </w:rPr>
              <w:t>PORCENTAJES</w:t>
            </w:r>
          </w:p>
        </w:tc>
      </w:tr>
      <w:tr w:rsidR="00DF516D" w:rsidRPr="00F73C65" w:rsidTr="002044DE">
        <w:trPr>
          <w:trHeight w:val="67"/>
        </w:trPr>
        <w:tc>
          <w:tcPr>
            <w:tcW w:w="2666" w:type="dxa"/>
            <w:vMerge w:val="restart"/>
            <w:tcBorders>
              <w:top w:val="double" w:sz="4" w:space="0" w:color="auto"/>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Cultivos permanentes</w:t>
            </w:r>
          </w:p>
        </w:tc>
        <w:tc>
          <w:tcPr>
            <w:tcW w:w="2084" w:type="dxa"/>
            <w:tcBorders>
              <w:top w:val="double" w:sz="4" w:space="0" w:color="auto"/>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proofErr w:type="spellStart"/>
            <w:r w:rsidRPr="00F73C65">
              <w:rPr>
                <w:color w:val="000000"/>
                <w:sz w:val="20"/>
                <w:szCs w:val="20"/>
                <w:lang w:eastAsia="es-ES"/>
              </w:rPr>
              <w:t>Macadamia</w:t>
            </w:r>
            <w:proofErr w:type="spellEnd"/>
          </w:p>
        </w:tc>
        <w:tc>
          <w:tcPr>
            <w:tcW w:w="2428" w:type="dxa"/>
            <w:tcBorders>
              <w:top w:val="double" w:sz="4" w:space="0" w:color="auto"/>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620</w:t>
            </w:r>
          </w:p>
        </w:tc>
        <w:tc>
          <w:tcPr>
            <w:tcW w:w="1660" w:type="dxa"/>
            <w:tcBorders>
              <w:top w:val="double" w:sz="4" w:space="0" w:color="auto"/>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0,24%</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Maracuyá</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1.305</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0,51%</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Mora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455</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0,18%</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Papaya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3.098</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1,22%</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Piña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26.680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10,47%</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Pitahaya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14</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0,01%</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Plátano</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222.171</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87,16%</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Tomate de árbol</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258</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0,10%</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Chalupa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25</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0,01%</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Guanábana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98</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0,04%</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Uchuva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0,00%</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Uva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12</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0,00%</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Fresa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36</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0,01%</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proofErr w:type="spellStart"/>
            <w:r w:rsidRPr="00F73C65">
              <w:rPr>
                <w:color w:val="000000"/>
                <w:sz w:val="20"/>
                <w:szCs w:val="20"/>
                <w:lang w:eastAsia="es-ES"/>
              </w:rPr>
              <w:t>Mangostino</w:t>
            </w:r>
            <w:proofErr w:type="spellEnd"/>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65</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0,03%</w:t>
            </w:r>
          </w:p>
        </w:tc>
      </w:tr>
      <w:tr w:rsidR="00DF516D" w:rsidRPr="00F73C65" w:rsidTr="002044DE">
        <w:trPr>
          <w:trHeight w:val="67"/>
        </w:trPr>
        <w:tc>
          <w:tcPr>
            <w:tcW w:w="2666" w:type="dxa"/>
            <w:vMerge/>
            <w:tcBorders>
              <w:top w:val="nil"/>
              <w:left w:val="nil"/>
              <w:bottom w:val="nil"/>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Sábila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53</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0,02%</w:t>
            </w:r>
          </w:p>
        </w:tc>
      </w:tr>
      <w:tr w:rsidR="00DF516D" w:rsidRPr="00F73C65" w:rsidTr="002044DE">
        <w:trPr>
          <w:trHeight w:val="138"/>
        </w:trPr>
        <w:tc>
          <w:tcPr>
            <w:tcW w:w="2666" w:type="dxa"/>
            <w:tcBorders>
              <w:top w:val="single" w:sz="4" w:space="0" w:color="auto"/>
              <w:left w:val="nil"/>
              <w:bottom w:val="single" w:sz="4" w:space="0" w:color="auto"/>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 </w:t>
            </w:r>
          </w:p>
        </w:tc>
        <w:tc>
          <w:tcPr>
            <w:tcW w:w="2084" w:type="dxa"/>
            <w:tcBorders>
              <w:top w:val="single" w:sz="4" w:space="0" w:color="auto"/>
              <w:left w:val="nil"/>
              <w:bottom w:val="single" w:sz="4" w:space="0" w:color="auto"/>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Total  permanentes</w:t>
            </w:r>
          </w:p>
        </w:tc>
        <w:tc>
          <w:tcPr>
            <w:tcW w:w="2428" w:type="dxa"/>
            <w:tcBorders>
              <w:top w:val="single" w:sz="4" w:space="0" w:color="auto"/>
              <w:left w:val="nil"/>
              <w:bottom w:val="single" w:sz="4" w:space="0" w:color="auto"/>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254.900</w:t>
            </w:r>
          </w:p>
        </w:tc>
        <w:tc>
          <w:tcPr>
            <w:tcW w:w="1660" w:type="dxa"/>
            <w:tcBorders>
              <w:top w:val="single" w:sz="4" w:space="0" w:color="auto"/>
              <w:left w:val="nil"/>
              <w:bottom w:val="single" w:sz="4" w:space="0" w:color="auto"/>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100%</w:t>
            </w:r>
          </w:p>
        </w:tc>
      </w:tr>
      <w:tr w:rsidR="00DF516D" w:rsidRPr="00F73C65" w:rsidTr="002044DE">
        <w:trPr>
          <w:trHeight w:val="95"/>
        </w:trPr>
        <w:tc>
          <w:tcPr>
            <w:tcW w:w="2666" w:type="dxa"/>
            <w:vMerge w:val="restart"/>
            <w:tcBorders>
              <w:top w:val="nil"/>
              <w:left w:val="nil"/>
              <w:bottom w:val="single" w:sz="4" w:space="0" w:color="000000"/>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Cultivos transitorios</w:t>
            </w: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Ahuyama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1375</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4,94%</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Arveja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17</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0,06%</w:t>
            </w:r>
          </w:p>
        </w:tc>
      </w:tr>
      <w:tr w:rsidR="00DF516D" w:rsidRPr="00F73C65" w:rsidTr="002044DE">
        <w:trPr>
          <w:trHeight w:val="20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Flores (pompones y Crisantemos)</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0,00%</w:t>
            </w:r>
          </w:p>
        </w:tc>
      </w:tr>
      <w:tr w:rsidR="00DF516D" w:rsidRPr="00F73C65" w:rsidTr="002044DE">
        <w:trPr>
          <w:trHeight w:val="138"/>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 xml:space="preserve">Cartucho </w:t>
            </w:r>
            <w:proofErr w:type="spellStart"/>
            <w:r w:rsidRPr="00F73C65">
              <w:rPr>
                <w:color w:val="000000"/>
                <w:sz w:val="20"/>
                <w:szCs w:val="20"/>
                <w:lang w:eastAsia="es-ES"/>
              </w:rPr>
              <w:t>Astromelia</w:t>
            </w:r>
            <w:proofErr w:type="spellEnd"/>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8</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0,03%</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Rosa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0,00%</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proofErr w:type="spellStart"/>
            <w:r w:rsidRPr="00F73C65">
              <w:rPr>
                <w:color w:val="000000"/>
                <w:sz w:val="20"/>
                <w:szCs w:val="20"/>
                <w:lang w:eastAsia="es-ES"/>
              </w:rPr>
              <w:t>Ruscus</w:t>
            </w:r>
            <w:proofErr w:type="spellEnd"/>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0,00%</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Helecho cuero</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9</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0,03%</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Heliconia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80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0,29%</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proofErr w:type="spellStart"/>
            <w:r w:rsidRPr="00F73C65">
              <w:rPr>
                <w:color w:val="000000"/>
                <w:sz w:val="20"/>
                <w:szCs w:val="20"/>
                <w:lang w:eastAsia="es-ES"/>
              </w:rPr>
              <w:t>Anturio</w:t>
            </w:r>
            <w:proofErr w:type="spellEnd"/>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4</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0,01%</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proofErr w:type="spellStart"/>
            <w:r w:rsidRPr="00F73C65">
              <w:rPr>
                <w:color w:val="000000"/>
                <w:sz w:val="20"/>
                <w:szCs w:val="20"/>
                <w:lang w:eastAsia="es-ES"/>
              </w:rPr>
              <w:t>Cordelines</w:t>
            </w:r>
            <w:proofErr w:type="spellEnd"/>
            <w:r w:rsidRPr="00F73C65">
              <w:rPr>
                <w:color w:val="000000"/>
                <w:sz w:val="20"/>
                <w:szCs w:val="20"/>
                <w:lang w:eastAsia="es-ES"/>
              </w:rPr>
              <w:t xml:space="preserve"> cinta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0,00%</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Fríjol</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367</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1,32%</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Habichuela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253</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0,91%</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proofErr w:type="spellStart"/>
            <w:r w:rsidRPr="00F73C65">
              <w:rPr>
                <w:color w:val="000000"/>
                <w:sz w:val="20"/>
                <w:szCs w:val="20"/>
                <w:lang w:eastAsia="es-ES"/>
              </w:rPr>
              <w:t>Asparragus</w:t>
            </w:r>
            <w:proofErr w:type="spellEnd"/>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0,00%</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Lechuga</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45</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0,16%</w:t>
            </w:r>
          </w:p>
        </w:tc>
      </w:tr>
      <w:tr w:rsidR="00DF516D" w:rsidRPr="00F73C65" w:rsidTr="002044DE">
        <w:trPr>
          <w:trHeight w:val="138"/>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Pepino Cohombro</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0,00%</w:t>
            </w:r>
          </w:p>
        </w:tc>
      </w:tr>
      <w:tr w:rsidR="00DF516D" w:rsidRPr="00F73C65" w:rsidTr="002044DE">
        <w:trPr>
          <w:trHeight w:val="138"/>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Plantas Aromáticas</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62</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0,22%</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Hortalizas varias</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15</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0,05%</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Maíz Tradicional</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639</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2,30%</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Maíz Tecnificado</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360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1,29%</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Tabaco Rubio</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28</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0,10%</w:t>
            </w:r>
          </w:p>
        </w:tc>
      </w:tr>
      <w:tr w:rsidR="00DF516D" w:rsidRPr="00F73C65" w:rsidTr="002044DE">
        <w:trPr>
          <w:trHeight w:val="70"/>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Tomate</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1.531</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5,50%</w:t>
            </w:r>
          </w:p>
        </w:tc>
      </w:tr>
      <w:tr w:rsidR="00DF516D" w:rsidRPr="00F73C65" w:rsidTr="002044DE">
        <w:trPr>
          <w:trHeight w:val="64"/>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Tomate Invernadero</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22.831</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82,00%</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Ají</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0,00%</w:t>
            </w:r>
          </w:p>
        </w:tc>
      </w:tr>
      <w:tr w:rsidR="00DF516D" w:rsidRPr="00F73C65" w:rsidTr="002044DE">
        <w:trPr>
          <w:trHeight w:val="39"/>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Pimentón</w:t>
            </w:r>
          </w:p>
        </w:tc>
        <w:tc>
          <w:tcPr>
            <w:tcW w:w="2428" w:type="dxa"/>
            <w:tcBorders>
              <w:top w:val="nil"/>
              <w:left w:val="nil"/>
              <w:bottom w:val="nil"/>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217</w:t>
            </w:r>
          </w:p>
        </w:tc>
        <w:tc>
          <w:tcPr>
            <w:tcW w:w="1660" w:type="dxa"/>
            <w:tcBorders>
              <w:top w:val="nil"/>
              <w:left w:val="nil"/>
              <w:bottom w:val="nil"/>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0,78%</w:t>
            </w:r>
          </w:p>
        </w:tc>
      </w:tr>
      <w:tr w:rsidR="00DF516D" w:rsidRPr="00F73C65" w:rsidTr="002044DE">
        <w:trPr>
          <w:trHeight w:val="67"/>
        </w:trPr>
        <w:tc>
          <w:tcPr>
            <w:tcW w:w="2666" w:type="dxa"/>
            <w:vMerge/>
            <w:tcBorders>
              <w:top w:val="nil"/>
              <w:left w:val="nil"/>
              <w:bottom w:val="single" w:sz="4" w:space="0" w:color="000000"/>
              <w:right w:val="nil"/>
            </w:tcBorders>
            <w:vAlign w:val="center"/>
            <w:hideMark/>
          </w:tcPr>
          <w:p w:rsidR="00DF516D" w:rsidRPr="00F73C65" w:rsidRDefault="00DF516D" w:rsidP="002044DE">
            <w:pPr>
              <w:spacing w:line="360" w:lineRule="auto"/>
              <w:jc w:val="center"/>
              <w:rPr>
                <w:color w:val="000000"/>
                <w:sz w:val="20"/>
                <w:szCs w:val="20"/>
                <w:lang w:eastAsia="es-ES"/>
              </w:rPr>
            </w:pPr>
          </w:p>
        </w:tc>
        <w:tc>
          <w:tcPr>
            <w:tcW w:w="2084" w:type="dxa"/>
            <w:tcBorders>
              <w:top w:val="single" w:sz="4" w:space="0" w:color="auto"/>
              <w:left w:val="nil"/>
              <w:bottom w:val="single" w:sz="4" w:space="0" w:color="auto"/>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Total transitorios</w:t>
            </w:r>
          </w:p>
        </w:tc>
        <w:tc>
          <w:tcPr>
            <w:tcW w:w="2428" w:type="dxa"/>
            <w:tcBorders>
              <w:top w:val="single" w:sz="4" w:space="0" w:color="auto"/>
              <w:left w:val="nil"/>
              <w:bottom w:val="single" w:sz="4" w:space="0" w:color="auto"/>
              <w:right w:val="nil"/>
            </w:tcBorders>
            <w:shd w:val="clear" w:color="auto" w:fill="auto"/>
            <w:noWrap/>
            <w:vAlign w:val="bottom"/>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27.841</w:t>
            </w:r>
          </w:p>
        </w:tc>
        <w:tc>
          <w:tcPr>
            <w:tcW w:w="1660" w:type="dxa"/>
            <w:tcBorders>
              <w:top w:val="single" w:sz="4" w:space="0" w:color="auto"/>
              <w:left w:val="nil"/>
              <w:bottom w:val="single" w:sz="4" w:space="0" w:color="auto"/>
              <w:right w:val="nil"/>
            </w:tcBorders>
            <w:shd w:val="clear" w:color="auto" w:fill="auto"/>
            <w:noWrap/>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100,00%</w:t>
            </w:r>
          </w:p>
        </w:tc>
      </w:tr>
      <w:tr w:rsidR="00DF516D" w:rsidRPr="00F73C65" w:rsidTr="002044DE">
        <w:trPr>
          <w:trHeight w:val="67"/>
        </w:trPr>
        <w:tc>
          <w:tcPr>
            <w:tcW w:w="2666" w:type="dxa"/>
            <w:tcBorders>
              <w:top w:val="nil"/>
              <w:left w:val="nil"/>
              <w:bottom w:val="single" w:sz="4" w:space="0" w:color="auto"/>
              <w:right w:val="nil"/>
            </w:tcBorders>
            <w:shd w:val="clear" w:color="auto" w:fill="auto"/>
            <w:noWrap/>
            <w:vAlign w:val="bottom"/>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 </w:t>
            </w:r>
          </w:p>
        </w:tc>
        <w:tc>
          <w:tcPr>
            <w:tcW w:w="2084" w:type="dxa"/>
            <w:tcBorders>
              <w:top w:val="nil"/>
              <w:left w:val="nil"/>
              <w:bottom w:val="single" w:sz="4" w:space="0" w:color="auto"/>
              <w:right w:val="nil"/>
            </w:tcBorders>
            <w:shd w:val="clear" w:color="auto" w:fill="auto"/>
            <w:vAlign w:val="center"/>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 xml:space="preserve">Total cultivos </w:t>
            </w:r>
          </w:p>
        </w:tc>
        <w:tc>
          <w:tcPr>
            <w:tcW w:w="2428" w:type="dxa"/>
            <w:tcBorders>
              <w:top w:val="nil"/>
              <w:left w:val="nil"/>
              <w:bottom w:val="single" w:sz="4" w:space="0" w:color="auto"/>
              <w:right w:val="nil"/>
            </w:tcBorders>
            <w:shd w:val="clear" w:color="auto" w:fill="auto"/>
            <w:noWrap/>
            <w:vAlign w:val="bottom"/>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282.741</w:t>
            </w:r>
          </w:p>
        </w:tc>
        <w:tc>
          <w:tcPr>
            <w:tcW w:w="1660" w:type="dxa"/>
            <w:tcBorders>
              <w:top w:val="nil"/>
              <w:left w:val="nil"/>
              <w:bottom w:val="single" w:sz="4" w:space="0" w:color="auto"/>
              <w:right w:val="nil"/>
            </w:tcBorders>
            <w:shd w:val="clear" w:color="auto" w:fill="auto"/>
            <w:noWrap/>
            <w:vAlign w:val="bottom"/>
            <w:hideMark/>
          </w:tcPr>
          <w:p w:rsidR="00DF516D" w:rsidRPr="00F73C65" w:rsidRDefault="00DF516D" w:rsidP="002044DE">
            <w:pPr>
              <w:spacing w:line="360" w:lineRule="auto"/>
              <w:jc w:val="center"/>
              <w:rPr>
                <w:color w:val="000000"/>
                <w:sz w:val="20"/>
                <w:szCs w:val="20"/>
                <w:lang w:eastAsia="es-ES"/>
              </w:rPr>
            </w:pPr>
            <w:r w:rsidRPr="00F73C65">
              <w:rPr>
                <w:color w:val="000000"/>
                <w:sz w:val="20"/>
                <w:szCs w:val="20"/>
                <w:lang w:eastAsia="es-ES"/>
              </w:rPr>
              <w:t> </w:t>
            </w:r>
          </w:p>
        </w:tc>
      </w:tr>
    </w:tbl>
    <w:p w:rsidR="00DF516D" w:rsidRPr="00F73C65" w:rsidRDefault="00DF516D" w:rsidP="00DF516D">
      <w:pPr>
        <w:spacing w:line="360" w:lineRule="auto"/>
        <w:rPr>
          <w:color w:val="000000"/>
          <w:sz w:val="16"/>
          <w:szCs w:val="16"/>
          <w:lang w:eastAsia="es-ES"/>
        </w:rPr>
      </w:pPr>
      <w:r w:rsidRPr="00F73C65">
        <w:rPr>
          <w:color w:val="000000"/>
          <w:sz w:val="16"/>
          <w:szCs w:val="16"/>
          <w:lang w:eastAsia="es-ES"/>
        </w:rPr>
        <w:t>Fuente: Evaluaciones Agropecuarias y cálculos propios.</w:t>
      </w:r>
    </w:p>
    <w:p w:rsidR="00DF516D" w:rsidRDefault="00DF516D" w:rsidP="00DF516D">
      <w:pPr>
        <w:spacing w:line="360" w:lineRule="auto"/>
        <w:rPr>
          <w:color w:val="000000"/>
          <w:lang w:eastAsia="es-ES"/>
        </w:rPr>
      </w:pPr>
    </w:p>
    <w:p w:rsidR="00DF516D" w:rsidRDefault="00DF516D" w:rsidP="00DF516D">
      <w:pPr>
        <w:spacing w:line="360" w:lineRule="auto"/>
        <w:rPr>
          <w:color w:val="000000"/>
          <w:lang w:eastAsia="es-ES"/>
        </w:rPr>
      </w:pPr>
    </w:p>
    <w:p w:rsidR="00DF516D" w:rsidRDefault="00DF516D" w:rsidP="00DF516D">
      <w:pPr>
        <w:spacing w:line="360" w:lineRule="auto"/>
        <w:ind w:firstLine="284"/>
        <w:jc w:val="both"/>
      </w:pPr>
      <w:r>
        <w:t>En el departamento del Quindío  la mayor producción agrícola  se centra en los cultivos permanentes,</w:t>
      </w:r>
      <w:r w:rsidRPr="003C1591">
        <w:t xml:space="preserve"> con un total de 254.900 toneladas producidas en el año 2013, mientras que los cultivos transitorios aumentaron en 27.841 toneladas.</w:t>
      </w:r>
      <w:r>
        <w:t xml:space="preserve"> </w:t>
      </w:r>
      <w:r w:rsidRPr="003C1591">
        <w:t xml:space="preserve">Dentro de los cultivos permanentes, el plátano presentó un incremento del 87.16% de su </w:t>
      </w:r>
      <w:r>
        <w:t xml:space="preserve">producción en el año 2013; es el más representativo, siendo el </w:t>
      </w:r>
      <w:r w:rsidRPr="003C1591">
        <w:t>segundo cultivo en importancia en el departamento del Quindío,</w:t>
      </w:r>
      <w:r>
        <w:t xml:space="preserve"> para el año 2012</w:t>
      </w:r>
      <w:r w:rsidRPr="003C1591">
        <w:t xml:space="preserve"> </w:t>
      </w:r>
      <w:r>
        <w:t>reportó 24.618 hectáreas sembradas en plátano de las cuales 12.500 hectáreas están sembradas como cultivo independiente y 11.694 hectáreas se encuentran sembradas con otros cultivos en forma alternativa, como el café. Para el año 2013 se reportaron 24.194 hectáreas sembradas en plátano.</w:t>
      </w:r>
    </w:p>
    <w:p w:rsidR="00DF516D" w:rsidRDefault="00DF516D" w:rsidP="00DF516D">
      <w:pPr>
        <w:spacing w:line="360" w:lineRule="auto"/>
        <w:ind w:firstLine="284"/>
        <w:jc w:val="both"/>
      </w:pPr>
    </w:p>
    <w:p w:rsidR="00DF516D" w:rsidRDefault="00DF516D" w:rsidP="00DF516D">
      <w:pPr>
        <w:spacing w:line="360" w:lineRule="auto"/>
        <w:ind w:firstLine="284"/>
        <w:jc w:val="both"/>
      </w:pPr>
      <w:r>
        <w:lastRenderedPageBreak/>
        <w:t xml:space="preserve">En los últimos años la </w:t>
      </w:r>
      <w:proofErr w:type="spellStart"/>
      <w:r>
        <w:t>macadamia</w:t>
      </w:r>
      <w:proofErr w:type="spellEnd"/>
      <w:r>
        <w:t xml:space="preserve"> se ha convertido en producto de exportación; en el año 2012 el Quindío aportó 413 toneladas a la producción nacional y para el año 2013  620 toneladas.</w:t>
      </w:r>
    </w:p>
    <w:p w:rsidR="00DF516D" w:rsidRDefault="00DF516D" w:rsidP="00DF516D">
      <w:pPr>
        <w:jc w:val="center"/>
        <w:rPr>
          <w:bCs/>
          <w:color w:val="000000"/>
          <w:lang w:eastAsia="es-ES"/>
        </w:rPr>
      </w:pPr>
    </w:p>
    <w:p w:rsidR="00DF516D" w:rsidRDefault="00DF516D" w:rsidP="00DF516D">
      <w:pPr>
        <w:jc w:val="center"/>
        <w:rPr>
          <w:bCs/>
          <w:color w:val="000000"/>
          <w:lang w:eastAsia="es-ES"/>
        </w:rPr>
      </w:pPr>
    </w:p>
    <w:p w:rsidR="00DF516D" w:rsidRPr="00A02F3C" w:rsidRDefault="00DF516D" w:rsidP="00DF516D">
      <w:r w:rsidRPr="00A02F3C">
        <w:t>Gráfico 9.2</w:t>
      </w:r>
    </w:p>
    <w:p w:rsidR="00DF516D" w:rsidRPr="00A02F3C" w:rsidRDefault="00DF516D" w:rsidP="00DF516D">
      <w:pPr>
        <w:ind w:right="-232"/>
      </w:pPr>
      <w:r w:rsidRPr="00A02F3C">
        <w:t>Uso del suelo según municipio</w:t>
      </w:r>
    </w:p>
    <w:p w:rsidR="00DF516D" w:rsidRPr="00A02F3C" w:rsidRDefault="00DF516D" w:rsidP="00DF516D">
      <w:pPr>
        <w:ind w:right="301"/>
      </w:pPr>
      <w:r w:rsidRPr="00A02F3C">
        <w:t>2013</w:t>
      </w:r>
    </w:p>
    <w:p w:rsidR="00DF516D" w:rsidRPr="003C1591" w:rsidRDefault="00DF516D" w:rsidP="00DF516D">
      <w:pPr>
        <w:spacing w:line="360" w:lineRule="auto"/>
        <w:ind w:right="301"/>
        <w:jc w:val="center"/>
      </w:pPr>
    </w:p>
    <w:p w:rsidR="00DF516D" w:rsidRPr="003C1591" w:rsidRDefault="00DF516D" w:rsidP="00DF516D">
      <w:pPr>
        <w:spacing w:line="360" w:lineRule="auto"/>
        <w:rPr>
          <w:b/>
          <w:sz w:val="18"/>
        </w:rPr>
      </w:pPr>
      <w:r w:rsidRPr="003C1591">
        <w:rPr>
          <w:noProof/>
        </w:rPr>
        <w:drawing>
          <wp:inline distT="0" distB="0" distL="0" distR="0" wp14:anchorId="77145095" wp14:editId="61646082">
            <wp:extent cx="4559300" cy="2729230"/>
            <wp:effectExtent l="0" t="0" r="12700" b="13970"/>
            <wp:docPr id="75" name="Gráfico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F516D" w:rsidRPr="00A02F3C" w:rsidRDefault="00DF516D" w:rsidP="00DF516D">
      <w:pPr>
        <w:spacing w:line="360" w:lineRule="auto"/>
        <w:rPr>
          <w:sz w:val="16"/>
          <w:szCs w:val="16"/>
        </w:rPr>
      </w:pPr>
      <w:r w:rsidRPr="00A02F3C">
        <w:t xml:space="preserve">   </w:t>
      </w:r>
      <w:r w:rsidRPr="00A02F3C">
        <w:rPr>
          <w:sz w:val="16"/>
          <w:szCs w:val="16"/>
        </w:rPr>
        <w:t>Fuente: Evaluaciones Agropecuarias  2012-2013 y Cálculos propios</w:t>
      </w:r>
    </w:p>
    <w:p w:rsidR="00DF516D" w:rsidRPr="003C1591" w:rsidRDefault="00DF516D" w:rsidP="00DF516D">
      <w:pPr>
        <w:spacing w:line="360" w:lineRule="auto"/>
        <w:ind w:right="302"/>
        <w:jc w:val="both"/>
      </w:pPr>
    </w:p>
    <w:p w:rsidR="00DF516D" w:rsidRDefault="00DF516D" w:rsidP="00DF516D">
      <w:pPr>
        <w:spacing w:line="360" w:lineRule="auto"/>
        <w:ind w:firstLine="284"/>
        <w:jc w:val="both"/>
      </w:pPr>
      <w:r w:rsidRPr="003C1591">
        <w:t>El Departamento del Quindío, posee 63.878 hectáreas en diferentes clases de pastos, de los cuales el 66.34% corresponde a Pradera Tradicional con  42.376,60 hectáreas, sigue en su orden Pradera Mejorada con el 31.54% equivalente a un área de 20.149.oo en cultivo forrajero y en pastos de corte hay sembradas 822 y 530,4 hectáreas respectivamente, con una participación de 1,29 y 0,83 %, en el departamento se ha venido implementando nuevas tecnologías para el aprovechamiento de los pastos, evidenciándose en praderas mejoradas que  para el año 2012 era de 14.760 hectáreas y para el 2</w:t>
      </w:r>
      <w:r>
        <w:t>013 de 20.149, es decir presentó</w:t>
      </w:r>
      <w:r w:rsidRPr="003C1591">
        <w:t xml:space="preserve"> un aumento del 36,51%.</w:t>
      </w:r>
    </w:p>
    <w:p w:rsidR="00DF516D" w:rsidRDefault="00DF516D" w:rsidP="00DF516D">
      <w:pPr>
        <w:spacing w:line="360" w:lineRule="auto"/>
        <w:ind w:left="708" w:right="302" w:firstLine="708"/>
        <w:jc w:val="both"/>
        <w:rPr>
          <w:sz w:val="18"/>
        </w:rPr>
      </w:pPr>
    </w:p>
    <w:p w:rsidR="005F54D2" w:rsidRDefault="005F54D2" w:rsidP="00DF516D">
      <w:pPr>
        <w:spacing w:line="360" w:lineRule="auto"/>
        <w:ind w:left="708" w:right="302" w:firstLine="708"/>
        <w:jc w:val="both"/>
        <w:rPr>
          <w:sz w:val="18"/>
        </w:rPr>
      </w:pPr>
    </w:p>
    <w:p w:rsidR="005F54D2" w:rsidRPr="003C1591" w:rsidRDefault="005F54D2" w:rsidP="00DF516D">
      <w:pPr>
        <w:spacing w:line="360" w:lineRule="auto"/>
        <w:ind w:left="708" w:right="302" w:firstLine="708"/>
        <w:jc w:val="both"/>
        <w:rPr>
          <w:sz w:val="18"/>
        </w:rPr>
      </w:pPr>
    </w:p>
    <w:p w:rsidR="00DF516D" w:rsidRPr="00F41092" w:rsidRDefault="00DF516D" w:rsidP="00DF516D">
      <w:pPr>
        <w:ind w:right="301"/>
      </w:pPr>
      <w:r w:rsidRPr="00F41092">
        <w:lastRenderedPageBreak/>
        <w:t>Gráfico 9.3</w:t>
      </w:r>
    </w:p>
    <w:p w:rsidR="00DF516D" w:rsidRPr="00F41092" w:rsidRDefault="00DF516D" w:rsidP="00DF516D">
      <w:pPr>
        <w:ind w:right="301"/>
      </w:pPr>
      <w:r w:rsidRPr="00F41092">
        <w:t>Sacrificio de ganado bovino y porcino</w:t>
      </w:r>
    </w:p>
    <w:p w:rsidR="00DF516D" w:rsidRPr="00F41092" w:rsidRDefault="00DF516D" w:rsidP="00DF516D">
      <w:pPr>
        <w:ind w:right="301"/>
      </w:pPr>
      <w:r w:rsidRPr="00F41092">
        <w:t>2013</w:t>
      </w:r>
    </w:p>
    <w:p w:rsidR="00DF516D" w:rsidRDefault="00DF516D" w:rsidP="00DF516D">
      <w:pPr>
        <w:ind w:right="301"/>
        <w:jc w:val="center"/>
      </w:pPr>
    </w:p>
    <w:p w:rsidR="00DF516D" w:rsidRDefault="00DF516D" w:rsidP="00DF516D">
      <w:pPr>
        <w:rPr>
          <w:sz w:val="20"/>
        </w:rPr>
      </w:pPr>
      <w:r>
        <w:rPr>
          <w:noProof/>
        </w:rPr>
        <w:drawing>
          <wp:inline distT="0" distB="0" distL="0" distR="0" wp14:anchorId="4F309AFF" wp14:editId="16B71390">
            <wp:extent cx="4000500" cy="1971675"/>
            <wp:effectExtent l="0" t="0" r="19050" b="9525"/>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F516D" w:rsidRPr="00F41092" w:rsidRDefault="00DF516D" w:rsidP="00DF516D">
      <w:pPr>
        <w:rPr>
          <w:sz w:val="16"/>
          <w:szCs w:val="16"/>
        </w:rPr>
      </w:pPr>
      <w:r w:rsidRPr="00F41092">
        <w:rPr>
          <w:sz w:val="16"/>
          <w:szCs w:val="16"/>
        </w:rPr>
        <w:t xml:space="preserve"> Fuente: Evaluaciones Agropecuarias y Cálculos propios.</w:t>
      </w:r>
    </w:p>
    <w:p w:rsidR="00DF516D" w:rsidRPr="003C1591" w:rsidRDefault="00DF516D" w:rsidP="00DF516D">
      <w:pPr>
        <w:spacing w:line="360" w:lineRule="auto"/>
        <w:ind w:right="302"/>
        <w:jc w:val="both"/>
      </w:pPr>
    </w:p>
    <w:p w:rsidR="00DF516D" w:rsidRDefault="00DF516D" w:rsidP="00DF516D">
      <w:pPr>
        <w:spacing w:line="360" w:lineRule="auto"/>
        <w:ind w:firstLine="284"/>
        <w:jc w:val="both"/>
      </w:pPr>
      <w:r w:rsidRPr="003C1591">
        <w:t>Para el sacrificio de Ganado, el Departamento del Quindío cuenta con cinco plantas de sacrificio animal, certificadas por el ICA en  BPM, dichas plantas están ubicadas en los municipios de Génova, Calarcá, Filandia, la Tebaida y Armenia. La planta  de Filandia está en proceso de certificación para el sacrificio de ganado porcino, pero todas están dentro del plan de racionalización departamental.</w:t>
      </w:r>
    </w:p>
    <w:p w:rsidR="00DF516D" w:rsidRPr="003C1591" w:rsidRDefault="00DF516D" w:rsidP="00DF516D">
      <w:pPr>
        <w:spacing w:line="360" w:lineRule="auto"/>
        <w:ind w:firstLine="284"/>
        <w:jc w:val="both"/>
      </w:pPr>
    </w:p>
    <w:p w:rsidR="00DF516D" w:rsidRDefault="00DF516D" w:rsidP="00DF516D">
      <w:pPr>
        <w:spacing w:line="360" w:lineRule="auto"/>
        <w:ind w:firstLine="284"/>
        <w:jc w:val="both"/>
      </w:pPr>
      <w:r w:rsidRPr="003C1591">
        <w:t xml:space="preserve">En el año 2013  en el departamento del Quindío se sacrificaron un total de 44.633 cabezas de ganado de las cuales 21.391 corresponden al  ganado bovino y 23.242 al ganado porcino, la planta que más ganado sacrificó fue </w:t>
      </w:r>
      <w:proofErr w:type="spellStart"/>
      <w:r w:rsidRPr="003C1591">
        <w:t>Frigocafé</w:t>
      </w:r>
      <w:proofErr w:type="spellEnd"/>
      <w:r w:rsidRPr="003C1591">
        <w:t xml:space="preserve"> S.A. con 36.684 cabezas; de las cuales 14.715 fueron de Bovino y 21.969 de porcino.</w:t>
      </w:r>
    </w:p>
    <w:p w:rsidR="00DF516D" w:rsidRPr="003C1591" w:rsidRDefault="00DF516D" w:rsidP="00DF516D">
      <w:pPr>
        <w:spacing w:line="360" w:lineRule="auto"/>
        <w:ind w:firstLine="284"/>
        <w:jc w:val="both"/>
      </w:pPr>
    </w:p>
    <w:p w:rsidR="00DF516D" w:rsidRDefault="00DF516D" w:rsidP="00DF516D">
      <w:pPr>
        <w:tabs>
          <w:tab w:val="left" w:pos="7111"/>
        </w:tabs>
        <w:spacing w:line="360" w:lineRule="auto"/>
        <w:ind w:firstLine="284"/>
        <w:jc w:val="both"/>
        <w:rPr>
          <w:bCs/>
        </w:rPr>
      </w:pPr>
      <w:r w:rsidRPr="003C1591">
        <w:rPr>
          <w:bCs/>
        </w:rPr>
        <w:t>“</w:t>
      </w:r>
      <w:r w:rsidRPr="006C0FEA">
        <w:rPr>
          <w:bCs/>
          <w:i/>
        </w:rPr>
        <w:t xml:space="preserve">El sector </w:t>
      </w:r>
      <w:proofErr w:type="spellStart"/>
      <w:r w:rsidRPr="006C0FEA">
        <w:rPr>
          <w:bCs/>
          <w:i/>
        </w:rPr>
        <w:t>porcícola</w:t>
      </w:r>
      <w:proofErr w:type="spellEnd"/>
      <w:r w:rsidRPr="006C0FEA">
        <w:rPr>
          <w:bCs/>
          <w:i/>
        </w:rPr>
        <w:t xml:space="preserve"> en el departamento tiene dos modalidades de explotación; existen granjas especializadas en producir lechonas, otras en ceba, otras hacen el ciclo completas de  cría y ceba. Hay registros de granjas muy tecnificadas, con certificados de ICA, pero también hay gran cantidad de granjas tradicionales sin tecnología, sin embargo, los productores de este sector son muy receptivos al acompañamiento que hace el ICA</w:t>
      </w:r>
      <w:r w:rsidRPr="003C1591">
        <w:rPr>
          <w:bCs/>
        </w:rPr>
        <w:t xml:space="preserve">.” </w:t>
      </w:r>
      <w:r>
        <w:rPr>
          <w:bCs/>
        </w:rPr>
        <w:t>(EVAS, 2012-2013).</w:t>
      </w:r>
    </w:p>
    <w:p w:rsidR="00DF516D" w:rsidRDefault="00DF516D" w:rsidP="00DF516D">
      <w:pPr>
        <w:tabs>
          <w:tab w:val="left" w:pos="7111"/>
        </w:tabs>
        <w:spacing w:line="360" w:lineRule="auto"/>
        <w:ind w:firstLine="284"/>
        <w:jc w:val="both"/>
      </w:pPr>
    </w:p>
    <w:p w:rsidR="00DF516D" w:rsidRDefault="00DF516D" w:rsidP="00DF516D">
      <w:pPr>
        <w:tabs>
          <w:tab w:val="left" w:pos="7111"/>
        </w:tabs>
        <w:spacing w:line="360" w:lineRule="auto"/>
        <w:ind w:firstLine="284"/>
        <w:jc w:val="both"/>
      </w:pPr>
      <w:r w:rsidRPr="003C1591">
        <w:lastRenderedPageBreak/>
        <w:t xml:space="preserve">En el departamento del Quindío existen tres actividades pecuarias que son: la explotación Bovina que proporciona carne y leche para el consumo local, la </w:t>
      </w:r>
      <w:proofErr w:type="spellStart"/>
      <w:r w:rsidRPr="003C1591">
        <w:t>porcícola</w:t>
      </w:r>
      <w:proofErr w:type="spellEnd"/>
      <w:r w:rsidRPr="003C1591">
        <w:t xml:space="preserve">  se destaca en cría de lechones y ceba para el consumo de  carne,  y la actividad avícola  </w:t>
      </w:r>
      <w:r>
        <w:t xml:space="preserve">con pollos de engorde y huevos. </w:t>
      </w:r>
    </w:p>
    <w:p w:rsidR="00DF516D" w:rsidRDefault="00DF516D" w:rsidP="00DF516D">
      <w:pPr>
        <w:tabs>
          <w:tab w:val="left" w:pos="7111"/>
        </w:tabs>
        <w:spacing w:line="360" w:lineRule="auto"/>
        <w:ind w:firstLine="284"/>
        <w:jc w:val="both"/>
      </w:pPr>
    </w:p>
    <w:p w:rsidR="00DF516D" w:rsidRDefault="00DF516D" w:rsidP="00DF516D">
      <w:pPr>
        <w:tabs>
          <w:tab w:val="left" w:pos="7111"/>
        </w:tabs>
        <w:spacing w:line="360" w:lineRule="auto"/>
        <w:ind w:firstLine="284"/>
        <w:jc w:val="both"/>
      </w:pPr>
      <w:r w:rsidRPr="003C1591">
        <w:t>El departamento cuenta con 114 predios destinados a la práctica</w:t>
      </w:r>
      <w:r>
        <w:t xml:space="preserve"> </w:t>
      </w:r>
      <w:proofErr w:type="spellStart"/>
      <w:r>
        <w:t>porcícolas</w:t>
      </w:r>
      <w:proofErr w:type="spellEnd"/>
      <w:r>
        <w:t>, 23 a las buenas prá</w:t>
      </w:r>
      <w:r w:rsidRPr="003C1591">
        <w:t>cticas ganaderas y 2 a BPG carne,</w:t>
      </w:r>
      <w:r w:rsidR="00FD79D4">
        <w:t xml:space="preserve"> es importante resaltar que la Secretarí</w:t>
      </w:r>
      <w:r w:rsidRPr="003C1591">
        <w:t>a de Agricultura, el Instituto Colombiano Agropecuario (ICA), la Corporación Regional del Quindío (CRQ) y las administraciones Municipales “</w:t>
      </w:r>
      <w:r w:rsidRPr="008831DA">
        <w:rPr>
          <w:i/>
        </w:rPr>
        <w:t xml:space="preserve">realizaron un trabajo de sensibilización y promoción en los productores para adelantar procesos de certificación en buenas prácticas </w:t>
      </w:r>
      <w:proofErr w:type="spellStart"/>
      <w:r w:rsidRPr="008831DA">
        <w:rPr>
          <w:i/>
        </w:rPr>
        <w:t>porcicolas</w:t>
      </w:r>
      <w:proofErr w:type="spellEnd"/>
      <w:r w:rsidRPr="008831DA">
        <w:rPr>
          <w:i/>
        </w:rPr>
        <w:t>, logrando de esta manera atender a 30 productores de los municipios de Quimbaya, Circasia, Génova y Pijao de los cuales se obtuvo la certificación de 23 porcicultores (17 en Quimbaya y 6 en Circasia) para el año 2014 se espera conseguir la certificación de los productores restantes</w:t>
      </w:r>
      <w:r w:rsidRPr="003C1591">
        <w:t>.”</w:t>
      </w:r>
      <w:r>
        <w:t xml:space="preserve"> (EVAS, 2012-2013).</w:t>
      </w:r>
    </w:p>
    <w:p w:rsidR="00DF516D" w:rsidRDefault="00DF516D" w:rsidP="00DF516D">
      <w:pPr>
        <w:tabs>
          <w:tab w:val="left" w:pos="7111"/>
        </w:tabs>
        <w:spacing w:line="360" w:lineRule="auto"/>
        <w:ind w:firstLine="284"/>
        <w:jc w:val="both"/>
      </w:pPr>
    </w:p>
    <w:p w:rsidR="006A5D7E" w:rsidRPr="003C1591" w:rsidRDefault="006A5D7E" w:rsidP="00DF516D">
      <w:pPr>
        <w:spacing w:line="360" w:lineRule="auto"/>
        <w:ind w:right="302"/>
        <w:jc w:val="both"/>
      </w:pPr>
    </w:p>
    <w:p w:rsidR="00DF516D" w:rsidRPr="00151A03" w:rsidRDefault="00DF516D" w:rsidP="00DF516D">
      <w:pPr>
        <w:ind w:right="301"/>
      </w:pPr>
      <w:r w:rsidRPr="00151A03">
        <w:t>Gráfico 9.4</w:t>
      </w:r>
    </w:p>
    <w:p w:rsidR="00DF516D" w:rsidRPr="00151A03" w:rsidRDefault="00DF516D" w:rsidP="00DF516D">
      <w:pPr>
        <w:ind w:right="301"/>
      </w:pPr>
      <w:r w:rsidRPr="00151A03">
        <w:t>Predios Certificados</w:t>
      </w:r>
    </w:p>
    <w:p w:rsidR="00DF516D" w:rsidRPr="00151A03" w:rsidRDefault="00DF516D" w:rsidP="00DF516D">
      <w:pPr>
        <w:ind w:right="301"/>
      </w:pPr>
      <w:r w:rsidRPr="00151A03">
        <w:t>2013</w:t>
      </w:r>
    </w:p>
    <w:p w:rsidR="00DF516D" w:rsidRPr="003C1591" w:rsidRDefault="00DF516D" w:rsidP="00DF516D">
      <w:pPr>
        <w:spacing w:line="360" w:lineRule="auto"/>
        <w:ind w:right="301"/>
        <w:jc w:val="center"/>
      </w:pPr>
    </w:p>
    <w:p w:rsidR="00DF516D" w:rsidRPr="003C1591" w:rsidRDefault="00DF516D" w:rsidP="00DF516D">
      <w:pPr>
        <w:rPr>
          <w:noProof/>
        </w:rPr>
      </w:pPr>
      <w:r w:rsidRPr="003C1591">
        <w:rPr>
          <w:noProof/>
        </w:rPr>
        <w:drawing>
          <wp:inline distT="0" distB="0" distL="0" distR="0" wp14:anchorId="08763682" wp14:editId="3A15DFBC">
            <wp:extent cx="4103370" cy="2457450"/>
            <wp:effectExtent l="0" t="0" r="11430" b="19050"/>
            <wp:docPr id="77" name="Gráfico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F516D" w:rsidRPr="00A20091" w:rsidRDefault="00DF516D" w:rsidP="00DF516D">
      <w:pPr>
        <w:jc w:val="both"/>
        <w:rPr>
          <w:sz w:val="16"/>
          <w:szCs w:val="16"/>
        </w:rPr>
      </w:pPr>
      <w:r>
        <w:rPr>
          <w:sz w:val="16"/>
          <w:szCs w:val="16"/>
        </w:rPr>
        <w:t xml:space="preserve">    </w:t>
      </w:r>
      <w:r w:rsidRPr="00A20091">
        <w:rPr>
          <w:sz w:val="16"/>
          <w:szCs w:val="16"/>
        </w:rPr>
        <w:t>Fuente:</w:t>
      </w:r>
      <w:r>
        <w:rPr>
          <w:sz w:val="16"/>
          <w:szCs w:val="16"/>
        </w:rPr>
        <w:t xml:space="preserve"> Evaluaciones  Agropecuarias y cálculos </w:t>
      </w:r>
      <w:r w:rsidRPr="00A20091">
        <w:rPr>
          <w:sz w:val="16"/>
          <w:szCs w:val="16"/>
        </w:rPr>
        <w:t>propios</w:t>
      </w:r>
    </w:p>
    <w:p w:rsidR="00AE5FB1" w:rsidRDefault="00AE5FB1" w:rsidP="00B40925">
      <w:pPr>
        <w:spacing w:line="360" w:lineRule="auto"/>
      </w:pPr>
    </w:p>
    <w:p w:rsidR="006C7AA9" w:rsidRDefault="00012BC5" w:rsidP="00B40925">
      <w:pPr>
        <w:spacing w:line="360" w:lineRule="auto"/>
      </w:pPr>
      <w:r>
        <w:rPr>
          <w:noProof/>
        </w:rPr>
        <w:lastRenderedPageBreak/>
        <w:drawing>
          <wp:anchor distT="0" distB="0" distL="114300" distR="114300" simplePos="0" relativeHeight="251708416" behindDoc="0" locked="0" layoutInCell="1" allowOverlap="1">
            <wp:simplePos x="0" y="0"/>
            <wp:positionH relativeFrom="column">
              <wp:posOffset>-1262774</wp:posOffset>
            </wp:positionH>
            <wp:positionV relativeFrom="paragraph">
              <wp:posOffset>-1137285</wp:posOffset>
            </wp:positionV>
            <wp:extent cx="7941069" cy="10020300"/>
            <wp:effectExtent l="0" t="0" r="3175" b="0"/>
            <wp:wrapNone/>
            <wp:docPr id="4142"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941069" cy="10020300"/>
                    </a:xfrm>
                    <a:prstGeom prst="rect">
                      <a:avLst/>
                    </a:prstGeom>
                  </pic:spPr>
                </pic:pic>
              </a:graphicData>
            </a:graphic>
            <wp14:sizeRelH relativeFrom="page">
              <wp14:pctWidth>0</wp14:pctWidth>
            </wp14:sizeRelH>
            <wp14:sizeRelV relativeFrom="page">
              <wp14:pctHeight>0</wp14:pctHeight>
            </wp14:sizeRelV>
          </wp:anchor>
        </w:drawing>
      </w:r>
    </w:p>
    <w:p w:rsidR="00B40925" w:rsidRDefault="00B40925" w:rsidP="00B40925">
      <w:pPr>
        <w:spacing w:line="360" w:lineRule="auto"/>
      </w:pPr>
    </w:p>
    <w:p w:rsidR="002044DE" w:rsidRDefault="002044DE" w:rsidP="00B40925">
      <w:pPr>
        <w:spacing w:line="360" w:lineRule="auto"/>
      </w:pPr>
    </w:p>
    <w:p w:rsidR="002044DE" w:rsidRDefault="002044DE" w:rsidP="00B40925">
      <w:pPr>
        <w:spacing w:line="360" w:lineRule="auto"/>
      </w:pPr>
    </w:p>
    <w:p w:rsidR="002044DE" w:rsidRDefault="002044DE" w:rsidP="00B40925">
      <w:pPr>
        <w:spacing w:line="360" w:lineRule="auto"/>
      </w:pPr>
    </w:p>
    <w:p w:rsidR="002044DE" w:rsidRDefault="002044DE" w:rsidP="00B40925">
      <w:pPr>
        <w:spacing w:line="360" w:lineRule="auto"/>
      </w:pPr>
    </w:p>
    <w:p w:rsidR="002044DE" w:rsidRDefault="002044DE" w:rsidP="00B40925">
      <w:pPr>
        <w:spacing w:line="360" w:lineRule="auto"/>
      </w:pPr>
    </w:p>
    <w:p w:rsidR="002044DE" w:rsidRDefault="002044DE" w:rsidP="00B40925">
      <w:pPr>
        <w:spacing w:line="360" w:lineRule="auto"/>
      </w:pPr>
    </w:p>
    <w:p w:rsidR="002044DE" w:rsidRDefault="002044DE" w:rsidP="00B40925">
      <w:pPr>
        <w:spacing w:line="360" w:lineRule="auto"/>
      </w:pPr>
    </w:p>
    <w:p w:rsidR="002044DE" w:rsidRDefault="002044DE" w:rsidP="00B40925">
      <w:pPr>
        <w:spacing w:line="360" w:lineRule="auto"/>
      </w:pPr>
    </w:p>
    <w:p w:rsidR="00720915" w:rsidRDefault="00720915" w:rsidP="00B40925">
      <w:pPr>
        <w:spacing w:line="360" w:lineRule="auto"/>
      </w:pPr>
    </w:p>
    <w:p w:rsidR="002044DE" w:rsidRDefault="002044DE" w:rsidP="00B40925">
      <w:pPr>
        <w:spacing w:line="360" w:lineRule="auto"/>
      </w:pPr>
    </w:p>
    <w:p w:rsidR="002044DE" w:rsidRDefault="002044DE" w:rsidP="00B40925">
      <w:pPr>
        <w:spacing w:line="360" w:lineRule="auto"/>
      </w:pPr>
    </w:p>
    <w:p w:rsidR="002044DE" w:rsidRDefault="002044DE" w:rsidP="002044DE">
      <w:pPr>
        <w:pStyle w:val="Ttulo1"/>
        <w:ind w:left="2832"/>
        <w:rPr>
          <w:rFonts w:ascii="Times New Roman" w:hAnsi="Times New Roman"/>
        </w:rPr>
      </w:pPr>
      <w:bookmarkStart w:id="82" w:name="_Toc406754336"/>
      <w:r w:rsidRPr="002044DE">
        <w:rPr>
          <w:rFonts w:ascii="Times New Roman" w:hAnsi="Times New Roman"/>
        </w:rPr>
        <w:t>10 Empresarial</w:t>
      </w:r>
      <w:bookmarkEnd w:id="82"/>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Default="00406FF7" w:rsidP="00406FF7">
      <w:pPr>
        <w:rPr>
          <w:lang w:val="es-ES"/>
        </w:rPr>
      </w:pPr>
    </w:p>
    <w:p w:rsidR="00406FF7" w:rsidRPr="00131C81" w:rsidRDefault="00406FF7" w:rsidP="00406FF7">
      <w:pPr>
        <w:spacing w:line="360" w:lineRule="auto"/>
        <w:ind w:firstLine="284"/>
        <w:jc w:val="both"/>
        <w:rPr>
          <w:w w:val="112"/>
        </w:rPr>
      </w:pPr>
      <w:r w:rsidRPr="00131C81">
        <w:rPr>
          <w:w w:val="112"/>
        </w:rPr>
        <w:lastRenderedPageBreak/>
        <w:t xml:space="preserve">En el actual contexto de crisis económica, de globalización y de transformación del modelo productivo, no podemos desconocer que el año 2013  fue un  </w:t>
      </w:r>
      <w:r>
        <w:rPr>
          <w:w w:val="112"/>
        </w:rPr>
        <w:t xml:space="preserve">año de grandes dificultades; la capacidad </w:t>
      </w:r>
      <w:r w:rsidRPr="00131C81">
        <w:rPr>
          <w:w w:val="112"/>
        </w:rPr>
        <w:t>competitiva, productiva y</w:t>
      </w:r>
      <w:r>
        <w:rPr>
          <w:w w:val="112"/>
        </w:rPr>
        <w:t xml:space="preserve"> </w:t>
      </w:r>
      <w:r w:rsidRPr="00131C81">
        <w:rPr>
          <w:w w:val="112"/>
        </w:rPr>
        <w:t xml:space="preserve">rendimiento económico de las empresas, es el escenario mundial </w:t>
      </w:r>
      <w:r w:rsidR="00FD79D4">
        <w:rPr>
          <w:w w:val="112"/>
        </w:rPr>
        <w:t xml:space="preserve">de </w:t>
      </w:r>
      <w:r w:rsidRPr="00131C81">
        <w:rPr>
          <w:w w:val="112"/>
        </w:rPr>
        <w:t>los mercados</w:t>
      </w:r>
      <w:r>
        <w:rPr>
          <w:w w:val="112"/>
        </w:rPr>
        <w:t xml:space="preserve"> </w:t>
      </w:r>
      <w:r w:rsidRPr="00131C81">
        <w:rPr>
          <w:w w:val="112"/>
        </w:rPr>
        <w:t>internacionales que se caracterizan por una demanda débil y se mantiene un</w:t>
      </w:r>
      <w:r>
        <w:rPr>
          <w:w w:val="112"/>
        </w:rPr>
        <w:t xml:space="preserve"> </w:t>
      </w:r>
      <w:r w:rsidRPr="00131C81">
        <w:rPr>
          <w:w w:val="112"/>
        </w:rPr>
        <w:t xml:space="preserve">entorno incierto e inestable. </w:t>
      </w:r>
    </w:p>
    <w:p w:rsidR="00406FF7" w:rsidRPr="00131C81" w:rsidRDefault="00406FF7" w:rsidP="00406FF7">
      <w:pPr>
        <w:autoSpaceDE w:val="0"/>
        <w:autoSpaceDN w:val="0"/>
        <w:adjustRightInd w:val="0"/>
        <w:spacing w:line="360" w:lineRule="auto"/>
        <w:ind w:firstLine="284"/>
        <w:jc w:val="both"/>
      </w:pPr>
    </w:p>
    <w:p w:rsidR="00406FF7" w:rsidRPr="00131C81" w:rsidRDefault="00406FF7" w:rsidP="00406FF7">
      <w:pPr>
        <w:autoSpaceDE w:val="0"/>
        <w:autoSpaceDN w:val="0"/>
        <w:adjustRightInd w:val="0"/>
        <w:spacing w:line="360" w:lineRule="auto"/>
        <w:ind w:firstLine="284"/>
        <w:jc w:val="both"/>
      </w:pPr>
      <w:r w:rsidRPr="00131C81">
        <w:t xml:space="preserve">El comercio exterior colombiano tampoco ha sido ajeno a estos problemas. La desaceleración de la economía global, el menor crecimiento de los Estados Unidos, el descenso de los precios de las materias primas a nivel mundial, sumado a los altos costos que asumen las empresas para producir en Colombia, han propiciado el lento avance del comercio colombiano en el 2013. En efecto, para los primeros diez meses de 2013 las exportaciones totales colombianas se redujeron  en 3,5%, de las cuales las manufactureras apenas aumentaron 0,9%. </w:t>
      </w:r>
    </w:p>
    <w:p w:rsidR="00406FF7" w:rsidRPr="00131C81" w:rsidRDefault="00406FF7" w:rsidP="00406FF7">
      <w:pPr>
        <w:autoSpaceDE w:val="0"/>
        <w:autoSpaceDN w:val="0"/>
        <w:adjustRightInd w:val="0"/>
        <w:spacing w:line="360" w:lineRule="auto"/>
        <w:ind w:firstLine="284"/>
        <w:jc w:val="both"/>
      </w:pPr>
    </w:p>
    <w:p w:rsidR="00406FF7" w:rsidRPr="00131C81" w:rsidRDefault="00406FF7" w:rsidP="00406FF7">
      <w:pPr>
        <w:autoSpaceDE w:val="0"/>
        <w:autoSpaceDN w:val="0"/>
        <w:adjustRightInd w:val="0"/>
        <w:spacing w:line="360" w:lineRule="auto"/>
        <w:ind w:firstLine="284"/>
        <w:jc w:val="both"/>
      </w:pPr>
      <w:r w:rsidRPr="00131C81">
        <w:t>Igualmente</w:t>
      </w:r>
      <w:r w:rsidR="0078096E">
        <w:t>,</w:t>
      </w:r>
      <w:r w:rsidRPr="00131C81">
        <w:t xml:space="preserve"> reiteramos las limitaciones que tiene el país en materia de competitividad. Los avances en el año 2013, fueron escasos. Seguimos ocupando un puesto similar al que hemos ocupado en los últimos años, con el agravante que algunos de nuestros competidores en la región ya muestran avances importantes. </w:t>
      </w:r>
    </w:p>
    <w:p w:rsidR="00406FF7" w:rsidRPr="00131C81" w:rsidRDefault="00406FF7" w:rsidP="00406FF7">
      <w:pPr>
        <w:autoSpaceDE w:val="0"/>
        <w:autoSpaceDN w:val="0"/>
        <w:adjustRightInd w:val="0"/>
        <w:spacing w:line="360" w:lineRule="auto"/>
        <w:jc w:val="both"/>
      </w:pPr>
    </w:p>
    <w:p w:rsidR="00406FF7" w:rsidRDefault="00406FF7" w:rsidP="00406FF7">
      <w:pPr>
        <w:spacing w:line="360" w:lineRule="auto"/>
        <w:ind w:firstLine="284"/>
        <w:jc w:val="both"/>
      </w:pPr>
      <w:r w:rsidRPr="00131C81">
        <w:t xml:space="preserve">En este panorama mixto, ¿qué oportunidades y retos tiene Colombia para el 2014? Sin duda, el país tiene grandes oportunidades. Los acuerdos comerciales abren nuevos mercados. </w:t>
      </w:r>
      <w:r>
        <w:t>Es necesario</w:t>
      </w:r>
      <w:r w:rsidRPr="00131C81">
        <w:t xml:space="preserve"> administrar estos acuerdos y aprovechar las ventajas que trae la internacionalización. </w:t>
      </w:r>
      <w:r w:rsidR="00C3008E">
        <w:t xml:space="preserve">En infraestructura ya se cuenta </w:t>
      </w:r>
      <w:r w:rsidRPr="00131C81">
        <w:t xml:space="preserve">con proyectos ambiciosos debidamente estructurados por un valor que se acerca a </w:t>
      </w:r>
      <w:r>
        <w:t xml:space="preserve">los </w:t>
      </w:r>
      <w:r w:rsidRPr="00131C81">
        <w:t>$50 billones. Aquí no sólo tenemos una oportunidad de crecimiento sino también de avanzar en competitividad</w:t>
      </w:r>
      <w:r w:rsidRPr="00131C81">
        <w:rPr>
          <w:rStyle w:val="Refdenotaalpie"/>
        </w:rPr>
        <w:footnoteReference w:id="35"/>
      </w:r>
    </w:p>
    <w:p w:rsidR="00406FF7" w:rsidRDefault="00406FF7" w:rsidP="00406FF7">
      <w:pPr>
        <w:spacing w:line="360" w:lineRule="auto"/>
        <w:ind w:firstLine="284"/>
        <w:jc w:val="both"/>
      </w:pPr>
    </w:p>
    <w:p w:rsidR="00406FF7" w:rsidRPr="00131C81" w:rsidRDefault="00406FF7" w:rsidP="00406FF7">
      <w:pPr>
        <w:spacing w:line="360" w:lineRule="auto"/>
        <w:ind w:firstLine="284"/>
        <w:jc w:val="both"/>
      </w:pPr>
    </w:p>
    <w:p w:rsidR="00406FF7" w:rsidRDefault="00406FF7" w:rsidP="00406FF7">
      <w:pPr>
        <w:spacing w:line="360" w:lineRule="auto"/>
        <w:ind w:firstLine="284"/>
        <w:jc w:val="both"/>
      </w:pPr>
      <w:r w:rsidRPr="00131C81">
        <w:lastRenderedPageBreak/>
        <w:t>En materia de exportaciones el panorama no es el mejor, pues la firma de TLC a la fecha no ha dado los resultados esperados. De acuerdo con los registros obtenidos desde que se firmó el tratado en 2012 (</w:t>
      </w:r>
      <w:r>
        <w:t>L</w:t>
      </w:r>
      <w:r w:rsidRPr="00131C81">
        <w:t xml:space="preserve">ey 1143 de 2007)  hasta el </w:t>
      </w:r>
      <w:r>
        <w:t xml:space="preserve">2013, el Quindío ha exportado USD </w:t>
      </w:r>
      <w:r w:rsidRPr="00131C81">
        <w:t>$370’990.754.  De</w:t>
      </w:r>
      <w:r>
        <w:t xml:space="preserve"> estas exportaciones totales, USD </w:t>
      </w:r>
      <w:r w:rsidRPr="00131C81">
        <w:t>$183’975.983,13 fueron al país del Norte</w:t>
      </w:r>
      <w:r>
        <w:t>.</w:t>
      </w:r>
      <w:r w:rsidRPr="00131C81">
        <w:t xml:space="preserve"> En detalle, las exportaciones</w:t>
      </w:r>
      <w:r>
        <w:t xml:space="preserve"> </w:t>
      </w:r>
      <w:r w:rsidRPr="00131C81">
        <w:t>de</w:t>
      </w:r>
      <w:r w:rsidRPr="00131C81">
        <w:rPr>
          <w:rStyle w:val="apple-converted-space"/>
        </w:rPr>
        <w:t> </w:t>
      </w:r>
      <w:r w:rsidRPr="00F91F4F">
        <w:rPr>
          <w:bCs/>
        </w:rPr>
        <w:t>2012</w:t>
      </w:r>
      <w:r w:rsidRPr="00131C81">
        <w:rPr>
          <w:rStyle w:val="apple-converted-space"/>
        </w:rPr>
        <w:t> </w:t>
      </w:r>
      <w:r>
        <w:t xml:space="preserve">fueron USD $163’950.608, el 46,9% (USD </w:t>
      </w:r>
      <w:r w:rsidRPr="00131C81">
        <w:t xml:space="preserve">$77’051.164,13), fueron a los Estados Unidos. De esos 77 millones de dólares, el 98,3% son exportaciones </w:t>
      </w:r>
      <w:r>
        <w:t xml:space="preserve">tradicionales; es decir, café y, solo 1,64% (USD </w:t>
      </w:r>
      <w:r w:rsidRPr="00131C81">
        <w:t>$1’268.361,97) no tradicionales.</w:t>
      </w:r>
    </w:p>
    <w:p w:rsidR="00406FF7" w:rsidRDefault="00406FF7" w:rsidP="00406FF7">
      <w:pPr>
        <w:spacing w:line="360" w:lineRule="auto"/>
        <w:ind w:firstLine="284"/>
        <w:jc w:val="both"/>
      </w:pPr>
    </w:p>
    <w:p w:rsidR="00406FF7" w:rsidRDefault="00406FF7" w:rsidP="00406FF7">
      <w:pPr>
        <w:spacing w:line="360" w:lineRule="auto"/>
        <w:ind w:firstLine="284"/>
        <w:jc w:val="both"/>
        <w:rPr>
          <w:shd w:val="clear" w:color="auto" w:fill="FFFFFF"/>
        </w:rPr>
      </w:pPr>
      <w:r w:rsidRPr="00131C81">
        <w:rPr>
          <w:bCs/>
        </w:rPr>
        <w:t>En 2013</w:t>
      </w:r>
      <w:r>
        <w:t xml:space="preserve">, el Quindío exportó USD $207’040.146, de los cuales USD </w:t>
      </w:r>
      <w:r w:rsidRPr="00131C81">
        <w:t>$106’924.819 (51,5%) fueron a los Estados Unidos. De los 106</w:t>
      </w:r>
      <w:r>
        <w:t xml:space="preserve"> millones exportados en 2013, USD </w:t>
      </w:r>
      <w:r w:rsidRPr="00131C81">
        <w:t>$105’345.452 (98,52%</w:t>
      </w:r>
      <w:r>
        <w:t xml:space="preserve">) son ventas de café y apenas USD </w:t>
      </w:r>
      <w:r w:rsidRPr="00131C81">
        <w:t>$1’574.367 (1,47%), no tradicionales. </w:t>
      </w:r>
      <w:r w:rsidRPr="00131C81">
        <w:rPr>
          <w:bCs/>
        </w:rPr>
        <w:t>Además del café, el Quindío está exportando derivados del café, preparaciones alimenticias diversas, productos de confitería, frutas y hortalizas, productos de panadería y molinería, legumbres y hortalizas frescas, frutas y hortalizas procesadas, metalurgia y manufacturas de hierro, confecciones y servicios</w:t>
      </w:r>
      <w:r w:rsidRPr="00131C81">
        <w:rPr>
          <w:shd w:val="clear" w:color="auto" w:fill="FFFFFF"/>
        </w:rPr>
        <w:t>.</w:t>
      </w:r>
    </w:p>
    <w:p w:rsidR="00406FF7" w:rsidRDefault="00406FF7" w:rsidP="00406FF7">
      <w:pPr>
        <w:spacing w:line="360" w:lineRule="auto"/>
        <w:ind w:firstLine="284"/>
        <w:jc w:val="both"/>
        <w:rPr>
          <w:shd w:val="clear" w:color="auto" w:fill="FFFFFF"/>
        </w:rPr>
      </w:pPr>
    </w:p>
    <w:p w:rsidR="00406FF7" w:rsidRDefault="00406FF7" w:rsidP="00406FF7">
      <w:pPr>
        <w:spacing w:line="360" w:lineRule="auto"/>
        <w:ind w:firstLine="284"/>
        <w:jc w:val="both"/>
      </w:pPr>
      <w:r w:rsidRPr="00131C81">
        <w:t>Si bien se nota un aumento del 4,65% en las exportaciones a Estados Unidos</w:t>
      </w:r>
      <w:r w:rsidR="00F53E28">
        <w:t>,</w:t>
      </w:r>
      <w:r w:rsidRPr="00131C81">
        <w:t xml:space="preserve"> esta tendencia obedece más a la labor de los empresarios quindianos que hace tiempo venían trabajando para ampliar</w:t>
      </w:r>
      <w:r w:rsidR="00F53E28">
        <w:t xml:space="preserve"> el comercio con esa nación,</w:t>
      </w:r>
      <w:r w:rsidRPr="00131C81">
        <w:t xml:space="preserve"> a la firma del TLC y a estrategias  de los gobiernos de turno. </w:t>
      </w:r>
    </w:p>
    <w:p w:rsidR="00406FF7" w:rsidRDefault="00406FF7" w:rsidP="00406FF7">
      <w:pPr>
        <w:spacing w:line="360" w:lineRule="auto"/>
        <w:ind w:firstLine="284"/>
        <w:jc w:val="both"/>
      </w:pPr>
    </w:p>
    <w:p w:rsidR="00406FF7" w:rsidRDefault="00406FF7" w:rsidP="00406FF7">
      <w:pPr>
        <w:spacing w:line="360" w:lineRule="auto"/>
        <w:ind w:firstLine="284"/>
        <w:jc w:val="both"/>
      </w:pPr>
      <w:r w:rsidRPr="00131C81">
        <w:t xml:space="preserve"> Ahora    bien,  de   acuerdo  al  Plan  de  Competitividad  Regional  del  departamento    </w:t>
      </w:r>
      <w:r>
        <w:t>dentro del entorno  económico  empresarial se encuentra</w:t>
      </w:r>
      <w:r w:rsidRPr="00131C81">
        <w:t xml:space="preserve"> </w:t>
      </w:r>
      <w:r>
        <w:t>l</w:t>
      </w:r>
      <w:r w:rsidRPr="00131C81">
        <w:t>a   visión  Quindío  2032</w:t>
      </w:r>
      <w:r>
        <w:t>:</w:t>
      </w:r>
      <w:r w:rsidRPr="00131C81">
        <w:t xml:space="preserve">   “</w:t>
      </w:r>
      <w:r w:rsidRPr="00FF37B5">
        <w:rPr>
          <w:i/>
        </w:rPr>
        <w:t xml:space="preserve">El  Quindío  será  un  departamento  ambientalmente  sostenible y  sustentable,  equitativo,  justo  e  incluyente  socialmente,  modelo  de  integración  regional  y  </w:t>
      </w:r>
      <w:proofErr w:type="spellStart"/>
      <w:r w:rsidRPr="00FF37B5">
        <w:rPr>
          <w:i/>
        </w:rPr>
        <w:t>asociatividad</w:t>
      </w:r>
      <w:proofErr w:type="spellEnd"/>
      <w:r w:rsidRPr="00FF37B5">
        <w:rPr>
          <w:i/>
        </w:rPr>
        <w:t xml:space="preserve">,  con  un  nivel  de   ingreso medio alto per-cápita; y  en  los  cinco  primeros  lugares  de  competitividad  nacional,  basado  en  el  aumento  de  la  diversificación  de  la  productividad  agroexportadora, turismo  y  otros  servicios  con  alto  valor  agregado; </w:t>
      </w:r>
      <w:r w:rsidRPr="00FF37B5">
        <w:rPr>
          <w:i/>
        </w:rPr>
        <w:lastRenderedPageBreak/>
        <w:t>mediante  desarrollo  de  competencias  educativas, formación  laboral, investigación  y  tecnología  avanzada,  y en  conectividad  con  el  mundo  globalizado</w:t>
      </w:r>
      <w:r w:rsidRPr="00131C81">
        <w:t>"</w:t>
      </w:r>
      <w:r w:rsidR="00FF37B5">
        <w:t xml:space="preserve"> (Visión 2032)</w:t>
      </w:r>
    </w:p>
    <w:p w:rsidR="00406FF7" w:rsidRDefault="00406FF7" w:rsidP="00406FF7">
      <w:pPr>
        <w:spacing w:line="360" w:lineRule="auto"/>
        <w:ind w:firstLine="284"/>
        <w:jc w:val="both"/>
      </w:pPr>
    </w:p>
    <w:p w:rsidR="00406FF7" w:rsidRDefault="00406FF7" w:rsidP="00406FF7">
      <w:pPr>
        <w:spacing w:line="360" w:lineRule="auto"/>
        <w:ind w:firstLine="284"/>
        <w:jc w:val="both"/>
      </w:pPr>
      <w:r>
        <w:t>E</w:t>
      </w:r>
      <w:r w:rsidRPr="00131C81">
        <w:t>l Plan Regional de Competitividad, orienta a nuestro Departamento hacia una visión competitiva a 2.032, por medio de objetivos estratégicos encaminados a desarrollar nuestra economía con un enfoque hacia mercados internacionales, fortaleciendo igualmente nuestros productos y servicios de comercialización nacional, diseñando los planes y estrategias necesarias para la generación de empresas y empleos en aras de mejorar su calidad y formalización, fundamentados en la innovación y en la educación como pilares de crecimiento continuo. Estos</w:t>
      </w:r>
      <w:r w:rsidRPr="00BF7CC0">
        <w:t xml:space="preserve"> esfuerzos y el mejoramiento continuo</w:t>
      </w:r>
      <w:r>
        <w:t xml:space="preserve"> </w:t>
      </w:r>
      <w:r w:rsidRPr="00BF7CC0">
        <w:t>de la política pública para la competitividad, pretenden transformar al Departamento del Quindío en</w:t>
      </w:r>
      <w:r>
        <w:t xml:space="preserve"> </w:t>
      </w:r>
      <w:r w:rsidRPr="00BF7CC0">
        <w:t>el escenario propicio para la inversión nacional y extranjera</w:t>
      </w:r>
      <w:r>
        <w:t>.</w:t>
      </w:r>
      <w:r>
        <w:rPr>
          <w:rStyle w:val="Refdenotaalpie"/>
        </w:rPr>
        <w:footnoteReference w:id="36"/>
      </w:r>
    </w:p>
    <w:p w:rsidR="00406FF7" w:rsidRDefault="00406FF7" w:rsidP="00406FF7">
      <w:pPr>
        <w:autoSpaceDE w:val="0"/>
        <w:autoSpaceDN w:val="0"/>
        <w:adjustRightInd w:val="0"/>
        <w:spacing w:line="360" w:lineRule="auto"/>
        <w:jc w:val="both"/>
        <w:rPr>
          <w:vertAlign w:val="superscript"/>
        </w:rPr>
      </w:pPr>
    </w:p>
    <w:p w:rsidR="00406FF7" w:rsidRPr="00A8358D" w:rsidRDefault="00406FF7" w:rsidP="00406FF7">
      <w:pPr>
        <w:autoSpaceDE w:val="0"/>
        <w:autoSpaceDN w:val="0"/>
        <w:adjustRightInd w:val="0"/>
        <w:spacing w:line="360" w:lineRule="auto"/>
        <w:ind w:firstLine="284"/>
        <w:jc w:val="both"/>
        <w:rPr>
          <w:vertAlign w:val="superscript"/>
        </w:rPr>
      </w:pPr>
      <w:r w:rsidRPr="00A8358D">
        <w:t xml:space="preserve">Para </w:t>
      </w:r>
      <w:r>
        <w:rPr>
          <w:vertAlign w:val="subscript"/>
        </w:rPr>
        <w:t xml:space="preserve">  </w:t>
      </w:r>
      <w:r>
        <w:t>hacer  un  análisis  objetivo  del entorno  económico</w:t>
      </w:r>
      <w:r w:rsidR="0063469D">
        <w:t>,</w:t>
      </w:r>
      <w:r>
        <w:t xml:space="preserve">  es  necesario  saber   que  las  actividades  económicas  de   mayor  importancia   en  el  departamento    son  el  agro (agricultura, ganadería,  caza, silvicultura y  pesca)  y  el  comercio  incluyendo  la  industria  hotelera (comercio, reparación, restaurantes  y  hoteles).</w:t>
      </w:r>
    </w:p>
    <w:p w:rsidR="00406FF7" w:rsidRPr="00A304F5" w:rsidRDefault="00406FF7" w:rsidP="00406FF7">
      <w:pPr>
        <w:pStyle w:val="Prrafodelista"/>
        <w:spacing w:line="360" w:lineRule="auto"/>
        <w:ind w:left="0" w:firstLine="284"/>
        <w:jc w:val="both"/>
      </w:pPr>
    </w:p>
    <w:p w:rsidR="00406FF7" w:rsidRPr="003B3716" w:rsidRDefault="003B3716" w:rsidP="003B3716">
      <w:pPr>
        <w:pStyle w:val="Ttulo2"/>
        <w:rPr>
          <w:rFonts w:ascii="Times New Roman" w:hAnsi="Times New Roman" w:cs="Times New Roman"/>
          <w:sz w:val="30"/>
          <w:szCs w:val="30"/>
        </w:rPr>
      </w:pPr>
      <w:bookmarkStart w:id="83" w:name="_Toc406754337"/>
      <w:r w:rsidRPr="003B3716">
        <w:rPr>
          <w:rFonts w:ascii="Times New Roman" w:hAnsi="Times New Roman" w:cs="Times New Roman"/>
          <w:color w:val="auto"/>
          <w:sz w:val="30"/>
          <w:szCs w:val="30"/>
        </w:rPr>
        <w:t xml:space="preserve">10.1 </w:t>
      </w:r>
      <w:r w:rsidR="00406FF7" w:rsidRPr="003B3716">
        <w:rPr>
          <w:rFonts w:ascii="Times New Roman" w:hAnsi="Times New Roman" w:cs="Times New Roman"/>
          <w:color w:val="auto"/>
          <w:sz w:val="30"/>
          <w:szCs w:val="30"/>
        </w:rPr>
        <w:t>Estructura empresarial del departamento del Quindío</w:t>
      </w:r>
      <w:bookmarkEnd w:id="83"/>
      <w:r w:rsidR="00406FF7" w:rsidRPr="003B3716">
        <w:rPr>
          <w:rFonts w:ascii="Times New Roman" w:hAnsi="Times New Roman" w:cs="Times New Roman"/>
          <w:sz w:val="30"/>
          <w:szCs w:val="30"/>
        </w:rPr>
        <w:t xml:space="preserve"> </w:t>
      </w:r>
    </w:p>
    <w:p w:rsidR="00406FF7" w:rsidRDefault="00406FF7" w:rsidP="00406FF7">
      <w:pPr>
        <w:pStyle w:val="Default"/>
        <w:spacing w:line="360" w:lineRule="auto"/>
        <w:jc w:val="both"/>
        <w:rPr>
          <w:rFonts w:ascii="Times New Roman" w:hAnsi="Times New Roman" w:cs="Times New Roman"/>
        </w:rPr>
      </w:pPr>
    </w:p>
    <w:p w:rsidR="00406FF7" w:rsidRPr="00766035" w:rsidRDefault="003B3716" w:rsidP="003B3716">
      <w:pPr>
        <w:pStyle w:val="Default"/>
        <w:spacing w:line="360" w:lineRule="auto"/>
        <w:ind w:firstLine="284"/>
        <w:jc w:val="both"/>
        <w:rPr>
          <w:rFonts w:ascii="Times New Roman" w:hAnsi="Times New Roman" w:cs="Times New Roman"/>
        </w:rPr>
      </w:pPr>
      <w:r>
        <w:rPr>
          <w:rFonts w:ascii="Times New Roman" w:hAnsi="Times New Roman" w:cs="Times New Roman"/>
        </w:rPr>
        <w:t>De acuerdo con las cifras presentadas por la</w:t>
      </w:r>
      <w:r w:rsidR="00406FF7" w:rsidRPr="00766035">
        <w:rPr>
          <w:rFonts w:ascii="Times New Roman" w:hAnsi="Times New Roman" w:cs="Times New Roman"/>
        </w:rPr>
        <w:t xml:space="preserve"> Cámara de Comercio d</w:t>
      </w:r>
      <w:r w:rsidR="00406FF7">
        <w:rPr>
          <w:rFonts w:ascii="Times New Roman" w:hAnsi="Times New Roman" w:cs="Times New Roman"/>
        </w:rPr>
        <w:t>e Armenia y del Quindío</w:t>
      </w:r>
      <w:r>
        <w:rPr>
          <w:rFonts w:ascii="Times New Roman" w:hAnsi="Times New Roman" w:cs="Times New Roman"/>
        </w:rPr>
        <w:t>,</w:t>
      </w:r>
      <w:r w:rsidR="00406FF7">
        <w:rPr>
          <w:rFonts w:ascii="Times New Roman" w:hAnsi="Times New Roman" w:cs="Times New Roman"/>
        </w:rPr>
        <w:t xml:space="preserve"> pa</w:t>
      </w:r>
      <w:r w:rsidR="00406FF7" w:rsidRPr="00766035">
        <w:rPr>
          <w:rFonts w:ascii="Times New Roman" w:hAnsi="Times New Roman" w:cs="Times New Roman"/>
        </w:rPr>
        <w:t xml:space="preserve">ra el año 2013 se presentó un incremento del </w:t>
      </w:r>
      <w:r w:rsidR="00406FF7" w:rsidRPr="001F7FF9">
        <w:rPr>
          <w:rFonts w:ascii="Times New Roman" w:hAnsi="Times New Roman" w:cs="Times New Roman"/>
          <w:bCs/>
        </w:rPr>
        <w:t>4.77%</w:t>
      </w:r>
      <w:r w:rsidR="00406FF7" w:rsidRPr="00766035">
        <w:rPr>
          <w:rFonts w:ascii="Times New Roman" w:hAnsi="Times New Roman" w:cs="Times New Roman"/>
          <w:b/>
          <w:bCs/>
        </w:rPr>
        <w:t xml:space="preserve"> </w:t>
      </w:r>
      <w:r w:rsidR="00406FF7" w:rsidRPr="00766035">
        <w:rPr>
          <w:rFonts w:ascii="Times New Roman" w:hAnsi="Times New Roman" w:cs="Times New Roman"/>
        </w:rPr>
        <w:t xml:space="preserve">en el registro de nuevas empresas respecto al año 2012 y un </w:t>
      </w:r>
      <w:r w:rsidR="00406FF7" w:rsidRPr="001F7FF9">
        <w:rPr>
          <w:rFonts w:ascii="Times New Roman" w:hAnsi="Times New Roman" w:cs="Times New Roman"/>
          <w:bCs/>
        </w:rPr>
        <w:t>27,15%</w:t>
      </w:r>
      <w:r w:rsidR="00406FF7" w:rsidRPr="00766035">
        <w:rPr>
          <w:rFonts w:ascii="Times New Roman" w:hAnsi="Times New Roman" w:cs="Times New Roman"/>
          <w:b/>
          <w:bCs/>
        </w:rPr>
        <w:t xml:space="preserve"> </w:t>
      </w:r>
      <w:r w:rsidR="00406FF7" w:rsidRPr="00766035">
        <w:rPr>
          <w:rFonts w:ascii="Times New Roman" w:hAnsi="Times New Roman" w:cs="Times New Roman"/>
        </w:rPr>
        <w:t xml:space="preserve">más que en el año 2011. Lo anterior significa que en el año 2013 se presentaron </w:t>
      </w:r>
      <w:r w:rsidR="00406FF7" w:rsidRPr="001F7FF9">
        <w:rPr>
          <w:rFonts w:ascii="Times New Roman" w:hAnsi="Times New Roman" w:cs="Times New Roman"/>
          <w:bCs/>
        </w:rPr>
        <w:t>172</w:t>
      </w:r>
      <w:r w:rsidR="00406FF7" w:rsidRPr="00766035">
        <w:rPr>
          <w:rFonts w:ascii="Times New Roman" w:hAnsi="Times New Roman" w:cs="Times New Roman"/>
          <w:b/>
          <w:bCs/>
        </w:rPr>
        <w:t xml:space="preserve"> </w:t>
      </w:r>
      <w:r w:rsidR="00406FF7" w:rsidRPr="00766035">
        <w:rPr>
          <w:rFonts w:ascii="Times New Roman" w:hAnsi="Times New Roman" w:cs="Times New Roman"/>
        </w:rPr>
        <w:t xml:space="preserve">registros más de nuevas empresas que en el año 2012 </w:t>
      </w:r>
      <w:r w:rsidR="00406FF7">
        <w:rPr>
          <w:rFonts w:ascii="Times New Roman" w:hAnsi="Times New Roman" w:cs="Times New Roman"/>
        </w:rPr>
        <w:t xml:space="preserve"> </w:t>
      </w:r>
      <w:r w:rsidR="00406FF7" w:rsidRPr="00766035">
        <w:rPr>
          <w:rFonts w:ascii="Times New Roman" w:hAnsi="Times New Roman" w:cs="Times New Roman"/>
        </w:rPr>
        <w:t xml:space="preserve">y </w:t>
      </w:r>
      <w:r w:rsidR="00406FF7" w:rsidRPr="001F7FF9">
        <w:rPr>
          <w:rFonts w:ascii="Times New Roman" w:hAnsi="Times New Roman" w:cs="Times New Roman"/>
          <w:bCs/>
        </w:rPr>
        <w:t>807</w:t>
      </w:r>
      <w:r w:rsidR="00406FF7">
        <w:rPr>
          <w:rFonts w:ascii="Times New Roman" w:hAnsi="Times New Roman" w:cs="Times New Roman"/>
          <w:b/>
          <w:bCs/>
        </w:rPr>
        <w:t xml:space="preserve"> </w:t>
      </w:r>
      <w:r w:rsidR="00406FF7" w:rsidRPr="00766035">
        <w:rPr>
          <w:rFonts w:ascii="Times New Roman" w:hAnsi="Times New Roman" w:cs="Times New Roman"/>
          <w:b/>
          <w:bCs/>
        </w:rPr>
        <w:t xml:space="preserve"> </w:t>
      </w:r>
      <w:r w:rsidR="00406FF7" w:rsidRPr="00766035">
        <w:rPr>
          <w:rFonts w:ascii="Times New Roman" w:hAnsi="Times New Roman" w:cs="Times New Roman"/>
        </w:rPr>
        <w:t xml:space="preserve">nuevos </w:t>
      </w:r>
      <w:r w:rsidR="00406FF7">
        <w:rPr>
          <w:rFonts w:ascii="Times New Roman" w:hAnsi="Times New Roman" w:cs="Times New Roman"/>
        </w:rPr>
        <w:t xml:space="preserve"> </w:t>
      </w:r>
      <w:r w:rsidR="00406FF7" w:rsidRPr="00766035">
        <w:rPr>
          <w:rFonts w:ascii="Times New Roman" w:hAnsi="Times New Roman" w:cs="Times New Roman"/>
        </w:rPr>
        <w:t>registros comparados con los realizados durante el 2011.</w:t>
      </w:r>
    </w:p>
    <w:p w:rsidR="00406FF7" w:rsidRDefault="00406FF7" w:rsidP="003B3716">
      <w:pPr>
        <w:widowControl w:val="0"/>
        <w:autoSpaceDE w:val="0"/>
        <w:autoSpaceDN w:val="0"/>
        <w:adjustRightInd w:val="0"/>
        <w:spacing w:line="360" w:lineRule="auto"/>
        <w:ind w:firstLine="284"/>
        <w:jc w:val="both"/>
        <w:rPr>
          <w:lang w:val="es-ES_tradnl"/>
        </w:rPr>
      </w:pPr>
    </w:p>
    <w:p w:rsidR="00406FF7" w:rsidRDefault="003B3716" w:rsidP="003B3716">
      <w:pPr>
        <w:widowControl w:val="0"/>
        <w:autoSpaceDE w:val="0"/>
        <w:autoSpaceDN w:val="0"/>
        <w:adjustRightInd w:val="0"/>
        <w:spacing w:line="360" w:lineRule="auto"/>
        <w:ind w:firstLine="284"/>
        <w:jc w:val="both"/>
        <w:rPr>
          <w:color w:val="000000"/>
        </w:rPr>
      </w:pPr>
      <w:r>
        <w:rPr>
          <w:color w:val="000000"/>
        </w:rPr>
        <w:t>L</w:t>
      </w:r>
      <w:r w:rsidR="00406FF7" w:rsidRPr="00766035">
        <w:rPr>
          <w:color w:val="000000"/>
        </w:rPr>
        <w:t>a estructura empresarial</w:t>
      </w:r>
      <w:r w:rsidR="00406FF7">
        <w:rPr>
          <w:color w:val="000000"/>
        </w:rPr>
        <w:t xml:space="preserve"> </w:t>
      </w:r>
      <w:r w:rsidR="00406FF7" w:rsidRPr="00766035">
        <w:rPr>
          <w:color w:val="000000"/>
        </w:rPr>
        <w:t>está conformada</w:t>
      </w:r>
      <w:r w:rsidR="0032272F">
        <w:rPr>
          <w:color w:val="000000"/>
        </w:rPr>
        <w:t xml:space="preserve"> a la fecha</w:t>
      </w:r>
      <w:r w:rsidR="00406FF7" w:rsidRPr="00766035">
        <w:rPr>
          <w:color w:val="000000"/>
        </w:rPr>
        <w:t xml:space="preserve"> por cerca de</w:t>
      </w:r>
      <w:r w:rsidR="00406FF7">
        <w:rPr>
          <w:color w:val="000000"/>
        </w:rPr>
        <w:t xml:space="preserve"> </w:t>
      </w:r>
      <w:r w:rsidR="00406FF7" w:rsidRPr="00766035">
        <w:rPr>
          <w:color w:val="000000"/>
        </w:rPr>
        <w:t>15.055 empresas,</w:t>
      </w:r>
      <w:r w:rsidR="00406FF7">
        <w:rPr>
          <w:color w:val="000000"/>
        </w:rPr>
        <w:t xml:space="preserve"> </w:t>
      </w:r>
      <w:r w:rsidR="00406FF7" w:rsidRPr="00766035">
        <w:rPr>
          <w:color w:val="000000"/>
        </w:rPr>
        <w:t>de las cuales 6.669 p</w:t>
      </w:r>
      <w:r w:rsidR="00406FF7">
        <w:rPr>
          <w:color w:val="000000"/>
        </w:rPr>
        <w:t xml:space="preserve">ertenecen al comercio; 2.215  a </w:t>
      </w:r>
      <w:r w:rsidR="00406FF7" w:rsidRPr="00766035">
        <w:rPr>
          <w:color w:val="000000"/>
        </w:rPr>
        <w:t>alojamiento</w:t>
      </w:r>
      <w:r w:rsidR="00406FF7">
        <w:rPr>
          <w:color w:val="000000"/>
        </w:rPr>
        <w:t xml:space="preserve">s </w:t>
      </w:r>
      <w:r w:rsidR="00406FF7" w:rsidRPr="00766035">
        <w:rPr>
          <w:color w:val="000000"/>
        </w:rPr>
        <w:t>y</w:t>
      </w:r>
      <w:r w:rsidR="00406FF7">
        <w:rPr>
          <w:color w:val="000000"/>
        </w:rPr>
        <w:t xml:space="preserve"> </w:t>
      </w:r>
      <w:r w:rsidR="00406FF7" w:rsidRPr="00766035">
        <w:rPr>
          <w:color w:val="000000"/>
        </w:rPr>
        <w:t>servicios</w:t>
      </w:r>
      <w:r w:rsidR="00406FF7">
        <w:rPr>
          <w:color w:val="000000"/>
        </w:rPr>
        <w:t xml:space="preserve"> </w:t>
      </w:r>
      <w:r w:rsidR="00406FF7" w:rsidRPr="00766035">
        <w:rPr>
          <w:color w:val="000000"/>
        </w:rPr>
        <w:t>de</w:t>
      </w:r>
      <w:r w:rsidR="00406FF7">
        <w:rPr>
          <w:color w:val="000000"/>
        </w:rPr>
        <w:t xml:space="preserve"> </w:t>
      </w:r>
      <w:r w:rsidR="00406FF7" w:rsidRPr="00766035">
        <w:rPr>
          <w:color w:val="000000"/>
        </w:rPr>
        <w:t>comida;</w:t>
      </w:r>
      <w:r w:rsidR="00406FF7">
        <w:rPr>
          <w:color w:val="000000"/>
        </w:rPr>
        <w:t xml:space="preserve"> </w:t>
      </w:r>
      <w:r w:rsidR="003B498F">
        <w:rPr>
          <w:color w:val="000000"/>
        </w:rPr>
        <w:t>1</w:t>
      </w:r>
      <w:r w:rsidR="00406FF7" w:rsidRPr="00766035">
        <w:rPr>
          <w:color w:val="000000"/>
        </w:rPr>
        <w:t>25</w:t>
      </w:r>
      <w:r w:rsidR="00406FF7">
        <w:rPr>
          <w:color w:val="000000"/>
        </w:rPr>
        <w:t xml:space="preserve"> </w:t>
      </w:r>
      <w:r w:rsidR="00406FF7" w:rsidRPr="00766035">
        <w:rPr>
          <w:color w:val="000000"/>
        </w:rPr>
        <w:lastRenderedPageBreak/>
        <w:t>a</w:t>
      </w:r>
      <w:r w:rsidR="00406FF7">
        <w:rPr>
          <w:color w:val="000000"/>
        </w:rPr>
        <w:t xml:space="preserve"> </w:t>
      </w:r>
      <w:r w:rsidR="003B498F">
        <w:rPr>
          <w:color w:val="000000"/>
        </w:rPr>
        <w:t xml:space="preserve">la industria manufacturera; </w:t>
      </w:r>
      <w:r w:rsidR="00406FF7" w:rsidRPr="00766035">
        <w:rPr>
          <w:color w:val="000000"/>
        </w:rPr>
        <w:t>1.402  a  las  actividades  inmobiliarias,  profesionales,  científicas</w:t>
      </w:r>
      <w:r w:rsidR="00406FF7">
        <w:rPr>
          <w:color w:val="000000"/>
        </w:rPr>
        <w:t xml:space="preserve"> </w:t>
      </w:r>
      <w:r w:rsidR="00406FF7" w:rsidRPr="00766035">
        <w:rPr>
          <w:color w:val="000000"/>
        </w:rPr>
        <w:t>y</w:t>
      </w:r>
      <w:r w:rsidR="00406FF7">
        <w:rPr>
          <w:color w:val="000000"/>
        </w:rPr>
        <w:t xml:space="preserve"> </w:t>
      </w:r>
      <w:r w:rsidR="00406FF7" w:rsidRPr="00766035">
        <w:rPr>
          <w:color w:val="000000"/>
        </w:rPr>
        <w:t xml:space="preserve"> técnicas,  de  servicios</w:t>
      </w:r>
      <w:r w:rsidR="00406FF7">
        <w:rPr>
          <w:color w:val="000000"/>
        </w:rPr>
        <w:t xml:space="preserve"> </w:t>
      </w:r>
      <w:r w:rsidR="00406FF7" w:rsidRPr="00766035">
        <w:rPr>
          <w:color w:val="000000"/>
        </w:rPr>
        <w:t>administrativos</w:t>
      </w:r>
      <w:r w:rsidR="00406FF7">
        <w:rPr>
          <w:color w:val="000000"/>
        </w:rPr>
        <w:t xml:space="preserve"> </w:t>
      </w:r>
      <w:r w:rsidR="00406FF7" w:rsidRPr="00766035">
        <w:rPr>
          <w:color w:val="000000"/>
        </w:rPr>
        <w:t>y</w:t>
      </w:r>
      <w:r w:rsidR="00406FF7">
        <w:rPr>
          <w:color w:val="000000"/>
        </w:rPr>
        <w:t xml:space="preserve"> </w:t>
      </w:r>
      <w:r w:rsidR="00406FF7" w:rsidRPr="00766035">
        <w:rPr>
          <w:color w:val="000000"/>
        </w:rPr>
        <w:t>de</w:t>
      </w:r>
      <w:r w:rsidR="00406FF7">
        <w:rPr>
          <w:color w:val="000000"/>
        </w:rPr>
        <w:t xml:space="preserve"> </w:t>
      </w:r>
      <w:r w:rsidR="00406FF7" w:rsidRPr="00766035">
        <w:rPr>
          <w:color w:val="000000"/>
        </w:rPr>
        <w:t>apoyo, información  y  comunicaciones</w:t>
      </w:r>
      <w:r w:rsidR="00406FF7">
        <w:rPr>
          <w:color w:val="000000"/>
        </w:rPr>
        <w:t xml:space="preserve"> </w:t>
      </w:r>
      <w:r w:rsidR="00406FF7" w:rsidRPr="00766035">
        <w:rPr>
          <w:color w:val="000000"/>
        </w:rPr>
        <w:t>y</w:t>
      </w:r>
      <w:r w:rsidR="00406FF7">
        <w:rPr>
          <w:color w:val="000000"/>
        </w:rPr>
        <w:t xml:space="preserve"> </w:t>
      </w:r>
      <w:r w:rsidR="00406FF7" w:rsidRPr="00766035">
        <w:rPr>
          <w:color w:val="000000"/>
        </w:rPr>
        <w:t>959 a</w:t>
      </w:r>
      <w:r w:rsidR="00406FF7">
        <w:rPr>
          <w:color w:val="000000"/>
        </w:rPr>
        <w:t xml:space="preserve"> </w:t>
      </w:r>
      <w:r w:rsidR="00406FF7" w:rsidRPr="00766035">
        <w:rPr>
          <w:color w:val="000000"/>
        </w:rPr>
        <w:t>actividades  artísticas,  de</w:t>
      </w:r>
      <w:r w:rsidR="00406FF7">
        <w:rPr>
          <w:color w:val="000000"/>
        </w:rPr>
        <w:t xml:space="preserve"> </w:t>
      </w:r>
      <w:r w:rsidR="00406FF7" w:rsidRPr="00766035">
        <w:rPr>
          <w:color w:val="000000"/>
        </w:rPr>
        <w:t>entretenimiento  y  recreación.</w:t>
      </w:r>
    </w:p>
    <w:p w:rsidR="00406FF7" w:rsidRDefault="00406FF7" w:rsidP="00406FF7">
      <w:pPr>
        <w:spacing w:line="360" w:lineRule="auto"/>
        <w:ind w:left="392"/>
        <w:rPr>
          <w:rFonts w:ascii="Arial" w:eastAsia="Arial" w:hAnsi="Arial" w:cs="Arial"/>
          <w:b/>
        </w:rPr>
      </w:pPr>
    </w:p>
    <w:p w:rsidR="003B3716" w:rsidRDefault="003B3716" w:rsidP="003B3716">
      <w:pPr>
        <w:rPr>
          <w:rFonts w:ascii="Arial" w:eastAsia="Arial" w:hAnsi="Arial" w:cs="Arial"/>
          <w:b/>
        </w:rPr>
      </w:pPr>
    </w:p>
    <w:p w:rsidR="00406FF7" w:rsidRPr="003B3716" w:rsidRDefault="003B3716" w:rsidP="003B3716">
      <w:pPr>
        <w:rPr>
          <w:rFonts w:eastAsia="Arial"/>
        </w:rPr>
      </w:pPr>
      <w:r w:rsidRPr="003B3716">
        <w:rPr>
          <w:rFonts w:ascii="Arial" w:eastAsia="Arial" w:hAnsi="Arial" w:cs="Arial"/>
        </w:rPr>
        <w:t>Tabla 10.2</w:t>
      </w:r>
    </w:p>
    <w:p w:rsidR="00406FF7" w:rsidRPr="003B3716" w:rsidRDefault="00406FF7" w:rsidP="003B3716">
      <w:pPr>
        <w:rPr>
          <w:rFonts w:eastAsia="Arial"/>
        </w:rPr>
      </w:pPr>
      <w:r w:rsidRPr="003B3716">
        <w:rPr>
          <w:rFonts w:eastAsia="Arial"/>
        </w:rPr>
        <w:t>Cantidad de Em</w:t>
      </w:r>
      <w:r w:rsidRPr="003B3716">
        <w:rPr>
          <w:rFonts w:eastAsia="Arial"/>
          <w:spacing w:val="1"/>
        </w:rPr>
        <w:t>p</w:t>
      </w:r>
      <w:r w:rsidRPr="003B3716">
        <w:rPr>
          <w:rFonts w:eastAsia="Arial"/>
        </w:rPr>
        <w:t>r</w:t>
      </w:r>
      <w:r w:rsidRPr="003B3716">
        <w:rPr>
          <w:rFonts w:eastAsia="Arial"/>
          <w:spacing w:val="1"/>
        </w:rPr>
        <w:t>e</w:t>
      </w:r>
      <w:r w:rsidRPr="003B3716">
        <w:rPr>
          <w:rFonts w:eastAsia="Arial"/>
          <w:spacing w:val="-1"/>
        </w:rPr>
        <w:t>s</w:t>
      </w:r>
      <w:r w:rsidRPr="003B3716">
        <w:rPr>
          <w:rFonts w:eastAsia="Arial"/>
          <w:spacing w:val="1"/>
        </w:rPr>
        <w:t>a</w:t>
      </w:r>
      <w:r w:rsidRPr="003B3716">
        <w:rPr>
          <w:rFonts w:eastAsia="Arial"/>
        </w:rPr>
        <w:t>s M</w:t>
      </w:r>
      <w:r w:rsidRPr="003B3716">
        <w:rPr>
          <w:rFonts w:eastAsia="Arial"/>
          <w:spacing w:val="1"/>
        </w:rPr>
        <w:t>a</w:t>
      </w:r>
      <w:r w:rsidRPr="003B3716">
        <w:rPr>
          <w:rFonts w:eastAsia="Arial"/>
        </w:rPr>
        <w:t>tri</w:t>
      </w:r>
      <w:r w:rsidRPr="003B3716">
        <w:rPr>
          <w:rFonts w:eastAsia="Arial"/>
          <w:spacing w:val="1"/>
        </w:rPr>
        <w:t>c</w:t>
      </w:r>
      <w:r w:rsidRPr="003B3716">
        <w:rPr>
          <w:rFonts w:eastAsia="Arial"/>
        </w:rPr>
        <w:t>u</w:t>
      </w:r>
      <w:r w:rsidRPr="003B3716">
        <w:rPr>
          <w:rFonts w:eastAsia="Arial"/>
          <w:spacing w:val="-2"/>
        </w:rPr>
        <w:t>l</w:t>
      </w:r>
      <w:r w:rsidRPr="003B3716">
        <w:rPr>
          <w:rFonts w:eastAsia="Arial"/>
          <w:spacing w:val="1"/>
        </w:rPr>
        <w:t>a</w:t>
      </w:r>
      <w:r w:rsidRPr="003B3716">
        <w:rPr>
          <w:rFonts w:eastAsia="Arial"/>
        </w:rPr>
        <w:t>das y R</w:t>
      </w:r>
      <w:r w:rsidRPr="003B3716">
        <w:rPr>
          <w:rFonts w:eastAsia="Arial"/>
          <w:spacing w:val="1"/>
        </w:rPr>
        <w:t>e</w:t>
      </w:r>
      <w:r w:rsidRPr="003B3716">
        <w:rPr>
          <w:rFonts w:eastAsia="Arial"/>
        </w:rPr>
        <w:t>n</w:t>
      </w:r>
      <w:r w:rsidRPr="003B3716">
        <w:rPr>
          <w:rFonts w:eastAsia="Arial"/>
          <w:spacing w:val="2"/>
        </w:rPr>
        <w:t>o</w:t>
      </w:r>
      <w:r w:rsidRPr="003B3716">
        <w:rPr>
          <w:rFonts w:eastAsia="Arial"/>
          <w:spacing w:val="-4"/>
        </w:rPr>
        <w:t>v</w:t>
      </w:r>
      <w:r w:rsidRPr="003B3716">
        <w:rPr>
          <w:rFonts w:eastAsia="Arial"/>
          <w:spacing w:val="1"/>
        </w:rPr>
        <w:t>a</w:t>
      </w:r>
      <w:r w:rsidRPr="003B3716">
        <w:rPr>
          <w:rFonts w:eastAsia="Arial"/>
        </w:rPr>
        <w:t>das por Muni</w:t>
      </w:r>
      <w:r w:rsidRPr="003B3716">
        <w:rPr>
          <w:rFonts w:eastAsia="Arial"/>
          <w:spacing w:val="1"/>
        </w:rPr>
        <w:t>c</w:t>
      </w:r>
      <w:r w:rsidRPr="003B3716">
        <w:rPr>
          <w:rFonts w:eastAsia="Arial"/>
        </w:rPr>
        <w:t>ipios</w:t>
      </w:r>
      <w:r w:rsidRPr="003B3716">
        <w:rPr>
          <w:rStyle w:val="Refdenotaalpie"/>
          <w:rFonts w:eastAsia="Arial"/>
        </w:rPr>
        <w:footnoteReference w:id="37"/>
      </w:r>
    </w:p>
    <w:p w:rsidR="00406FF7" w:rsidRDefault="00406FF7" w:rsidP="003B3716">
      <w:pPr>
        <w:spacing w:before="7" w:line="180" w:lineRule="exact"/>
        <w:rPr>
          <w:szCs w:val="22"/>
        </w:rPr>
      </w:pPr>
      <w:r w:rsidRPr="003B498F">
        <w:rPr>
          <w:szCs w:val="22"/>
        </w:rPr>
        <w:t>2011-2013</w:t>
      </w:r>
    </w:p>
    <w:p w:rsidR="003B498F" w:rsidRDefault="003B498F" w:rsidP="003B3716">
      <w:pPr>
        <w:spacing w:before="7" w:line="180" w:lineRule="exact"/>
        <w:rPr>
          <w:szCs w:val="22"/>
        </w:rPr>
      </w:pPr>
    </w:p>
    <w:tbl>
      <w:tblPr>
        <w:tblW w:w="8744" w:type="dxa"/>
        <w:jc w:val="center"/>
        <w:tblLayout w:type="fixed"/>
        <w:tblCellMar>
          <w:left w:w="0" w:type="dxa"/>
          <w:right w:w="0" w:type="dxa"/>
        </w:tblCellMar>
        <w:tblLook w:val="01E0" w:firstRow="1" w:lastRow="1" w:firstColumn="1" w:lastColumn="1" w:noHBand="0" w:noVBand="0"/>
      </w:tblPr>
      <w:tblGrid>
        <w:gridCol w:w="118"/>
        <w:gridCol w:w="1680"/>
        <w:gridCol w:w="50"/>
        <w:gridCol w:w="891"/>
        <w:gridCol w:w="51"/>
        <w:gridCol w:w="19"/>
        <w:gridCol w:w="1231"/>
        <w:gridCol w:w="26"/>
        <w:gridCol w:w="44"/>
        <w:gridCol w:w="929"/>
        <w:gridCol w:w="19"/>
        <w:gridCol w:w="51"/>
        <w:gridCol w:w="1310"/>
        <w:gridCol w:w="57"/>
        <w:gridCol w:w="13"/>
        <w:gridCol w:w="912"/>
        <w:gridCol w:w="70"/>
        <w:gridCol w:w="1235"/>
        <w:gridCol w:w="38"/>
      </w:tblGrid>
      <w:tr w:rsidR="00406FF7" w:rsidRPr="001F7FF9" w:rsidTr="003B498F">
        <w:trPr>
          <w:gridAfter w:val="1"/>
          <w:wAfter w:w="38" w:type="dxa"/>
          <w:trHeight w:hRule="exact" w:val="479"/>
          <w:jc w:val="center"/>
        </w:trPr>
        <w:tc>
          <w:tcPr>
            <w:tcW w:w="118" w:type="dxa"/>
            <w:shd w:val="clear" w:color="auto" w:fill="auto"/>
          </w:tcPr>
          <w:p w:rsidR="00406FF7" w:rsidRDefault="00406FF7" w:rsidP="00575447">
            <w:pPr>
              <w:rPr>
                <w:sz w:val="22"/>
                <w:szCs w:val="22"/>
              </w:rPr>
            </w:pPr>
          </w:p>
          <w:p w:rsidR="003B498F" w:rsidRPr="001F7FF9" w:rsidRDefault="003B498F" w:rsidP="00575447">
            <w:pPr>
              <w:rPr>
                <w:sz w:val="22"/>
                <w:szCs w:val="22"/>
              </w:rPr>
            </w:pPr>
          </w:p>
        </w:tc>
        <w:tc>
          <w:tcPr>
            <w:tcW w:w="1680" w:type="dxa"/>
            <w:tcBorders>
              <w:top w:val="single" w:sz="4" w:space="0" w:color="auto"/>
              <w:bottom w:val="double" w:sz="4" w:space="0" w:color="auto"/>
            </w:tcBorders>
            <w:shd w:val="clear" w:color="auto" w:fill="auto"/>
            <w:vAlign w:val="center"/>
            <w:hideMark/>
          </w:tcPr>
          <w:p w:rsidR="00406FF7" w:rsidRPr="001F7FF9" w:rsidRDefault="00406FF7" w:rsidP="00575447">
            <w:pPr>
              <w:spacing w:line="260" w:lineRule="exact"/>
              <w:jc w:val="center"/>
              <w:rPr>
                <w:sz w:val="22"/>
                <w:szCs w:val="22"/>
                <w:lang w:val="en-US"/>
              </w:rPr>
            </w:pPr>
            <w:r w:rsidRPr="001F7FF9">
              <w:rPr>
                <w:b/>
                <w:spacing w:val="-1"/>
                <w:position w:val="1"/>
                <w:sz w:val="22"/>
                <w:szCs w:val="22"/>
              </w:rPr>
              <w:t>M</w:t>
            </w:r>
            <w:r w:rsidRPr="001F7FF9">
              <w:rPr>
                <w:b/>
                <w:position w:val="1"/>
                <w:sz w:val="22"/>
                <w:szCs w:val="22"/>
              </w:rPr>
              <w:t>u</w:t>
            </w:r>
            <w:r w:rsidRPr="001F7FF9">
              <w:rPr>
                <w:b/>
                <w:spacing w:val="1"/>
                <w:position w:val="1"/>
                <w:sz w:val="22"/>
                <w:szCs w:val="22"/>
              </w:rPr>
              <w:t>n</w:t>
            </w:r>
            <w:r w:rsidRPr="001F7FF9">
              <w:rPr>
                <w:b/>
                <w:spacing w:val="-1"/>
                <w:position w:val="1"/>
                <w:sz w:val="22"/>
                <w:szCs w:val="22"/>
              </w:rPr>
              <w:t>i</w:t>
            </w:r>
            <w:r w:rsidRPr="001F7FF9">
              <w:rPr>
                <w:b/>
                <w:spacing w:val="1"/>
                <w:position w:val="1"/>
                <w:sz w:val="22"/>
                <w:szCs w:val="22"/>
              </w:rPr>
              <w:t>ci</w:t>
            </w:r>
            <w:r w:rsidRPr="001F7FF9">
              <w:rPr>
                <w:b/>
                <w:spacing w:val="-2"/>
                <w:position w:val="1"/>
                <w:sz w:val="22"/>
                <w:szCs w:val="22"/>
              </w:rPr>
              <w:t>p</w:t>
            </w:r>
            <w:r w:rsidRPr="001F7FF9">
              <w:rPr>
                <w:b/>
                <w:spacing w:val="1"/>
                <w:position w:val="1"/>
                <w:sz w:val="22"/>
                <w:szCs w:val="22"/>
              </w:rPr>
              <w:t>i</w:t>
            </w:r>
            <w:r w:rsidRPr="001F7FF9">
              <w:rPr>
                <w:b/>
                <w:position w:val="1"/>
                <w:sz w:val="22"/>
                <w:szCs w:val="22"/>
              </w:rPr>
              <w:t>o</w:t>
            </w:r>
          </w:p>
        </w:tc>
        <w:tc>
          <w:tcPr>
            <w:tcW w:w="50" w:type="dxa"/>
            <w:tcBorders>
              <w:top w:val="single" w:sz="4" w:space="0" w:color="auto"/>
              <w:bottom w:val="double" w:sz="4" w:space="0" w:color="auto"/>
            </w:tcBorders>
            <w:shd w:val="clear" w:color="auto" w:fill="auto"/>
            <w:vAlign w:val="center"/>
          </w:tcPr>
          <w:p w:rsidR="00406FF7" w:rsidRPr="001F7FF9" w:rsidRDefault="00406FF7" w:rsidP="00575447">
            <w:pPr>
              <w:jc w:val="center"/>
              <w:rPr>
                <w:sz w:val="22"/>
                <w:szCs w:val="22"/>
                <w:lang w:val="en-US"/>
              </w:rPr>
            </w:pPr>
          </w:p>
        </w:tc>
        <w:tc>
          <w:tcPr>
            <w:tcW w:w="891" w:type="dxa"/>
            <w:tcBorders>
              <w:top w:val="single" w:sz="4" w:space="0" w:color="auto"/>
              <w:bottom w:val="double" w:sz="4" w:space="0" w:color="auto"/>
            </w:tcBorders>
            <w:shd w:val="clear" w:color="auto" w:fill="auto"/>
            <w:vAlign w:val="center"/>
            <w:hideMark/>
          </w:tcPr>
          <w:p w:rsidR="00406FF7" w:rsidRPr="001F7FF9" w:rsidRDefault="00406FF7" w:rsidP="00575447">
            <w:pPr>
              <w:spacing w:line="260" w:lineRule="exact"/>
              <w:jc w:val="center"/>
              <w:rPr>
                <w:sz w:val="22"/>
                <w:szCs w:val="22"/>
                <w:lang w:val="en-US"/>
              </w:rPr>
            </w:pPr>
            <w:r w:rsidRPr="001F7FF9">
              <w:rPr>
                <w:b/>
                <w:spacing w:val="1"/>
                <w:position w:val="1"/>
                <w:sz w:val="22"/>
                <w:szCs w:val="22"/>
              </w:rPr>
              <w:t>2</w:t>
            </w:r>
            <w:r w:rsidRPr="001F7FF9">
              <w:rPr>
                <w:b/>
                <w:spacing w:val="-2"/>
                <w:position w:val="1"/>
                <w:sz w:val="22"/>
                <w:szCs w:val="22"/>
              </w:rPr>
              <w:t>0</w:t>
            </w:r>
            <w:r w:rsidRPr="001F7FF9">
              <w:rPr>
                <w:b/>
                <w:spacing w:val="1"/>
                <w:position w:val="1"/>
                <w:sz w:val="22"/>
                <w:szCs w:val="22"/>
              </w:rPr>
              <w:t>1</w:t>
            </w:r>
            <w:r w:rsidRPr="001F7FF9">
              <w:rPr>
                <w:b/>
                <w:position w:val="1"/>
                <w:sz w:val="22"/>
                <w:szCs w:val="22"/>
              </w:rPr>
              <w:t>1</w:t>
            </w:r>
          </w:p>
        </w:tc>
        <w:tc>
          <w:tcPr>
            <w:tcW w:w="70" w:type="dxa"/>
            <w:gridSpan w:val="2"/>
            <w:tcBorders>
              <w:top w:val="single" w:sz="4" w:space="0" w:color="auto"/>
              <w:bottom w:val="double" w:sz="4" w:space="0" w:color="auto"/>
            </w:tcBorders>
            <w:shd w:val="clear" w:color="auto" w:fill="auto"/>
            <w:vAlign w:val="center"/>
          </w:tcPr>
          <w:p w:rsidR="00406FF7" w:rsidRPr="001F7FF9" w:rsidRDefault="00406FF7" w:rsidP="00575447">
            <w:pPr>
              <w:jc w:val="center"/>
              <w:rPr>
                <w:sz w:val="22"/>
                <w:szCs w:val="22"/>
                <w:lang w:val="en-US"/>
              </w:rPr>
            </w:pPr>
          </w:p>
        </w:tc>
        <w:tc>
          <w:tcPr>
            <w:tcW w:w="1231" w:type="dxa"/>
            <w:tcBorders>
              <w:top w:val="single" w:sz="4" w:space="0" w:color="auto"/>
              <w:bottom w:val="double" w:sz="4" w:space="0" w:color="auto"/>
            </w:tcBorders>
            <w:shd w:val="clear" w:color="auto" w:fill="auto"/>
            <w:vAlign w:val="center"/>
            <w:hideMark/>
          </w:tcPr>
          <w:p w:rsidR="00406FF7" w:rsidRPr="001F7FF9" w:rsidRDefault="00406FF7" w:rsidP="00575447">
            <w:pPr>
              <w:spacing w:line="260" w:lineRule="exact"/>
              <w:jc w:val="center"/>
              <w:rPr>
                <w:sz w:val="22"/>
                <w:szCs w:val="22"/>
                <w:lang w:val="en-US"/>
              </w:rPr>
            </w:pPr>
            <w:r w:rsidRPr="001F7FF9">
              <w:rPr>
                <w:b/>
                <w:position w:val="1"/>
                <w:sz w:val="22"/>
                <w:szCs w:val="22"/>
              </w:rPr>
              <w:t>Rel</w:t>
            </w:r>
            <w:r w:rsidRPr="001F7FF9">
              <w:rPr>
                <w:b/>
                <w:spacing w:val="-2"/>
                <w:position w:val="1"/>
                <w:sz w:val="22"/>
                <w:szCs w:val="22"/>
              </w:rPr>
              <w:t>a</w:t>
            </w:r>
            <w:r w:rsidRPr="001F7FF9">
              <w:rPr>
                <w:b/>
                <w:spacing w:val="1"/>
                <w:position w:val="1"/>
                <w:sz w:val="22"/>
                <w:szCs w:val="22"/>
              </w:rPr>
              <w:t>ci</w:t>
            </w:r>
            <w:r w:rsidRPr="001F7FF9">
              <w:rPr>
                <w:b/>
                <w:spacing w:val="-3"/>
                <w:position w:val="1"/>
                <w:sz w:val="22"/>
                <w:szCs w:val="22"/>
              </w:rPr>
              <w:t>ó</w:t>
            </w:r>
            <w:r w:rsidRPr="001F7FF9">
              <w:rPr>
                <w:b/>
                <w:position w:val="1"/>
                <w:sz w:val="22"/>
                <w:szCs w:val="22"/>
              </w:rPr>
              <w:t>n%</w:t>
            </w:r>
          </w:p>
        </w:tc>
        <w:tc>
          <w:tcPr>
            <w:tcW w:w="70" w:type="dxa"/>
            <w:gridSpan w:val="2"/>
            <w:tcBorders>
              <w:top w:val="single" w:sz="4" w:space="0" w:color="auto"/>
              <w:bottom w:val="double" w:sz="4" w:space="0" w:color="auto"/>
            </w:tcBorders>
            <w:shd w:val="clear" w:color="auto" w:fill="auto"/>
            <w:vAlign w:val="center"/>
          </w:tcPr>
          <w:p w:rsidR="00406FF7" w:rsidRPr="001F7FF9" w:rsidRDefault="00406FF7" w:rsidP="00575447">
            <w:pPr>
              <w:jc w:val="center"/>
              <w:rPr>
                <w:sz w:val="22"/>
                <w:szCs w:val="22"/>
                <w:lang w:val="en-US"/>
              </w:rPr>
            </w:pPr>
          </w:p>
        </w:tc>
        <w:tc>
          <w:tcPr>
            <w:tcW w:w="929" w:type="dxa"/>
            <w:tcBorders>
              <w:top w:val="single" w:sz="4" w:space="0" w:color="auto"/>
              <w:bottom w:val="double" w:sz="4" w:space="0" w:color="auto"/>
            </w:tcBorders>
            <w:shd w:val="clear" w:color="auto" w:fill="auto"/>
            <w:vAlign w:val="center"/>
            <w:hideMark/>
          </w:tcPr>
          <w:p w:rsidR="00406FF7" w:rsidRPr="001F7FF9" w:rsidRDefault="00406FF7" w:rsidP="00575447">
            <w:pPr>
              <w:spacing w:line="260" w:lineRule="exact"/>
              <w:ind w:right="-20"/>
              <w:jc w:val="center"/>
              <w:rPr>
                <w:sz w:val="22"/>
                <w:szCs w:val="22"/>
                <w:lang w:val="en-US"/>
              </w:rPr>
            </w:pPr>
            <w:r w:rsidRPr="001F7FF9">
              <w:rPr>
                <w:b/>
                <w:spacing w:val="1"/>
                <w:position w:val="1"/>
                <w:sz w:val="22"/>
                <w:szCs w:val="22"/>
              </w:rPr>
              <w:t>2</w:t>
            </w:r>
            <w:r w:rsidRPr="001F7FF9">
              <w:rPr>
                <w:b/>
                <w:spacing w:val="-2"/>
                <w:position w:val="1"/>
                <w:sz w:val="22"/>
                <w:szCs w:val="22"/>
              </w:rPr>
              <w:t>0</w:t>
            </w:r>
            <w:r w:rsidRPr="001F7FF9">
              <w:rPr>
                <w:b/>
                <w:spacing w:val="1"/>
                <w:position w:val="1"/>
                <w:sz w:val="22"/>
                <w:szCs w:val="22"/>
              </w:rPr>
              <w:t>1</w:t>
            </w:r>
            <w:r w:rsidRPr="001F7FF9">
              <w:rPr>
                <w:b/>
                <w:position w:val="1"/>
                <w:sz w:val="22"/>
                <w:szCs w:val="22"/>
              </w:rPr>
              <w:t>2</w:t>
            </w:r>
          </w:p>
        </w:tc>
        <w:tc>
          <w:tcPr>
            <w:tcW w:w="70" w:type="dxa"/>
            <w:gridSpan w:val="2"/>
            <w:tcBorders>
              <w:top w:val="single" w:sz="4" w:space="0" w:color="auto"/>
              <w:bottom w:val="double" w:sz="4" w:space="0" w:color="auto"/>
            </w:tcBorders>
            <w:shd w:val="clear" w:color="auto" w:fill="auto"/>
            <w:vAlign w:val="center"/>
          </w:tcPr>
          <w:p w:rsidR="00406FF7" w:rsidRPr="001F7FF9" w:rsidRDefault="00406FF7" w:rsidP="00575447">
            <w:pPr>
              <w:jc w:val="center"/>
              <w:rPr>
                <w:sz w:val="22"/>
                <w:szCs w:val="22"/>
                <w:lang w:val="en-US"/>
              </w:rPr>
            </w:pPr>
          </w:p>
        </w:tc>
        <w:tc>
          <w:tcPr>
            <w:tcW w:w="1310" w:type="dxa"/>
            <w:tcBorders>
              <w:top w:val="single" w:sz="4" w:space="0" w:color="auto"/>
              <w:bottom w:val="double" w:sz="4" w:space="0" w:color="auto"/>
            </w:tcBorders>
            <w:shd w:val="clear" w:color="auto" w:fill="auto"/>
            <w:vAlign w:val="center"/>
            <w:hideMark/>
          </w:tcPr>
          <w:p w:rsidR="00406FF7" w:rsidRPr="001F7FF9" w:rsidRDefault="00406FF7" w:rsidP="00575447">
            <w:pPr>
              <w:spacing w:line="260" w:lineRule="exact"/>
              <w:jc w:val="center"/>
              <w:rPr>
                <w:sz w:val="22"/>
                <w:szCs w:val="22"/>
                <w:lang w:val="en-US"/>
              </w:rPr>
            </w:pPr>
            <w:r w:rsidRPr="001F7FF9">
              <w:rPr>
                <w:b/>
                <w:position w:val="1"/>
                <w:sz w:val="22"/>
                <w:szCs w:val="22"/>
              </w:rPr>
              <w:t>Rel</w:t>
            </w:r>
            <w:r w:rsidRPr="001F7FF9">
              <w:rPr>
                <w:b/>
                <w:spacing w:val="-2"/>
                <w:position w:val="1"/>
                <w:sz w:val="22"/>
                <w:szCs w:val="22"/>
              </w:rPr>
              <w:t>a</w:t>
            </w:r>
            <w:r w:rsidRPr="001F7FF9">
              <w:rPr>
                <w:b/>
                <w:spacing w:val="1"/>
                <w:position w:val="1"/>
                <w:sz w:val="22"/>
                <w:szCs w:val="22"/>
              </w:rPr>
              <w:t>ci</w:t>
            </w:r>
            <w:r w:rsidRPr="001F7FF9">
              <w:rPr>
                <w:b/>
                <w:spacing w:val="-3"/>
                <w:position w:val="1"/>
                <w:sz w:val="22"/>
                <w:szCs w:val="22"/>
              </w:rPr>
              <w:t>ó</w:t>
            </w:r>
            <w:r w:rsidRPr="001F7FF9">
              <w:rPr>
                <w:b/>
                <w:position w:val="1"/>
                <w:sz w:val="22"/>
                <w:szCs w:val="22"/>
              </w:rPr>
              <w:t>n%</w:t>
            </w:r>
          </w:p>
        </w:tc>
        <w:tc>
          <w:tcPr>
            <w:tcW w:w="70" w:type="dxa"/>
            <w:gridSpan w:val="2"/>
            <w:tcBorders>
              <w:top w:val="single" w:sz="4" w:space="0" w:color="auto"/>
              <w:bottom w:val="double" w:sz="4" w:space="0" w:color="auto"/>
            </w:tcBorders>
            <w:shd w:val="clear" w:color="auto" w:fill="auto"/>
            <w:vAlign w:val="center"/>
          </w:tcPr>
          <w:p w:rsidR="00406FF7" w:rsidRPr="001F7FF9" w:rsidRDefault="00406FF7" w:rsidP="00575447">
            <w:pPr>
              <w:jc w:val="center"/>
              <w:rPr>
                <w:sz w:val="22"/>
                <w:szCs w:val="22"/>
                <w:lang w:val="en-US"/>
              </w:rPr>
            </w:pPr>
          </w:p>
        </w:tc>
        <w:tc>
          <w:tcPr>
            <w:tcW w:w="912" w:type="dxa"/>
            <w:tcBorders>
              <w:top w:val="single" w:sz="4" w:space="0" w:color="auto"/>
              <w:bottom w:val="double" w:sz="4" w:space="0" w:color="auto"/>
            </w:tcBorders>
            <w:shd w:val="clear" w:color="auto" w:fill="auto"/>
            <w:vAlign w:val="center"/>
            <w:hideMark/>
          </w:tcPr>
          <w:p w:rsidR="00406FF7" w:rsidRPr="001F7FF9" w:rsidRDefault="00406FF7" w:rsidP="00575447">
            <w:pPr>
              <w:spacing w:line="260" w:lineRule="exact"/>
              <w:jc w:val="center"/>
              <w:rPr>
                <w:sz w:val="22"/>
                <w:szCs w:val="22"/>
                <w:lang w:val="en-US"/>
              </w:rPr>
            </w:pPr>
            <w:r w:rsidRPr="001F7FF9">
              <w:rPr>
                <w:b/>
                <w:spacing w:val="1"/>
                <w:position w:val="1"/>
                <w:sz w:val="22"/>
                <w:szCs w:val="22"/>
              </w:rPr>
              <w:t>2</w:t>
            </w:r>
            <w:r w:rsidRPr="001F7FF9">
              <w:rPr>
                <w:b/>
                <w:spacing w:val="-2"/>
                <w:position w:val="1"/>
                <w:sz w:val="22"/>
                <w:szCs w:val="22"/>
              </w:rPr>
              <w:t>0</w:t>
            </w:r>
            <w:r w:rsidRPr="001F7FF9">
              <w:rPr>
                <w:b/>
                <w:spacing w:val="1"/>
                <w:position w:val="1"/>
                <w:sz w:val="22"/>
                <w:szCs w:val="22"/>
              </w:rPr>
              <w:t>1</w:t>
            </w:r>
            <w:r w:rsidRPr="001F7FF9">
              <w:rPr>
                <w:b/>
                <w:position w:val="1"/>
                <w:sz w:val="22"/>
                <w:szCs w:val="22"/>
              </w:rPr>
              <w:t>3</w:t>
            </w:r>
          </w:p>
        </w:tc>
        <w:tc>
          <w:tcPr>
            <w:tcW w:w="70" w:type="dxa"/>
            <w:tcBorders>
              <w:top w:val="single" w:sz="4" w:space="0" w:color="auto"/>
              <w:bottom w:val="double" w:sz="4" w:space="0" w:color="auto"/>
            </w:tcBorders>
            <w:shd w:val="clear" w:color="auto" w:fill="auto"/>
            <w:vAlign w:val="center"/>
          </w:tcPr>
          <w:p w:rsidR="00406FF7" w:rsidRPr="001F7FF9" w:rsidRDefault="00406FF7" w:rsidP="00575447">
            <w:pPr>
              <w:jc w:val="center"/>
              <w:rPr>
                <w:sz w:val="22"/>
                <w:szCs w:val="22"/>
                <w:lang w:val="en-US"/>
              </w:rPr>
            </w:pPr>
          </w:p>
        </w:tc>
        <w:tc>
          <w:tcPr>
            <w:tcW w:w="1235" w:type="dxa"/>
            <w:tcBorders>
              <w:top w:val="single" w:sz="4" w:space="0" w:color="auto"/>
              <w:bottom w:val="double" w:sz="4" w:space="0" w:color="auto"/>
            </w:tcBorders>
            <w:shd w:val="clear" w:color="auto" w:fill="auto"/>
            <w:vAlign w:val="center"/>
            <w:hideMark/>
          </w:tcPr>
          <w:p w:rsidR="00406FF7" w:rsidRPr="001F7FF9" w:rsidRDefault="00406FF7" w:rsidP="00575447">
            <w:pPr>
              <w:spacing w:line="260" w:lineRule="exact"/>
              <w:jc w:val="center"/>
              <w:rPr>
                <w:sz w:val="22"/>
                <w:szCs w:val="22"/>
                <w:lang w:val="en-US"/>
              </w:rPr>
            </w:pPr>
            <w:r w:rsidRPr="001F7FF9">
              <w:rPr>
                <w:b/>
                <w:position w:val="1"/>
                <w:sz w:val="22"/>
                <w:szCs w:val="22"/>
              </w:rPr>
              <w:t>Rel</w:t>
            </w:r>
            <w:r w:rsidRPr="001F7FF9">
              <w:rPr>
                <w:b/>
                <w:spacing w:val="-2"/>
                <w:position w:val="1"/>
                <w:sz w:val="22"/>
                <w:szCs w:val="22"/>
              </w:rPr>
              <w:t>a</w:t>
            </w:r>
            <w:r w:rsidRPr="001F7FF9">
              <w:rPr>
                <w:b/>
                <w:spacing w:val="1"/>
                <w:position w:val="1"/>
                <w:sz w:val="22"/>
                <w:szCs w:val="22"/>
              </w:rPr>
              <w:t>ci</w:t>
            </w:r>
            <w:r w:rsidRPr="001F7FF9">
              <w:rPr>
                <w:b/>
                <w:spacing w:val="-3"/>
                <w:position w:val="1"/>
                <w:sz w:val="22"/>
                <w:szCs w:val="22"/>
              </w:rPr>
              <w:t>ó</w:t>
            </w:r>
            <w:r w:rsidRPr="001F7FF9">
              <w:rPr>
                <w:b/>
                <w:position w:val="1"/>
                <w:sz w:val="22"/>
                <w:szCs w:val="22"/>
              </w:rPr>
              <w:t>n%</w:t>
            </w:r>
          </w:p>
        </w:tc>
      </w:tr>
      <w:tr w:rsidR="00406FF7" w:rsidRPr="001F7FF9" w:rsidTr="003B498F">
        <w:trPr>
          <w:trHeight w:hRule="exact" w:val="310"/>
          <w:jc w:val="center"/>
        </w:trPr>
        <w:tc>
          <w:tcPr>
            <w:tcW w:w="1798" w:type="dxa"/>
            <w:gridSpan w:val="2"/>
            <w:shd w:val="clear" w:color="auto" w:fill="auto"/>
            <w:hideMark/>
          </w:tcPr>
          <w:p w:rsidR="00406FF7" w:rsidRPr="001F7FF9" w:rsidRDefault="00406FF7" w:rsidP="00575447">
            <w:pPr>
              <w:spacing w:before="27"/>
              <w:ind w:left="64"/>
              <w:rPr>
                <w:sz w:val="22"/>
                <w:szCs w:val="22"/>
                <w:lang w:val="en-US"/>
              </w:rPr>
            </w:pPr>
            <w:r w:rsidRPr="001F7FF9">
              <w:rPr>
                <w:sz w:val="22"/>
                <w:szCs w:val="22"/>
              </w:rPr>
              <w:t>Armen</w:t>
            </w:r>
            <w:r w:rsidRPr="001F7FF9">
              <w:rPr>
                <w:spacing w:val="-1"/>
                <w:sz w:val="22"/>
                <w:szCs w:val="22"/>
              </w:rPr>
              <w:t>i</w:t>
            </w:r>
            <w:r w:rsidRPr="001F7FF9">
              <w:rPr>
                <w:sz w:val="22"/>
                <w:szCs w:val="22"/>
              </w:rPr>
              <w:t>a</w:t>
            </w:r>
          </w:p>
        </w:tc>
        <w:tc>
          <w:tcPr>
            <w:tcW w:w="992"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8</w:t>
            </w:r>
            <w:r w:rsidRPr="001F7FF9">
              <w:rPr>
                <w:sz w:val="22"/>
                <w:szCs w:val="22"/>
              </w:rPr>
              <w:t>.7</w:t>
            </w:r>
            <w:r w:rsidRPr="001F7FF9">
              <w:rPr>
                <w:spacing w:val="-1"/>
                <w:sz w:val="22"/>
                <w:szCs w:val="22"/>
              </w:rPr>
              <w:t>8</w:t>
            </w:r>
            <w:r w:rsidRPr="001F7FF9">
              <w:rPr>
                <w:sz w:val="22"/>
                <w:szCs w:val="22"/>
              </w:rPr>
              <w:t>2</w:t>
            </w:r>
          </w:p>
        </w:tc>
        <w:tc>
          <w:tcPr>
            <w:tcW w:w="1276"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65</w:t>
            </w:r>
            <w:r w:rsidRPr="001F7FF9">
              <w:rPr>
                <w:spacing w:val="-2"/>
                <w:sz w:val="22"/>
                <w:szCs w:val="22"/>
              </w:rPr>
              <w:t>,</w:t>
            </w:r>
            <w:r w:rsidRPr="001F7FF9">
              <w:rPr>
                <w:spacing w:val="1"/>
                <w:sz w:val="22"/>
                <w:szCs w:val="22"/>
              </w:rPr>
              <w:t>7</w:t>
            </w:r>
            <w:r w:rsidRPr="001F7FF9">
              <w:rPr>
                <w:spacing w:val="-2"/>
                <w:sz w:val="22"/>
                <w:szCs w:val="22"/>
              </w:rPr>
              <w:t>1</w:t>
            </w:r>
            <w:r w:rsidRPr="001F7FF9">
              <w:rPr>
                <w:sz w:val="22"/>
                <w:szCs w:val="22"/>
              </w:rPr>
              <w:t>%</w:t>
            </w:r>
          </w:p>
        </w:tc>
        <w:tc>
          <w:tcPr>
            <w:tcW w:w="992"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9</w:t>
            </w:r>
            <w:r w:rsidRPr="001F7FF9">
              <w:rPr>
                <w:sz w:val="22"/>
                <w:szCs w:val="22"/>
              </w:rPr>
              <w:t>.4</w:t>
            </w:r>
            <w:r w:rsidRPr="001F7FF9">
              <w:rPr>
                <w:spacing w:val="-1"/>
                <w:sz w:val="22"/>
                <w:szCs w:val="22"/>
              </w:rPr>
              <w:t>0</w:t>
            </w:r>
            <w:r w:rsidRPr="001F7FF9">
              <w:rPr>
                <w:sz w:val="22"/>
                <w:szCs w:val="22"/>
              </w:rPr>
              <w:t>8</w:t>
            </w:r>
          </w:p>
        </w:tc>
        <w:tc>
          <w:tcPr>
            <w:tcW w:w="1418"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64</w:t>
            </w:r>
            <w:r w:rsidRPr="001F7FF9">
              <w:rPr>
                <w:spacing w:val="-2"/>
                <w:sz w:val="22"/>
                <w:szCs w:val="22"/>
              </w:rPr>
              <w:t>,</w:t>
            </w:r>
            <w:r w:rsidRPr="001F7FF9">
              <w:rPr>
                <w:spacing w:val="1"/>
                <w:sz w:val="22"/>
                <w:szCs w:val="22"/>
              </w:rPr>
              <w:t>3</w:t>
            </w:r>
            <w:r w:rsidRPr="001F7FF9">
              <w:rPr>
                <w:spacing w:val="-2"/>
                <w:sz w:val="22"/>
                <w:szCs w:val="22"/>
              </w:rPr>
              <w:t>6</w:t>
            </w:r>
            <w:r w:rsidRPr="001F7FF9">
              <w:rPr>
                <w:sz w:val="22"/>
                <w:szCs w:val="22"/>
              </w:rPr>
              <w:t>%</w:t>
            </w:r>
          </w:p>
        </w:tc>
        <w:tc>
          <w:tcPr>
            <w:tcW w:w="995"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9</w:t>
            </w:r>
            <w:r w:rsidRPr="001F7FF9">
              <w:rPr>
                <w:sz w:val="22"/>
                <w:szCs w:val="22"/>
              </w:rPr>
              <w:t>.6</w:t>
            </w:r>
            <w:r w:rsidRPr="001F7FF9">
              <w:rPr>
                <w:spacing w:val="-1"/>
                <w:sz w:val="22"/>
                <w:szCs w:val="22"/>
              </w:rPr>
              <w:t>1</w:t>
            </w:r>
            <w:r w:rsidRPr="001F7FF9">
              <w:rPr>
                <w:sz w:val="22"/>
                <w:szCs w:val="22"/>
              </w:rPr>
              <w:t>4</w:t>
            </w:r>
          </w:p>
        </w:tc>
        <w:tc>
          <w:tcPr>
            <w:tcW w:w="1273" w:type="dxa"/>
            <w:gridSpan w:val="2"/>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63</w:t>
            </w:r>
            <w:r w:rsidRPr="001F7FF9">
              <w:rPr>
                <w:spacing w:val="-2"/>
                <w:sz w:val="22"/>
                <w:szCs w:val="22"/>
              </w:rPr>
              <w:t>,</w:t>
            </w:r>
            <w:r w:rsidRPr="001F7FF9">
              <w:rPr>
                <w:spacing w:val="1"/>
                <w:sz w:val="22"/>
                <w:szCs w:val="22"/>
              </w:rPr>
              <w:t>8</w:t>
            </w:r>
            <w:r w:rsidRPr="001F7FF9">
              <w:rPr>
                <w:spacing w:val="-2"/>
                <w:sz w:val="22"/>
                <w:szCs w:val="22"/>
              </w:rPr>
              <w:t>6</w:t>
            </w:r>
            <w:r w:rsidRPr="001F7FF9">
              <w:rPr>
                <w:sz w:val="22"/>
                <w:szCs w:val="22"/>
              </w:rPr>
              <w:t>%</w:t>
            </w:r>
          </w:p>
        </w:tc>
      </w:tr>
      <w:tr w:rsidR="00406FF7" w:rsidRPr="001F7FF9" w:rsidTr="003B498F">
        <w:trPr>
          <w:trHeight w:hRule="exact" w:val="310"/>
          <w:jc w:val="center"/>
        </w:trPr>
        <w:tc>
          <w:tcPr>
            <w:tcW w:w="1798" w:type="dxa"/>
            <w:gridSpan w:val="2"/>
            <w:shd w:val="clear" w:color="auto" w:fill="auto"/>
            <w:hideMark/>
          </w:tcPr>
          <w:p w:rsidR="00406FF7" w:rsidRPr="001F7FF9" w:rsidRDefault="00406FF7" w:rsidP="00575447">
            <w:pPr>
              <w:spacing w:before="27"/>
              <w:ind w:left="64"/>
              <w:rPr>
                <w:sz w:val="22"/>
                <w:szCs w:val="22"/>
                <w:lang w:val="en-US"/>
              </w:rPr>
            </w:pPr>
            <w:r w:rsidRPr="001F7FF9">
              <w:rPr>
                <w:sz w:val="22"/>
                <w:szCs w:val="22"/>
              </w:rPr>
              <w:t>Bue</w:t>
            </w:r>
            <w:r w:rsidRPr="001F7FF9">
              <w:rPr>
                <w:spacing w:val="-1"/>
                <w:sz w:val="22"/>
                <w:szCs w:val="22"/>
              </w:rPr>
              <w:t>n</w:t>
            </w:r>
            <w:r w:rsidRPr="001F7FF9">
              <w:rPr>
                <w:sz w:val="22"/>
                <w:szCs w:val="22"/>
              </w:rPr>
              <w:t>a</w:t>
            </w:r>
            <w:r w:rsidRPr="001F7FF9">
              <w:rPr>
                <w:spacing w:val="-1"/>
                <w:sz w:val="22"/>
                <w:szCs w:val="22"/>
              </w:rPr>
              <w:t>v</w:t>
            </w:r>
            <w:r w:rsidRPr="001F7FF9">
              <w:rPr>
                <w:sz w:val="22"/>
                <w:szCs w:val="22"/>
              </w:rPr>
              <w:t>i</w:t>
            </w:r>
            <w:r w:rsidRPr="001F7FF9">
              <w:rPr>
                <w:spacing w:val="-1"/>
                <w:sz w:val="22"/>
                <w:szCs w:val="22"/>
              </w:rPr>
              <w:t>s</w:t>
            </w:r>
            <w:r w:rsidRPr="001F7FF9">
              <w:rPr>
                <w:sz w:val="22"/>
                <w:szCs w:val="22"/>
              </w:rPr>
              <w:t>ta</w:t>
            </w:r>
          </w:p>
        </w:tc>
        <w:tc>
          <w:tcPr>
            <w:tcW w:w="992" w:type="dxa"/>
            <w:gridSpan w:val="3"/>
            <w:shd w:val="clear" w:color="auto" w:fill="auto"/>
            <w:hideMark/>
          </w:tcPr>
          <w:p w:rsidR="00406FF7" w:rsidRPr="001F7FF9" w:rsidRDefault="00406FF7" w:rsidP="00575447">
            <w:pPr>
              <w:spacing w:before="27"/>
              <w:ind w:right="61"/>
              <w:jc w:val="center"/>
              <w:rPr>
                <w:sz w:val="22"/>
                <w:szCs w:val="22"/>
                <w:lang w:val="en-US"/>
              </w:rPr>
            </w:pPr>
            <w:r w:rsidRPr="001F7FF9">
              <w:rPr>
                <w:spacing w:val="1"/>
                <w:sz w:val="22"/>
                <w:szCs w:val="22"/>
              </w:rPr>
              <w:t>38</w:t>
            </w:r>
          </w:p>
        </w:tc>
        <w:tc>
          <w:tcPr>
            <w:tcW w:w="1276"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2</w:t>
            </w:r>
            <w:r w:rsidRPr="001F7FF9">
              <w:rPr>
                <w:spacing w:val="1"/>
                <w:sz w:val="22"/>
                <w:szCs w:val="22"/>
              </w:rPr>
              <w:t>8</w:t>
            </w:r>
            <w:r w:rsidRPr="001F7FF9">
              <w:rPr>
                <w:sz w:val="22"/>
                <w:szCs w:val="22"/>
              </w:rPr>
              <w:t>%</w:t>
            </w:r>
          </w:p>
        </w:tc>
        <w:tc>
          <w:tcPr>
            <w:tcW w:w="992" w:type="dxa"/>
            <w:gridSpan w:val="3"/>
            <w:shd w:val="clear" w:color="auto" w:fill="auto"/>
            <w:hideMark/>
          </w:tcPr>
          <w:p w:rsidR="00406FF7" w:rsidRPr="001F7FF9" w:rsidRDefault="00406FF7" w:rsidP="00575447">
            <w:pPr>
              <w:spacing w:before="27"/>
              <w:ind w:right="61"/>
              <w:jc w:val="center"/>
              <w:rPr>
                <w:sz w:val="22"/>
                <w:szCs w:val="22"/>
                <w:lang w:val="en-US"/>
              </w:rPr>
            </w:pPr>
            <w:r w:rsidRPr="001F7FF9">
              <w:rPr>
                <w:spacing w:val="1"/>
                <w:sz w:val="22"/>
                <w:szCs w:val="22"/>
              </w:rPr>
              <w:t>44</w:t>
            </w:r>
          </w:p>
        </w:tc>
        <w:tc>
          <w:tcPr>
            <w:tcW w:w="1418"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3</w:t>
            </w:r>
            <w:r w:rsidRPr="001F7FF9">
              <w:rPr>
                <w:spacing w:val="1"/>
                <w:sz w:val="22"/>
                <w:szCs w:val="22"/>
              </w:rPr>
              <w:t>0</w:t>
            </w:r>
            <w:r w:rsidRPr="001F7FF9">
              <w:rPr>
                <w:sz w:val="22"/>
                <w:szCs w:val="22"/>
              </w:rPr>
              <w:t>%</w:t>
            </w:r>
          </w:p>
        </w:tc>
        <w:tc>
          <w:tcPr>
            <w:tcW w:w="995" w:type="dxa"/>
            <w:gridSpan w:val="3"/>
            <w:shd w:val="clear" w:color="auto" w:fill="auto"/>
            <w:hideMark/>
          </w:tcPr>
          <w:p w:rsidR="00406FF7" w:rsidRPr="001F7FF9" w:rsidRDefault="00406FF7" w:rsidP="00575447">
            <w:pPr>
              <w:spacing w:before="27"/>
              <w:ind w:right="64"/>
              <w:jc w:val="center"/>
              <w:rPr>
                <w:sz w:val="22"/>
                <w:szCs w:val="22"/>
                <w:lang w:val="en-US"/>
              </w:rPr>
            </w:pPr>
            <w:r w:rsidRPr="001F7FF9">
              <w:rPr>
                <w:spacing w:val="1"/>
                <w:sz w:val="22"/>
                <w:szCs w:val="22"/>
              </w:rPr>
              <w:t>57</w:t>
            </w:r>
          </w:p>
        </w:tc>
        <w:tc>
          <w:tcPr>
            <w:tcW w:w="1273" w:type="dxa"/>
            <w:gridSpan w:val="2"/>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3</w:t>
            </w:r>
            <w:r w:rsidRPr="001F7FF9">
              <w:rPr>
                <w:spacing w:val="1"/>
                <w:sz w:val="22"/>
                <w:szCs w:val="22"/>
              </w:rPr>
              <w:t>8</w:t>
            </w:r>
            <w:r w:rsidRPr="001F7FF9">
              <w:rPr>
                <w:sz w:val="22"/>
                <w:szCs w:val="22"/>
              </w:rPr>
              <w:t>%</w:t>
            </w:r>
          </w:p>
        </w:tc>
      </w:tr>
      <w:tr w:rsidR="00406FF7" w:rsidRPr="001F7FF9" w:rsidTr="003B498F">
        <w:trPr>
          <w:trHeight w:hRule="exact" w:val="310"/>
          <w:jc w:val="center"/>
        </w:trPr>
        <w:tc>
          <w:tcPr>
            <w:tcW w:w="1798" w:type="dxa"/>
            <w:gridSpan w:val="2"/>
            <w:shd w:val="clear" w:color="auto" w:fill="auto"/>
            <w:hideMark/>
          </w:tcPr>
          <w:p w:rsidR="00406FF7" w:rsidRPr="001F7FF9" w:rsidRDefault="00406FF7" w:rsidP="00575447">
            <w:pPr>
              <w:spacing w:before="27"/>
              <w:ind w:left="64"/>
              <w:rPr>
                <w:sz w:val="22"/>
                <w:szCs w:val="22"/>
                <w:lang w:val="en-US"/>
              </w:rPr>
            </w:pPr>
            <w:r w:rsidRPr="001F7FF9">
              <w:rPr>
                <w:sz w:val="22"/>
                <w:szCs w:val="22"/>
              </w:rPr>
              <w:t>C</w:t>
            </w:r>
            <w:r w:rsidRPr="001F7FF9">
              <w:rPr>
                <w:spacing w:val="-1"/>
                <w:sz w:val="22"/>
                <w:szCs w:val="22"/>
              </w:rPr>
              <w:t>a</w:t>
            </w:r>
            <w:r w:rsidRPr="001F7FF9">
              <w:rPr>
                <w:spacing w:val="1"/>
                <w:sz w:val="22"/>
                <w:szCs w:val="22"/>
              </w:rPr>
              <w:t>l</w:t>
            </w:r>
            <w:r w:rsidRPr="001F7FF9">
              <w:rPr>
                <w:sz w:val="22"/>
                <w:szCs w:val="22"/>
              </w:rPr>
              <w:t>arcá</w:t>
            </w:r>
          </w:p>
        </w:tc>
        <w:tc>
          <w:tcPr>
            <w:tcW w:w="992"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1</w:t>
            </w:r>
            <w:r w:rsidRPr="001F7FF9">
              <w:rPr>
                <w:sz w:val="22"/>
                <w:szCs w:val="22"/>
              </w:rPr>
              <w:t>.3</w:t>
            </w:r>
            <w:r w:rsidRPr="001F7FF9">
              <w:rPr>
                <w:spacing w:val="-1"/>
                <w:sz w:val="22"/>
                <w:szCs w:val="22"/>
              </w:rPr>
              <w:t>7</w:t>
            </w:r>
            <w:r w:rsidRPr="001F7FF9">
              <w:rPr>
                <w:sz w:val="22"/>
                <w:szCs w:val="22"/>
              </w:rPr>
              <w:t>7</w:t>
            </w:r>
          </w:p>
        </w:tc>
        <w:tc>
          <w:tcPr>
            <w:tcW w:w="1276"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10</w:t>
            </w:r>
            <w:r w:rsidRPr="001F7FF9">
              <w:rPr>
                <w:spacing w:val="-2"/>
                <w:sz w:val="22"/>
                <w:szCs w:val="22"/>
              </w:rPr>
              <w:t>,</w:t>
            </w:r>
            <w:r w:rsidRPr="001F7FF9">
              <w:rPr>
                <w:spacing w:val="1"/>
                <w:sz w:val="22"/>
                <w:szCs w:val="22"/>
              </w:rPr>
              <w:t>3</w:t>
            </w:r>
            <w:r w:rsidRPr="001F7FF9">
              <w:rPr>
                <w:spacing w:val="-2"/>
                <w:sz w:val="22"/>
                <w:szCs w:val="22"/>
              </w:rPr>
              <w:t>0</w:t>
            </w:r>
            <w:r w:rsidRPr="001F7FF9">
              <w:rPr>
                <w:sz w:val="22"/>
                <w:szCs w:val="22"/>
              </w:rPr>
              <w:t>%</w:t>
            </w:r>
          </w:p>
        </w:tc>
        <w:tc>
          <w:tcPr>
            <w:tcW w:w="992"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1</w:t>
            </w:r>
            <w:r w:rsidRPr="001F7FF9">
              <w:rPr>
                <w:sz w:val="22"/>
                <w:szCs w:val="22"/>
              </w:rPr>
              <w:t>.5</w:t>
            </w:r>
            <w:r w:rsidRPr="001F7FF9">
              <w:rPr>
                <w:spacing w:val="-1"/>
                <w:sz w:val="22"/>
                <w:szCs w:val="22"/>
              </w:rPr>
              <w:t>2</w:t>
            </w:r>
            <w:r w:rsidRPr="001F7FF9">
              <w:rPr>
                <w:sz w:val="22"/>
                <w:szCs w:val="22"/>
              </w:rPr>
              <w:t>2</w:t>
            </w:r>
          </w:p>
        </w:tc>
        <w:tc>
          <w:tcPr>
            <w:tcW w:w="1418"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10</w:t>
            </w:r>
            <w:r w:rsidRPr="001F7FF9">
              <w:rPr>
                <w:spacing w:val="-2"/>
                <w:sz w:val="22"/>
                <w:szCs w:val="22"/>
              </w:rPr>
              <w:t>,</w:t>
            </w:r>
            <w:r w:rsidRPr="001F7FF9">
              <w:rPr>
                <w:spacing w:val="1"/>
                <w:sz w:val="22"/>
                <w:szCs w:val="22"/>
              </w:rPr>
              <w:t>4</w:t>
            </w:r>
            <w:r w:rsidRPr="001F7FF9">
              <w:rPr>
                <w:spacing w:val="-2"/>
                <w:sz w:val="22"/>
                <w:szCs w:val="22"/>
              </w:rPr>
              <w:t>1</w:t>
            </w:r>
            <w:r w:rsidRPr="001F7FF9">
              <w:rPr>
                <w:sz w:val="22"/>
                <w:szCs w:val="22"/>
              </w:rPr>
              <w:t>%</w:t>
            </w:r>
          </w:p>
        </w:tc>
        <w:tc>
          <w:tcPr>
            <w:tcW w:w="995"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1</w:t>
            </w:r>
            <w:r w:rsidRPr="001F7FF9">
              <w:rPr>
                <w:sz w:val="22"/>
                <w:szCs w:val="22"/>
              </w:rPr>
              <w:t>.5</w:t>
            </w:r>
            <w:r w:rsidRPr="001F7FF9">
              <w:rPr>
                <w:spacing w:val="-1"/>
                <w:sz w:val="22"/>
                <w:szCs w:val="22"/>
              </w:rPr>
              <w:t>0</w:t>
            </w:r>
            <w:r w:rsidRPr="001F7FF9">
              <w:rPr>
                <w:sz w:val="22"/>
                <w:szCs w:val="22"/>
              </w:rPr>
              <w:t>8</w:t>
            </w:r>
          </w:p>
        </w:tc>
        <w:tc>
          <w:tcPr>
            <w:tcW w:w="1273" w:type="dxa"/>
            <w:gridSpan w:val="2"/>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10</w:t>
            </w:r>
            <w:r w:rsidRPr="001F7FF9">
              <w:rPr>
                <w:spacing w:val="-2"/>
                <w:sz w:val="22"/>
                <w:szCs w:val="22"/>
              </w:rPr>
              <w:t>,</w:t>
            </w:r>
            <w:r w:rsidRPr="001F7FF9">
              <w:rPr>
                <w:spacing w:val="1"/>
                <w:sz w:val="22"/>
                <w:szCs w:val="22"/>
              </w:rPr>
              <w:t>0</w:t>
            </w:r>
            <w:r w:rsidRPr="001F7FF9">
              <w:rPr>
                <w:spacing w:val="-2"/>
                <w:sz w:val="22"/>
                <w:szCs w:val="22"/>
              </w:rPr>
              <w:t>2</w:t>
            </w:r>
            <w:r w:rsidRPr="001F7FF9">
              <w:rPr>
                <w:sz w:val="22"/>
                <w:szCs w:val="22"/>
              </w:rPr>
              <w:t>%</w:t>
            </w:r>
          </w:p>
        </w:tc>
      </w:tr>
      <w:tr w:rsidR="00406FF7" w:rsidRPr="001F7FF9" w:rsidTr="003B498F">
        <w:trPr>
          <w:trHeight w:hRule="exact" w:val="310"/>
          <w:jc w:val="center"/>
        </w:trPr>
        <w:tc>
          <w:tcPr>
            <w:tcW w:w="1798" w:type="dxa"/>
            <w:gridSpan w:val="2"/>
            <w:shd w:val="clear" w:color="auto" w:fill="auto"/>
            <w:hideMark/>
          </w:tcPr>
          <w:p w:rsidR="00406FF7" w:rsidRPr="001F7FF9" w:rsidRDefault="00406FF7" w:rsidP="00575447">
            <w:pPr>
              <w:spacing w:before="30"/>
              <w:ind w:left="64"/>
              <w:rPr>
                <w:sz w:val="22"/>
                <w:szCs w:val="22"/>
                <w:lang w:val="en-US"/>
              </w:rPr>
            </w:pPr>
            <w:r w:rsidRPr="001F7FF9">
              <w:rPr>
                <w:sz w:val="22"/>
                <w:szCs w:val="22"/>
              </w:rPr>
              <w:t>Circ</w:t>
            </w:r>
            <w:r w:rsidRPr="001F7FF9">
              <w:rPr>
                <w:spacing w:val="-1"/>
                <w:sz w:val="22"/>
                <w:szCs w:val="22"/>
              </w:rPr>
              <w:t>a</w:t>
            </w:r>
            <w:r w:rsidRPr="001F7FF9">
              <w:rPr>
                <w:sz w:val="22"/>
                <w:szCs w:val="22"/>
              </w:rPr>
              <w:t>s</w:t>
            </w:r>
            <w:r w:rsidRPr="001F7FF9">
              <w:rPr>
                <w:spacing w:val="-1"/>
                <w:sz w:val="22"/>
                <w:szCs w:val="22"/>
              </w:rPr>
              <w:t>i</w:t>
            </w:r>
            <w:r w:rsidRPr="001F7FF9">
              <w:rPr>
                <w:sz w:val="22"/>
                <w:szCs w:val="22"/>
              </w:rPr>
              <w:t>a</w:t>
            </w:r>
          </w:p>
        </w:tc>
        <w:tc>
          <w:tcPr>
            <w:tcW w:w="992" w:type="dxa"/>
            <w:gridSpan w:val="3"/>
            <w:shd w:val="clear" w:color="auto" w:fill="auto"/>
            <w:hideMark/>
          </w:tcPr>
          <w:p w:rsidR="00406FF7" w:rsidRPr="001F7FF9" w:rsidRDefault="00406FF7" w:rsidP="00575447">
            <w:pPr>
              <w:spacing w:before="30"/>
              <w:jc w:val="center"/>
              <w:rPr>
                <w:sz w:val="22"/>
                <w:szCs w:val="22"/>
                <w:lang w:val="en-US"/>
              </w:rPr>
            </w:pPr>
            <w:r w:rsidRPr="001F7FF9">
              <w:rPr>
                <w:spacing w:val="1"/>
                <w:sz w:val="22"/>
                <w:szCs w:val="22"/>
              </w:rPr>
              <w:t>4</w:t>
            </w:r>
            <w:r w:rsidRPr="001F7FF9">
              <w:rPr>
                <w:spacing w:val="-2"/>
                <w:sz w:val="22"/>
                <w:szCs w:val="22"/>
              </w:rPr>
              <w:t>1</w:t>
            </w:r>
            <w:r w:rsidRPr="001F7FF9">
              <w:rPr>
                <w:sz w:val="22"/>
                <w:szCs w:val="22"/>
              </w:rPr>
              <w:t>5</w:t>
            </w:r>
          </w:p>
        </w:tc>
        <w:tc>
          <w:tcPr>
            <w:tcW w:w="1276" w:type="dxa"/>
            <w:gridSpan w:val="3"/>
            <w:shd w:val="clear" w:color="auto" w:fill="auto"/>
            <w:hideMark/>
          </w:tcPr>
          <w:p w:rsidR="00406FF7" w:rsidRPr="001F7FF9" w:rsidRDefault="00406FF7" w:rsidP="00575447">
            <w:pPr>
              <w:spacing w:before="30"/>
              <w:jc w:val="center"/>
              <w:rPr>
                <w:sz w:val="22"/>
                <w:szCs w:val="22"/>
                <w:lang w:val="en-US"/>
              </w:rPr>
            </w:pPr>
            <w:r w:rsidRPr="001F7FF9">
              <w:rPr>
                <w:spacing w:val="1"/>
                <w:sz w:val="22"/>
                <w:szCs w:val="22"/>
              </w:rPr>
              <w:t>3</w:t>
            </w:r>
            <w:r w:rsidRPr="001F7FF9">
              <w:rPr>
                <w:sz w:val="22"/>
                <w:szCs w:val="22"/>
              </w:rPr>
              <w:t>,</w:t>
            </w:r>
            <w:r w:rsidRPr="001F7FF9">
              <w:rPr>
                <w:spacing w:val="-1"/>
                <w:sz w:val="22"/>
                <w:szCs w:val="22"/>
              </w:rPr>
              <w:t>1</w:t>
            </w:r>
            <w:r w:rsidRPr="001F7FF9">
              <w:rPr>
                <w:spacing w:val="1"/>
                <w:sz w:val="22"/>
                <w:szCs w:val="22"/>
              </w:rPr>
              <w:t>1%</w:t>
            </w:r>
          </w:p>
        </w:tc>
        <w:tc>
          <w:tcPr>
            <w:tcW w:w="992" w:type="dxa"/>
            <w:gridSpan w:val="3"/>
            <w:shd w:val="clear" w:color="auto" w:fill="auto"/>
            <w:hideMark/>
          </w:tcPr>
          <w:p w:rsidR="00406FF7" w:rsidRPr="001F7FF9" w:rsidRDefault="00406FF7" w:rsidP="00575447">
            <w:pPr>
              <w:spacing w:before="30"/>
              <w:jc w:val="center"/>
              <w:rPr>
                <w:sz w:val="22"/>
                <w:szCs w:val="22"/>
                <w:lang w:val="en-US"/>
              </w:rPr>
            </w:pPr>
            <w:r w:rsidRPr="001F7FF9">
              <w:rPr>
                <w:spacing w:val="1"/>
                <w:sz w:val="22"/>
                <w:szCs w:val="22"/>
              </w:rPr>
              <w:t>4</w:t>
            </w:r>
            <w:r w:rsidRPr="001F7FF9">
              <w:rPr>
                <w:spacing w:val="-2"/>
                <w:sz w:val="22"/>
                <w:szCs w:val="22"/>
              </w:rPr>
              <w:t>8</w:t>
            </w:r>
            <w:r w:rsidRPr="001F7FF9">
              <w:rPr>
                <w:sz w:val="22"/>
                <w:szCs w:val="22"/>
              </w:rPr>
              <w:t>0</w:t>
            </w:r>
          </w:p>
        </w:tc>
        <w:tc>
          <w:tcPr>
            <w:tcW w:w="1418" w:type="dxa"/>
            <w:gridSpan w:val="3"/>
            <w:shd w:val="clear" w:color="auto" w:fill="auto"/>
            <w:hideMark/>
          </w:tcPr>
          <w:p w:rsidR="00406FF7" w:rsidRPr="001F7FF9" w:rsidRDefault="00406FF7" w:rsidP="00575447">
            <w:pPr>
              <w:spacing w:before="30"/>
              <w:jc w:val="center"/>
              <w:rPr>
                <w:sz w:val="22"/>
                <w:szCs w:val="22"/>
                <w:lang w:val="en-US"/>
              </w:rPr>
            </w:pPr>
            <w:r w:rsidRPr="001F7FF9">
              <w:rPr>
                <w:spacing w:val="1"/>
                <w:sz w:val="22"/>
                <w:szCs w:val="22"/>
              </w:rPr>
              <w:t>3</w:t>
            </w:r>
            <w:r w:rsidRPr="001F7FF9">
              <w:rPr>
                <w:sz w:val="22"/>
                <w:szCs w:val="22"/>
              </w:rPr>
              <w:t>,</w:t>
            </w:r>
            <w:r w:rsidRPr="001F7FF9">
              <w:rPr>
                <w:spacing w:val="-1"/>
                <w:sz w:val="22"/>
                <w:szCs w:val="22"/>
              </w:rPr>
              <w:t>2</w:t>
            </w:r>
            <w:r w:rsidRPr="001F7FF9">
              <w:rPr>
                <w:spacing w:val="1"/>
                <w:sz w:val="22"/>
                <w:szCs w:val="22"/>
              </w:rPr>
              <w:t>8</w:t>
            </w:r>
            <w:r w:rsidRPr="001F7FF9">
              <w:rPr>
                <w:sz w:val="22"/>
                <w:szCs w:val="22"/>
              </w:rPr>
              <w:t>%</w:t>
            </w:r>
          </w:p>
        </w:tc>
        <w:tc>
          <w:tcPr>
            <w:tcW w:w="995" w:type="dxa"/>
            <w:gridSpan w:val="3"/>
            <w:shd w:val="clear" w:color="auto" w:fill="auto"/>
            <w:hideMark/>
          </w:tcPr>
          <w:p w:rsidR="00406FF7" w:rsidRPr="001F7FF9" w:rsidRDefault="00406FF7" w:rsidP="00575447">
            <w:pPr>
              <w:spacing w:before="30"/>
              <w:jc w:val="center"/>
              <w:rPr>
                <w:sz w:val="22"/>
                <w:szCs w:val="22"/>
                <w:lang w:val="en-US"/>
              </w:rPr>
            </w:pPr>
            <w:r w:rsidRPr="001F7FF9">
              <w:rPr>
                <w:spacing w:val="1"/>
                <w:sz w:val="22"/>
                <w:szCs w:val="22"/>
              </w:rPr>
              <w:t>4</w:t>
            </w:r>
            <w:r w:rsidRPr="001F7FF9">
              <w:rPr>
                <w:spacing w:val="-2"/>
                <w:sz w:val="22"/>
                <w:szCs w:val="22"/>
              </w:rPr>
              <w:t>9</w:t>
            </w:r>
            <w:r w:rsidRPr="001F7FF9">
              <w:rPr>
                <w:sz w:val="22"/>
                <w:szCs w:val="22"/>
              </w:rPr>
              <w:t>0</w:t>
            </w:r>
          </w:p>
        </w:tc>
        <w:tc>
          <w:tcPr>
            <w:tcW w:w="1273" w:type="dxa"/>
            <w:gridSpan w:val="2"/>
            <w:shd w:val="clear" w:color="auto" w:fill="auto"/>
            <w:hideMark/>
          </w:tcPr>
          <w:p w:rsidR="00406FF7" w:rsidRPr="001F7FF9" w:rsidRDefault="00406FF7" w:rsidP="00575447">
            <w:pPr>
              <w:spacing w:before="30"/>
              <w:jc w:val="center"/>
              <w:rPr>
                <w:sz w:val="22"/>
                <w:szCs w:val="22"/>
                <w:lang w:val="en-US"/>
              </w:rPr>
            </w:pPr>
            <w:r w:rsidRPr="001F7FF9">
              <w:rPr>
                <w:spacing w:val="1"/>
                <w:sz w:val="22"/>
                <w:szCs w:val="22"/>
              </w:rPr>
              <w:t>3</w:t>
            </w:r>
            <w:r w:rsidRPr="001F7FF9">
              <w:rPr>
                <w:sz w:val="22"/>
                <w:szCs w:val="22"/>
              </w:rPr>
              <w:t>,</w:t>
            </w:r>
            <w:r w:rsidRPr="001F7FF9">
              <w:rPr>
                <w:spacing w:val="-1"/>
                <w:sz w:val="22"/>
                <w:szCs w:val="22"/>
              </w:rPr>
              <w:t>2</w:t>
            </w:r>
            <w:r w:rsidRPr="001F7FF9">
              <w:rPr>
                <w:spacing w:val="1"/>
                <w:sz w:val="22"/>
                <w:szCs w:val="22"/>
              </w:rPr>
              <w:t>5</w:t>
            </w:r>
            <w:r w:rsidRPr="001F7FF9">
              <w:rPr>
                <w:sz w:val="22"/>
                <w:szCs w:val="22"/>
              </w:rPr>
              <w:t>%</w:t>
            </w:r>
          </w:p>
        </w:tc>
      </w:tr>
      <w:tr w:rsidR="00406FF7" w:rsidRPr="001F7FF9" w:rsidTr="003B498F">
        <w:trPr>
          <w:trHeight w:hRule="exact" w:val="312"/>
          <w:jc w:val="center"/>
        </w:trPr>
        <w:tc>
          <w:tcPr>
            <w:tcW w:w="1798" w:type="dxa"/>
            <w:gridSpan w:val="2"/>
            <w:shd w:val="clear" w:color="auto" w:fill="auto"/>
            <w:hideMark/>
          </w:tcPr>
          <w:p w:rsidR="00406FF7" w:rsidRPr="001F7FF9" w:rsidRDefault="00406FF7" w:rsidP="00575447">
            <w:pPr>
              <w:spacing w:before="29"/>
              <w:ind w:left="64"/>
              <w:rPr>
                <w:sz w:val="22"/>
                <w:szCs w:val="22"/>
                <w:lang w:val="en-US"/>
              </w:rPr>
            </w:pPr>
            <w:r w:rsidRPr="001F7FF9">
              <w:rPr>
                <w:sz w:val="22"/>
                <w:szCs w:val="22"/>
              </w:rPr>
              <w:t>Cór</w:t>
            </w:r>
            <w:r w:rsidRPr="001F7FF9">
              <w:rPr>
                <w:spacing w:val="-1"/>
                <w:sz w:val="22"/>
                <w:szCs w:val="22"/>
              </w:rPr>
              <w:t>d</w:t>
            </w:r>
            <w:r w:rsidRPr="001F7FF9">
              <w:rPr>
                <w:sz w:val="22"/>
                <w:szCs w:val="22"/>
              </w:rPr>
              <w:t>oba</w:t>
            </w:r>
          </w:p>
        </w:tc>
        <w:tc>
          <w:tcPr>
            <w:tcW w:w="992" w:type="dxa"/>
            <w:gridSpan w:val="3"/>
            <w:shd w:val="clear" w:color="auto" w:fill="auto"/>
            <w:hideMark/>
          </w:tcPr>
          <w:p w:rsidR="00406FF7" w:rsidRPr="001F7FF9" w:rsidRDefault="00406FF7" w:rsidP="00575447">
            <w:pPr>
              <w:spacing w:before="29"/>
              <w:ind w:right="61"/>
              <w:jc w:val="center"/>
              <w:rPr>
                <w:sz w:val="22"/>
                <w:szCs w:val="22"/>
                <w:lang w:val="en-US"/>
              </w:rPr>
            </w:pPr>
            <w:r w:rsidRPr="001F7FF9">
              <w:rPr>
                <w:spacing w:val="1"/>
                <w:sz w:val="22"/>
                <w:szCs w:val="22"/>
              </w:rPr>
              <w:t>55</w:t>
            </w:r>
          </w:p>
        </w:tc>
        <w:tc>
          <w:tcPr>
            <w:tcW w:w="1276" w:type="dxa"/>
            <w:gridSpan w:val="3"/>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4</w:t>
            </w:r>
            <w:r w:rsidRPr="001F7FF9">
              <w:rPr>
                <w:spacing w:val="1"/>
                <w:sz w:val="22"/>
                <w:szCs w:val="22"/>
              </w:rPr>
              <w:t>1</w:t>
            </w:r>
            <w:r w:rsidRPr="001F7FF9">
              <w:rPr>
                <w:sz w:val="22"/>
                <w:szCs w:val="22"/>
              </w:rPr>
              <w:t>%</w:t>
            </w:r>
          </w:p>
        </w:tc>
        <w:tc>
          <w:tcPr>
            <w:tcW w:w="992" w:type="dxa"/>
            <w:gridSpan w:val="3"/>
            <w:shd w:val="clear" w:color="auto" w:fill="auto"/>
            <w:hideMark/>
          </w:tcPr>
          <w:p w:rsidR="00406FF7" w:rsidRPr="001F7FF9" w:rsidRDefault="00406FF7" w:rsidP="00575447">
            <w:pPr>
              <w:spacing w:before="29"/>
              <w:ind w:right="61"/>
              <w:jc w:val="center"/>
              <w:rPr>
                <w:sz w:val="22"/>
                <w:szCs w:val="22"/>
                <w:lang w:val="en-US"/>
              </w:rPr>
            </w:pPr>
            <w:r w:rsidRPr="001F7FF9">
              <w:rPr>
                <w:spacing w:val="1"/>
                <w:sz w:val="22"/>
                <w:szCs w:val="22"/>
              </w:rPr>
              <w:t>66</w:t>
            </w:r>
          </w:p>
        </w:tc>
        <w:tc>
          <w:tcPr>
            <w:tcW w:w="1418" w:type="dxa"/>
            <w:gridSpan w:val="3"/>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4</w:t>
            </w:r>
            <w:r w:rsidRPr="001F7FF9">
              <w:rPr>
                <w:spacing w:val="1"/>
                <w:sz w:val="22"/>
                <w:szCs w:val="22"/>
              </w:rPr>
              <w:t>5</w:t>
            </w:r>
            <w:r w:rsidRPr="001F7FF9">
              <w:rPr>
                <w:sz w:val="22"/>
                <w:szCs w:val="22"/>
              </w:rPr>
              <w:t>%</w:t>
            </w:r>
          </w:p>
        </w:tc>
        <w:tc>
          <w:tcPr>
            <w:tcW w:w="995" w:type="dxa"/>
            <w:gridSpan w:val="3"/>
            <w:shd w:val="clear" w:color="auto" w:fill="auto"/>
            <w:hideMark/>
          </w:tcPr>
          <w:p w:rsidR="00406FF7" w:rsidRPr="001F7FF9" w:rsidRDefault="00406FF7" w:rsidP="00575447">
            <w:pPr>
              <w:spacing w:before="29"/>
              <w:ind w:right="64"/>
              <w:jc w:val="center"/>
              <w:rPr>
                <w:sz w:val="22"/>
                <w:szCs w:val="22"/>
                <w:lang w:val="en-US"/>
              </w:rPr>
            </w:pPr>
            <w:r w:rsidRPr="001F7FF9">
              <w:rPr>
                <w:spacing w:val="1"/>
                <w:sz w:val="22"/>
                <w:szCs w:val="22"/>
              </w:rPr>
              <w:t>74</w:t>
            </w:r>
          </w:p>
        </w:tc>
        <w:tc>
          <w:tcPr>
            <w:tcW w:w="1273" w:type="dxa"/>
            <w:gridSpan w:val="2"/>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4</w:t>
            </w:r>
            <w:r w:rsidRPr="001F7FF9">
              <w:rPr>
                <w:spacing w:val="1"/>
                <w:sz w:val="22"/>
                <w:szCs w:val="22"/>
              </w:rPr>
              <w:t>9</w:t>
            </w:r>
            <w:r w:rsidRPr="001F7FF9">
              <w:rPr>
                <w:sz w:val="22"/>
                <w:szCs w:val="22"/>
              </w:rPr>
              <w:t>%</w:t>
            </w:r>
          </w:p>
        </w:tc>
      </w:tr>
      <w:tr w:rsidR="00406FF7" w:rsidRPr="001F7FF9" w:rsidTr="003B498F">
        <w:trPr>
          <w:trHeight w:hRule="exact" w:val="310"/>
          <w:jc w:val="center"/>
        </w:trPr>
        <w:tc>
          <w:tcPr>
            <w:tcW w:w="1798" w:type="dxa"/>
            <w:gridSpan w:val="2"/>
            <w:shd w:val="clear" w:color="auto" w:fill="auto"/>
            <w:hideMark/>
          </w:tcPr>
          <w:p w:rsidR="00406FF7" w:rsidRPr="001F7FF9" w:rsidRDefault="00406FF7" w:rsidP="00575447">
            <w:pPr>
              <w:spacing w:before="27"/>
              <w:ind w:left="64"/>
              <w:rPr>
                <w:sz w:val="22"/>
                <w:szCs w:val="22"/>
                <w:lang w:val="en-US"/>
              </w:rPr>
            </w:pPr>
            <w:r w:rsidRPr="001F7FF9">
              <w:rPr>
                <w:sz w:val="22"/>
                <w:szCs w:val="22"/>
              </w:rPr>
              <w:t>F</w:t>
            </w:r>
            <w:r w:rsidRPr="001F7FF9">
              <w:rPr>
                <w:spacing w:val="-1"/>
                <w:sz w:val="22"/>
                <w:szCs w:val="22"/>
              </w:rPr>
              <w:t>i</w:t>
            </w:r>
            <w:r w:rsidRPr="001F7FF9">
              <w:rPr>
                <w:spacing w:val="1"/>
                <w:sz w:val="22"/>
                <w:szCs w:val="22"/>
              </w:rPr>
              <w:t>l</w:t>
            </w:r>
            <w:r w:rsidRPr="001F7FF9">
              <w:rPr>
                <w:sz w:val="22"/>
                <w:szCs w:val="22"/>
              </w:rPr>
              <w:t>a</w:t>
            </w:r>
            <w:r w:rsidRPr="001F7FF9">
              <w:rPr>
                <w:spacing w:val="-2"/>
                <w:sz w:val="22"/>
                <w:szCs w:val="22"/>
              </w:rPr>
              <w:t>n</w:t>
            </w:r>
            <w:r w:rsidRPr="001F7FF9">
              <w:rPr>
                <w:spacing w:val="1"/>
                <w:sz w:val="22"/>
                <w:szCs w:val="22"/>
              </w:rPr>
              <w:t>d</w:t>
            </w:r>
            <w:r w:rsidRPr="001F7FF9">
              <w:rPr>
                <w:sz w:val="22"/>
                <w:szCs w:val="22"/>
              </w:rPr>
              <w:t>ia</w:t>
            </w:r>
          </w:p>
        </w:tc>
        <w:tc>
          <w:tcPr>
            <w:tcW w:w="992"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2</w:t>
            </w:r>
            <w:r w:rsidRPr="001F7FF9">
              <w:rPr>
                <w:spacing w:val="-2"/>
                <w:sz w:val="22"/>
                <w:szCs w:val="22"/>
              </w:rPr>
              <w:t>2</w:t>
            </w:r>
            <w:r w:rsidRPr="001F7FF9">
              <w:rPr>
                <w:sz w:val="22"/>
                <w:szCs w:val="22"/>
              </w:rPr>
              <w:t>2</w:t>
            </w:r>
          </w:p>
        </w:tc>
        <w:tc>
          <w:tcPr>
            <w:tcW w:w="1276"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1</w:t>
            </w:r>
            <w:r w:rsidRPr="001F7FF9">
              <w:rPr>
                <w:sz w:val="22"/>
                <w:szCs w:val="22"/>
              </w:rPr>
              <w:t>,</w:t>
            </w:r>
            <w:r w:rsidRPr="001F7FF9">
              <w:rPr>
                <w:spacing w:val="-1"/>
                <w:sz w:val="22"/>
                <w:szCs w:val="22"/>
              </w:rPr>
              <w:t>6</w:t>
            </w:r>
            <w:r w:rsidRPr="001F7FF9">
              <w:rPr>
                <w:spacing w:val="1"/>
                <w:sz w:val="22"/>
                <w:szCs w:val="22"/>
              </w:rPr>
              <w:t>6</w:t>
            </w:r>
            <w:r w:rsidRPr="001F7FF9">
              <w:rPr>
                <w:sz w:val="22"/>
                <w:szCs w:val="22"/>
              </w:rPr>
              <w:t>%</w:t>
            </w:r>
          </w:p>
        </w:tc>
        <w:tc>
          <w:tcPr>
            <w:tcW w:w="992"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2</w:t>
            </w:r>
            <w:r w:rsidRPr="001F7FF9">
              <w:rPr>
                <w:spacing w:val="-2"/>
                <w:sz w:val="22"/>
                <w:szCs w:val="22"/>
              </w:rPr>
              <w:t>6</w:t>
            </w:r>
            <w:r w:rsidRPr="001F7FF9">
              <w:rPr>
                <w:sz w:val="22"/>
                <w:szCs w:val="22"/>
              </w:rPr>
              <w:t>0</w:t>
            </w:r>
          </w:p>
        </w:tc>
        <w:tc>
          <w:tcPr>
            <w:tcW w:w="1418"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1</w:t>
            </w:r>
            <w:r w:rsidRPr="001F7FF9">
              <w:rPr>
                <w:sz w:val="22"/>
                <w:szCs w:val="22"/>
              </w:rPr>
              <w:t>,</w:t>
            </w:r>
            <w:r w:rsidRPr="001F7FF9">
              <w:rPr>
                <w:spacing w:val="-1"/>
                <w:sz w:val="22"/>
                <w:szCs w:val="22"/>
              </w:rPr>
              <w:t>7</w:t>
            </w:r>
            <w:r w:rsidRPr="001F7FF9">
              <w:rPr>
                <w:spacing w:val="1"/>
                <w:sz w:val="22"/>
                <w:szCs w:val="22"/>
              </w:rPr>
              <w:t>8</w:t>
            </w:r>
            <w:r w:rsidRPr="001F7FF9">
              <w:rPr>
                <w:sz w:val="22"/>
                <w:szCs w:val="22"/>
              </w:rPr>
              <w:t>%</w:t>
            </w:r>
          </w:p>
        </w:tc>
        <w:tc>
          <w:tcPr>
            <w:tcW w:w="995"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2</w:t>
            </w:r>
            <w:r w:rsidRPr="001F7FF9">
              <w:rPr>
                <w:spacing w:val="-2"/>
                <w:sz w:val="22"/>
                <w:szCs w:val="22"/>
              </w:rPr>
              <w:t>7</w:t>
            </w:r>
            <w:r w:rsidRPr="001F7FF9">
              <w:rPr>
                <w:sz w:val="22"/>
                <w:szCs w:val="22"/>
              </w:rPr>
              <w:t>5</w:t>
            </w:r>
          </w:p>
        </w:tc>
        <w:tc>
          <w:tcPr>
            <w:tcW w:w="1273" w:type="dxa"/>
            <w:gridSpan w:val="2"/>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1</w:t>
            </w:r>
            <w:r w:rsidRPr="001F7FF9">
              <w:rPr>
                <w:sz w:val="22"/>
                <w:szCs w:val="22"/>
              </w:rPr>
              <w:t>,</w:t>
            </w:r>
            <w:r w:rsidRPr="001F7FF9">
              <w:rPr>
                <w:spacing w:val="-1"/>
                <w:sz w:val="22"/>
                <w:szCs w:val="22"/>
              </w:rPr>
              <w:t>8</w:t>
            </w:r>
            <w:r w:rsidRPr="001F7FF9">
              <w:rPr>
                <w:spacing w:val="1"/>
                <w:sz w:val="22"/>
                <w:szCs w:val="22"/>
              </w:rPr>
              <w:t>3</w:t>
            </w:r>
            <w:r w:rsidRPr="001F7FF9">
              <w:rPr>
                <w:sz w:val="22"/>
                <w:szCs w:val="22"/>
              </w:rPr>
              <w:t>%</w:t>
            </w:r>
          </w:p>
        </w:tc>
      </w:tr>
      <w:tr w:rsidR="00406FF7" w:rsidRPr="001F7FF9" w:rsidTr="003B498F">
        <w:trPr>
          <w:trHeight w:hRule="exact" w:val="310"/>
          <w:jc w:val="center"/>
        </w:trPr>
        <w:tc>
          <w:tcPr>
            <w:tcW w:w="1798" w:type="dxa"/>
            <w:gridSpan w:val="2"/>
            <w:shd w:val="clear" w:color="auto" w:fill="auto"/>
            <w:hideMark/>
          </w:tcPr>
          <w:p w:rsidR="00406FF7" w:rsidRPr="001F7FF9" w:rsidRDefault="00406FF7" w:rsidP="00575447">
            <w:pPr>
              <w:spacing w:before="27"/>
              <w:ind w:left="64"/>
              <w:rPr>
                <w:sz w:val="22"/>
                <w:szCs w:val="22"/>
                <w:lang w:val="en-US"/>
              </w:rPr>
            </w:pPr>
            <w:r w:rsidRPr="001F7FF9">
              <w:rPr>
                <w:sz w:val="22"/>
                <w:szCs w:val="22"/>
              </w:rPr>
              <w:t>Gé</w:t>
            </w:r>
            <w:r w:rsidRPr="001F7FF9">
              <w:rPr>
                <w:spacing w:val="-1"/>
                <w:sz w:val="22"/>
                <w:szCs w:val="22"/>
              </w:rPr>
              <w:t>n</w:t>
            </w:r>
            <w:r w:rsidRPr="001F7FF9">
              <w:rPr>
                <w:sz w:val="22"/>
                <w:szCs w:val="22"/>
              </w:rPr>
              <w:t>ova</w:t>
            </w:r>
          </w:p>
        </w:tc>
        <w:tc>
          <w:tcPr>
            <w:tcW w:w="992" w:type="dxa"/>
            <w:gridSpan w:val="3"/>
            <w:shd w:val="clear" w:color="auto" w:fill="auto"/>
            <w:hideMark/>
          </w:tcPr>
          <w:p w:rsidR="00406FF7" w:rsidRPr="001F7FF9" w:rsidRDefault="00406FF7" w:rsidP="00575447">
            <w:pPr>
              <w:spacing w:before="27"/>
              <w:ind w:right="61"/>
              <w:jc w:val="center"/>
              <w:rPr>
                <w:sz w:val="22"/>
                <w:szCs w:val="22"/>
                <w:lang w:val="en-US"/>
              </w:rPr>
            </w:pPr>
            <w:r w:rsidRPr="001F7FF9">
              <w:rPr>
                <w:spacing w:val="1"/>
                <w:sz w:val="22"/>
                <w:szCs w:val="22"/>
              </w:rPr>
              <w:t>87</w:t>
            </w:r>
          </w:p>
        </w:tc>
        <w:tc>
          <w:tcPr>
            <w:tcW w:w="1276"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6</w:t>
            </w:r>
            <w:r w:rsidRPr="001F7FF9">
              <w:rPr>
                <w:spacing w:val="1"/>
                <w:sz w:val="22"/>
                <w:szCs w:val="22"/>
              </w:rPr>
              <w:t>5</w:t>
            </w:r>
            <w:r w:rsidRPr="001F7FF9">
              <w:rPr>
                <w:sz w:val="22"/>
                <w:szCs w:val="22"/>
              </w:rPr>
              <w:t>%</w:t>
            </w:r>
          </w:p>
        </w:tc>
        <w:tc>
          <w:tcPr>
            <w:tcW w:w="992" w:type="dxa"/>
            <w:gridSpan w:val="3"/>
            <w:shd w:val="clear" w:color="auto" w:fill="auto"/>
            <w:hideMark/>
          </w:tcPr>
          <w:p w:rsidR="00406FF7" w:rsidRPr="001F7FF9" w:rsidRDefault="00406FF7" w:rsidP="00575447">
            <w:pPr>
              <w:spacing w:before="27"/>
              <w:ind w:right="61"/>
              <w:jc w:val="center"/>
              <w:rPr>
                <w:sz w:val="22"/>
                <w:szCs w:val="22"/>
                <w:lang w:val="en-US"/>
              </w:rPr>
            </w:pPr>
            <w:r w:rsidRPr="001F7FF9">
              <w:rPr>
                <w:spacing w:val="1"/>
                <w:sz w:val="22"/>
                <w:szCs w:val="22"/>
              </w:rPr>
              <w:t>90</w:t>
            </w:r>
          </w:p>
        </w:tc>
        <w:tc>
          <w:tcPr>
            <w:tcW w:w="1418"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6</w:t>
            </w:r>
            <w:r w:rsidRPr="001F7FF9">
              <w:rPr>
                <w:spacing w:val="1"/>
                <w:sz w:val="22"/>
                <w:szCs w:val="22"/>
              </w:rPr>
              <w:t>2</w:t>
            </w:r>
            <w:r w:rsidRPr="001F7FF9">
              <w:rPr>
                <w:sz w:val="22"/>
                <w:szCs w:val="22"/>
              </w:rPr>
              <w:t>%</w:t>
            </w:r>
          </w:p>
        </w:tc>
        <w:tc>
          <w:tcPr>
            <w:tcW w:w="995"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1</w:t>
            </w:r>
            <w:r w:rsidRPr="001F7FF9">
              <w:rPr>
                <w:spacing w:val="-2"/>
                <w:sz w:val="22"/>
                <w:szCs w:val="22"/>
              </w:rPr>
              <w:t>0</w:t>
            </w:r>
            <w:r w:rsidRPr="001F7FF9">
              <w:rPr>
                <w:sz w:val="22"/>
                <w:szCs w:val="22"/>
              </w:rPr>
              <w:t>0</w:t>
            </w:r>
          </w:p>
        </w:tc>
        <w:tc>
          <w:tcPr>
            <w:tcW w:w="1273" w:type="dxa"/>
            <w:gridSpan w:val="2"/>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6</w:t>
            </w:r>
            <w:r w:rsidRPr="001F7FF9">
              <w:rPr>
                <w:spacing w:val="1"/>
                <w:sz w:val="22"/>
                <w:szCs w:val="22"/>
              </w:rPr>
              <w:t>6</w:t>
            </w:r>
            <w:r w:rsidRPr="001F7FF9">
              <w:rPr>
                <w:sz w:val="22"/>
                <w:szCs w:val="22"/>
              </w:rPr>
              <w:t>%</w:t>
            </w:r>
          </w:p>
        </w:tc>
      </w:tr>
      <w:tr w:rsidR="00406FF7" w:rsidRPr="001F7FF9" w:rsidTr="003B498F">
        <w:trPr>
          <w:trHeight w:hRule="exact" w:val="310"/>
          <w:jc w:val="center"/>
        </w:trPr>
        <w:tc>
          <w:tcPr>
            <w:tcW w:w="1798" w:type="dxa"/>
            <w:gridSpan w:val="2"/>
            <w:shd w:val="clear" w:color="auto" w:fill="auto"/>
            <w:hideMark/>
          </w:tcPr>
          <w:p w:rsidR="00406FF7" w:rsidRPr="001F7FF9" w:rsidRDefault="00406FF7" w:rsidP="00575447">
            <w:pPr>
              <w:spacing w:before="27"/>
              <w:ind w:left="64"/>
              <w:rPr>
                <w:sz w:val="22"/>
                <w:szCs w:val="22"/>
                <w:lang w:val="en-US"/>
              </w:rPr>
            </w:pPr>
            <w:r w:rsidRPr="001F7FF9">
              <w:rPr>
                <w:spacing w:val="1"/>
                <w:sz w:val="22"/>
                <w:szCs w:val="22"/>
              </w:rPr>
              <w:t>L</w:t>
            </w:r>
            <w:r w:rsidRPr="001F7FF9">
              <w:rPr>
                <w:sz w:val="22"/>
                <w:szCs w:val="22"/>
              </w:rPr>
              <w:t>a teba</w:t>
            </w:r>
            <w:r w:rsidRPr="001F7FF9">
              <w:rPr>
                <w:spacing w:val="-3"/>
                <w:sz w:val="22"/>
                <w:szCs w:val="22"/>
              </w:rPr>
              <w:t>i</w:t>
            </w:r>
            <w:r w:rsidRPr="001F7FF9">
              <w:rPr>
                <w:spacing w:val="1"/>
                <w:sz w:val="22"/>
                <w:szCs w:val="22"/>
              </w:rPr>
              <w:t>d</w:t>
            </w:r>
            <w:r w:rsidRPr="001F7FF9">
              <w:rPr>
                <w:sz w:val="22"/>
                <w:szCs w:val="22"/>
              </w:rPr>
              <w:t>a</w:t>
            </w:r>
          </w:p>
        </w:tc>
        <w:tc>
          <w:tcPr>
            <w:tcW w:w="992"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5</w:t>
            </w:r>
            <w:r w:rsidRPr="001F7FF9">
              <w:rPr>
                <w:spacing w:val="-2"/>
                <w:sz w:val="22"/>
                <w:szCs w:val="22"/>
              </w:rPr>
              <w:t>6</w:t>
            </w:r>
            <w:r w:rsidRPr="001F7FF9">
              <w:rPr>
                <w:sz w:val="22"/>
                <w:szCs w:val="22"/>
              </w:rPr>
              <w:t>8</w:t>
            </w:r>
          </w:p>
        </w:tc>
        <w:tc>
          <w:tcPr>
            <w:tcW w:w="1276"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4</w:t>
            </w:r>
            <w:r w:rsidRPr="001F7FF9">
              <w:rPr>
                <w:sz w:val="22"/>
                <w:szCs w:val="22"/>
              </w:rPr>
              <w:t>,</w:t>
            </w:r>
            <w:r w:rsidRPr="001F7FF9">
              <w:rPr>
                <w:spacing w:val="-1"/>
                <w:sz w:val="22"/>
                <w:szCs w:val="22"/>
              </w:rPr>
              <w:t>2</w:t>
            </w:r>
            <w:r w:rsidRPr="001F7FF9">
              <w:rPr>
                <w:spacing w:val="1"/>
                <w:sz w:val="22"/>
                <w:szCs w:val="22"/>
              </w:rPr>
              <w:t>5</w:t>
            </w:r>
            <w:r w:rsidRPr="001F7FF9">
              <w:rPr>
                <w:sz w:val="22"/>
                <w:szCs w:val="22"/>
              </w:rPr>
              <w:t>%</w:t>
            </w:r>
          </w:p>
        </w:tc>
        <w:tc>
          <w:tcPr>
            <w:tcW w:w="992"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7</w:t>
            </w:r>
            <w:r w:rsidRPr="001F7FF9">
              <w:rPr>
                <w:spacing w:val="-2"/>
                <w:sz w:val="22"/>
                <w:szCs w:val="22"/>
              </w:rPr>
              <w:t>0</w:t>
            </w:r>
            <w:r w:rsidRPr="001F7FF9">
              <w:rPr>
                <w:sz w:val="22"/>
                <w:szCs w:val="22"/>
              </w:rPr>
              <w:t>1</w:t>
            </w:r>
          </w:p>
        </w:tc>
        <w:tc>
          <w:tcPr>
            <w:tcW w:w="1418"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4</w:t>
            </w:r>
            <w:r w:rsidRPr="001F7FF9">
              <w:rPr>
                <w:sz w:val="22"/>
                <w:szCs w:val="22"/>
              </w:rPr>
              <w:t>,</w:t>
            </w:r>
            <w:r w:rsidRPr="001F7FF9">
              <w:rPr>
                <w:spacing w:val="-1"/>
                <w:sz w:val="22"/>
                <w:szCs w:val="22"/>
              </w:rPr>
              <w:t>8</w:t>
            </w:r>
            <w:r w:rsidRPr="001F7FF9">
              <w:rPr>
                <w:spacing w:val="1"/>
                <w:sz w:val="22"/>
                <w:szCs w:val="22"/>
              </w:rPr>
              <w:t>0</w:t>
            </w:r>
            <w:r w:rsidRPr="001F7FF9">
              <w:rPr>
                <w:sz w:val="22"/>
                <w:szCs w:val="22"/>
              </w:rPr>
              <w:t>%</w:t>
            </w:r>
          </w:p>
        </w:tc>
        <w:tc>
          <w:tcPr>
            <w:tcW w:w="995"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7</w:t>
            </w:r>
            <w:r w:rsidRPr="001F7FF9">
              <w:rPr>
                <w:spacing w:val="-2"/>
                <w:sz w:val="22"/>
                <w:szCs w:val="22"/>
              </w:rPr>
              <w:t>6</w:t>
            </w:r>
            <w:r w:rsidRPr="001F7FF9">
              <w:rPr>
                <w:sz w:val="22"/>
                <w:szCs w:val="22"/>
              </w:rPr>
              <w:t>9</w:t>
            </w:r>
          </w:p>
        </w:tc>
        <w:tc>
          <w:tcPr>
            <w:tcW w:w="1273" w:type="dxa"/>
            <w:gridSpan w:val="2"/>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5</w:t>
            </w:r>
            <w:r w:rsidRPr="001F7FF9">
              <w:rPr>
                <w:sz w:val="22"/>
                <w:szCs w:val="22"/>
              </w:rPr>
              <w:t>,</w:t>
            </w:r>
            <w:r w:rsidRPr="001F7FF9">
              <w:rPr>
                <w:spacing w:val="-1"/>
                <w:sz w:val="22"/>
                <w:szCs w:val="22"/>
              </w:rPr>
              <w:t>1</w:t>
            </w:r>
            <w:r w:rsidRPr="001F7FF9">
              <w:rPr>
                <w:spacing w:val="1"/>
                <w:sz w:val="22"/>
                <w:szCs w:val="22"/>
              </w:rPr>
              <w:t>1</w:t>
            </w:r>
            <w:r w:rsidRPr="001F7FF9">
              <w:rPr>
                <w:sz w:val="22"/>
                <w:szCs w:val="22"/>
              </w:rPr>
              <w:t>%</w:t>
            </w:r>
          </w:p>
        </w:tc>
      </w:tr>
      <w:tr w:rsidR="00406FF7" w:rsidRPr="001F7FF9" w:rsidTr="003B498F">
        <w:trPr>
          <w:trHeight w:hRule="exact" w:val="310"/>
          <w:jc w:val="center"/>
        </w:trPr>
        <w:tc>
          <w:tcPr>
            <w:tcW w:w="1798" w:type="dxa"/>
            <w:gridSpan w:val="2"/>
            <w:shd w:val="clear" w:color="auto" w:fill="auto"/>
            <w:hideMark/>
          </w:tcPr>
          <w:p w:rsidR="00406FF7" w:rsidRPr="001F7FF9" w:rsidRDefault="00406FF7" w:rsidP="00575447">
            <w:pPr>
              <w:spacing w:before="27"/>
              <w:ind w:left="64"/>
              <w:rPr>
                <w:sz w:val="22"/>
                <w:szCs w:val="22"/>
                <w:lang w:val="en-US"/>
              </w:rPr>
            </w:pPr>
            <w:r w:rsidRPr="001F7FF9">
              <w:rPr>
                <w:spacing w:val="1"/>
                <w:sz w:val="22"/>
                <w:szCs w:val="22"/>
              </w:rPr>
              <w:t>M</w:t>
            </w:r>
            <w:r w:rsidRPr="001F7FF9">
              <w:rPr>
                <w:sz w:val="22"/>
                <w:szCs w:val="22"/>
              </w:rPr>
              <w:t>o</w:t>
            </w:r>
            <w:r w:rsidRPr="001F7FF9">
              <w:rPr>
                <w:spacing w:val="-1"/>
                <w:sz w:val="22"/>
                <w:szCs w:val="22"/>
              </w:rPr>
              <w:t>n</w:t>
            </w:r>
            <w:r w:rsidRPr="001F7FF9">
              <w:rPr>
                <w:sz w:val="22"/>
                <w:szCs w:val="22"/>
              </w:rPr>
              <w:t>te</w:t>
            </w:r>
            <w:r w:rsidRPr="001F7FF9">
              <w:rPr>
                <w:spacing w:val="-1"/>
                <w:sz w:val="22"/>
                <w:szCs w:val="22"/>
              </w:rPr>
              <w:t>n</w:t>
            </w:r>
            <w:r w:rsidRPr="001F7FF9">
              <w:rPr>
                <w:spacing w:val="-2"/>
                <w:sz w:val="22"/>
                <w:szCs w:val="22"/>
              </w:rPr>
              <w:t>e</w:t>
            </w:r>
            <w:r w:rsidRPr="001F7FF9">
              <w:rPr>
                <w:sz w:val="22"/>
                <w:szCs w:val="22"/>
              </w:rPr>
              <w:t>gro</w:t>
            </w:r>
          </w:p>
        </w:tc>
        <w:tc>
          <w:tcPr>
            <w:tcW w:w="992"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7</w:t>
            </w:r>
            <w:r w:rsidRPr="001F7FF9">
              <w:rPr>
                <w:spacing w:val="-2"/>
                <w:sz w:val="22"/>
                <w:szCs w:val="22"/>
              </w:rPr>
              <w:t>3</w:t>
            </w:r>
            <w:r w:rsidRPr="001F7FF9">
              <w:rPr>
                <w:sz w:val="22"/>
                <w:szCs w:val="22"/>
              </w:rPr>
              <w:t>4</w:t>
            </w:r>
          </w:p>
        </w:tc>
        <w:tc>
          <w:tcPr>
            <w:tcW w:w="1276"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5</w:t>
            </w:r>
            <w:r w:rsidRPr="001F7FF9">
              <w:rPr>
                <w:sz w:val="22"/>
                <w:szCs w:val="22"/>
              </w:rPr>
              <w:t>,</w:t>
            </w:r>
            <w:r w:rsidRPr="001F7FF9">
              <w:rPr>
                <w:spacing w:val="-1"/>
                <w:sz w:val="22"/>
                <w:szCs w:val="22"/>
              </w:rPr>
              <w:t>4</w:t>
            </w:r>
            <w:r w:rsidRPr="001F7FF9">
              <w:rPr>
                <w:spacing w:val="1"/>
                <w:sz w:val="22"/>
                <w:szCs w:val="22"/>
              </w:rPr>
              <w:t>9</w:t>
            </w:r>
            <w:r w:rsidRPr="001F7FF9">
              <w:rPr>
                <w:sz w:val="22"/>
                <w:szCs w:val="22"/>
              </w:rPr>
              <w:t>%</w:t>
            </w:r>
          </w:p>
        </w:tc>
        <w:tc>
          <w:tcPr>
            <w:tcW w:w="992"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8</w:t>
            </w:r>
            <w:r w:rsidRPr="001F7FF9">
              <w:rPr>
                <w:spacing w:val="-2"/>
                <w:sz w:val="22"/>
                <w:szCs w:val="22"/>
              </w:rPr>
              <w:t>1</w:t>
            </w:r>
            <w:r w:rsidRPr="001F7FF9">
              <w:rPr>
                <w:sz w:val="22"/>
                <w:szCs w:val="22"/>
              </w:rPr>
              <w:t>2</w:t>
            </w:r>
          </w:p>
        </w:tc>
        <w:tc>
          <w:tcPr>
            <w:tcW w:w="1418"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5</w:t>
            </w:r>
            <w:r w:rsidRPr="001F7FF9">
              <w:rPr>
                <w:sz w:val="22"/>
                <w:szCs w:val="22"/>
              </w:rPr>
              <w:t>,</w:t>
            </w:r>
            <w:r w:rsidRPr="001F7FF9">
              <w:rPr>
                <w:spacing w:val="-1"/>
                <w:sz w:val="22"/>
                <w:szCs w:val="22"/>
              </w:rPr>
              <w:t>5</w:t>
            </w:r>
            <w:r w:rsidRPr="001F7FF9">
              <w:rPr>
                <w:spacing w:val="1"/>
                <w:sz w:val="22"/>
                <w:szCs w:val="22"/>
              </w:rPr>
              <w:t>6</w:t>
            </w:r>
            <w:r w:rsidRPr="001F7FF9">
              <w:rPr>
                <w:sz w:val="22"/>
                <w:szCs w:val="22"/>
              </w:rPr>
              <w:t>%</w:t>
            </w:r>
          </w:p>
        </w:tc>
        <w:tc>
          <w:tcPr>
            <w:tcW w:w="995" w:type="dxa"/>
            <w:gridSpan w:val="3"/>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8</w:t>
            </w:r>
            <w:r w:rsidRPr="001F7FF9">
              <w:rPr>
                <w:spacing w:val="-2"/>
                <w:sz w:val="22"/>
                <w:szCs w:val="22"/>
              </w:rPr>
              <w:t>2</w:t>
            </w:r>
            <w:r w:rsidRPr="001F7FF9">
              <w:rPr>
                <w:sz w:val="22"/>
                <w:szCs w:val="22"/>
              </w:rPr>
              <w:t>6</w:t>
            </w:r>
          </w:p>
        </w:tc>
        <w:tc>
          <w:tcPr>
            <w:tcW w:w="1273" w:type="dxa"/>
            <w:gridSpan w:val="2"/>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5</w:t>
            </w:r>
            <w:r w:rsidRPr="001F7FF9">
              <w:rPr>
                <w:sz w:val="22"/>
                <w:szCs w:val="22"/>
              </w:rPr>
              <w:t>,</w:t>
            </w:r>
            <w:r w:rsidRPr="001F7FF9">
              <w:rPr>
                <w:spacing w:val="-1"/>
                <w:sz w:val="22"/>
                <w:szCs w:val="22"/>
              </w:rPr>
              <w:t>4</w:t>
            </w:r>
            <w:r w:rsidRPr="001F7FF9">
              <w:rPr>
                <w:spacing w:val="1"/>
                <w:sz w:val="22"/>
                <w:szCs w:val="22"/>
              </w:rPr>
              <w:t>9</w:t>
            </w:r>
            <w:r w:rsidRPr="001F7FF9">
              <w:rPr>
                <w:sz w:val="22"/>
                <w:szCs w:val="22"/>
              </w:rPr>
              <w:t>%</w:t>
            </w:r>
          </w:p>
        </w:tc>
      </w:tr>
      <w:tr w:rsidR="00406FF7" w:rsidRPr="001F7FF9" w:rsidTr="003B498F">
        <w:trPr>
          <w:trHeight w:hRule="exact" w:val="310"/>
          <w:jc w:val="center"/>
        </w:trPr>
        <w:tc>
          <w:tcPr>
            <w:tcW w:w="1798" w:type="dxa"/>
            <w:gridSpan w:val="2"/>
            <w:shd w:val="clear" w:color="auto" w:fill="auto"/>
            <w:hideMark/>
          </w:tcPr>
          <w:p w:rsidR="00406FF7" w:rsidRPr="001F7FF9" w:rsidRDefault="00406FF7" w:rsidP="00575447">
            <w:pPr>
              <w:spacing w:before="29"/>
              <w:ind w:left="64"/>
              <w:rPr>
                <w:sz w:val="22"/>
                <w:szCs w:val="22"/>
                <w:lang w:val="en-US"/>
              </w:rPr>
            </w:pPr>
            <w:r w:rsidRPr="001F7FF9">
              <w:rPr>
                <w:spacing w:val="1"/>
                <w:sz w:val="22"/>
                <w:szCs w:val="22"/>
              </w:rPr>
              <w:t>P</w:t>
            </w:r>
            <w:r w:rsidRPr="001F7FF9">
              <w:rPr>
                <w:sz w:val="22"/>
                <w:szCs w:val="22"/>
              </w:rPr>
              <w:t>i</w:t>
            </w:r>
            <w:r w:rsidRPr="001F7FF9">
              <w:rPr>
                <w:spacing w:val="-1"/>
                <w:sz w:val="22"/>
                <w:szCs w:val="22"/>
              </w:rPr>
              <w:t>j</w:t>
            </w:r>
            <w:r w:rsidRPr="001F7FF9">
              <w:rPr>
                <w:sz w:val="22"/>
                <w:szCs w:val="22"/>
              </w:rPr>
              <w:t>ao</w:t>
            </w:r>
          </w:p>
        </w:tc>
        <w:tc>
          <w:tcPr>
            <w:tcW w:w="992" w:type="dxa"/>
            <w:gridSpan w:val="3"/>
            <w:shd w:val="clear" w:color="auto" w:fill="auto"/>
            <w:hideMark/>
          </w:tcPr>
          <w:p w:rsidR="00406FF7" w:rsidRPr="001F7FF9" w:rsidRDefault="00406FF7" w:rsidP="00575447">
            <w:pPr>
              <w:spacing w:before="29"/>
              <w:ind w:right="61"/>
              <w:jc w:val="center"/>
              <w:rPr>
                <w:sz w:val="22"/>
                <w:szCs w:val="22"/>
                <w:lang w:val="en-US"/>
              </w:rPr>
            </w:pPr>
            <w:r w:rsidRPr="001F7FF9">
              <w:rPr>
                <w:spacing w:val="1"/>
                <w:sz w:val="22"/>
                <w:szCs w:val="22"/>
              </w:rPr>
              <w:t>64</w:t>
            </w:r>
          </w:p>
        </w:tc>
        <w:tc>
          <w:tcPr>
            <w:tcW w:w="1276" w:type="dxa"/>
            <w:gridSpan w:val="3"/>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4</w:t>
            </w:r>
            <w:r w:rsidRPr="001F7FF9">
              <w:rPr>
                <w:spacing w:val="1"/>
                <w:sz w:val="22"/>
                <w:szCs w:val="22"/>
              </w:rPr>
              <w:t>8</w:t>
            </w:r>
            <w:r w:rsidRPr="001F7FF9">
              <w:rPr>
                <w:sz w:val="22"/>
                <w:szCs w:val="22"/>
              </w:rPr>
              <w:t>%</w:t>
            </w:r>
          </w:p>
        </w:tc>
        <w:tc>
          <w:tcPr>
            <w:tcW w:w="992" w:type="dxa"/>
            <w:gridSpan w:val="3"/>
            <w:shd w:val="clear" w:color="auto" w:fill="auto"/>
            <w:hideMark/>
          </w:tcPr>
          <w:p w:rsidR="00406FF7" w:rsidRPr="001F7FF9" w:rsidRDefault="00406FF7" w:rsidP="00575447">
            <w:pPr>
              <w:spacing w:before="29"/>
              <w:ind w:right="61"/>
              <w:jc w:val="center"/>
              <w:rPr>
                <w:sz w:val="22"/>
                <w:szCs w:val="22"/>
                <w:lang w:val="en-US"/>
              </w:rPr>
            </w:pPr>
            <w:r w:rsidRPr="001F7FF9">
              <w:rPr>
                <w:spacing w:val="1"/>
                <w:sz w:val="22"/>
                <w:szCs w:val="22"/>
              </w:rPr>
              <w:t>77</w:t>
            </w:r>
          </w:p>
        </w:tc>
        <w:tc>
          <w:tcPr>
            <w:tcW w:w="1418" w:type="dxa"/>
            <w:gridSpan w:val="3"/>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5</w:t>
            </w:r>
            <w:r w:rsidRPr="001F7FF9">
              <w:rPr>
                <w:spacing w:val="1"/>
                <w:sz w:val="22"/>
                <w:szCs w:val="22"/>
              </w:rPr>
              <w:t>3</w:t>
            </w:r>
            <w:r w:rsidRPr="001F7FF9">
              <w:rPr>
                <w:sz w:val="22"/>
                <w:szCs w:val="22"/>
              </w:rPr>
              <w:t>%</w:t>
            </w:r>
          </w:p>
        </w:tc>
        <w:tc>
          <w:tcPr>
            <w:tcW w:w="995" w:type="dxa"/>
            <w:gridSpan w:val="3"/>
            <w:shd w:val="clear" w:color="auto" w:fill="auto"/>
            <w:hideMark/>
          </w:tcPr>
          <w:p w:rsidR="00406FF7" w:rsidRPr="001F7FF9" w:rsidRDefault="00406FF7" w:rsidP="00575447">
            <w:pPr>
              <w:spacing w:before="29"/>
              <w:ind w:right="64"/>
              <w:jc w:val="center"/>
              <w:rPr>
                <w:sz w:val="22"/>
                <w:szCs w:val="22"/>
                <w:lang w:val="en-US"/>
              </w:rPr>
            </w:pPr>
            <w:r w:rsidRPr="001F7FF9">
              <w:rPr>
                <w:spacing w:val="1"/>
                <w:sz w:val="22"/>
                <w:szCs w:val="22"/>
              </w:rPr>
              <w:t>92</w:t>
            </w:r>
          </w:p>
        </w:tc>
        <w:tc>
          <w:tcPr>
            <w:tcW w:w="1273" w:type="dxa"/>
            <w:gridSpan w:val="2"/>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0</w:t>
            </w:r>
            <w:r w:rsidRPr="001F7FF9">
              <w:rPr>
                <w:sz w:val="22"/>
                <w:szCs w:val="22"/>
              </w:rPr>
              <w:t>,</w:t>
            </w:r>
            <w:r w:rsidRPr="001F7FF9">
              <w:rPr>
                <w:spacing w:val="-1"/>
                <w:sz w:val="22"/>
                <w:szCs w:val="22"/>
              </w:rPr>
              <w:t>6</w:t>
            </w:r>
            <w:r w:rsidRPr="001F7FF9">
              <w:rPr>
                <w:spacing w:val="1"/>
                <w:sz w:val="22"/>
                <w:szCs w:val="22"/>
              </w:rPr>
              <w:t>1</w:t>
            </w:r>
            <w:r w:rsidRPr="001F7FF9">
              <w:rPr>
                <w:sz w:val="22"/>
                <w:szCs w:val="22"/>
              </w:rPr>
              <w:t>%</w:t>
            </w:r>
          </w:p>
        </w:tc>
      </w:tr>
      <w:tr w:rsidR="00406FF7" w:rsidRPr="001F7FF9" w:rsidTr="003B498F">
        <w:trPr>
          <w:trHeight w:hRule="exact" w:val="312"/>
          <w:jc w:val="center"/>
        </w:trPr>
        <w:tc>
          <w:tcPr>
            <w:tcW w:w="1798" w:type="dxa"/>
            <w:gridSpan w:val="2"/>
            <w:shd w:val="clear" w:color="auto" w:fill="auto"/>
            <w:hideMark/>
          </w:tcPr>
          <w:p w:rsidR="00406FF7" w:rsidRPr="001F7FF9" w:rsidRDefault="00406FF7" w:rsidP="00575447">
            <w:pPr>
              <w:spacing w:before="29"/>
              <w:ind w:left="64"/>
              <w:rPr>
                <w:sz w:val="22"/>
                <w:szCs w:val="22"/>
                <w:lang w:val="en-US"/>
              </w:rPr>
            </w:pPr>
            <w:r w:rsidRPr="001F7FF9">
              <w:rPr>
                <w:sz w:val="22"/>
                <w:szCs w:val="22"/>
              </w:rPr>
              <w:t>Quimbaya</w:t>
            </w:r>
          </w:p>
        </w:tc>
        <w:tc>
          <w:tcPr>
            <w:tcW w:w="992" w:type="dxa"/>
            <w:gridSpan w:val="3"/>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7</w:t>
            </w:r>
            <w:r w:rsidRPr="001F7FF9">
              <w:rPr>
                <w:spacing w:val="-2"/>
                <w:sz w:val="22"/>
                <w:szCs w:val="22"/>
              </w:rPr>
              <w:t>1</w:t>
            </w:r>
            <w:r w:rsidRPr="001F7FF9">
              <w:rPr>
                <w:sz w:val="22"/>
                <w:szCs w:val="22"/>
              </w:rPr>
              <w:t>7</w:t>
            </w:r>
          </w:p>
        </w:tc>
        <w:tc>
          <w:tcPr>
            <w:tcW w:w="1276" w:type="dxa"/>
            <w:gridSpan w:val="3"/>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5</w:t>
            </w:r>
            <w:r w:rsidRPr="001F7FF9">
              <w:rPr>
                <w:sz w:val="22"/>
                <w:szCs w:val="22"/>
              </w:rPr>
              <w:t>,</w:t>
            </w:r>
            <w:r w:rsidRPr="001F7FF9">
              <w:rPr>
                <w:spacing w:val="-1"/>
                <w:sz w:val="22"/>
                <w:szCs w:val="22"/>
              </w:rPr>
              <w:t>3</w:t>
            </w:r>
            <w:r w:rsidRPr="001F7FF9">
              <w:rPr>
                <w:spacing w:val="1"/>
                <w:sz w:val="22"/>
                <w:szCs w:val="22"/>
              </w:rPr>
              <w:t>7</w:t>
            </w:r>
            <w:r w:rsidRPr="001F7FF9">
              <w:rPr>
                <w:sz w:val="22"/>
                <w:szCs w:val="22"/>
              </w:rPr>
              <w:t>%</w:t>
            </w:r>
          </w:p>
        </w:tc>
        <w:tc>
          <w:tcPr>
            <w:tcW w:w="992" w:type="dxa"/>
            <w:gridSpan w:val="3"/>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8</w:t>
            </w:r>
            <w:r w:rsidRPr="001F7FF9">
              <w:rPr>
                <w:spacing w:val="-2"/>
                <w:sz w:val="22"/>
                <w:szCs w:val="22"/>
              </w:rPr>
              <w:t>0</w:t>
            </w:r>
            <w:r w:rsidRPr="001F7FF9">
              <w:rPr>
                <w:sz w:val="22"/>
                <w:szCs w:val="22"/>
              </w:rPr>
              <w:t>0</w:t>
            </w:r>
          </w:p>
        </w:tc>
        <w:tc>
          <w:tcPr>
            <w:tcW w:w="1418" w:type="dxa"/>
            <w:gridSpan w:val="3"/>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5</w:t>
            </w:r>
            <w:r w:rsidRPr="001F7FF9">
              <w:rPr>
                <w:sz w:val="22"/>
                <w:szCs w:val="22"/>
              </w:rPr>
              <w:t>,</w:t>
            </w:r>
            <w:r w:rsidRPr="001F7FF9">
              <w:rPr>
                <w:spacing w:val="-1"/>
                <w:sz w:val="22"/>
                <w:szCs w:val="22"/>
              </w:rPr>
              <w:t>4</w:t>
            </w:r>
            <w:r w:rsidRPr="001F7FF9">
              <w:rPr>
                <w:spacing w:val="1"/>
                <w:sz w:val="22"/>
                <w:szCs w:val="22"/>
              </w:rPr>
              <w:t>7</w:t>
            </w:r>
            <w:r w:rsidRPr="001F7FF9">
              <w:rPr>
                <w:sz w:val="22"/>
                <w:szCs w:val="22"/>
              </w:rPr>
              <w:t>%</w:t>
            </w:r>
          </w:p>
        </w:tc>
        <w:tc>
          <w:tcPr>
            <w:tcW w:w="995" w:type="dxa"/>
            <w:gridSpan w:val="3"/>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8</w:t>
            </w:r>
            <w:r w:rsidRPr="001F7FF9">
              <w:rPr>
                <w:spacing w:val="-2"/>
                <w:sz w:val="22"/>
                <w:szCs w:val="22"/>
              </w:rPr>
              <w:t>3</w:t>
            </w:r>
            <w:r w:rsidRPr="001F7FF9">
              <w:rPr>
                <w:sz w:val="22"/>
                <w:szCs w:val="22"/>
              </w:rPr>
              <w:t>7</w:t>
            </w:r>
          </w:p>
        </w:tc>
        <w:tc>
          <w:tcPr>
            <w:tcW w:w="1273" w:type="dxa"/>
            <w:gridSpan w:val="2"/>
            <w:shd w:val="clear" w:color="auto" w:fill="auto"/>
            <w:hideMark/>
          </w:tcPr>
          <w:p w:rsidR="00406FF7" w:rsidRPr="001F7FF9" w:rsidRDefault="00406FF7" w:rsidP="00575447">
            <w:pPr>
              <w:spacing w:before="29"/>
              <w:jc w:val="center"/>
              <w:rPr>
                <w:sz w:val="22"/>
                <w:szCs w:val="22"/>
                <w:lang w:val="en-US"/>
              </w:rPr>
            </w:pPr>
            <w:r w:rsidRPr="001F7FF9">
              <w:rPr>
                <w:spacing w:val="1"/>
                <w:sz w:val="22"/>
                <w:szCs w:val="22"/>
              </w:rPr>
              <w:t>5</w:t>
            </w:r>
            <w:r w:rsidRPr="001F7FF9">
              <w:rPr>
                <w:sz w:val="22"/>
                <w:szCs w:val="22"/>
              </w:rPr>
              <w:t>,</w:t>
            </w:r>
            <w:r w:rsidRPr="001F7FF9">
              <w:rPr>
                <w:spacing w:val="-1"/>
                <w:sz w:val="22"/>
                <w:szCs w:val="22"/>
              </w:rPr>
              <w:t>5</w:t>
            </w:r>
            <w:r w:rsidRPr="001F7FF9">
              <w:rPr>
                <w:spacing w:val="1"/>
                <w:sz w:val="22"/>
                <w:szCs w:val="22"/>
              </w:rPr>
              <w:t>6</w:t>
            </w:r>
            <w:r w:rsidRPr="001F7FF9">
              <w:rPr>
                <w:sz w:val="22"/>
                <w:szCs w:val="22"/>
              </w:rPr>
              <w:t>%</w:t>
            </w:r>
          </w:p>
        </w:tc>
      </w:tr>
      <w:tr w:rsidR="00406FF7" w:rsidRPr="001F7FF9" w:rsidTr="003B498F">
        <w:trPr>
          <w:trHeight w:hRule="exact" w:val="310"/>
          <w:jc w:val="center"/>
        </w:trPr>
        <w:tc>
          <w:tcPr>
            <w:tcW w:w="1798" w:type="dxa"/>
            <w:gridSpan w:val="2"/>
            <w:tcBorders>
              <w:bottom w:val="single" w:sz="4" w:space="0" w:color="auto"/>
            </w:tcBorders>
            <w:shd w:val="clear" w:color="auto" w:fill="auto"/>
            <w:hideMark/>
          </w:tcPr>
          <w:p w:rsidR="00406FF7" w:rsidRPr="001F7FF9" w:rsidRDefault="00406FF7" w:rsidP="00575447">
            <w:pPr>
              <w:spacing w:before="27"/>
              <w:ind w:left="64"/>
              <w:rPr>
                <w:sz w:val="22"/>
                <w:szCs w:val="22"/>
                <w:lang w:val="en-US"/>
              </w:rPr>
            </w:pPr>
            <w:r w:rsidRPr="001F7FF9">
              <w:rPr>
                <w:sz w:val="22"/>
                <w:szCs w:val="22"/>
              </w:rPr>
              <w:t>S</w:t>
            </w:r>
            <w:r w:rsidRPr="001F7FF9">
              <w:rPr>
                <w:spacing w:val="-1"/>
                <w:sz w:val="22"/>
                <w:szCs w:val="22"/>
              </w:rPr>
              <w:t>a</w:t>
            </w:r>
            <w:r w:rsidRPr="001F7FF9">
              <w:rPr>
                <w:spacing w:val="1"/>
                <w:sz w:val="22"/>
                <w:szCs w:val="22"/>
              </w:rPr>
              <w:t>l</w:t>
            </w:r>
            <w:r w:rsidRPr="001F7FF9">
              <w:rPr>
                <w:sz w:val="22"/>
                <w:szCs w:val="22"/>
              </w:rPr>
              <w:t>e</w:t>
            </w:r>
            <w:r w:rsidRPr="001F7FF9">
              <w:rPr>
                <w:spacing w:val="-1"/>
                <w:sz w:val="22"/>
                <w:szCs w:val="22"/>
              </w:rPr>
              <w:t>n</w:t>
            </w:r>
            <w:r w:rsidRPr="001F7FF9">
              <w:rPr>
                <w:sz w:val="22"/>
                <w:szCs w:val="22"/>
              </w:rPr>
              <w:t>to</w:t>
            </w:r>
          </w:p>
        </w:tc>
        <w:tc>
          <w:tcPr>
            <w:tcW w:w="992" w:type="dxa"/>
            <w:gridSpan w:val="3"/>
            <w:tcBorders>
              <w:bottom w:val="single" w:sz="4" w:space="0" w:color="auto"/>
            </w:tcBorders>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3</w:t>
            </w:r>
            <w:r w:rsidRPr="001F7FF9">
              <w:rPr>
                <w:spacing w:val="-2"/>
                <w:sz w:val="22"/>
                <w:szCs w:val="22"/>
              </w:rPr>
              <w:t>0</w:t>
            </w:r>
            <w:r w:rsidRPr="001F7FF9">
              <w:rPr>
                <w:sz w:val="22"/>
                <w:szCs w:val="22"/>
              </w:rPr>
              <w:t>8</w:t>
            </w:r>
          </w:p>
        </w:tc>
        <w:tc>
          <w:tcPr>
            <w:tcW w:w="1276" w:type="dxa"/>
            <w:gridSpan w:val="3"/>
            <w:tcBorders>
              <w:bottom w:val="single" w:sz="4" w:space="0" w:color="auto"/>
            </w:tcBorders>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2</w:t>
            </w:r>
            <w:r w:rsidRPr="001F7FF9">
              <w:rPr>
                <w:sz w:val="22"/>
                <w:szCs w:val="22"/>
              </w:rPr>
              <w:t>,</w:t>
            </w:r>
            <w:r w:rsidRPr="001F7FF9">
              <w:rPr>
                <w:spacing w:val="-1"/>
                <w:sz w:val="22"/>
                <w:szCs w:val="22"/>
              </w:rPr>
              <w:t>3</w:t>
            </w:r>
            <w:r w:rsidRPr="001F7FF9">
              <w:rPr>
                <w:spacing w:val="1"/>
                <w:sz w:val="22"/>
                <w:szCs w:val="22"/>
              </w:rPr>
              <w:t>0</w:t>
            </w:r>
            <w:r w:rsidRPr="001F7FF9">
              <w:rPr>
                <w:sz w:val="22"/>
                <w:szCs w:val="22"/>
              </w:rPr>
              <w:t>%</w:t>
            </w:r>
          </w:p>
        </w:tc>
        <w:tc>
          <w:tcPr>
            <w:tcW w:w="992" w:type="dxa"/>
            <w:gridSpan w:val="3"/>
            <w:tcBorders>
              <w:bottom w:val="single" w:sz="4" w:space="0" w:color="auto"/>
            </w:tcBorders>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3</w:t>
            </w:r>
            <w:r w:rsidRPr="001F7FF9">
              <w:rPr>
                <w:spacing w:val="-2"/>
                <w:sz w:val="22"/>
                <w:szCs w:val="22"/>
              </w:rPr>
              <w:t>5</w:t>
            </w:r>
            <w:r w:rsidRPr="001F7FF9">
              <w:rPr>
                <w:sz w:val="22"/>
                <w:szCs w:val="22"/>
              </w:rPr>
              <w:t>7</w:t>
            </w:r>
          </w:p>
        </w:tc>
        <w:tc>
          <w:tcPr>
            <w:tcW w:w="1418" w:type="dxa"/>
            <w:gridSpan w:val="3"/>
            <w:tcBorders>
              <w:bottom w:val="single" w:sz="4" w:space="0" w:color="auto"/>
            </w:tcBorders>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2</w:t>
            </w:r>
            <w:r w:rsidRPr="001F7FF9">
              <w:rPr>
                <w:sz w:val="22"/>
                <w:szCs w:val="22"/>
              </w:rPr>
              <w:t>,</w:t>
            </w:r>
            <w:r w:rsidRPr="001F7FF9">
              <w:rPr>
                <w:spacing w:val="-1"/>
                <w:sz w:val="22"/>
                <w:szCs w:val="22"/>
              </w:rPr>
              <w:t>4</w:t>
            </w:r>
            <w:r w:rsidRPr="001F7FF9">
              <w:rPr>
                <w:spacing w:val="1"/>
                <w:sz w:val="22"/>
                <w:szCs w:val="22"/>
              </w:rPr>
              <w:t>4</w:t>
            </w:r>
            <w:r w:rsidRPr="001F7FF9">
              <w:rPr>
                <w:sz w:val="22"/>
                <w:szCs w:val="22"/>
              </w:rPr>
              <w:t>%</w:t>
            </w:r>
          </w:p>
        </w:tc>
        <w:tc>
          <w:tcPr>
            <w:tcW w:w="995" w:type="dxa"/>
            <w:gridSpan w:val="3"/>
            <w:tcBorders>
              <w:bottom w:val="single" w:sz="4" w:space="0" w:color="auto"/>
            </w:tcBorders>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4</w:t>
            </w:r>
            <w:r w:rsidRPr="001F7FF9">
              <w:rPr>
                <w:spacing w:val="-2"/>
                <w:sz w:val="22"/>
                <w:szCs w:val="22"/>
              </w:rPr>
              <w:t>0</w:t>
            </w:r>
            <w:r w:rsidRPr="001F7FF9">
              <w:rPr>
                <w:sz w:val="22"/>
                <w:szCs w:val="22"/>
              </w:rPr>
              <w:t>6</w:t>
            </w:r>
          </w:p>
        </w:tc>
        <w:tc>
          <w:tcPr>
            <w:tcW w:w="1273" w:type="dxa"/>
            <w:gridSpan w:val="2"/>
            <w:tcBorders>
              <w:bottom w:val="single" w:sz="4" w:space="0" w:color="auto"/>
            </w:tcBorders>
            <w:shd w:val="clear" w:color="auto" w:fill="auto"/>
            <w:hideMark/>
          </w:tcPr>
          <w:p w:rsidR="00406FF7" w:rsidRPr="001F7FF9" w:rsidRDefault="00406FF7" w:rsidP="00575447">
            <w:pPr>
              <w:spacing w:before="27"/>
              <w:jc w:val="center"/>
              <w:rPr>
                <w:sz w:val="22"/>
                <w:szCs w:val="22"/>
                <w:lang w:val="en-US"/>
              </w:rPr>
            </w:pPr>
            <w:r w:rsidRPr="001F7FF9">
              <w:rPr>
                <w:spacing w:val="1"/>
                <w:sz w:val="22"/>
                <w:szCs w:val="22"/>
              </w:rPr>
              <w:t>2</w:t>
            </w:r>
            <w:r w:rsidRPr="001F7FF9">
              <w:rPr>
                <w:sz w:val="22"/>
                <w:szCs w:val="22"/>
              </w:rPr>
              <w:t>,</w:t>
            </w:r>
            <w:r w:rsidRPr="001F7FF9">
              <w:rPr>
                <w:spacing w:val="-1"/>
                <w:sz w:val="22"/>
                <w:szCs w:val="22"/>
              </w:rPr>
              <w:t>7</w:t>
            </w:r>
            <w:r w:rsidRPr="001F7FF9">
              <w:rPr>
                <w:spacing w:val="1"/>
                <w:sz w:val="22"/>
                <w:szCs w:val="22"/>
              </w:rPr>
              <w:t>0</w:t>
            </w:r>
            <w:r w:rsidRPr="001F7FF9">
              <w:rPr>
                <w:sz w:val="22"/>
                <w:szCs w:val="22"/>
              </w:rPr>
              <w:t>%</w:t>
            </w:r>
          </w:p>
        </w:tc>
      </w:tr>
    </w:tbl>
    <w:p w:rsidR="00406FF7" w:rsidRPr="007330C7" w:rsidRDefault="00406FF7" w:rsidP="00406FF7">
      <w:pPr>
        <w:widowControl w:val="0"/>
        <w:autoSpaceDE w:val="0"/>
        <w:autoSpaceDN w:val="0"/>
        <w:adjustRightInd w:val="0"/>
        <w:spacing w:before="2" w:line="480" w:lineRule="auto"/>
        <w:ind w:right="-33" w:firstLine="708"/>
        <w:jc w:val="both"/>
        <w:rPr>
          <w:color w:val="000000"/>
          <w:sz w:val="18"/>
          <w:szCs w:val="18"/>
        </w:rPr>
      </w:pPr>
      <w:r w:rsidRPr="007330C7">
        <w:rPr>
          <w:color w:val="000000"/>
          <w:sz w:val="18"/>
          <w:szCs w:val="18"/>
        </w:rPr>
        <w:t>Fuente: Cámara de Comercio de Armenia y del Quindío</w:t>
      </w:r>
    </w:p>
    <w:p w:rsidR="00406FF7" w:rsidRDefault="00406FF7" w:rsidP="00406FF7">
      <w:pPr>
        <w:spacing w:before="29" w:line="360" w:lineRule="auto"/>
        <w:ind w:left="102" w:right="77"/>
        <w:jc w:val="both"/>
        <w:rPr>
          <w:rFonts w:eastAsia="Arial"/>
          <w:spacing w:val="1"/>
        </w:rPr>
      </w:pPr>
    </w:p>
    <w:p w:rsidR="00406FF7" w:rsidRPr="00FD7AE2" w:rsidRDefault="00406FF7" w:rsidP="003B3716">
      <w:pPr>
        <w:spacing w:line="360" w:lineRule="auto"/>
        <w:ind w:firstLine="284"/>
        <w:jc w:val="both"/>
        <w:rPr>
          <w:rFonts w:eastAsia="Arial"/>
        </w:rPr>
      </w:pPr>
      <w:r w:rsidRPr="00BC1AB7">
        <w:rPr>
          <w:rFonts w:eastAsia="Arial"/>
          <w:spacing w:val="1"/>
        </w:rPr>
        <w:t>L</w:t>
      </w:r>
      <w:r w:rsidRPr="00BC1AB7">
        <w:rPr>
          <w:rFonts w:eastAsia="Arial"/>
        </w:rPr>
        <w:t>a ci</w:t>
      </w:r>
      <w:r w:rsidRPr="00BC1AB7">
        <w:rPr>
          <w:rFonts w:eastAsia="Arial"/>
          <w:spacing w:val="-2"/>
        </w:rPr>
        <w:t>u</w:t>
      </w:r>
      <w:r w:rsidRPr="00BC1AB7">
        <w:rPr>
          <w:rFonts w:eastAsia="Arial"/>
          <w:spacing w:val="1"/>
        </w:rPr>
        <w:t>da</w:t>
      </w:r>
      <w:r w:rsidRPr="00BC1AB7">
        <w:rPr>
          <w:rFonts w:eastAsia="Arial"/>
        </w:rPr>
        <w:t xml:space="preserve">d </w:t>
      </w:r>
      <w:r w:rsidRPr="00BC1AB7">
        <w:rPr>
          <w:rFonts w:eastAsia="Arial"/>
          <w:spacing w:val="-1"/>
        </w:rPr>
        <w:t>d</w:t>
      </w:r>
      <w:r w:rsidRPr="00BC1AB7">
        <w:rPr>
          <w:rFonts w:eastAsia="Arial"/>
        </w:rPr>
        <w:t xml:space="preserve">e </w:t>
      </w:r>
      <w:r w:rsidRPr="00BC1AB7">
        <w:rPr>
          <w:rFonts w:eastAsia="Arial"/>
          <w:spacing w:val="3"/>
        </w:rPr>
        <w:t>A</w:t>
      </w:r>
      <w:r w:rsidRPr="00BC1AB7">
        <w:rPr>
          <w:rFonts w:eastAsia="Arial"/>
          <w:spacing w:val="-3"/>
        </w:rPr>
        <w:t>r</w:t>
      </w:r>
      <w:r w:rsidRPr="00BC1AB7">
        <w:rPr>
          <w:rFonts w:eastAsia="Arial"/>
          <w:spacing w:val="1"/>
        </w:rPr>
        <w:t>m</w:t>
      </w:r>
      <w:r w:rsidRPr="00BC1AB7">
        <w:rPr>
          <w:rFonts w:eastAsia="Arial"/>
          <w:spacing w:val="-1"/>
        </w:rPr>
        <w:t>e</w:t>
      </w:r>
      <w:r w:rsidRPr="00BC1AB7">
        <w:rPr>
          <w:rFonts w:eastAsia="Arial"/>
          <w:spacing w:val="1"/>
        </w:rPr>
        <w:t>n</w:t>
      </w:r>
      <w:r w:rsidRPr="00BC1AB7">
        <w:rPr>
          <w:rFonts w:eastAsia="Arial"/>
        </w:rPr>
        <w:t xml:space="preserve">ia </w:t>
      </w:r>
      <w:r>
        <w:rPr>
          <w:rFonts w:eastAsia="Arial"/>
        </w:rPr>
        <w:t>agrupa</w:t>
      </w:r>
      <w:r w:rsidRPr="00BC1AB7">
        <w:rPr>
          <w:rFonts w:eastAsia="Arial"/>
        </w:rPr>
        <w:t xml:space="preserve"> </w:t>
      </w:r>
      <w:r w:rsidRPr="00BC1AB7">
        <w:rPr>
          <w:rFonts w:eastAsia="Arial"/>
          <w:spacing w:val="1"/>
        </w:rPr>
        <w:t>e</w:t>
      </w:r>
      <w:r w:rsidRPr="00BC1AB7">
        <w:rPr>
          <w:rFonts w:eastAsia="Arial"/>
        </w:rPr>
        <w:t xml:space="preserve">l </w:t>
      </w:r>
      <w:r w:rsidRPr="00137765">
        <w:rPr>
          <w:rFonts w:eastAsia="Arial"/>
          <w:spacing w:val="1"/>
        </w:rPr>
        <w:t>3</w:t>
      </w:r>
      <w:r w:rsidRPr="00137765">
        <w:rPr>
          <w:rFonts w:eastAsia="Arial"/>
        </w:rPr>
        <w:t>,</w:t>
      </w:r>
      <w:r w:rsidRPr="00137765">
        <w:rPr>
          <w:rFonts w:eastAsia="Arial"/>
          <w:spacing w:val="1"/>
        </w:rPr>
        <w:t>86</w:t>
      </w:r>
      <w:r w:rsidRPr="00137765">
        <w:rPr>
          <w:rFonts w:eastAsia="Arial"/>
        </w:rPr>
        <w:t>%</w:t>
      </w:r>
      <w:r w:rsidRPr="00BC1AB7">
        <w:rPr>
          <w:rFonts w:eastAsia="Arial"/>
          <w:b/>
        </w:rPr>
        <w:t xml:space="preserve"> </w:t>
      </w:r>
      <w:r w:rsidRPr="00BC1AB7">
        <w:rPr>
          <w:rFonts w:eastAsia="Arial"/>
          <w:spacing w:val="-1"/>
        </w:rPr>
        <w:t>d</w:t>
      </w:r>
      <w:r w:rsidRPr="00BC1AB7">
        <w:rPr>
          <w:rFonts w:eastAsia="Arial"/>
          <w:spacing w:val="1"/>
        </w:rPr>
        <w:t>e</w:t>
      </w:r>
      <w:r w:rsidRPr="00BC1AB7">
        <w:rPr>
          <w:rFonts w:eastAsia="Arial"/>
        </w:rPr>
        <w:t>l t</w:t>
      </w:r>
      <w:r w:rsidRPr="00BC1AB7">
        <w:rPr>
          <w:rFonts w:eastAsia="Arial"/>
          <w:spacing w:val="-1"/>
        </w:rPr>
        <w:t>o</w:t>
      </w:r>
      <w:r w:rsidRPr="00BC1AB7">
        <w:rPr>
          <w:rFonts w:eastAsia="Arial"/>
        </w:rPr>
        <w:t>t</w:t>
      </w:r>
      <w:r w:rsidRPr="00BC1AB7">
        <w:rPr>
          <w:rFonts w:eastAsia="Arial"/>
          <w:spacing w:val="1"/>
        </w:rPr>
        <w:t>a</w:t>
      </w:r>
      <w:r w:rsidRPr="00BC1AB7">
        <w:rPr>
          <w:rFonts w:eastAsia="Arial"/>
        </w:rPr>
        <w:t xml:space="preserve">l </w:t>
      </w:r>
      <w:r w:rsidRPr="00BC1AB7">
        <w:rPr>
          <w:rFonts w:eastAsia="Arial"/>
          <w:spacing w:val="1"/>
        </w:rPr>
        <w:t>d</w:t>
      </w:r>
      <w:r w:rsidRPr="00BC1AB7">
        <w:rPr>
          <w:rFonts w:eastAsia="Arial"/>
        </w:rPr>
        <w:t xml:space="preserve">e las </w:t>
      </w:r>
      <w:r w:rsidRPr="00BC1AB7">
        <w:rPr>
          <w:rFonts w:eastAsia="Arial"/>
          <w:spacing w:val="-1"/>
        </w:rPr>
        <w:t>e</w:t>
      </w:r>
      <w:r w:rsidRPr="00BC1AB7">
        <w:rPr>
          <w:rFonts w:eastAsia="Arial"/>
          <w:spacing w:val="1"/>
        </w:rPr>
        <w:t>mp</w:t>
      </w:r>
      <w:r w:rsidRPr="00BC1AB7">
        <w:rPr>
          <w:rFonts w:eastAsia="Arial"/>
          <w:spacing w:val="-3"/>
        </w:rPr>
        <w:t>r</w:t>
      </w:r>
      <w:r w:rsidRPr="00BC1AB7">
        <w:rPr>
          <w:rFonts w:eastAsia="Arial"/>
          <w:spacing w:val="1"/>
        </w:rPr>
        <w:t>e</w:t>
      </w:r>
      <w:r w:rsidRPr="00BC1AB7">
        <w:rPr>
          <w:rFonts w:eastAsia="Arial"/>
        </w:rPr>
        <w:t>s</w:t>
      </w:r>
      <w:r w:rsidRPr="00BC1AB7">
        <w:rPr>
          <w:rFonts w:eastAsia="Arial"/>
          <w:spacing w:val="-1"/>
        </w:rPr>
        <w:t>a</w:t>
      </w:r>
      <w:r w:rsidRPr="00BC1AB7">
        <w:rPr>
          <w:rFonts w:eastAsia="Arial"/>
        </w:rPr>
        <w:t xml:space="preserve">s </w:t>
      </w:r>
      <w:r w:rsidRPr="00BC1AB7">
        <w:rPr>
          <w:rFonts w:eastAsia="Arial"/>
          <w:spacing w:val="1"/>
        </w:rPr>
        <w:t>ma</w:t>
      </w:r>
      <w:r w:rsidRPr="00BC1AB7">
        <w:rPr>
          <w:rFonts w:eastAsia="Arial"/>
        </w:rPr>
        <w:t>tricul</w:t>
      </w:r>
      <w:r w:rsidRPr="00BC1AB7">
        <w:rPr>
          <w:rFonts w:eastAsia="Arial"/>
          <w:spacing w:val="-2"/>
        </w:rPr>
        <w:t>a</w:t>
      </w:r>
      <w:r w:rsidRPr="00BC1AB7">
        <w:rPr>
          <w:rFonts w:eastAsia="Arial"/>
          <w:spacing w:val="1"/>
        </w:rPr>
        <w:t>da</w:t>
      </w:r>
      <w:r w:rsidRPr="00BC1AB7">
        <w:rPr>
          <w:rFonts w:eastAsia="Arial"/>
        </w:rPr>
        <w:t>s y re</w:t>
      </w:r>
      <w:r w:rsidRPr="00BC1AB7">
        <w:rPr>
          <w:rFonts w:eastAsia="Arial"/>
          <w:spacing w:val="-1"/>
        </w:rPr>
        <w:t>n</w:t>
      </w:r>
      <w:r w:rsidRPr="00BC1AB7">
        <w:rPr>
          <w:rFonts w:eastAsia="Arial"/>
          <w:spacing w:val="1"/>
        </w:rPr>
        <w:t>o</w:t>
      </w:r>
      <w:r w:rsidRPr="00BC1AB7">
        <w:rPr>
          <w:rFonts w:eastAsia="Arial"/>
          <w:spacing w:val="-2"/>
        </w:rPr>
        <w:t>v</w:t>
      </w:r>
      <w:r w:rsidRPr="00BC1AB7">
        <w:rPr>
          <w:rFonts w:eastAsia="Arial"/>
          <w:spacing w:val="1"/>
        </w:rPr>
        <w:t>ada</w:t>
      </w:r>
      <w:r w:rsidRPr="00BC1AB7">
        <w:rPr>
          <w:rFonts w:eastAsia="Arial"/>
          <w:spacing w:val="3"/>
        </w:rPr>
        <w:t>s</w:t>
      </w:r>
      <w:r w:rsidRPr="00BC1AB7">
        <w:rPr>
          <w:rFonts w:eastAsia="Arial"/>
        </w:rPr>
        <w:t xml:space="preserve">, </w:t>
      </w:r>
      <w:r w:rsidRPr="00BC1AB7">
        <w:rPr>
          <w:rFonts w:eastAsia="Arial"/>
          <w:spacing w:val="1"/>
        </w:rPr>
        <w:t>e</w:t>
      </w:r>
      <w:r w:rsidRPr="00BC1AB7">
        <w:rPr>
          <w:rFonts w:eastAsia="Arial"/>
        </w:rPr>
        <w:t>n t</w:t>
      </w:r>
      <w:r w:rsidRPr="00BC1AB7">
        <w:rPr>
          <w:rFonts w:eastAsia="Arial"/>
          <w:spacing w:val="-1"/>
        </w:rPr>
        <w:t>o</w:t>
      </w:r>
      <w:r w:rsidRPr="00BC1AB7">
        <w:rPr>
          <w:rFonts w:eastAsia="Arial"/>
          <w:spacing w:val="1"/>
        </w:rPr>
        <w:t>d</w:t>
      </w:r>
      <w:r w:rsidRPr="00BC1AB7">
        <w:rPr>
          <w:rFonts w:eastAsia="Arial"/>
        </w:rPr>
        <w:t>o</w:t>
      </w:r>
      <w:r w:rsidRPr="00BC1AB7">
        <w:rPr>
          <w:rFonts w:eastAsia="Arial"/>
          <w:spacing w:val="1"/>
        </w:rPr>
        <w:t xml:space="preserve"> e</w:t>
      </w:r>
      <w:r w:rsidRPr="00BC1AB7">
        <w:rPr>
          <w:rFonts w:eastAsia="Arial"/>
        </w:rPr>
        <w:t xml:space="preserve">l </w:t>
      </w:r>
      <w:r w:rsidRPr="00BC1AB7">
        <w:rPr>
          <w:rFonts w:eastAsia="Arial"/>
          <w:spacing w:val="-1"/>
        </w:rPr>
        <w:t>d</w:t>
      </w:r>
      <w:r w:rsidRPr="00BC1AB7">
        <w:rPr>
          <w:rFonts w:eastAsia="Arial"/>
          <w:spacing w:val="1"/>
        </w:rPr>
        <w:t>e</w:t>
      </w:r>
      <w:r w:rsidRPr="00BC1AB7">
        <w:rPr>
          <w:rFonts w:eastAsia="Arial"/>
          <w:spacing w:val="-1"/>
        </w:rPr>
        <w:t>p</w:t>
      </w:r>
      <w:r w:rsidRPr="00BC1AB7">
        <w:rPr>
          <w:rFonts w:eastAsia="Arial"/>
          <w:spacing w:val="1"/>
        </w:rPr>
        <w:t>a</w:t>
      </w:r>
      <w:r w:rsidRPr="00BC1AB7">
        <w:rPr>
          <w:rFonts w:eastAsia="Arial"/>
        </w:rPr>
        <w:t>r</w:t>
      </w:r>
      <w:r w:rsidRPr="00BC1AB7">
        <w:rPr>
          <w:rFonts w:eastAsia="Arial"/>
          <w:spacing w:val="-3"/>
        </w:rPr>
        <w:t>t</w:t>
      </w:r>
      <w:r w:rsidRPr="00BC1AB7">
        <w:rPr>
          <w:rFonts w:eastAsia="Arial"/>
          <w:spacing w:val="1"/>
        </w:rPr>
        <w:t>am</w:t>
      </w:r>
      <w:r w:rsidRPr="00BC1AB7">
        <w:rPr>
          <w:rFonts w:eastAsia="Arial"/>
          <w:spacing w:val="-1"/>
        </w:rPr>
        <w:t>e</w:t>
      </w:r>
      <w:r w:rsidRPr="00BC1AB7">
        <w:rPr>
          <w:rFonts w:eastAsia="Arial"/>
          <w:spacing w:val="1"/>
        </w:rPr>
        <w:t>n</w:t>
      </w:r>
      <w:r w:rsidRPr="00BC1AB7">
        <w:rPr>
          <w:rFonts w:eastAsia="Arial"/>
        </w:rPr>
        <w:t>t</w:t>
      </w:r>
      <w:r w:rsidRPr="00BC1AB7">
        <w:rPr>
          <w:rFonts w:eastAsia="Arial"/>
          <w:spacing w:val="-1"/>
        </w:rPr>
        <w:t>o</w:t>
      </w:r>
      <w:r w:rsidRPr="00BC1AB7">
        <w:rPr>
          <w:rFonts w:eastAsia="Arial"/>
        </w:rPr>
        <w:t>, si</w:t>
      </w:r>
      <w:r w:rsidRPr="00BC1AB7">
        <w:rPr>
          <w:rFonts w:eastAsia="Arial"/>
          <w:spacing w:val="-2"/>
        </w:rPr>
        <w:t>e</w:t>
      </w:r>
      <w:r w:rsidRPr="00BC1AB7">
        <w:rPr>
          <w:rFonts w:eastAsia="Arial"/>
          <w:spacing w:val="1"/>
        </w:rPr>
        <w:t>nd</w:t>
      </w:r>
      <w:r w:rsidRPr="00BC1AB7">
        <w:rPr>
          <w:rFonts w:eastAsia="Arial"/>
        </w:rPr>
        <w:t>o</w:t>
      </w:r>
      <w:r w:rsidRPr="00BC1AB7">
        <w:rPr>
          <w:rFonts w:eastAsia="Arial"/>
          <w:spacing w:val="1"/>
        </w:rPr>
        <w:t xml:space="preserve"> e</w:t>
      </w:r>
      <w:r w:rsidRPr="00BC1AB7">
        <w:rPr>
          <w:rFonts w:eastAsia="Arial"/>
        </w:rPr>
        <w:t xml:space="preserve">l </w:t>
      </w:r>
      <w:r w:rsidRPr="00BC1AB7">
        <w:rPr>
          <w:rFonts w:eastAsia="Arial"/>
          <w:spacing w:val="1"/>
        </w:rPr>
        <w:t>m</w:t>
      </w:r>
      <w:r w:rsidRPr="00BC1AB7">
        <w:rPr>
          <w:rFonts w:eastAsia="Arial"/>
          <w:spacing w:val="-1"/>
        </w:rPr>
        <w:t>u</w:t>
      </w:r>
      <w:r w:rsidRPr="00BC1AB7">
        <w:rPr>
          <w:rFonts w:eastAsia="Arial"/>
          <w:spacing w:val="1"/>
        </w:rPr>
        <w:t>n</w:t>
      </w:r>
      <w:r w:rsidRPr="00BC1AB7">
        <w:rPr>
          <w:rFonts w:eastAsia="Arial"/>
        </w:rPr>
        <w:t>ic</w:t>
      </w:r>
      <w:r w:rsidRPr="00BC1AB7">
        <w:rPr>
          <w:rFonts w:eastAsia="Arial"/>
          <w:spacing w:val="-1"/>
        </w:rPr>
        <w:t>i</w:t>
      </w:r>
      <w:r w:rsidRPr="00BC1AB7">
        <w:rPr>
          <w:rFonts w:eastAsia="Arial"/>
          <w:spacing w:val="1"/>
        </w:rPr>
        <w:t>p</w:t>
      </w:r>
      <w:r w:rsidRPr="00BC1AB7">
        <w:rPr>
          <w:rFonts w:eastAsia="Arial"/>
        </w:rPr>
        <w:t xml:space="preserve">io </w:t>
      </w:r>
      <w:r w:rsidRPr="00BC1AB7">
        <w:rPr>
          <w:rFonts w:eastAsia="Arial"/>
          <w:spacing w:val="-1"/>
        </w:rPr>
        <w:t>q</w:t>
      </w:r>
      <w:r w:rsidRPr="00BC1AB7">
        <w:rPr>
          <w:rFonts w:eastAsia="Arial"/>
          <w:spacing w:val="1"/>
        </w:rPr>
        <w:t>u</w:t>
      </w:r>
      <w:r w:rsidRPr="00BC1AB7">
        <w:rPr>
          <w:rFonts w:eastAsia="Arial"/>
        </w:rPr>
        <w:t>e</w:t>
      </w:r>
      <w:r w:rsidRPr="00BC1AB7">
        <w:rPr>
          <w:rFonts w:eastAsia="Arial"/>
          <w:spacing w:val="1"/>
        </w:rPr>
        <w:t xml:space="preserve"> m</w:t>
      </w:r>
      <w:r w:rsidRPr="00BC1AB7">
        <w:rPr>
          <w:rFonts w:eastAsia="Arial"/>
          <w:spacing w:val="-1"/>
        </w:rPr>
        <w:t>á</w:t>
      </w:r>
      <w:r w:rsidRPr="00BC1AB7">
        <w:rPr>
          <w:rFonts w:eastAsia="Arial"/>
        </w:rPr>
        <w:t>s t</w:t>
      </w:r>
      <w:r w:rsidRPr="00BC1AB7">
        <w:rPr>
          <w:rFonts w:eastAsia="Arial"/>
          <w:spacing w:val="1"/>
        </w:rPr>
        <w:t>e</w:t>
      </w:r>
      <w:r w:rsidRPr="00BC1AB7">
        <w:rPr>
          <w:rFonts w:eastAsia="Arial"/>
        </w:rPr>
        <w:t>j</w:t>
      </w:r>
      <w:r w:rsidRPr="00BC1AB7">
        <w:rPr>
          <w:rFonts w:eastAsia="Arial"/>
          <w:spacing w:val="-1"/>
        </w:rPr>
        <w:t>i</w:t>
      </w:r>
      <w:r w:rsidRPr="00BC1AB7">
        <w:rPr>
          <w:rFonts w:eastAsia="Arial"/>
          <w:spacing w:val="1"/>
        </w:rPr>
        <w:t>d</w:t>
      </w:r>
      <w:r w:rsidRPr="00BC1AB7">
        <w:rPr>
          <w:rFonts w:eastAsia="Arial"/>
        </w:rPr>
        <w:t xml:space="preserve">o </w:t>
      </w:r>
      <w:r w:rsidRPr="00BC1AB7">
        <w:rPr>
          <w:rFonts w:eastAsia="Arial"/>
          <w:spacing w:val="-1"/>
        </w:rPr>
        <w:t>e</w:t>
      </w:r>
      <w:r w:rsidRPr="00BC1AB7">
        <w:rPr>
          <w:rFonts w:eastAsia="Arial"/>
          <w:spacing w:val="1"/>
        </w:rPr>
        <w:t>mp</w:t>
      </w:r>
      <w:r w:rsidRPr="00BC1AB7">
        <w:rPr>
          <w:rFonts w:eastAsia="Arial"/>
        </w:rPr>
        <w:t>re</w:t>
      </w:r>
      <w:r w:rsidRPr="00BC1AB7">
        <w:rPr>
          <w:rFonts w:eastAsia="Arial"/>
          <w:spacing w:val="-2"/>
        </w:rPr>
        <w:t>s</w:t>
      </w:r>
      <w:r w:rsidRPr="00BC1AB7">
        <w:rPr>
          <w:rFonts w:eastAsia="Arial"/>
          <w:spacing w:val="1"/>
        </w:rPr>
        <w:t>a</w:t>
      </w:r>
      <w:r w:rsidRPr="00BC1AB7">
        <w:rPr>
          <w:rFonts w:eastAsia="Arial"/>
        </w:rPr>
        <w:t>ri</w:t>
      </w:r>
      <w:r w:rsidRPr="00BC1AB7">
        <w:rPr>
          <w:rFonts w:eastAsia="Arial"/>
          <w:spacing w:val="1"/>
        </w:rPr>
        <w:t>a</w:t>
      </w:r>
      <w:r w:rsidRPr="00BC1AB7">
        <w:rPr>
          <w:rFonts w:eastAsia="Arial"/>
        </w:rPr>
        <w:t xml:space="preserve">l </w:t>
      </w:r>
      <w:r w:rsidRPr="00BC1AB7">
        <w:rPr>
          <w:rFonts w:eastAsia="Arial"/>
          <w:spacing w:val="3"/>
        </w:rPr>
        <w:t>f</w:t>
      </w:r>
      <w:r w:rsidRPr="00BC1AB7">
        <w:rPr>
          <w:rFonts w:eastAsia="Arial"/>
          <w:spacing w:val="1"/>
        </w:rPr>
        <w:t>o</w:t>
      </w:r>
      <w:r w:rsidRPr="00BC1AB7">
        <w:rPr>
          <w:rFonts w:eastAsia="Arial"/>
          <w:spacing w:val="-3"/>
        </w:rPr>
        <w:t>r</w:t>
      </w:r>
      <w:r w:rsidRPr="00BC1AB7">
        <w:rPr>
          <w:rFonts w:eastAsia="Arial"/>
          <w:spacing w:val="1"/>
        </w:rPr>
        <w:t>ma</w:t>
      </w:r>
      <w:r w:rsidRPr="00BC1AB7">
        <w:rPr>
          <w:rFonts w:eastAsia="Arial"/>
        </w:rPr>
        <w:t xml:space="preserve">l </w:t>
      </w:r>
      <w:r w:rsidRPr="00BC1AB7">
        <w:rPr>
          <w:rFonts w:eastAsia="Arial"/>
          <w:spacing w:val="1"/>
        </w:rPr>
        <w:t>a</w:t>
      </w:r>
      <w:r w:rsidRPr="00BC1AB7">
        <w:rPr>
          <w:rFonts w:eastAsia="Arial"/>
        </w:rPr>
        <w:t>lb</w:t>
      </w:r>
      <w:r w:rsidRPr="00BC1AB7">
        <w:rPr>
          <w:rFonts w:eastAsia="Arial"/>
          <w:spacing w:val="1"/>
        </w:rPr>
        <w:t>e</w:t>
      </w:r>
      <w:r w:rsidRPr="00BC1AB7">
        <w:rPr>
          <w:rFonts w:eastAsia="Arial"/>
        </w:rPr>
        <w:t>r</w:t>
      </w:r>
      <w:r w:rsidRPr="00BC1AB7">
        <w:rPr>
          <w:rFonts w:eastAsia="Arial"/>
          <w:spacing w:val="-2"/>
        </w:rPr>
        <w:t>g</w:t>
      </w:r>
      <w:r w:rsidRPr="00BC1AB7">
        <w:rPr>
          <w:rFonts w:eastAsia="Arial"/>
          <w:spacing w:val="1"/>
        </w:rPr>
        <w:t>a</w:t>
      </w:r>
      <w:r w:rsidRPr="00BC1AB7">
        <w:rPr>
          <w:rFonts w:eastAsia="Arial"/>
        </w:rPr>
        <w:t>. Re</w:t>
      </w:r>
      <w:r w:rsidRPr="00BC1AB7">
        <w:rPr>
          <w:rFonts w:eastAsia="Arial"/>
          <w:spacing w:val="1"/>
        </w:rPr>
        <w:t>p</w:t>
      </w:r>
      <w:r w:rsidRPr="00BC1AB7">
        <w:rPr>
          <w:rFonts w:eastAsia="Arial"/>
        </w:rPr>
        <w:t>re</w:t>
      </w:r>
      <w:r w:rsidRPr="00BC1AB7">
        <w:rPr>
          <w:rFonts w:eastAsia="Arial"/>
          <w:spacing w:val="-2"/>
        </w:rPr>
        <w:t>s</w:t>
      </w:r>
      <w:r w:rsidRPr="00BC1AB7">
        <w:rPr>
          <w:rFonts w:eastAsia="Arial"/>
          <w:spacing w:val="-1"/>
        </w:rPr>
        <w:t>e</w:t>
      </w:r>
      <w:r w:rsidRPr="00BC1AB7">
        <w:rPr>
          <w:rFonts w:eastAsia="Arial"/>
          <w:spacing w:val="1"/>
        </w:rPr>
        <w:t>n</w:t>
      </w:r>
      <w:r w:rsidRPr="00BC1AB7">
        <w:rPr>
          <w:rFonts w:eastAsia="Arial"/>
        </w:rPr>
        <w:t>ta t</w:t>
      </w:r>
      <w:r w:rsidRPr="00BC1AB7">
        <w:rPr>
          <w:rFonts w:eastAsia="Arial"/>
          <w:spacing w:val="-1"/>
        </w:rPr>
        <w:t>a</w:t>
      </w:r>
      <w:r w:rsidRPr="00BC1AB7">
        <w:rPr>
          <w:rFonts w:eastAsia="Arial"/>
          <w:spacing w:val="1"/>
        </w:rPr>
        <w:t>mb</w:t>
      </w:r>
      <w:r w:rsidRPr="00BC1AB7">
        <w:rPr>
          <w:rFonts w:eastAsia="Arial"/>
          <w:spacing w:val="-3"/>
        </w:rPr>
        <w:t>i</w:t>
      </w:r>
      <w:r w:rsidRPr="00BC1AB7">
        <w:rPr>
          <w:rFonts w:eastAsia="Arial"/>
          <w:spacing w:val="1"/>
        </w:rPr>
        <w:t>é</w:t>
      </w:r>
      <w:r w:rsidRPr="00BC1AB7">
        <w:rPr>
          <w:rFonts w:eastAsia="Arial"/>
        </w:rPr>
        <w:t xml:space="preserve">n </w:t>
      </w:r>
      <w:r w:rsidRPr="00BC1AB7">
        <w:rPr>
          <w:rFonts w:eastAsia="Arial"/>
          <w:spacing w:val="1"/>
        </w:rPr>
        <w:t>e</w:t>
      </w:r>
      <w:r w:rsidRPr="00BC1AB7">
        <w:rPr>
          <w:rFonts w:eastAsia="Arial"/>
        </w:rPr>
        <w:t xml:space="preserve">l </w:t>
      </w:r>
      <w:r w:rsidRPr="00137765">
        <w:rPr>
          <w:rFonts w:eastAsia="Arial"/>
          <w:spacing w:val="1"/>
        </w:rPr>
        <w:t>64</w:t>
      </w:r>
      <w:r w:rsidRPr="00137765">
        <w:rPr>
          <w:rFonts w:eastAsia="Arial"/>
        </w:rPr>
        <w:t>%</w:t>
      </w:r>
      <w:r w:rsidRPr="00BC1AB7">
        <w:rPr>
          <w:rFonts w:eastAsia="Arial"/>
          <w:b/>
        </w:rPr>
        <w:t xml:space="preserve"> </w:t>
      </w:r>
      <w:r w:rsidRPr="00BC1AB7">
        <w:rPr>
          <w:rFonts w:eastAsia="Arial"/>
          <w:spacing w:val="1"/>
        </w:rPr>
        <w:t>d</w:t>
      </w:r>
      <w:r w:rsidRPr="00BC1AB7">
        <w:rPr>
          <w:rFonts w:eastAsia="Arial"/>
        </w:rPr>
        <w:t>e l</w:t>
      </w:r>
      <w:r w:rsidRPr="00BC1AB7">
        <w:rPr>
          <w:rFonts w:eastAsia="Arial"/>
          <w:spacing w:val="1"/>
        </w:rPr>
        <w:t>a</w:t>
      </w:r>
      <w:r w:rsidRPr="00BC1AB7">
        <w:rPr>
          <w:rFonts w:eastAsia="Arial"/>
        </w:rPr>
        <w:t xml:space="preserve">s </w:t>
      </w:r>
      <w:r w:rsidRPr="00BC1AB7">
        <w:rPr>
          <w:rFonts w:eastAsia="Arial"/>
          <w:spacing w:val="1"/>
        </w:rPr>
        <w:t>emp</w:t>
      </w:r>
      <w:r w:rsidRPr="00BC1AB7">
        <w:rPr>
          <w:rFonts w:eastAsia="Arial"/>
        </w:rPr>
        <w:t>re</w:t>
      </w:r>
      <w:r w:rsidRPr="00BC1AB7">
        <w:rPr>
          <w:rFonts w:eastAsia="Arial"/>
          <w:spacing w:val="-2"/>
        </w:rPr>
        <w:t>s</w:t>
      </w:r>
      <w:r w:rsidRPr="00BC1AB7">
        <w:rPr>
          <w:rFonts w:eastAsia="Arial"/>
          <w:spacing w:val="-1"/>
        </w:rPr>
        <w:t>a</w:t>
      </w:r>
      <w:r w:rsidRPr="00BC1AB7">
        <w:rPr>
          <w:rFonts w:eastAsia="Arial"/>
        </w:rPr>
        <w:t xml:space="preserve">s  </w:t>
      </w:r>
      <w:r w:rsidRPr="00BC1AB7">
        <w:rPr>
          <w:rFonts w:eastAsia="Arial"/>
          <w:spacing w:val="-1"/>
        </w:rPr>
        <w:t>q</w:t>
      </w:r>
      <w:r w:rsidRPr="00BC1AB7">
        <w:rPr>
          <w:rFonts w:eastAsia="Arial"/>
          <w:spacing w:val="1"/>
        </w:rPr>
        <w:t>u</w:t>
      </w:r>
      <w:r w:rsidRPr="00BC1AB7">
        <w:rPr>
          <w:rFonts w:eastAsia="Arial"/>
        </w:rPr>
        <w:t>e re</w:t>
      </w:r>
      <w:r w:rsidRPr="00BC1AB7">
        <w:rPr>
          <w:rFonts w:eastAsia="Arial"/>
          <w:spacing w:val="1"/>
        </w:rPr>
        <w:t>no</w:t>
      </w:r>
      <w:r w:rsidRPr="00BC1AB7">
        <w:rPr>
          <w:rFonts w:eastAsia="Arial"/>
          <w:spacing w:val="-2"/>
        </w:rPr>
        <w:t>v</w:t>
      </w:r>
      <w:r w:rsidRPr="00BC1AB7">
        <w:rPr>
          <w:rFonts w:eastAsia="Arial"/>
          <w:spacing w:val="1"/>
        </w:rPr>
        <w:t>a</w:t>
      </w:r>
      <w:r w:rsidRPr="00BC1AB7">
        <w:rPr>
          <w:rFonts w:eastAsia="Arial"/>
        </w:rPr>
        <w:t>ron s</w:t>
      </w:r>
      <w:r w:rsidRPr="00BC1AB7">
        <w:rPr>
          <w:rFonts w:eastAsia="Arial"/>
          <w:spacing w:val="1"/>
        </w:rPr>
        <w:t>u</w:t>
      </w:r>
      <w:r w:rsidRPr="00BC1AB7">
        <w:rPr>
          <w:rFonts w:eastAsia="Arial"/>
        </w:rPr>
        <w:t>s re</w:t>
      </w:r>
      <w:r w:rsidRPr="00BC1AB7">
        <w:rPr>
          <w:rFonts w:eastAsia="Arial"/>
          <w:spacing w:val="-3"/>
        </w:rPr>
        <w:t>g</w:t>
      </w:r>
      <w:r w:rsidRPr="00BC1AB7">
        <w:rPr>
          <w:rFonts w:eastAsia="Arial"/>
        </w:rPr>
        <w:t>istros</w:t>
      </w:r>
      <w:r w:rsidRPr="00BC1AB7">
        <w:rPr>
          <w:rFonts w:eastAsia="Arial"/>
          <w:spacing w:val="1"/>
        </w:rPr>
        <w:t xml:space="preserve"> me</w:t>
      </w:r>
      <w:r w:rsidRPr="00BC1AB7">
        <w:rPr>
          <w:rFonts w:eastAsia="Arial"/>
        </w:rPr>
        <w:t>rc</w:t>
      </w:r>
      <w:r w:rsidRPr="00BC1AB7">
        <w:rPr>
          <w:rFonts w:eastAsia="Arial"/>
          <w:spacing w:val="-2"/>
        </w:rPr>
        <w:t>a</w:t>
      </w:r>
      <w:r w:rsidRPr="00BC1AB7">
        <w:rPr>
          <w:rFonts w:eastAsia="Arial"/>
          <w:spacing w:val="1"/>
        </w:rPr>
        <w:t>n</w:t>
      </w:r>
      <w:r w:rsidRPr="00BC1AB7">
        <w:rPr>
          <w:rFonts w:eastAsia="Arial"/>
        </w:rPr>
        <w:t xml:space="preserve">tiles y </w:t>
      </w:r>
      <w:r w:rsidRPr="00BC1AB7">
        <w:rPr>
          <w:rFonts w:eastAsia="Arial"/>
          <w:spacing w:val="1"/>
        </w:rPr>
        <w:t>e</w:t>
      </w:r>
      <w:r w:rsidRPr="00BC1AB7">
        <w:rPr>
          <w:rFonts w:eastAsia="Arial"/>
        </w:rPr>
        <w:t xml:space="preserve">l </w:t>
      </w:r>
      <w:r w:rsidRPr="00137765">
        <w:rPr>
          <w:rFonts w:eastAsia="Arial"/>
          <w:spacing w:val="1"/>
        </w:rPr>
        <w:t>63</w:t>
      </w:r>
      <w:r w:rsidRPr="00137765">
        <w:rPr>
          <w:rFonts w:eastAsia="Arial"/>
        </w:rPr>
        <w:t>,</w:t>
      </w:r>
      <w:r w:rsidRPr="00137765">
        <w:rPr>
          <w:rFonts w:eastAsia="Arial"/>
          <w:spacing w:val="-1"/>
        </w:rPr>
        <w:t>4</w:t>
      </w:r>
      <w:r w:rsidRPr="00137765">
        <w:rPr>
          <w:rFonts w:eastAsia="Arial"/>
          <w:spacing w:val="1"/>
        </w:rPr>
        <w:t>2</w:t>
      </w:r>
      <w:r w:rsidRPr="00137765">
        <w:rPr>
          <w:rFonts w:eastAsia="Arial"/>
        </w:rPr>
        <w:t>%</w:t>
      </w:r>
      <w:r w:rsidRPr="00BC1AB7">
        <w:rPr>
          <w:rFonts w:eastAsia="Arial"/>
          <w:b/>
        </w:rPr>
        <w:t xml:space="preserve"> </w:t>
      </w:r>
      <w:r w:rsidRPr="00BC1AB7">
        <w:rPr>
          <w:rFonts w:eastAsia="Arial"/>
          <w:spacing w:val="1"/>
        </w:rPr>
        <w:t>d</w:t>
      </w:r>
      <w:r w:rsidRPr="00BC1AB7">
        <w:rPr>
          <w:rFonts w:eastAsia="Arial"/>
        </w:rPr>
        <w:t>e los re</w:t>
      </w:r>
      <w:r w:rsidRPr="00BC1AB7">
        <w:rPr>
          <w:rFonts w:eastAsia="Arial"/>
          <w:spacing w:val="-1"/>
        </w:rPr>
        <w:t>g</w:t>
      </w:r>
      <w:r w:rsidRPr="00BC1AB7">
        <w:rPr>
          <w:rFonts w:eastAsia="Arial"/>
        </w:rPr>
        <w:t>istros</w:t>
      </w:r>
      <w:r w:rsidRPr="00BC1AB7">
        <w:rPr>
          <w:rFonts w:eastAsia="Arial"/>
          <w:spacing w:val="1"/>
        </w:rPr>
        <w:t xml:space="preserve"> d</w:t>
      </w:r>
      <w:r w:rsidRPr="00BC1AB7">
        <w:rPr>
          <w:rFonts w:eastAsia="Arial"/>
        </w:rPr>
        <w:t>e l</w:t>
      </w:r>
      <w:r w:rsidRPr="00BC1AB7">
        <w:rPr>
          <w:rFonts w:eastAsia="Arial"/>
          <w:spacing w:val="1"/>
        </w:rPr>
        <w:t>a</w:t>
      </w:r>
      <w:r w:rsidRPr="00BC1AB7">
        <w:rPr>
          <w:rFonts w:eastAsia="Arial"/>
        </w:rPr>
        <w:t xml:space="preserve">s </w:t>
      </w:r>
      <w:r w:rsidRPr="00BC1AB7">
        <w:rPr>
          <w:rFonts w:eastAsia="Arial"/>
          <w:spacing w:val="-1"/>
        </w:rPr>
        <w:t>n</w:t>
      </w:r>
      <w:r w:rsidRPr="00BC1AB7">
        <w:rPr>
          <w:rFonts w:eastAsia="Arial"/>
          <w:spacing w:val="1"/>
        </w:rPr>
        <w:t>ue</w:t>
      </w:r>
      <w:r w:rsidRPr="00BC1AB7">
        <w:rPr>
          <w:rFonts w:eastAsia="Arial"/>
          <w:spacing w:val="-2"/>
        </w:rPr>
        <w:t>v</w:t>
      </w:r>
      <w:r w:rsidRPr="00BC1AB7">
        <w:rPr>
          <w:rFonts w:eastAsia="Arial"/>
          <w:spacing w:val="1"/>
        </w:rPr>
        <w:t>a</w:t>
      </w:r>
      <w:r w:rsidRPr="00BC1AB7">
        <w:rPr>
          <w:rFonts w:eastAsia="Arial"/>
        </w:rPr>
        <w:t xml:space="preserve">s </w:t>
      </w:r>
      <w:r w:rsidRPr="00BC1AB7">
        <w:rPr>
          <w:rFonts w:eastAsia="Arial"/>
          <w:spacing w:val="1"/>
        </w:rPr>
        <w:t>emp</w:t>
      </w:r>
      <w:r w:rsidRPr="00BC1AB7">
        <w:rPr>
          <w:rFonts w:eastAsia="Arial"/>
          <w:spacing w:val="-3"/>
        </w:rPr>
        <w:t>r</w:t>
      </w:r>
      <w:r w:rsidRPr="00BC1AB7">
        <w:rPr>
          <w:rFonts w:eastAsia="Arial"/>
          <w:spacing w:val="1"/>
        </w:rPr>
        <w:t>e</w:t>
      </w:r>
      <w:r w:rsidRPr="00BC1AB7">
        <w:rPr>
          <w:rFonts w:eastAsia="Arial"/>
        </w:rPr>
        <w:t>s</w:t>
      </w:r>
      <w:r w:rsidRPr="00BC1AB7">
        <w:rPr>
          <w:rFonts w:eastAsia="Arial"/>
          <w:spacing w:val="1"/>
        </w:rPr>
        <w:t>a</w:t>
      </w:r>
      <w:r w:rsidRPr="00BC1AB7">
        <w:rPr>
          <w:rFonts w:eastAsia="Arial"/>
        </w:rPr>
        <w:t xml:space="preserve">s </w:t>
      </w:r>
      <w:r w:rsidRPr="00BC1AB7">
        <w:rPr>
          <w:rFonts w:eastAsia="Arial"/>
          <w:spacing w:val="-1"/>
        </w:rPr>
        <w:t>e</w:t>
      </w:r>
      <w:r w:rsidRPr="00BC1AB7">
        <w:rPr>
          <w:rFonts w:eastAsia="Arial"/>
        </w:rPr>
        <w:t>n</w:t>
      </w:r>
      <w:r w:rsidRPr="00BC1AB7">
        <w:rPr>
          <w:rFonts w:eastAsia="Arial"/>
          <w:spacing w:val="1"/>
        </w:rPr>
        <w:t xml:space="preserve"> e</w:t>
      </w:r>
      <w:r w:rsidRPr="00BC1AB7">
        <w:rPr>
          <w:rFonts w:eastAsia="Arial"/>
        </w:rPr>
        <w:t>l Q</w:t>
      </w:r>
      <w:r w:rsidRPr="00BC1AB7">
        <w:rPr>
          <w:rFonts w:eastAsia="Arial"/>
          <w:spacing w:val="1"/>
        </w:rPr>
        <w:t>u</w:t>
      </w:r>
      <w:r w:rsidRPr="00BC1AB7">
        <w:rPr>
          <w:rFonts w:eastAsia="Arial"/>
        </w:rPr>
        <w:t>i</w:t>
      </w:r>
      <w:r w:rsidRPr="00BC1AB7">
        <w:rPr>
          <w:rFonts w:eastAsia="Arial"/>
          <w:spacing w:val="-2"/>
        </w:rPr>
        <w:t>n</w:t>
      </w:r>
      <w:r w:rsidRPr="00BC1AB7">
        <w:rPr>
          <w:rFonts w:eastAsia="Arial"/>
          <w:spacing w:val="1"/>
        </w:rPr>
        <w:t>d</w:t>
      </w:r>
      <w:r w:rsidRPr="00BC1AB7">
        <w:rPr>
          <w:rFonts w:eastAsia="Arial"/>
          <w:spacing w:val="-2"/>
        </w:rPr>
        <w:t>í</w:t>
      </w:r>
      <w:r w:rsidRPr="00BC1AB7">
        <w:rPr>
          <w:rFonts w:eastAsia="Arial"/>
          <w:spacing w:val="1"/>
        </w:rPr>
        <w:t>o</w:t>
      </w:r>
      <w:r w:rsidRPr="00BC1AB7">
        <w:rPr>
          <w:rFonts w:eastAsia="Arial"/>
        </w:rPr>
        <w:t>.</w:t>
      </w:r>
      <w:r>
        <w:rPr>
          <w:rFonts w:eastAsia="Arial"/>
        </w:rPr>
        <w:t xml:space="preserve"> </w:t>
      </w:r>
      <w:r w:rsidRPr="00FD7AE2">
        <w:rPr>
          <w:rFonts w:eastAsia="Arial"/>
          <w:spacing w:val="1"/>
        </w:rPr>
        <w:t>L</w:t>
      </w:r>
      <w:r w:rsidRPr="00FD7AE2">
        <w:rPr>
          <w:rFonts w:eastAsia="Arial"/>
        </w:rPr>
        <w:t xml:space="preserve">a </w:t>
      </w:r>
      <w:r w:rsidRPr="00FD7AE2">
        <w:rPr>
          <w:rFonts w:eastAsia="Arial"/>
          <w:spacing w:val="1"/>
        </w:rPr>
        <w:t>pa</w:t>
      </w:r>
      <w:r w:rsidRPr="00FD7AE2">
        <w:rPr>
          <w:rFonts w:eastAsia="Arial"/>
        </w:rPr>
        <w:t>rtic</w:t>
      </w:r>
      <w:r w:rsidRPr="00FD7AE2">
        <w:rPr>
          <w:rFonts w:eastAsia="Arial"/>
          <w:spacing w:val="-1"/>
        </w:rPr>
        <w:t>ip</w:t>
      </w:r>
      <w:r w:rsidRPr="00FD7AE2">
        <w:rPr>
          <w:rFonts w:eastAsia="Arial"/>
          <w:spacing w:val="1"/>
        </w:rPr>
        <w:t>a</w:t>
      </w:r>
      <w:r w:rsidRPr="00FD7AE2">
        <w:rPr>
          <w:rFonts w:eastAsia="Arial"/>
        </w:rPr>
        <w:t>ción</w:t>
      </w:r>
      <w:r w:rsidRPr="00FD7AE2">
        <w:rPr>
          <w:rFonts w:eastAsia="Arial"/>
          <w:spacing w:val="1"/>
        </w:rPr>
        <w:t xml:space="preserve"> de</w:t>
      </w:r>
      <w:r w:rsidRPr="00FD7AE2">
        <w:rPr>
          <w:rFonts w:eastAsia="Arial"/>
        </w:rPr>
        <w:t xml:space="preserve">l </w:t>
      </w:r>
      <w:r w:rsidRPr="00FD7AE2">
        <w:rPr>
          <w:rFonts w:eastAsia="Arial"/>
          <w:spacing w:val="1"/>
        </w:rPr>
        <w:t>mun</w:t>
      </w:r>
      <w:r w:rsidRPr="00FD7AE2">
        <w:rPr>
          <w:rFonts w:eastAsia="Arial"/>
        </w:rPr>
        <w:t>ic</w:t>
      </w:r>
      <w:r w:rsidRPr="00FD7AE2">
        <w:rPr>
          <w:rFonts w:eastAsia="Arial"/>
          <w:spacing w:val="-1"/>
        </w:rPr>
        <w:t>i</w:t>
      </w:r>
      <w:r w:rsidRPr="00FD7AE2">
        <w:rPr>
          <w:rFonts w:eastAsia="Arial"/>
          <w:spacing w:val="1"/>
        </w:rPr>
        <w:t>p</w:t>
      </w:r>
      <w:r w:rsidRPr="00FD7AE2">
        <w:rPr>
          <w:rFonts w:eastAsia="Arial"/>
        </w:rPr>
        <w:t>io</w:t>
      </w:r>
      <w:r w:rsidRPr="00FD7AE2">
        <w:rPr>
          <w:rFonts w:eastAsia="Arial"/>
          <w:spacing w:val="1"/>
        </w:rPr>
        <w:t xml:space="preserve"> d</w:t>
      </w:r>
      <w:r w:rsidRPr="00FD7AE2">
        <w:rPr>
          <w:rFonts w:eastAsia="Arial"/>
        </w:rPr>
        <w:t xml:space="preserve">e </w:t>
      </w:r>
      <w:r w:rsidRPr="00FD7AE2">
        <w:rPr>
          <w:rFonts w:eastAsia="Arial"/>
          <w:spacing w:val="-2"/>
        </w:rPr>
        <w:t>B</w:t>
      </w:r>
      <w:r w:rsidRPr="00FD7AE2">
        <w:rPr>
          <w:rFonts w:eastAsia="Arial"/>
          <w:spacing w:val="1"/>
        </w:rPr>
        <w:t>u</w:t>
      </w:r>
      <w:r w:rsidRPr="00FD7AE2">
        <w:rPr>
          <w:rFonts w:eastAsia="Arial"/>
          <w:spacing w:val="-1"/>
        </w:rPr>
        <w:t>en</w:t>
      </w:r>
      <w:r w:rsidRPr="00FD7AE2">
        <w:rPr>
          <w:rFonts w:eastAsia="Arial"/>
          <w:spacing w:val="1"/>
        </w:rPr>
        <w:t>a</w:t>
      </w:r>
      <w:r w:rsidRPr="00FD7AE2">
        <w:rPr>
          <w:rFonts w:eastAsia="Arial"/>
          <w:spacing w:val="-2"/>
        </w:rPr>
        <w:t>v</w:t>
      </w:r>
      <w:r w:rsidRPr="00FD7AE2">
        <w:rPr>
          <w:rFonts w:eastAsia="Arial"/>
        </w:rPr>
        <w:t xml:space="preserve">ista </w:t>
      </w:r>
      <w:r w:rsidRPr="00FD7AE2">
        <w:rPr>
          <w:rFonts w:eastAsia="Arial"/>
          <w:spacing w:val="1"/>
        </w:rPr>
        <w:t>e</w:t>
      </w:r>
      <w:r w:rsidRPr="00FD7AE2">
        <w:rPr>
          <w:rFonts w:eastAsia="Arial"/>
        </w:rPr>
        <w:t>n la c</w:t>
      </w:r>
      <w:r w:rsidRPr="00FD7AE2">
        <w:rPr>
          <w:rFonts w:eastAsia="Arial"/>
          <w:spacing w:val="1"/>
        </w:rPr>
        <w:t>an</w:t>
      </w:r>
      <w:r w:rsidRPr="00FD7AE2">
        <w:rPr>
          <w:rFonts w:eastAsia="Arial"/>
        </w:rPr>
        <w:t>t</w:t>
      </w:r>
      <w:r w:rsidRPr="00FD7AE2">
        <w:rPr>
          <w:rFonts w:eastAsia="Arial"/>
          <w:spacing w:val="-2"/>
        </w:rPr>
        <w:t>i</w:t>
      </w:r>
      <w:r w:rsidRPr="00FD7AE2">
        <w:rPr>
          <w:rFonts w:eastAsia="Arial"/>
          <w:spacing w:val="1"/>
        </w:rPr>
        <w:t>d</w:t>
      </w:r>
      <w:r w:rsidRPr="00FD7AE2">
        <w:rPr>
          <w:rFonts w:eastAsia="Arial"/>
          <w:spacing w:val="-1"/>
        </w:rPr>
        <w:t>a</w:t>
      </w:r>
      <w:r w:rsidRPr="00FD7AE2">
        <w:rPr>
          <w:rFonts w:eastAsia="Arial"/>
        </w:rPr>
        <w:t xml:space="preserve">d </w:t>
      </w:r>
      <w:r w:rsidRPr="00FD7AE2">
        <w:rPr>
          <w:rFonts w:eastAsia="Arial"/>
          <w:spacing w:val="1"/>
        </w:rPr>
        <w:t>d</w:t>
      </w:r>
      <w:r w:rsidRPr="00FD7AE2">
        <w:rPr>
          <w:rFonts w:eastAsia="Arial"/>
        </w:rPr>
        <w:t xml:space="preserve">e </w:t>
      </w:r>
      <w:r w:rsidRPr="00FD7AE2">
        <w:rPr>
          <w:rFonts w:eastAsia="Arial"/>
          <w:spacing w:val="-1"/>
        </w:rPr>
        <w:t>e</w:t>
      </w:r>
      <w:r w:rsidRPr="00FD7AE2">
        <w:rPr>
          <w:rFonts w:eastAsia="Arial"/>
          <w:spacing w:val="1"/>
        </w:rPr>
        <w:t>mp</w:t>
      </w:r>
      <w:r w:rsidRPr="00FD7AE2">
        <w:rPr>
          <w:rFonts w:eastAsia="Arial"/>
          <w:spacing w:val="-3"/>
        </w:rPr>
        <w:t>r</w:t>
      </w:r>
      <w:r w:rsidRPr="00FD7AE2">
        <w:rPr>
          <w:rFonts w:eastAsia="Arial"/>
          <w:spacing w:val="1"/>
        </w:rPr>
        <w:t>e</w:t>
      </w:r>
      <w:r w:rsidRPr="00FD7AE2">
        <w:rPr>
          <w:rFonts w:eastAsia="Arial"/>
        </w:rPr>
        <w:t>s</w:t>
      </w:r>
      <w:r w:rsidRPr="00FD7AE2">
        <w:rPr>
          <w:rFonts w:eastAsia="Arial"/>
          <w:spacing w:val="1"/>
        </w:rPr>
        <w:t>a</w:t>
      </w:r>
      <w:r w:rsidRPr="00FD7AE2">
        <w:rPr>
          <w:rFonts w:eastAsia="Arial"/>
        </w:rPr>
        <w:t xml:space="preserve">s </w:t>
      </w:r>
      <w:r w:rsidRPr="00FD7AE2">
        <w:rPr>
          <w:rFonts w:eastAsia="Arial"/>
          <w:spacing w:val="-1"/>
        </w:rPr>
        <w:t>M</w:t>
      </w:r>
      <w:r w:rsidRPr="00FD7AE2">
        <w:rPr>
          <w:rFonts w:eastAsia="Arial"/>
          <w:spacing w:val="1"/>
        </w:rPr>
        <w:t>a</w:t>
      </w:r>
      <w:r w:rsidRPr="00FD7AE2">
        <w:rPr>
          <w:rFonts w:eastAsia="Arial"/>
        </w:rPr>
        <w:t>tricula</w:t>
      </w:r>
      <w:r w:rsidRPr="00FD7AE2">
        <w:rPr>
          <w:rFonts w:eastAsia="Arial"/>
          <w:spacing w:val="1"/>
        </w:rPr>
        <w:t>da</w:t>
      </w:r>
      <w:r w:rsidRPr="00FD7AE2">
        <w:rPr>
          <w:rFonts w:eastAsia="Arial"/>
        </w:rPr>
        <w:t>s y Re</w:t>
      </w:r>
      <w:r w:rsidRPr="00FD7AE2">
        <w:rPr>
          <w:rFonts w:eastAsia="Arial"/>
          <w:spacing w:val="1"/>
        </w:rPr>
        <w:t>no</w:t>
      </w:r>
      <w:r w:rsidRPr="00FD7AE2">
        <w:rPr>
          <w:rFonts w:eastAsia="Arial"/>
          <w:spacing w:val="-2"/>
        </w:rPr>
        <w:t>v</w:t>
      </w:r>
      <w:r w:rsidRPr="00FD7AE2">
        <w:rPr>
          <w:rFonts w:eastAsia="Arial"/>
          <w:spacing w:val="1"/>
        </w:rPr>
        <w:t>ada</w:t>
      </w:r>
      <w:r w:rsidRPr="00FD7AE2">
        <w:rPr>
          <w:rFonts w:eastAsia="Arial"/>
        </w:rPr>
        <w:t xml:space="preserve">s </w:t>
      </w:r>
      <w:r w:rsidRPr="00FD7AE2">
        <w:rPr>
          <w:rFonts w:eastAsia="Arial"/>
          <w:spacing w:val="1"/>
        </w:rPr>
        <w:t>e</w:t>
      </w:r>
      <w:r w:rsidRPr="00FD7AE2">
        <w:rPr>
          <w:rFonts w:eastAsia="Arial"/>
        </w:rPr>
        <w:t xml:space="preserve">n </w:t>
      </w:r>
      <w:r w:rsidRPr="00FD7AE2">
        <w:rPr>
          <w:rFonts w:eastAsia="Arial"/>
          <w:spacing w:val="1"/>
        </w:rPr>
        <w:t>e</w:t>
      </w:r>
      <w:r w:rsidRPr="00FD7AE2">
        <w:rPr>
          <w:rFonts w:eastAsia="Arial"/>
        </w:rPr>
        <w:t xml:space="preserve">l </w:t>
      </w:r>
      <w:r w:rsidRPr="00FD7AE2">
        <w:rPr>
          <w:rFonts w:eastAsia="Arial"/>
          <w:spacing w:val="-1"/>
        </w:rPr>
        <w:t>d</w:t>
      </w:r>
      <w:r w:rsidRPr="00FD7AE2">
        <w:rPr>
          <w:rFonts w:eastAsia="Arial"/>
          <w:spacing w:val="1"/>
        </w:rPr>
        <w:t>e</w:t>
      </w:r>
      <w:r w:rsidRPr="00FD7AE2">
        <w:rPr>
          <w:rFonts w:eastAsia="Arial"/>
          <w:spacing w:val="-1"/>
        </w:rPr>
        <w:t>p</w:t>
      </w:r>
      <w:r w:rsidRPr="00FD7AE2">
        <w:rPr>
          <w:rFonts w:eastAsia="Arial"/>
          <w:spacing w:val="1"/>
        </w:rPr>
        <w:t>a</w:t>
      </w:r>
      <w:r w:rsidRPr="00FD7AE2">
        <w:rPr>
          <w:rFonts w:eastAsia="Arial"/>
        </w:rPr>
        <w:t>rt</w:t>
      </w:r>
      <w:r w:rsidRPr="00FD7AE2">
        <w:rPr>
          <w:rFonts w:eastAsia="Arial"/>
          <w:spacing w:val="-2"/>
        </w:rPr>
        <w:t>a</w:t>
      </w:r>
      <w:r w:rsidRPr="00FD7AE2">
        <w:rPr>
          <w:rFonts w:eastAsia="Arial"/>
          <w:spacing w:val="-1"/>
        </w:rPr>
        <w:t>m</w:t>
      </w:r>
      <w:r w:rsidRPr="00FD7AE2">
        <w:rPr>
          <w:rFonts w:eastAsia="Arial"/>
          <w:spacing w:val="1"/>
        </w:rPr>
        <w:t>en</w:t>
      </w:r>
      <w:r w:rsidRPr="00FD7AE2">
        <w:rPr>
          <w:rFonts w:eastAsia="Arial"/>
        </w:rPr>
        <w:t>to</w:t>
      </w:r>
      <w:r w:rsidRPr="00FD7AE2">
        <w:rPr>
          <w:rFonts w:eastAsia="Arial"/>
          <w:spacing w:val="1"/>
        </w:rPr>
        <w:t xml:space="preserve"> e</w:t>
      </w:r>
      <w:r w:rsidRPr="00FD7AE2">
        <w:rPr>
          <w:rFonts w:eastAsia="Arial"/>
        </w:rPr>
        <w:t xml:space="preserve">s </w:t>
      </w:r>
      <w:r w:rsidRPr="00FD7AE2">
        <w:rPr>
          <w:rFonts w:eastAsia="Arial"/>
          <w:spacing w:val="-1"/>
        </w:rPr>
        <w:t>d</w:t>
      </w:r>
      <w:r w:rsidRPr="00FD7AE2">
        <w:rPr>
          <w:rFonts w:eastAsia="Arial"/>
          <w:spacing w:val="1"/>
        </w:rPr>
        <w:t>e</w:t>
      </w:r>
      <w:r w:rsidRPr="00FD7AE2">
        <w:rPr>
          <w:rFonts w:eastAsia="Arial"/>
        </w:rPr>
        <w:t xml:space="preserve">l </w:t>
      </w:r>
      <w:r w:rsidRPr="00137765">
        <w:rPr>
          <w:rFonts w:eastAsia="Arial"/>
          <w:spacing w:val="1"/>
        </w:rPr>
        <w:t>0</w:t>
      </w:r>
      <w:r w:rsidRPr="00137765">
        <w:rPr>
          <w:rFonts w:eastAsia="Arial"/>
        </w:rPr>
        <w:t>,</w:t>
      </w:r>
      <w:r w:rsidRPr="00137765">
        <w:rPr>
          <w:rFonts w:eastAsia="Arial"/>
          <w:spacing w:val="-1"/>
        </w:rPr>
        <w:t>3</w:t>
      </w:r>
      <w:r w:rsidRPr="00137765">
        <w:rPr>
          <w:rFonts w:eastAsia="Arial"/>
          <w:spacing w:val="1"/>
        </w:rPr>
        <w:t>8</w:t>
      </w:r>
      <w:r w:rsidRPr="00137765">
        <w:rPr>
          <w:rFonts w:eastAsia="Arial"/>
          <w:spacing w:val="-2"/>
        </w:rPr>
        <w:t>%</w:t>
      </w:r>
      <w:r w:rsidRPr="00137765">
        <w:rPr>
          <w:rFonts w:eastAsia="Arial"/>
        </w:rPr>
        <w:t>,</w:t>
      </w:r>
      <w:r w:rsidRPr="00FD7AE2">
        <w:rPr>
          <w:rFonts w:eastAsia="Arial"/>
          <w:b/>
        </w:rPr>
        <w:t xml:space="preserve"> </w:t>
      </w:r>
      <w:r w:rsidRPr="00FD7AE2">
        <w:rPr>
          <w:rFonts w:eastAsia="Arial"/>
          <w:spacing w:val="1"/>
        </w:rPr>
        <w:t>e</w:t>
      </w:r>
      <w:r w:rsidRPr="00FD7AE2">
        <w:rPr>
          <w:rFonts w:eastAsia="Arial"/>
        </w:rPr>
        <w:t xml:space="preserve">n </w:t>
      </w:r>
      <w:r w:rsidRPr="00FD7AE2">
        <w:rPr>
          <w:rFonts w:eastAsia="Arial"/>
          <w:spacing w:val="1"/>
        </w:rPr>
        <w:t>e</w:t>
      </w:r>
      <w:r w:rsidRPr="00FD7AE2">
        <w:rPr>
          <w:rFonts w:eastAsia="Arial"/>
        </w:rPr>
        <w:t xml:space="preserve">l </w:t>
      </w:r>
      <w:r w:rsidRPr="00FD7AE2">
        <w:rPr>
          <w:rFonts w:eastAsia="Arial"/>
          <w:spacing w:val="1"/>
        </w:rPr>
        <w:t>n</w:t>
      </w:r>
      <w:r w:rsidRPr="00FD7AE2">
        <w:rPr>
          <w:rFonts w:eastAsia="Arial"/>
          <w:spacing w:val="-1"/>
        </w:rPr>
        <w:t>ú</w:t>
      </w:r>
      <w:r w:rsidRPr="00FD7AE2">
        <w:rPr>
          <w:rFonts w:eastAsia="Arial"/>
          <w:spacing w:val="1"/>
        </w:rPr>
        <w:t>me</w:t>
      </w:r>
      <w:r w:rsidRPr="00FD7AE2">
        <w:rPr>
          <w:rFonts w:eastAsia="Arial"/>
        </w:rPr>
        <w:t xml:space="preserve">ro </w:t>
      </w:r>
      <w:r w:rsidRPr="00FD7AE2">
        <w:rPr>
          <w:rFonts w:eastAsia="Arial"/>
          <w:spacing w:val="-1"/>
        </w:rPr>
        <w:t>d</w:t>
      </w:r>
      <w:r w:rsidRPr="00FD7AE2">
        <w:rPr>
          <w:rFonts w:eastAsia="Arial"/>
        </w:rPr>
        <w:t xml:space="preserve">e </w:t>
      </w:r>
      <w:r w:rsidRPr="00FD7AE2">
        <w:rPr>
          <w:rFonts w:eastAsia="Arial"/>
          <w:spacing w:val="1"/>
        </w:rPr>
        <w:t>emp</w:t>
      </w:r>
      <w:r w:rsidRPr="00FD7AE2">
        <w:rPr>
          <w:rFonts w:eastAsia="Arial"/>
          <w:spacing w:val="-3"/>
        </w:rPr>
        <w:t>r</w:t>
      </w:r>
      <w:r w:rsidRPr="00FD7AE2">
        <w:rPr>
          <w:rFonts w:eastAsia="Arial"/>
          <w:spacing w:val="1"/>
        </w:rPr>
        <w:t>e</w:t>
      </w:r>
      <w:r w:rsidRPr="00FD7AE2">
        <w:rPr>
          <w:rFonts w:eastAsia="Arial"/>
        </w:rPr>
        <w:t>s</w:t>
      </w:r>
      <w:r w:rsidRPr="00FD7AE2">
        <w:rPr>
          <w:rFonts w:eastAsia="Arial"/>
          <w:spacing w:val="1"/>
        </w:rPr>
        <w:t>a</w:t>
      </w:r>
      <w:r w:rsidRPr="00FD7AE2">
        <w:rPr>
          <w:rFonts w:eastAsia="Arial"/>
        </w:rPr>
        <w:t xml:space="preserve">s </w:t>
      </w:r>
      <w:r w:rsidRPr="00FD7AE2">
        <w:rPr>
          <w:rFonts w:eastAsia="Arial"/>
          <w:spacing w:val="-1"/>
        </w:rPr>
        <w:t>q</w:t>
      </w:r>
      <w:r w:rsidRPr="00FD7AE2">
        <w:rPr>
          <w:rFonts w:eastAsia="Arial"/>
          <w:spacing w:val="1"/>
        </w:rPr>
        <w:t>u</w:t>
      </w:r>
      <w:r w:rsidRPr="00FD7AE2">
        <w:rPr>
          <w:rFonts w:eastAsia="Arial"/>
        </w:rPr>
        <w:t>e re</w:t>
      </w:r>
      <w:r w:rsidRPr="00FD7AE2">
        <w:rPr>
          <w:rFonts w:eastAsia="Arial"/>
          <w:spacing w:val="1"/>
        </w:rPr>
        <w:t>no</w:t>
      </w:r>
      <w:r w:rsidRPr="00FD7AE2">
        <w:rPr>
          <w:rFonts w:eastAsia="Arial"/>
          <w:spacing w:val="-2"/>
        </w:rPr>
        <w:t>v</w:t>
      </w:r>
      <w:r w:rsidRPr="00FD7AE2">
        <w:rPr>
          <w:rFonts w:eastAsia="Arial"/>
          <w:spacing w:val="1"/>
        </w:rPr>
        <w:t>a</w:t>
      </w:r>
      <w:r w:rsidRPr="00FD7AE2">
        <w:rPr>
          <w:rFonts w:eastAsia="Arial"/>
        </w:rPr>
        <w:t xml:space="preserve">ron </w:t>
      </w:r>
      <w:r w:rsidRPr="00FD7AE2">
        <w:rPr>
          <w:rFonts w:eastAsia="Arial"/>
          <w:spacing w:val="1"/>
        </w:rPr>
        <w:t>e</w:t>
      </w:r>
      <w:r w:rsidRPr="00FD7AE2">
        <w:rPr>
          <w:rFonts w:eastAsia="Arial"/>
        </w:rPr>
        <w:t>l re</w:t>
      </w:r>
      <w:r w:rsidRPr="00FD7AE2">
        <w:rPr>
          <w:rFonts w:eastAsia="Arial"/>
          <w:spacing w:val="-1"/>
        </w:rPr>
        <w:t>g</w:t>
      </w:r>
      <w:r w:rsidRPr="00FD7AE2">
        <w:rPr>
          <w:rFonts w:eastAsia="Arial"/>
        </w:rPr>
        <w:t xml:space="preserve">istro </w:t>
      </w:r>
      <w:r w:rsidRPr="00FD7AE2">
        <w:rPr>
          <w:rFonts w:eastAsia="Arial"/>
          <w:spacing w:val="1"/>
        </w:rPr>
        <w:t>me</w:t>
      </w:r>
      <w:r w:rsidRPr="00FD7AE2">
        <w:rPr>
          <w:rFonts w:eastAsia="Arial"/>
        </w:rPr>
        <w:t>rca</w:t>
      </w:r>
      <w:r w:rsidRPr="00FD7AE2">
        <w:rPr>
          <w:rFonts w:eastAsia="Arial"/>
          <w:spacing w:val="1"/>
        </w:rPr>
        <w:t>n</w:t>
      </w:r>
      <w:r w:rsidRPr="00FD7AE2">
        <w:rPr>
          <w:rFonts w:eastAsia="Arial"/>
        </w:rPr>
        <w:t xml:space="preserve">til </w:t>
      </w:r>
      <w:r w:rsidRPr="00FD7AE2">
        <w:rPr>
          <w:rFonts w:eastAsia="Arial"/>
          <w:spacing w:val="1"/>
        </w:rPr>
        <w:t>e</w:t>
      </w:r>
      <w:r w:rsidRPr="00FD7AE2">
        <w:rPr>
          <w:rFonts w:eastAsia="Arial"/>
        </w:rPr>
        <w:t xml:space="preserve">n </w:t>
      </w:r>
      <w:r w:rsidRPr="00FD7AE2">
        <w:rPr>
          <w:rFonts w:eastAsia="Arial"/>
          <w:spacing w:val="1"/>
        </w:rPr>
        <w:t>e</w:t>
      </w:r>
      <w:r w:rsidRPr="00FD7AE2">
        <w:rPr>
          <w:rFonts w:eastAsia="Arial"/>
        </w:rPr>
        <w:t xml:space="preserve">l </w:t>
      </w:r>
      <w:r w:rsidRPr="00FD7AE2">
        <w:rPr>
          <w:rFonts w:eastAsia="Arial"/>
          <w:spacing w:val="1"/>
        </w:rPr>
        <w:t>2013</w:t>
      </w:r>
      <w:r w:rsidRPr="00FD7AE2">
        <w:rPr>
          <w:rFonts w:eastAsia="Arial"/>
        </w:rPr>
        <w:t xml:space="preserve">, </w:t>
      </w:r>
      <w:r w:rsidRPr="00FD7AE2">
        <w:rPr>
          <w:rFonts w:eastAsia="Arial"/>
          <w:spacing w:val="1"/>
        </w:rPr>
        <w:t>e</w:t>
      </w:r>
      <w:r w:rsidRPr="00FD7AE2">
        <w:rPr>
          <w:rFonts w:eastAsia="Arial"/>
        </w:rPr>
        <w:t xml:space="preserve">s </w:t>
      </w:r>
      <w:r w:rsidRPr="00FD7AE2">
        <w:rPr>
          <w:rFonts w:eastAsia="Arial"/>
          <w:spacing w:val="1"/>
        </w:rPr>
        <w:t>d</w:t>
      </w:r>
      <w:r w:rsidRPr="00FD7AE2">
        <w:rPr>
          <w:rFonts w:eastAsia="Arial"/>
          <w:spacing w:val="9"/>
        </w:rPr>
        <w:t>e</w:t>
      </w:r>
      <w:r w:rsidRPr="00FD7AE2">
        <w:rPr>
          <w:rFonts w:eastAsia="Arial"/>
        </w:rPr>
        <w:t xml:space="preserve">l </w:t>
      </w:r>
      <w:r w:rsidRPr="00137765">
        <w:rPr>
          <w:rFonts w:eastAsia="Arial"/>
          <w:spacing w:val="1"/>
        </w:rPr>
        <w:t>0</w:t>
      </w:r>
      <w:r w:rsidRPr="00137765">
        <w:rPr>
          <w:rFonts w:eastAsia="Arial"/>
        </w:rPr>
        <w:t>,</w:t>
      </w:r>
      <w:r w:rsidRPr="00137765">
        <w:rPr>
          <w:rFonts w:eastAsia="Arial"/>
          <w:spacing w:val="1"/>
        </w:rPr>
        <w:t>36</w:t>
      </w:r>
      <w:r w:rsidRPr="00137765">
        <w:rPr>
          <w:rFonts w:eastAsia="Arial"/>
          <w:spacing w:val="-1"/>
        </w:rPr>
        <w:t>%</w:t>
      </w:r>
      <w:r w:rsidRPr="00137765">
        <w:rPr>
          <w:rFonts w:eastAsia="Arial"/>
        </w:rPr>
        <w:t>,</w:t>
      </w:r>
      <w:r w:rsidRPr="00FD7AE2">
        <w:rPr>
          <w:rFonts w:eastAsia="Arial"/>
          <w:b/>
        </w:rPr>
        <w:t xml:space="preserve"> </w:t>
      </w:r>
      <w:r w:rsidRPr="00FD7AE2">
        <w:rPr>
          <w:rFonts w:eastAsia="Arial"/>
        </w:rPr>
        <w:t xml:space="preserve">y </w:t>
      </w:r>
      <w:r w:rsidRPr="00FD7AE2">
        <w:rPr>
          <w:rFonts w:eastAsia="Arial"/>
          <w:spacing w:val="1"/>
        </w:rPr>
        <w:t>e</w:t>
      </w:r>
      <w:r w:rsidRPr="00FD7AE2">
        <w:rPr>
          <w:rFonts w:eastAsia="Arial"/>
        </w:rPr>
        <w:t xml:space="preserve">n </w:t>
      </w:r>
      <w:r w:rsidRPr="00FD7AE2">
        <w:rPr>
          <w:rFonts w:eastAsia="Arial"/>
          <w:spacing w:val="1"/>
        </w:rPr>
        <w:t>e</w:t>
      </w:r>
      <w:r w:rsidRPr="00FD7AE2">
        <w:rPr>
          <w:rFonts w:eastAsia="Arial"/>
        </w:rPr>
        <w:t>l</w:t>
      </w:r>
      <w:r>
        <w:rPr>
          <w:rFonts w:eastAsia="Arial"/>
        </w:rPr>
        <w:t xml:space="preserve"> </w:t>
      </w:r>
      <w:r w:rsidRPr="00FD7AE2">
        <w:rPr>
          <w:rFonts w:eastAsia="Arial"/>
          <w:position w:val="-1"/>
        </w:rPr>
        <w:t>re</w:t>
      </w:r>
      <w:r w:rsidRPr="00FD7AE2">
        <w:rPr>
          <w:rFonts w:eastAsia="Arial"/>
          <w:spacing w:val="-1"/>
          <w:position w:val="-1"/>
        </w:rPr>
        <w:t>g</w:t>
      </w:r>
      <w:r w:rsidRPr="00FD7AE2">
        <w:rPr>
          <w:rFonts w:eastAsia="Arial"/>
          <w:position w:val="-1"/>
        </w:rPr>
        <w:t>istro</w:t>
      </w:r>
      <w:r w:rsidRPr="00FD7AE2">
        <w:rPr>
          <w:rFonts w:eastAsia="Arial"/>
          <w:spacing w:val="1"/>
          <w:position w:val="-1"/>
        </w:rPr>
        <w:t xml:space="preserve"> d</w:t>
      </w:r>
      <w:r w:rsidRPr="00FD7AE2">
        <w:rPr>
          <w:rFonts w:eastAsia="Arial"/>
          <w:position w:val="-1"/>
        </w:rPr>
        <w:t>e</w:t>
      </w:r>
      <w:r w:rsidRPr="00FD7AE2">
        <w:rPr>
          <w:rFonts w:eastAsia="Arial"/>
          <w:spacing w:val="1"/>
          <w:position w:val="-1"/>
        </w:rPr>
        <w:t xml:space="preserve"> n</w:t>
      </w:r>
      <w:r w:rsidRPr="00FD7AE2">
        <w:rPr>
          <w:rFonts w:eastAsia="Arial"/>
          <w:spacing w:val="-1"/>
          <w:position w:val="-1"/>
        </w:rPr>
        <w:t>u</w:t>
      </w:r>
      <w:r w:rsidRPr="00FD7AE2">
        <w:rPr>
          <w:rFonts w:eastAsia="Arial"/>
          <w:spacing w:val="1"/>
          <w:position w:val="-1"/>
        </w:rPr>
        <w:t>e</w:t>
      </w:r>
      <w:r w:rsidRPr="00FD7AE2">
        <w:rPr>
          <w:rFonts w:eastAsia="Arial"/>
          <w:spacing w:val="-2"/>
          <w:position w:val="-1"/>
        </w:rPr>
        <w:t>v</w:t>
      </w:r>
      <w:r w:rsidRPr="00FD7AE2">
        <w:rPr>
          <w:rFonts w:eastAsia="Arial"/>
          <w:spacing w:val="1"/>
          <w:position w:val="-1"/>
        </w:rPr>
        <w:t>a</w:t>
      </w:r>
      <w:r w:rsidRPr="00FD7AE2">
        <w:rPr>
          <w:rFonts w:eastAsia="Arial"/>
          <w:position w:val="-1"/>
        </w:rPr>
        <w:t xml:space="preserve">s </w:t>
      </w:r>
      <w:r w:rsidRPr="00FD7AE2">
        <w:rPr>
          <w:rFonts w:eastAsia="Arial"/>
          <w:spacing w:val="-1"/>
          <w:position w:val="-1"/>
        </w:rPr>
        <w:t>em</w:t>
      </w:r>
      <w:r w:rsidRPr="00FD7AE2">
        <w:rPr>
          <w:rFonts w:eastAsia="Arial"/>
          <w:spacing w:val="1"/>
          <w:position w:val="-1"/>
        </w:rPr>
        <w:t>p</w:t>
      </w:r>
      <w:r w:rsidRPr="00FD7AE2">
        <w:rPr>
          <w:rFonts w:eastAsia="Arial"/>
          <w:position w:val="-1"/>
        </w:rPr>
        <w:t>res</w:t>
      </w:r>
      <w:r w:rsidRPr="00FD7AE2">
        <w:rPr>
          <w:rFonts w:eastAsia="Arial"/>
          <w:spacing w:val="1"/>
          <w:position w:val="-1"/>
        </w:rPr>
        <w:t>a</w:t>
      </w:r>
      <w:r w:rsidRPr="00FD7AE2">
        <w:rPr>
          <w:rFonts w:eastAsia="Arial"/>
          <w:position w:val="-1"/>
        </w:rPr>
        <w:t xml:space="preserve">s </w:t>
      </w:r>
      <w:r w:rsidRPr="00FD7AE2">
        <w:rPr>
          <w:rFonts w:eastAsia="Arial"/>
          <w:spacing w:val="1"/>
          <w:position w:val="-1"/>
        </w:rPr>
        <w:t>e</w:t>
      </w:r>
      <w:r w:rsidRPr="00FD7AE2">
        <w:rPr>
          <w:rFonts w:eastAsia="Arial"/>
          <w:position w:val="-1"/>
        </w:rPr>
        <w:t>s</w:t>
      </w:r>
      <w:r>
        <w:rPr>
          <w:rFonts w:eastAsia="Arial"/>
          <w:position w:val="-1"/>
        </w:rPr>
        <w:t xml:space="preserve"> </w:t>
      </w:r>
      <w:r w:rsidRPr="00FD7AE2">
        <w:rPr>
          <w:rFonts w:eastAsia="Arial"/>
          <w:spacing w:val="1"/>
          <w:position w:val="-1"/>
        </w:rPr>
        <w:t>de</w:t>
      </w:r>
      <w:r w:rsidRPr="00FD7AE2">
        <w:rPr>
          <w:rFonts w:eastAsia="Arial"/>
          <w:position w:val="-1"/>
        </w:rPr>
        <w:t>l</w:t>
      </w:r>
      <w:r>
        <w:rPr>
          <w:rFonts w:eastAsia="Arial"/>
          <w:position w:val="-1"/>
        </w:rPr>
        <w:t xml:space="preserve"> </w:t>
      </w:r>
      <w:r w:rsidRPr="00137765">
        <w:rPr>
          <w:rFonts w:eastAsia="Arial"/>
          <w:spacing w:val="1"/>
          <w:position w:val="-1"/>
        </w:rPr>
        <w:t>0</w:t>
      </w:r>
      <w:r w:rsidRPr="00137765">
        <w:rPr>
          <w:rFonts w:eastAsia="Arial"/>
          <w:position w:val="-1"/>
        </w:rPr>
        <w:t>,</w:t>
      </w:r>
      <w:r w:rsidRPr="00137765">
        <w:rPr>
          <w:rFonts w:eastAsia="Arial"/>
          <w:spacing w:val="-1"/>
          <w:position w:val="-1"/>
        </w:rPr>
        <w:t>4</w:t>
      </w:r>
      <w:r w:rsidRPr="00137765">
        <w:rPr>
          <w:rFonts w:eastAsia="Arial"/>
          <w:spacing w:val="1"/>
          <w:position w:val="-1"/>
        </w:rPr>
        <w:t>2</w:t>
      </w:r>
      <w:r w:rsidRPr="00137765">
        <w:rPr>
          <w:rFonts w:eastAsia="Arial"/>
          <w:spacing w:val="-2"/>
          <w:position w:val="-1"/>
        </w:rPr>
        <w:t>%</w:t>
      </w:r>
      <w:r w:rsidRPr="00137765">
        <w:rPr>
          <w:rFonts w:eastAsia="Arial"/>
          <w:position w:val="-1"/>
        </w:rPr>
        <w:t>.</w:t>
      </w:r>
    </w:p>
    <w:p w:rsidR="00406FF7" w:rsidRDefault="00406FF7" w:rsidP="003B3716">
      <w:pPr>
        <w:spacing w:line="360" w:lineRule="auto"/>
        <w:ind w:firstLine="284"/>
        <w:jc w:val="both"/>
        <w:rPr>
          <w:rFonts w:eastAsia="Arial"/>
        </w:rPr>
      </w:pPr>
    </w:p>
    <w:p w:rsidR="00406FF7" w:rsidRPr="008B7B89" w:rsidRDefault="00406FF7" w:rsidP="003B3716">
      <w:pPr>
        <w:spacing w:line="360" w:lineRule="auto"/>
        <w:ind w:firstLine="284"/>
        <w:jc w:val="both"/>
        <w:rPr>
          <w:rFonts w:eastAsia="Arial"/>
        </w:rPr>
      </w:pPr>
      <w:r w:rsidRPr="00FD7AE2">
        <w:rPr>
          <w:rFonts w:eastAsia="Arial"/>
        </w:rPr>
        <w:lastRenderedPageBreak/>
        <w:t>Cal</w:t>
      </w:r>
      <w:r w:rsidRPr="00FD7AE2">
        <w:rPr>
          <w:rFonts w:eastAsia="Arial"/>
          <w:spacing w:val="1"/>
        </w:rPr>
        <w:t>a</w:t>
      </w:r>
      <w:r w:rsidRPr="00FD7AE2">
        <w:rPr>
          <w:rFonts w:eastAsia="Arial"/>
        </w:rPr>
        <w:t xml:space="preserve">rcá </w:t>
      </w:r>
      <w:r w:rsidRPr="00FD7AE2">
        <w:rPr>
          <w:rFonts w:eastAsia="Arial"/>
          <w:spacing w:val="1"/>
        </w:rPr>
        <w:t>e</w:t>
      </w:r>
      <w:r w:rsidRPr="00FD7AE2">
        <w:rPr>
          <w:rFonts w:eastAsia="Arial"/>
        </w:rPr>
        <w:t xml:space="preserve">s </w:t>
      </w:r>
      <w:r w:rsidRPr="00FD7AE2">
        <w:rPr>
          <w:rFonts w:eastAsia="Arial"/>
          <w:spacing w:val="1"/>
        </w:rPr>
        <w:t>e</w:t>
      </w:r>
      <w:r w:rsidRPr="00FD7AE2">
        <w:rPr>
          <w:rFonts w:eastAsia="Arial"/>
        </w:rPr>
        <w:t xml:space="preserve">l </w:t>
      </w:r>
      <w:r w:rsidRPr="00FD7AE2">
        <w:rPr>
          <w:rFonts w:eastAsia="Arial"/>
          <w:spacing w:val="1"/>
        </w:rPr>
        <w:t>m</w:t>
      </w:r>
      <w:r w:rsidRPr="00FD7AE2">
        <w:rPr>
          <w:rFonts w:eastAsia="Arial"/>
          <w:spacing w:val="-1"/>
        </w:rPr>
        <w:t>u</w:t>
      </w:r>
      <w:r w:rsidRPr="00FD7AE2">
        <w:rPr>
          <w:rFonts w:eastAsia="Arial"/>
          <w:spacing w:val="1"/>
        </w:rPr>
        <w:t>n</w:t>
      </w:r>
      <w:r w:rsidRPr="00FD7AE2">
        <w:rPr>
          <w:rFonts w:eastAsia="Arial"/>
        </w:rPr>
        <w:t>ic</w:t>
      </w:r>
      <w:r w:rsidRPr="00FD7AE2">
        <w:rPr>
          <w:rFonts w:eastAsia="Arial"/>
          <w:spacing w:val="-1"/>
        </w:rPr>
        <w:t>i</w:t>
      </w:r>
      <w:r w:rsidRPr="00FD7AE2">
        <w:rPr>
          <w:rFonts w:eastAsia="Arial"/>
          <w:spacing w:val="1"/>
        </w:rPr>
        <w:t>p</w:t>
      </w:r>
      <w:r w:rsidRPr="00FD7AE2">
        <w:rPr>
          <w:rFonts w:eastAsia="Arial"/>
          <w:spacing w:val="-3"/>
        </w:rPr>
        <w:t>i</w:t>
      </w:r>
      <w:r w:rsidRPr="00FD7AE2">
        <w:rPr>
          <w:rFonts w:eastAsia="Arial"/>
        </w:rPr>
        <w:t xml:space="preserve">o </w:t>
      </w:r>
      <w:r w:rsidRPr="00FD7AE2">
        <w:rPr>
          <w:rFonts w:eastAsia="Arial"/>
          <w:spacing w:val="-1"/>
        </w:rPr>
        <w:t>q</w:t>
      </w:r>
      <w:r w:rsidRPr="00FD7AE2">
        <w:rPr>
          <w:rFonts w:eastAsia="Arial"/>
          <w:spacing w:val="1"/>
        </w:rPr>
        <w:t>u</w:t>
      </w:r>
      <w:r w:rsidRPr="00FD7AE2">
        <w:rPr>
          <w:rFonts w:eastAsia="Arial"/>
        </w:rPr>
        <w:t xml:space="preserve">e </w:t>
      </w:r>
      <w:r w:rsidRPr="00FD7AE2">
        <w:rPr>
          <w:rFonts w:eastAsia="Arial"/>
          <w:spacing w:val="1"/>
        </w:rPr>
        <w:t>má</w:t>
      </w:r>
      <w:r w:rsidRPr="00FD7AE2">
        <w:rPr>
          <w:rFonts w:eastAsia="Arial"/>
        </w:rPr>
        <w:t xml:space="preserve">s </w:t>
      </w:r>
      <w:r w:rsidRPr="00FD7AE2">
        <w:rPr>
          <w:rFonts w:eastAsia="Arial"/>
          <w:spacing w:val="1"/>
        </w:rPr>
        <w:t>e</w:t>
      </w:r>
      <w:r w:rsidRPr="00FD7AE2">
        <w:rPr>
          <w:rFonts w:eastAsia="Arial"/>
          <w:spacing w:val="-2"/>
        </w:rPr>
        <w:t>s</w:t>
      </w:r>
      <w:r w:rsidRPr="00FD7AE2">
        <w:rPr>
          <w:rFonts w:eastAsia="Arial"/>
        </w:rPr>
        <w:t>t</w:t>
      </w:r>
      <w:r w:rsidRPr="00FD7AE2">
        <w:rPr>
          <w:rFonts w:eastAsia="Arial"/>
          <w:spacing w:val="1"/>
        </w:rPr>
        <w:t>ab</w:t>
      </w:r>
      <w:r w:rsidRPr="00FD7AE2">
        <w:rPr>
          <w:rFonts w:eastAsia="Arial"/>
          <w:spacing w:val="-3"/>
        </w:rPr>
        <w:t>l</w:t>
      </w:r>
      <w:r w:rsidRPr="00FD7AE2">
        <w:rPr>
          <w:rFonts w:eastAsia="Arial"/>
          <w:spacing w:val="1"/>
        </w:rPr>
        <w:t>e</w:t>
      </w:r>
      <w:r w:rsidRPr="00FD7AE2">
        <w:rPr>
          <w:rFonts w:eastAsia="Arial"/>
        </w:rPr>
        <w:t>ci</w:t>
      </w:r>
      <w:r w:rsidRPr="00FD7AE2">
        <w:rPr>
          <w:rFonts w:eastAsia="Arial"/>
          <w:spacing w:val="-1"/>
        </w:rPr>
        <w:t>m</w:t>
      </w:r>
      <w:r w:rsidRPr="00FD7AE2">
        <w:rPr>
          <w:rFonts w:eastAsia="Arial"/>
        </w:rPr>
        <w:t>ie</w:t>
      </w:r>
      <w:r w:rsidRPr="00FD7AE2">
        <w:rPr>
          <w:rFonts w:eastAsia="Arial"/>
          <w:spacing w:val="1"/>
        </w:rPr>
        <w:t>n</w:t>
      </w:r>
      <w:r w:rsidRPr="00FD7AE2">
        <w:rPr>
          <w:rFonts w:eastAsia="Arial"/>
        </w:rPr>
        <w:t>t</w:t>
      </w:r>
      <w:r w:rsidRPr="00FD7AE2">
        <w:rPr>
          <w:rFonts w:eastAsia="Arial"/>
          <w:spacing w:val="1"/>
        </w:rPr>
        <w:t>o</w:t>
      </w:r>
      <w:r w:rsidRPr="00FD7AE2">
        <w:rPr>
          <w:rFonts w:eastAsia="Arial"/>
        </w:rPr>
        <w:t>s f</w:t>
      </w:r>
      <w:r w:rsidRPr="00FD7AE2">
        <w:rPr>
          <w:rFonts w:eastAsia="Arial"/>
          <w:spacing w:val="1"/>
        </w:rPr>
        <w:t>o</w:t>
      </w:r>
      <w:r w:rsidRPr="00FD7AE2">
        <w:rPr>
          <w:rFonts w:eastAsia="Arial"/>
        </w:rPr>
        <w:t>r</w:t>
      </w:r>
      <w:r w:rsidRPr="00FD7AE2">
        <w:rPr>
          <w:rFonts w:eastAsia="Arial"/>
          <w:spacing w:val="1"/>
        </w:rPr>
        <w:t>ma</w:t>
      </w:r>
      <w:r w:rsidRPr="00FD7AE2">
        <w:rPr>
          <w:rFonts w:eastAsia="Arial"/>
        </w:rPr>
        <w:t>les t</w:t>
      </w:r>
      <w:r w:rsidRPr="00FD7AE2">
        <w:rPr>
          <w:rFonts w:eastAsia="Arial"/>
          <w:spacing w:val="-2"/>
        </w:rPr>
        <w:t>i</w:t>
      </w:r>
      <w:r w:rsidRPr="00FD7AE2">
        <w:rPr>
          <w:rFonts w:eastAsia="Arial"/>
          <w:spacing w:val="1"/>
        </w:rPr>
        <w:t>en</w:t>
      </w:r>
      <w:r w:rsidRPr="00FD7AE2">
        <w:rPr>
          <w:rFonts w:eastAsia="Arial"/>
        </w:rPr>
        <w:t xml:space="preserve">e </w:t>
      </w:r>
      <w:r w:rsidRPr="00FD7AE2">
        <w:rPr>
          <w:rFonts w:eastAsia="Arial"/>
          <w:spacing w:val="1"/>
        </w:rPr>
        <w:t>de</w:t>
      </w:r>
      <w:r w:rsidRPr="00FD7AE2">
        <w:rPr>
          <w:rFonts w:eastAsia="Arial"/>
        </w:rPr>
        <w:t>s</w:t>
      </w:r>
      <w:r w:rsidRPr="00FD7AE2">
        <w:rPr>
          <w:rFonts w:eastAsia="Arial"/>
          <w:spacing w:val="-1"/>
        </w:rPr>
        <w:t>p</w:t>
      </w:r>
      <w:r w:rsidRPr="00FD7AE2">
        <w:rPr>
          <w:rFonts w:eastAsia="Arial"/>
          <w:spacing w:val="1"/>
        </w:rPr>
        <w:t>ué</w:t>
      </w:r>
      <w:r w:rsidRPr="00FD7AE2">
        <w:rPr>
          <w:rFonts w:eastAsia="Arial"/>
        </w:rPr>
        <w:t xml:space="preserve">s </w:t>
      </w:r>
      <w:r w:rsidRPr="00FD7AE2">
        <w:rPr>
          <w:rFonts w:eastAsia="Arial"/>
          <w:spacing w:val="1"/>
        </w:rPr>
        <w:t>d</w:t>
      </w:r>
      <w:r w:rsidRPr="00FD7AE2">
        <w:rPr>
          <w:rFonts w:eastAsia="Arial"/>
        </w:rPr>
        <w:t xml:space="preserve">e </w:t>
      </w:r>
      <w:r w:rsidRPr="00FD7AE2">
        <w:rPr>
          <w:rFonts w:eastAsia="Arial"/>
          <w:spacing w:val="-3"/>
        </w:rPr>
        <w:t>l</w:t>
      </w:r>
      <w:r w:rsidRPr="00FD7AE2">
        <w:rPr>
          <w:rFonts w:eastAsia="Arial"/>
        </w:rPr>
        <w:t>a c</w:t>
      </w:r>
      <w:r w:rsidRPr="00FD7AE2">
        <w:rPr>
          <w:rFonts w:eastAsia="Arial"/>
          <w:spacing w:val="1"/>
        </w:rPr>
        <w:t>ap</w:t>
      </w:r>
      <w:r w:rsidRPr="00FD7AE2">
        <w:rPr>
          <w:rFonts w:eastAsia="Arial"/>
        </w:rPr>
        <w:t>it</w:t>
      </w:r>
      <w:r w:rsidRPr="00FD7AE2">
        <w:rPr>
          <w:rFonts w:eastAsia="Arial"/>
          <w:spacing w:val="1"/>
        </w:rPr>
        <w:t>a</w:t>
      </w:r>
      <w:r w:rsidRPr="00FD7AE2">
        <w:rPr>
          <w:rFonts w:eastAsia="Arial"/>
        </w:rPr>
        <w:t xml:space="preserve">l </w:t>
      </w:r>
      <w:r w:rsidRPr="00FD7AE2">
        <w:rPr>
          <w:rFonts w:eastAsia="Arial"/>
          <w:spacing w:val="-1"/>
        </w:rPr>
        <w:t>d</w:t>
      </w:r>
      <w:r w:rsidRPr="00FD7AE2">
        <w:rPr>
          <w:rFonts w:eastAsia="Arial"/>
          <w:spacing w:val="1"/>
        </w:rPr>
        <w:t>e</w:t>
      </w:r>
      <w:r w:rsidRPr="00FD7AE2">
        <w:rPr>
          <w:rFonts w:eastAsia="Arial"/>
        </w:rPr>
        <w:t xml:space="preserve">l </w:t>
      </w:r>
      <w:r w:rsidRPr="00FD7AE2">
        <w:rPr>
          <w:rFonts w:eastAsia="Arial"/>
          <w:spacing w:val="1"/>
        </w:rPr>
        <w:t>de</w:t>
      </w:r>
      <w:r w:rsidRPr="00FD7AE2">
        <w:rPr>
          <w:rFonts w:eastAsia="Arial"/>
          <w:spacing w:val="-1"/>
        </w:rPr>
        <w:t>p</w:t>
      </w:r>
      <w:r w:rsidRPr="00FD7AE2">
        <w:rPr>
          <w:rFonts w:eastAsia="Arial"/>
          <w:spacing w:val="1"/>
        </w:rPr>
        <w:t>a</w:t>
      </w:r>
      <w:r w:rsidRPr="00FD7AE2">
        <w:rPr>
          <w:rFonts w:eastAsia="Arial"/>
        </w:rPr>
        <w:t>rt</w:t>
      </w:r>
      <w:r w:rsidRPr="00FD7AE2">
        <w:rPr>
          <w:rFonts w:eastAsia="Arial"/>
          <w:spacing w:val="-2"/>
        </w:rPr>
        <w:t>a</w:t>
      </w:r>
      <w:r w:rsidRPr="00FD7AE2">
        <w:rPr>
          <w:rFonts w:eastAsia="Arial"/>
          <w:spacing w:val="1"/>
        </w:rPr>
        <w:t>m</w:t>
      </w:r>
      <w:r w:rsidRPr="00FD7AE2">
        <w:rPr>
          <w:rFonts w:eastAsia="Arial"/>
          <w:spacing w:val="-1"/>
        </w:rPr>
        <w:t>e</w:t>
      </w:r>
      <w:r w:rsidRPr="00FD7AE2">
        <w:rPr>
          <w:rFonts w:eastAsia="Arial"/>
          <w:spacing w:val="1"/>
        </w:rPr>
        <w:t>n</w:t>
      </w:r>
      <w:r w:rsidRPr="00FD7AE2">
        <w:rPr>
          <w:rFonts w:eastAsia="Arial"/>
        </w:rPr>
        <w:t>to. Es</w:t>
      </w:r>
      <w:r w:rsidRPr="00FD7AE2">
        <w:rPr>
          <w:rFonts w:eastAsia="Arial"/>
          <w:spacing w:val="-2"/>
        </w:rPr>
        <w:t>t</w:t>
      </w:r>
      <w:r w:rsidRPr="00FD7AE2">
        <w:rPr>
          <w:rFonts w:eastAsia="Arial"/>
        </w:rPr>
        <w:t xml:space="preserve">e </w:t>
      </w:r>
      <w:r w:rsidRPr="00FD7AE2">
        <w:rPr>
          <w:rFonts w:eastAsia="Arial"/>
          <w:spacing w:val="-1"/>
        </w:rPr>
        <w:t>mu</w:t>
      </w:r>
      <w:r w:rsidRPr="00FD7AE2">
        <w:rPr>
          <w:rFonts w:eastAsia="Arial"/>
          <w:spacing w:val="1"/>
        </w:rPr>
        <w:t>n</w:t>
      </w:r>
      <w:r w:rsidRPr="00FD7AE2">
        <w:rPr>
          <w:rFonts w:eastAsia="Arial"/>
        </w:rPr>
        <w:t>ic</w:t>
      </w:r>
      <w:r w:rsidRPr="00FD7AE2">
        <w:rPr>
          <w:rFonts w:eastAsia="Arial"/>
          <w:spacing w:val="-1"/>
        </w:rPr>
        <w:t>i</w:t>
      </w:r>
      <w:r w:rsidRPr="00FD7AE2">
        <w:rPr>
          <w:rFonts w:eastAsia="Arial"/>
          <w:spacing w:val="1"/>
        </w:rPr>
        <w:t>p</w:t>
      </w:r>
      <w:r w:rsidRPr="00FD7AE2">
        <w:rPr>
          <w:rFonts w:eastAsia="Arial"/>
        </w:rPr>
        <w:t xml:space="preserve">io </w:t>
      </w:r>
      <w:r w:rsidRPr="00FD7AE2">
        <w:rPr>
          <w:rFonts w:eastAsia="Arial"/>
          <w:spacing w:val="1"/>
        </w:rPr>
        <w:t>a</w:t>
      </w:r>
      <w:r w:rsidRPr="00FD7AE2">
        <w:rPr>
          <w:rFonts w:eastAsia="Arial"/>
          <w:spacing w:val="-1"/>
        </w:rPr>
        <w:t>p</w:t>
      </w:r>
      <w:r w:rsidRPr="00FD7AE2">
        <w:rPr>
          <w:rFonts w:eastAsia="Arial"/>
          <w:spacing w:val="1"/>
        </w:rPr>
        <w:t>o</w:t>
      </w:r>
      <w:r w:rsidRPr="00FD7AE2">
        <w:rPr>
          <w:rFonts w:eastAsia="Arial"/>
        </w:rPr>
        <w:t xml:space="preserve">rta </w:t>
      </w:r>
      <w:r w:rsidRPr="00FD7AE2">
        <w:rPr>
          <w:rFonts w:eastAsia="Arial"/>
          <w:spacing w:val="1"/>
        </w:rPr>
        <w:t>e</w:t>
      </w:r>
      <w:r w:rsidRPr="00FD7AE2">
        <w:rPr>
          <w:rFonts w:eastAsia="Arial"/>
        </w:rPr>
        <w:t xml:space="preserve">l </w:t>
      </w:r>
      <w:r w:rsidRPr="00575AA9">
        <w:rPr>
          <w:rFonts w:eastAsia="Arial"/>
          <w:spacing w:val="-1"/>
        </w:rPr>
        <w:t>1</w:t>
      </w:r>
      <w:r w:rsidRPr="00575AA9">
        <w:rPr>
          <w:rFonts w:eastAsia="Arial"/>
          <w:spacing w:val="1"/>
        </w:rPr>
        <w:t>0</w:t>
      </w:r>
      <w:r w:rsidRPr="00575AA9">
        <w:rPr>
          <w:rFonts w:eastAsia="Arial"/>
        </w:rPr>
        <w:t>%</w:t>
      </w:r>
      <w:r w:rsidRPr="00FD7AE2">
        <w:rPr>
          <w:rFonts w:eastAsia="Arial"/>
          <w:b/>
        </w:rPr>
        <w:t xml:space="preserve"> </w:t>
      </w:r>
      <w:r w:rsidRPr="00FD7AE2">
        <w:rPr>
          <w:rFonts w:eastAsia="Arial"/>
          <w:spacing w:val="1"/>
        </w:rPr>
        <w:t>a</w:t>
      </w:r>
      <w:r w:rsidRPr="00FD7AE2">
        <w:rPr>
          <w:rFonts w:eastAsia="Arial"/>
        </w:rPr>
        <w:t>l t</w:t>
      </w:r>
      <w:r w:rsidRPr="00FD7AE2">
        <w:rPr>
          <w:rFonts w:eastAsia="Arial"/>
          <w:spacing w:val="1"/>
        </w:rPr>
        <w:t>o</w:t>
      </w:r>
      <w:r w:rsidRPr="00FD7AE2">
        <w:rPr>
          <w:rFonts w:eastAsia="Arial"/>
        </w:rPr>
        <w:t>t</w:t>
      </w:r>
      <w:r w:rsidRPr="00FD7AE2">
        <w:rPr>
          <w:rFonts w:eastAsia="Arial"/>
          <w:spacing w:val="1"/>
        </w:rPr>
        <w:t>a</w:t>
      </w:r>
      <w:r w:rsidRPr="00FD7AE2">
        <w:rPr>
          <w:rFonts w:eastAsia="Arial"/>
        </w:rPr>
        <w:t xml:space="preserve">l </w:t>
      </w:r>
      <w:r w:rsidRPr="00FD7AE2">
        <w:rPr>
          <w:rFonts w:eastAsia="Arial"/>
          <w:spacing w:val="-1"/>
        </w:rPr>
        <w:t>d</w:t>
      </w:r>
      <w:r w:rsidRPr="00FD7AE2">
        <w:rPr>
          <w:rFonts w:eastAsia="Arial"/>
        </w:rPr>
        <w:t xml:space="preserve">e las </w:t>
      </w:r>
      <w:r w:rsidRPr="00FD7AE2">
        <w:rPr>
          <w:rFonts w:eastAsia="Arial"/>
          <w:spacing w:val="1"/>
        </w:rPr>
        <w:t>emp</w:t>
      </w:r>
      <w:r w:rsidRPr="00FD7AE2">
        <w:rPr>
          <w:rFonts w:eastAsia="Arial"/>
          <w:spacing w:val="-3"/>
        </w:rPr>
        <w:t>r</w:t>
      </w:r>
      <w:r w:rsidRPr="00FD7AE2">
        <w:rPr>
          <w:rFonts w:eastAsia="Arial"/>
          <w:spacing w:val="1"/>
        </w:rPr>
        <w:t>e</w:t>
      </w:r>
      <w:r w:rsidRPr="00FD7AE2">
        <w:rPr>
          <w:rFonts w:eastAsia="Arial"/>
        </w:rPr>
        <w:t>s</w:t>
      </w:r>
      <w:r w:rsidRPr="00FD7AE2">
        <w:rPr>
          <w:rFonts w:eastAsia="Arial"/>
          <w:spacing w:val="1"/>
        </w:rPr>
        <w:t>a</w:t>
      </w:r>
      <w:r w:rsidRPr="00FD7AE2">
        <w:rPr>
          <w:rFonts w:eastAsia="Arial"/>
        </w:rPr>
        <w:t xml:space="preserve">s </w:t>
      </w:r>
      <w:r w:rsidRPr="00FD7AE2">
        <w:rPr>
          <w:rFonts w:eastAsia="Arial"/>
          <w:spacing w:val="-1"/>
        </w:rPr>
        <w:t>q</w:t>
      </w:r>
      <w:r w:rsidRPr="00FD7AE2">
        <w:rPr>
          <w:rFonts w:eastAsia="Arial"/>
          <w:spacing w:val="1"/>
        </w:rPr>
        <w:t>u</w:t>
      </w:r>
      <w:r w:rsidRPr="00FD7AE2">
        <w:rPr>
          <w:rFonts w:eastAsia="Arial"/>
        </w:rPr>
        <w:t>e ti</w:t>
      </w:r>
      <w:r w:rsidRPr="00FD7AE2">
        <w:rPr>
          <w:rFonts w:eastAsia="Arial"/>
          <w:spacing w:val="-1"/>
        </w:rPr>
        <w:t>e</w:t>
      </w:r>
      <w:r w:rsidRPr="00FD7AE2">
        <w:rPr>
          <w:rFonts w:eastAsia="Arial"/>
          <w:spacing w:val="1"/>
        </w:rPr>
        <w:t>ne</w:t>
      </w:r>
      <w:r w:rsidRPr="00FD7AE2">
        <w:rPr>
          <w:rFonts w:eastAsia="Arial"/>
        </w:rPr>
        <w:t>n s</w:t>
      </w:r>
      <w:r w:rsidRPr="00FD7AE2">
        <w:rPr>
          <w:rFonts w:eastAsia="Arial"/>
          <w:spacing w:val="1"/>
        </w:rPr>
        <w:t>u</w:t>
      </w:r>
      <w:r w:rsidRPr="00FD7AE2">
        <w:rPr>
          <w:rFonts w:eastAsia="Arial"/>
        </w:rPr>
        <w:t xml:space="preserve">s </w:t>
      </w:r>
      <w:r w:rsidRPr="00FD7AE2">
        <w:rPr>
          <w:rFonts w:eastAsia="Arial"/>
          <w:spacing w:val="1"/>
        </w:rPr>
        <w:t>a</w:t>
      </w:r>
      <w:r w:rsidRPr="00FD7AE2">
        <w:rPr>
          <w:rFonts w:eastAsia="Arial"/>
        </w:rPr>
        <w:t>cti</w:t>
      </w:r>
      <w:r w:rsidRPr="00FD7AE2">
        <w:rPr>
          <w:rFonts w:eastAsia="Arial"/>
          <w:spacing w:val="-2"/>
        </w:rPr>
        <w:t>v</w:t>
      </w:r>
      <w:r w:rsidRPr="00FD7AE2">
        <w:rPr>
          <w:rFonts w:eastAsia="Arial"/>
        </w:rPr>
        <w:t>id</w:t>
      </w:r>
      <w:r w:rsidRPr="00FD7AE2">
        <w:rPr>
          <w:rFonts w:eastAsia="Arial"/>
          <w:spacing w:val="1"/>
        </w:rPr>
        <w:t>ade</w:t>
      </w:r>
      <w:r w:rsidRPr="00FD7AE2">
        <w:rPr>
          <w:rFonts w:eastAsia="Arial"/>
        </w:rPr>
        <w:t xml:space="preserve">s </w:t>
      </w:r>
      <w:r w:rsidRPr="00FD7AE2">
        <w:rPr>
          <w:rFonts w:eastAsia="Arial"/>
          <w:spacing w:val="-2"/>
        </w:rPr>
        <w:t>v</w:t>
      </w:r>
      <w:r w:rsidRPr="00FD7AE2">
        <w:rPr>
          <w:rFonts w:eastAsia="Arial"/>
          <w:spacing w:val="4"/>
        </w:rPr>
        <w:t>i</w:t>
      </w:r>
      <w:r w:rsidRPr="00FD7AE2">
        <w:rPr>
          <w:rFonts w:eastAsia="Arial"/>
          <w:spacing w:val="-1"/>
        </w:rPr>
        <w:t>g</w:t>
      </w:r>
      <w:r w:rsidRPr="00FD7AE2">
        <w:rPr>
          <w:rFonts w:eastAsia="Arial"/>
          <w:spacing w:val="1"/>
        </w:rPr>
        <w:t>en</w:t>
      </w:r>
      <w:r w:rsidRPr="00FD7AE2">
        <w:rPr>
          <w:rFonts w:eastAsia="Arial"/>
        </w:rPr>
        <w:t>t</w:t>
      </w:r>
      <w:r w:rsidRPr="00FD7AE2">
        <w:rPr>
          <w:rFonts w:eastAsia="Arial"/>
          <w:spacing w:val="1"/>
        </w:rPr>
        <w:t>e</w:t>
      </w:r>
      <w:r w:rsidRPr="00FD7AE2">
        <w:rPr>
          <w:rFonts w:eastAsia="Arial"/>
        </w:rPr>
        <w:t>s y f</w:t>
      </w:r>
      <w:r w:rsidRPr="00FD7AE2">
        <w:rPr>
          <w:rFonts w:eastAsia="Arial"/>
          <w:spacing w:val="1"/>
        </w:rPr>
        <w:t>o</w:t>
      </w:r>
      <w:r w:rsidRPr="00FD7AE2">
        <w:rPr>
          <w:rFonts w:eastAsia="Arial"/>
        </w:rPr>
        <w:t>r</w:t>
      </w:r>
      <w:r w:rsidRPr="00FD7AE2">
        <w:rPr>
          <w:rFonts w:eastAsia="Arial"/>
          <w:spacing w:val="1"/>
        </w:rPr>
        <w:t>ma</w:t>
      </w:r>
      <w:r w:rsidRPr="00FD7AE2">
        <w:rPr>
          <w:rFonts w:eastAsia="Arial"/>
        </w:rPr>
        <w:t>l</w:t>
      </w:r>
      <w:r w:rsidRPr="00FD7AE2">
        <w:rPr>
          <w:rFonts w:eastAsia="Arial"/>
          <w:spacing w:val="-1"/>
        </w:rPr>
        <w:t>i</w:t>
      </w:r>
      <w:r w:rsidRPr="00FD7AE2">
        <w:rPr>
          <w:rFonts w:eastAsia="Arial"/>
          <w:spacing w:val="-2"/>
        </w:rPr>
        <w:t>z</w:t>
      </w:r>
      <w:r w:rsidRPr="00FD7AE2">
        <w:rPr>
          <w:rFonts w:eastAsia="Arial"/>
          <w:spacing w:val="1"/>
        </w:rPr>
        <w:t>ada</w:t>
      </w:r>
      <w:r>
        <w:rPr>
          <w:rFonts w:eastAsia="Arial"/>
        </w:rPr>
        <w:t>s</w:t>
      </w:r>
      <w:r w:rsidRPr="00FD7AE2">
        <w:rPr>
          <w:rFonts w:eastAsia="Arial"/>
        </w:rPr>
        <w:t>.</w:t>
      </w:r>
      <w:r>
        <w:rPr>
          <w:rFonts w:eastAsia="Arial"/>
        </w:rPr>
        <w:t xml:space="preserve"> </w:t>
      </w:r>
      <w:r w:rsidRPr="00FD7AE2">
        <w:rPr>
          <w:rFonts w:eastAsia="Arial"/>
        </w:rPr>
        <w:t>De la re</w:t>
      </w:r>
      <w:r w:rsidRPr="00FD7AE2">
        <w:rPr>
          <w:rFonts w:eastAsia="Arial"/>
          <w:spacing w:val="-1"/>
        </w:rPr>
        <w:t>n</w:t>
      </w:r>
      <w:r w:rsidRPr="00FD7AE2">
        <w:rPr>
          <w:rFonts w:eastAsia="Arial"/>
          <w:spacing w:val="1"/>
        </w:rPr>
        <w:t>o</w:t>
      </w:r>
      <w:r w:rsidRPr="00FD7AE2">
        <w:rPr>
          <w:rFonts w:eastAsia="Arial"/>
          <w:spacing w:val="-2"/>
        </w:rPr>
        <w:t>v</w:t>
      </w:r>
      <w:r w:rsidRPr="00FD7AE2">
        <w:rPr>
          <w:rFonts w:eastAsia="Arial"/>
          <w:spacing w:val="1"/>
        </w:rPr>
        <w:t>a</w:t>
      </w:r>
      <w:r w:rsidRPr="00FD7AE2">
        <w:rPr>
          <w:rFonts w:eastAsia="Arial"/>
        </w:rPr>
        <w:t xml:space="preserve">ción </w:t>
      </w:r>
      <w:r w:rsidRPr="00FD7AE2">
        <w:rPr>
          <w:rFonts w:eastAsia="Arial"/>
          <w:spacing w:val="1"/>
        </w:rPr>
        <w:t>de</w:t>
      </w:r>
      <w:r w:rsidRPr="00FD7AE2">
        <w:rPr>
          <w:rFonts w:eastAsia="Arial"/>
        </w:rPr>
        <w:t>l re</w:t>
      </w:r>
      <w:r w:rsidRPr="00FD7AE2">
        <w:rPr>
          <w:rFonts w:eastAsia="Arial"/>
          <w:spacing w:val="-1"/>
        </w:rPr>
        <w:t>g</w:t>
      </w:r>
      <w:r w:rsidRPr="00FD7AE2">
        <w:rPr>
          <w:rFonts w:eastAsia="Arial"/>
        </w:rPr>
        <w:t xml:space="preserve">istro </w:t>
      </w:r>
      <w:r w:rsidRPr="00FD7AE2">
        <w:rPr>
          <w:rFonts w:eastAsia="Arial"/>
          <w:spacing w:val="-1"/>
        </w:rPr>
        <w:t>m</w:t>
      </w:r>
      <w:r w:rsidRPr="00FD7AE2">
        <w:rPr>
          <w:rFonts w:eastAsia="Arial"/>
          <w:spacing w:val="1"/>
        </w:rPr>
        <w:t>e</w:t>
      </w:r>
      <w:r w:rsidRPr="00FD7AE2">
        <w:rPr>
          <w:rFonts w:eastAsia="Arial"/>
        </w:rPr>
        <w:t>rca</w:t>
      </w:r>
      <w:r w:rsidRPr="00FD7AE2">
        <w:rPr>
          <w:rFonts w:eastAsia="Arial"/>
          <w:spacing w:val="1"/>
        </w:rPr>
        <w:t>n</w:t>
      </w:r>
      <w:r w:rsidRPr="00FD7AE2">
        <w:rPr>
          <w:rFonts w:eastAsia="Arial"/>
        </w:rPr>
        <w:t>til,</w:t>
      </w:r>
      <w:r>
        <w:rPr>
          <w:rFonts w:eastAsia="Arial"/>
        </w:rPr>
        <w:t xml:space="preserve"> </w:t>
      </w:r>
      <w:r w:rsidRPr="00FD7AE2">
        <w:rPr>
          <w:rFonts w:eastAsia="Arial"/>
        </w:rPr>
        <w:t>Cal</w:t>
      </w:r>
      <w:r w:rsidRPr="00FD7AE2">
        <w:rPr>
          <w:rFonts w:eastAsia="Arial"/>
          <w:spacing w:val="1"/>
        </w:rPr>
        <w:t>a</w:t>
      </w:r>
      <w:r w:rsidRPr="00FD7AE2">
        <w:rPr>
          <w:rFonts w:eastAsia="Arial"/>
        </w:rPr>
        <w:t>rcá re</w:t>
      </w:r>
      <w:r w:rsidRPr="00FD7AE2">
        <w:rPr>
          <w:rFonts w:eastAsia="Arial"/>
          <w:spacing w:val="1"/>
        </w:rPr>
        <w:t>p</w:t>
      </w:r>
      <w:r w:rsidRPr="00FD7AE2">
        <w:rPr>
          <w:rFonts w:eastAsia="Arial"/>
          <w:spacing w:val="-3"/>
        </w:rPr>
        <w:t>r</w:t>
      </w:r>
      <w:r w:rsidRPr="00FD7AE2">
        <w:rPr>
          <w:rFonts w:eastAsia="Arial"/>
          <w:spacing w:val="1"/>
        </w:rPr>
        <w:t>e</w:t>
      </w:r>
      <w:r w:rsidRPr="00FD7AE2">
        <w:rPr>
          <w:rFonts w:eastAsia="Arial"/>
        </w:rPr>
        <w:t>s</w:t>
      </w:r>
      <w:r w:rsidRPr="00FD7AE2">
        <w:rPr>
          <w:rFonts w:eastAsia="Arial"/>
          <w:spacing w:val="1"/>
        </w:rPr>
        <w:t>en</w:t>
      </w:r>
      <w:r w:rsidRPr="00FD7AE2">
        <w:rPr>
          <w:rFonts w:eastAsia="Arial"/>
          <w:spacing w:val="-2"/>
        </w:rPr>
        <w:t>t</w:t>
      </w:r>
      <w:r w:rsidRPr="00FD7AE2">
        <w:rPr>
          <w:rFonts w:eastAsia="Arial"/>
        </w:rPr>
        <w:t xml:space="preserve">a </w:t>
      </w:r>
      <w:r w:rsidRPr="00575AA9">
        <w:rPr>
          <w:rFonts w:eastAsia="Arial"/>
          <w:spacing w:val="-1"/>
        </w:rPr>
        <w:t>1</w:t>
      </w:r>
      <w:r w:rsidRPr="00575AA9">
        <w:rPr>
          <w:rFonts w:eastAsia="Arial"/>
          <w:spacing w:val="1"/>
        </w:rPr>
        <w:t>0</w:t>
      </w:r>
      <w:r w:rsidRPr="00575AA9">
        <w:rPr>
          <w:rFonts w:eastAsia="Arial"/>
        </w:rPr>
        <w:t>,</w:t>
      </w:r>
      <w:r w:rsidRPr="00575AA9">
        <w:rPr>
          <w:rFonts w:eastAsia="Arial"/>
          <w:spacing w:val="1"/>
        </w:rPr>
        <w:t>23</w:t>
      </w:r>
      <w:r w:rsidRPr="00575AA9">
        <w:rPr>
          <w:rFonts w:eastAsia="Arial"/>
        </w:rPr>
        <w:t>%</w:t>
      </w:r>
      <w:r w:rsidRPr="00FD7AE2">
        <w:rPr>
          <w:rFonts w:eastAsia="Arial"/>
          <w:b/>
        </w:rPr>
        <w:t xml:space="preserve"> </w:t>
      </w:r>
      <w:r w:rsidRPr="00FD7AE2">
        <w:rPr>
          <w:rFonts w:eastAsia="Arial"/>
          <w:spacing w:val="1"/>
        </w:rPr>
        <w:t>d</w:t>
      </w:r>
      <w:r w:rsidRPr="00FD7AE2">
        <w:rPr>
          <w:rFonts w:eastAsia="Arial"/>
        </w:rPr>
        <w:t>e t</w:t>
      </w:r>
      <w:r w:rsidRPr="00FD7AE2">
        <w:rPr>
          <w:rFonts w:eastAsia="Arial"/>
          <w:spacing w:val="-1"/>
        </w:rPr>
        <w:t>o</w:t>
      </w:r>
      <w:r w:rsidRPr="00FD7AE2">
        <w:rPr>
          <w:rFonts w:eastAsia="Arial"/>
          <w:spacing w:val="1"/>
        </w:rPr>
        <w:t>d</w:t>
      </w:r>
      <w:r w:rsidRPr="00FD7AE2">
        <w:rPr>
          <w:rFonts w:eastAsia="Arial"/>
        </w:rPr>
        <w:t xml:space="preserve">o </w:t>
      </w:r>
      <w:r w:rsidRPr="00FD7AE2">
        <w:rPr>
          <w:rFonts w:eastAsia="Arial"/>
          <w:spacing w:val="1"/>
        </w:rPr>
        <w:t>e</w:t>
      </w:r>
      <w:r w:rsidRPr="00FD7AE2">
        <w:rPr>
          <w:rFonts w:eastAsia="Arial"/>
        </w:rPr>
        <w:t xml:space="preserve">l </w:t>
      </w:r>
      <w:r w:rsidRPr="00FD7AE2">
        <w:rPr>
          <w:rFonts w:eastAsia="Arial"/>
          <w:spacing w:val="-1"/>
        </w:rPr>
        <w:t>d</w:t>
      </w:r>
      <w:r w:rsidRPr="00FD7AE2">
        <w:rPr>
          <w:rFonts w:eastAsia="Arial"/>
          <w:spacing w:val="1"/>
        </w:rPr>
        <w:t>e</w:t>
      </w:r>
      <w:r w:rsidRPr="00FD7AE2">
        <w:rPr>
          <w:rFonts w:eastAsia="Arial"/>
          <w:spacing w:val="-1"/>
        </w:rPr>
        <w:t>p</w:t>
      </w:r>
      <w:r w:rsidRPr="00FD7AE2">
        <w:rPr>
          <w:rFonts w:eastAsia="Arial"/>
          <w:spacing w:val="1"/>
        </w:rPr>
        <w:t>a</w:t>
      </w:r>
      <w:r w:rsidRPr="00FD7AE2">
        <w:rPr>
          <w:rFonts w:eastAsia="Arial"/>
        </w:rPr>
        <w:t>rtam</w:t>
      </w:r>
      <w:r w:rsidRPr="00FD7AE2">
        <w:rPr>
          <w:rFonts w:eastAsia="Arial"/>
          <w:spacing w:val="1"/>
        </w:rPr>
        <w:t>en</w:t>
      </w:r>
      <w:r w:rsidRPr="00FD7AE2">
        <w:rPr>
          <w:rFonts w:eastAsia="Arial"/>
          <w:spacing w:val="-2"/>
        </w:rPr>
        <w:t>t</w:t>
      </w:r>
      <w:r w:rsidRPr="00FD7AE2">
        <w:rPr>
          <w:rFonts w:eastAsia="Arial"/>
        </w:rPr>
        <w:t xml:space="preserve">o y </w:t>
      </w:r>
      <w:r w:rsidRPr="00FD7AE2">
        <w:rPr>
          <w:rFonts w:eastAsia="Arial"/>
          <w:spacing w:val="1"/>
        </w:rPr>
        <w:t>e</w:t>
      </w:r>
      <w:r w:rsidRPr="00FD7AE2">
        <w:rPr>
          <w:rFonts w:eastAsia="Arial"/>
        </w:rPr>
        <w:t>l</w:t>
      </w:r>
      <w:r>
        <w:rPr>
          <w:rFonts w:eastAsia="Arial"/>
        </w:rPr>
        <w:t xml:space="preserve"> </w:t>
      </w:r>
      <w:r w:rsidRPr="00575AA9">
        <w:rPr>
          <w:rFonts w:eastAsia="Arial"/>
          <w:spacing w:val="1"/>
          <w:position w:val="-1"/>
        </w:rPr>
        <w:t>9</w:t>
      </w:r>
      <w:r w:rsidRPr="00575AA9">
        <w:rPr>
          <w:rFonts w:eastAsia="Arial"/>
          <w:position w:val="-1"/>
        </w:rPr>
        <w:t>,</w:t>
      </w:r>
      <w:r w:rsidRPr="00575AA9">
        <w:rPr>
          <w:rFonts w:eastAsia="Arial"/>
          <w:spacing w:val="1"/>
          <w:position w:val="-1"/>
        </w:rPr>
        <w:t>39</w:t>
      </w:r>
      <w:r w:rsidRPr="00575AA9">
        <w:rPr>
          <w:rFonts w:eastAsia="Arial"/>
          <w:position w:val="-1"/>
        </w:rPr>
        <w:t>%</w:t>
      </w:r>
      <w:r w:rsidRPr="00FD7AE2">
        <w:rPr>
          <w:rFonts w:eastAsia="Arial"/>
          <w:b/>
          <w:position w:val="-1"/>
        </w:rPr>
        <w:t xml:space="preserve"> </w:t>
      </w:r>
      <w:r w:rsidRPr="00FD7AE2">
        <w:rPr>
          <w:rFonts w:eastAsia="Arial"/>
          <w:spacing w:val="1"/>
          <w:position w:val="-1"/>
        </w:rPr>
        <w:t>d</w:t>
      </w:r>
      <w:r w:rsidRPr="00FD7AE2">
        <w:rPr>
          <w:rFonts w:eastAsia="Arial"/>
          <w:position w:val="-1"/>
        </w:rPr>
        <w:t>e l</w:t>
      </w:r>
      <w:r w:rsidRPr="00FD7AE2">
        <w:rPr>
          <w:rFonts w:eastAsia="Arial"/>
          <w:spacing w:val="1"/>
          <w:position w:val="-1"/>
        </w:rPr>
        <w:t>a</w:t>
      </w:r>
      <w:r w:rsidRPr="00FD7AE2">
        <w:rPr>
          <w:rFonts w:eastAsia="Arial"/>
          <w:position w:val="-1"/>
        </w:rPr>
        <w:t xml:space="preserve">s </w:t>
      </w:r>
      <w:r w:rsidRPr="00FD7AE2">
        <w:rPr>
          <w:rFonts w:eastAsia="Arial"/>
          <w:spacing w:val="-1"/>
          <w:position w:val="-1"/>
        </w:rPr>
        <w:t>e</w:t>
      </w:r>
      <w:r w:rsidRPr="00FD7AE2">
        <w:rPr>
          <w:rFonts w:eastAsia="Arial"/>
          <w:spacing w:val="1"/>
          <w:position w:val="-1"/>
        </w:rPr>
        <w:t>mp</w:t>
      </w:r>
      <w:r w:rsidRPr="00FD7AE2">
        <w:rPr>
          <w:rFonts w:eastAsia="Arial"/>
          <w:spacing w:val="-3"/>
          <w:position w:val="-1"/>
        </w:rPr>
        <w:t>r</w:t>
      </w:r>
      <w:r w:rsidRPr="00FD7AE2">
        <w:rPr>
          <w:rFonts w:eastAsia="Arial"/>
          <w:spacing w:val="1"/>
          <w:position w:val="-1"/>
        </w:rPr>
        <w:t>e</w:t>
      </w:r>
      <w:r w:rsidRPr="00FD7AE2">
        <w:rPr>
          <w:rFonts w:eastAsia="Arial"/>
          <w:position w:val="-1"/>
        </w:rPr>
        <w:t>s</w:t>
      </w:r>
      <w:r w:rsidRPr="00FD7AE2">
        <w:rPr>
          <w:rFonts w:eastAsia="Arial"/>
          <w:spacing w:val="-1"/>
          <w:position w:val="-1"/>
        </w:rPr>
        <w:t>a</w:t>
      </w:r>
      <w:r w:rsidRPr="00FD7AE2">
        <w:rPr>
          <w:rFonts w:eastAsia="Arial"/>
          <w:position w:val="-1"/>
        </w:rPr>
        <w:t xml:space="preserve">s </w:t>
      </w:r>
      <w:r w:rsidRPr="00FD7AE2">
        <w:rPr>
          <w:rFonts w:eastAsia="Arial"/>
          <w:spacing w:val="1"/>
          <w:position w:val="-1"/>
        </w:rPr>
        <w:t>nue</w:t>
      </w:r>
      <w:r w:rsidRPr="00FD7AE2">
        <w:rPr>
          <w:rFonts w:eastAsia="Arial"/>
          <w:spacing w:val="-2"/>
          <w:position w:val="-1"/>
        </w:rPr>
        <w:t>v</w:t>
      </w:r>
      <w:r w:rsidRPr="00FD7AE2">
        <w:rPr>
          <w:rFonts w:eastAsia="Arial"/>
          <w:spacing w:val="1"/>
          <w:position w:val="-1"/>
        </w:rPr>
        <w:t>a</w:t>
      </w:r>
      <w:r w:rsidRPr="00FD7AE2">
        <w:rPr>
          <w:rFonts w:eastAsia="Arial"/>
          <w:position w:val="-1"/>
        </w:rPr>
        <w:t xml:space="preserve">s </w:t>
      </w:r>
      <w:r w:rsidRPr="00FD7AE2">
        <w:rPr>
          <w:rFonts w:eastAsia="Arial"/>
          <w:spacing w:val="-1"/>
          <w:position w:val="-1"/>
        </w:rPr>
        <w:t>q</w:t>
      </w:r>
      <w:r w:rsidRPr="00FD7AE2">
        <w:rPr>
          <w:rFonts w:eastAsia="Arial"/>
          <w:spacing w:val="1"/>
          <w:position w:val="-1"/>
        </w:rPr>
        <w:t>u</w:t>
      </w:r>
      <w:r w:rsidRPr="00FD7AE2">
        <w:rPr>
          <w:rFonts w:eastAsia="Arial"/>
          <w:position w:val="-1"/>
        </w:rPr>
        <w:t xml:space="preserve">e </w:t>
      </w:r>
      <w:r w:rsidRPr="00FD7AE2">
        <w:rPr>
          <w:rFonts w:eastAsia="Arial"/>
          <w:spacing w:val="-2"/>
          <w:position w:val="-1"/>
        </w:rPr>
        <w:t>s</w:t>
      </w:r>
      <w:r w:rsidRPr="00FD7AE2">
        <w:rPr>
          <w:rFonts w:eastAsia="Arial"/>
          <w:position w:val="-1"/>
        </w:rPr>
        <w:t xml:space="preserve">e </w:t>
      </w:r>
      <w:r w:rsidRPr="00FD7AE2">
        <w:rPr>
          <w:rFonts w:eastAsia="Arial"/>
          <w:spacing w:val="-1"/>
          <w:position w:val="-1"/>
        </w:rPr>
        <w:t>h</w:t>
      </w:r>
      <w:r w:rsidRPr="00FD7AE2">
        <w:rPr>
          <w:rFonts w:eastAsia="Arial"/>
          <w:spacing w:val="1"/>
          <w:position w:val="-1"/>
        </w:rPr>
        <w:t>a</w:t>
      </w:r>
      <w:r w:rsidRPr="00FD7AE2">
        <w:rPr>
          <w:rFonts w:eastAsia="Arial"/>
          <w:position w:val="-1"/>
        </w:rPr>
        <w:t xml:space="preserve">n </w:t>
      </w:r>
      <w:r w:rsidRPr="00FD7AE2">
        <w:rPr>
          <w:rFonts w:eastAsia="Arial"/>
          <w:spacing w:val="-3"/>
          <w:position w:val="-1"/>
        </w:rPr>
        <w:t>r</w:t>
      </w:r>
      <w:r w:rsidRPr="00FD7AE2">
        <w:rPr>
          <w:rFonts w:eastAsia="Arial"/>
          <w:spacing w:val="1"/>
          <w:position w:val="-1"/>
        </w:rPr>
        <w:t>e</w:t>
      </w:r>
      <w:r w:rsidRPr="00FD7AE2">
        <w:rPr>
          <w:rFonts w:eastAsia="Arial"/>
          <w:spacing w:val="-1"/>
          <w:position w:val="-1"/>
        </w:rPr>
        <w:t>g</w:t>
      </w:r>
      <w:r w:rsidRPr="00FD7AE2">
        <w:rPr>
          <w:rFonts w:eastAsia="Arial"/>
          <w:position w:val="-1"/>
        </w:rPr>
        <w:t>istra</w:t>
      </w:r>
      <w:r w:rsidRPr="00FD7AE2">
        <w:rPr>
          <w:rFonts w:eastAsia="Arial"/>
          <w:spacing w:val="1"/>
          <w:position w:val="-1"/>
        </w:rPr>
        <w:t>d</w:t>
      </w:r>
      <w:r w:rsidRPr="00FD7AE2">
        <w:rPr>
          <w:rFonts w:eastAsia="Arial"/>
          <w:position w:val="-1"/>
        </w:rPr>
        <w:t xml:space="preserve">o </w:t>
      </w:r>
      <w:r w:rsidRPr="00FD7AE2">
        <w:rPr>
          <w:rFonts w:eastAsia="Arial"/>
          <w:spacing w:val="-1"/>
          <w:position w:val="-1"/>
        </w:rPr>
        <w:t>a</w:t>
      </w:r>
      <w:r w:rsidRPr="00FD7AE2">
        <w:rPr>
          <w:rFonts w:eastAsia="Arial"/>
          <w:spacing w:val="1"/>
          <w:position w:val="-1"/>
        </w:rPr>
        <w:t>n</w:t>
      </w:r>
      <w:r w:rsidRPr="00FD7AE2">
        <w:rPr>
          <w:rFonts w:eastAsia="Arial"/>
          <w:position w:val="-1"/>
        </w:rPr>
        <w:t xml:space="preserve">te </w:t>
      </w:r>
      <w:r w:rsidRPr="00FD7AE2">
        <w:rPr>
          <w:rFonts w:eastAsia="Arial"/>
          <w:spacing w:val="-2"/>
          <w:position w:val="-1"/>
        </w:rPr>
        <w:t>C</w:t>
      </w:r>
      <w:r w:rsidRPr="00FD7AE2">
        <w:rPr>
          <w:rFonts w:eastAsia="Arial"/>
          <w:spacing w:val="1"/>
          <w:position w:val="-1"/>
        </w:rPr>
        <w:t>á</w:t>
      </w:r>
      <w:r w:rsidRPr="00FD7AE2">
        <w:rPr>
          <w:rFonts w:eastAsia="Arial"/>
          <w:spacing w:val="-1"/>
          <w:position w:val="-1"/>
        </w:rPr>
        <w:t>m</w:t>
      </w:r>
      <w:r w:rsidRPr="00FD7AE2">
        <w:rPr>
          <w:rFonts w:eastAsia="Arial"/>
          <w:spacing w:val="1"/>
          <w:position w:val="-1"/>
        </w:rPr>
        <w:t>a</w:t>
      </w:r>
      <w:r w:rsidRPr="00FD7AE2">
        <w:rPr>
          <w:rFonts w:eastAsia="Arial"/>
          <w:position w:val="-1"/>
        </w:rPr>
        <w:t xml:space="preserve">ra </w:t>
      </w:r>
      <w:r w:rsidRPr="00FD7AE2">
        <w:rPr>
          <w:rFonts w:eastAsia="Arial"/>
          <w:spacing w:val="1"/>
          <w:position w:val="-1"/>
        </w:rPr>
        <w:t>d</w:t>
      </w:r>
      <w:r w:rsidRPr="00FD7AE2">
        <w:rPr>
          <w:rFonts w:eastAsia="Arial"/>
          <w:position w:val="-1"/>
        </w:rPr>
        <w:t>e C</w:t>
      </w:r>
      <w:r w:rsidRPr="00FD7AE2">
        <w:rPr>
          <w:rFonts w:eastAsia="Arial"/>
          <w:spacing w:val="-2"/>
          <w:position w:val="-1"/>
        </w:rPr>
        <w:t>o</w:t>
      </w:r>
      <w:r w:rsidRPr="00FD7AE2">
        <w:rPr>
          <w:rFonts w:eastAsia="Arial"/>
          <w:spacing w:val="1"/>
          <w:position w:val="-1"/>
        </w:rPr>
        <w:t>me</w:t>
      </w:r>
      <w:r w:rsidRPr="00FD7AE2">
        <w:rPr>
          <w:rFonts w:eastAsia="Arial"/>
          <w:position w:val="-1"/>
        </w:rPr>
        <w:t>rc</w:t>
      </w:r>
      <w:r w:rsidRPr="00FD7AE2">
        <w:rPr>
          <w:rFonts w:eastAsia="Arial"/>
          <w:spacing w:val="-1"/>
          <w:position w:val="-1"/>
        </w:rPr>
        <w:t>i</w:t>
      </w:r>
      <w:r w:rsidRPr="00FD7AE2">
        <w:rPr>
          <w:rFonts w:eastAsia="Arial"/>
          <w:spacing w:val="1"/>
          <w:position w:val="-1"/>
        </w:rPr>
        <w:t>o</w:t>
      </w:r>
      <w:r w:rsidRPr="00FD7AE2">
        <w:rPr>
          <w:rFonts w:eastAsia="Arial"/>
          <w:position w:val="-1"/>
        </w:rPr>
        <w:t>.</w:t>
      </w:r>
      <w:r>
        <w:rPr>
          <w:rFonts w:eastAsia="Arial"/>
          <w:position w:val="-1"/>
        </w:rPr>
        <w:t xml:space="preserve"> </w:t>
      </w:r>
      <w:r w:rsidRPr="007A310A">
        <w:rPr>
          <w:rFonts w:eastAsia="Arial"/>
        </w:rPr>
        <w:t>P</w:t>
      </w:r>
      <w:r w:rsidRPr="007A310A">
        <w:rPr>
          <w:rFonts w:eastAsia="Arial"/>
          <w:spacing w:val="1"/>
        </w:rPr>
        <w:t>o</w:t>
      </w:r>
      <w:r w:rsidRPr="007A310A">
        <w:rPr>
          <w:rFonts w:eastAsia="Arial"/>
        </w:rPr>
        <w:t xml:space="preserve">r su </w:t>
      </w:r>
      <w:r w:rsidRPr="007A310A">
        <w:rPr>
          <w:rFonts w:eastAsia="Arial"/>
          <w:spacing w:val="-1"/>
        </w:rPr>
        <w:t>p</w:t>
      </w:r>
      <w:r w:rsidRPr="007A310A">
        <w:rPr>
          <w:rFonts w:eastAsia="Arial"/>
          <w:spacing w:val="1"/>
        </w:rPr>
        <w:t>a</w:t>
      </w:r>
      <w:r w:rsidRPr="007A310A">
        <w:rPr>
          <w:rFonts w:eastAsia="Arial"/>
        </w:rPr>
        <w:t>rte</w:t>
      </w:r>
      <w:r>
        <w:rPr>
          <w:rFonts w:eastAsia="Arial"/>
        </w:rPr>
        <w:t>,</w:t>
      </w:r>
      <w:r w:rsidRPr="007A310A">
        <w:rPr>
          <w:rFonts w:eastAsia="Arial"/>
        </w:rPr>
        <w:t xml:space="preserve"> C</w:t>
      </w:r>
      <w:r w:rsidRPr="007A310A">
        <w:rPr>
          <w:rFonts w:eastAsia="Arial"/>
          <w:spacing w:val="-1"/>
        </w:rPr>
        <w:t>i</w:t>
      </w:r>
      <w:r w:rsidRPr="007A310A">
        <w:rPr>
          <w:rFonts w:eastAsia="Arial"/>
        </w:rPr>
        <w:t>rcasia re</w:t>
      </w:r>
      <w:r w:rsidRPr="007A310A">
        <w:rPr>
          <w:rFonts w:eastAsia="Arial"/>
          <w:spacing w:val="1"/>
        </w:rPr>
        <w:t>p</w:t>
      </w:r>
      <w:r w:rsidRPr="007A310A">
        <w:rPr>
          <w:rFonts w:eastAsia="Arial"/>
        </w:rPr>
        <w:t>res</w:t>
      </w:r>
      <w:r w:rsidRPr="007A310A">
        <w:rPr>
          <w:rFonts w:eastAsia="Arial"/>
          <w:spacing w:val="1"/>
        </w:rPr>
        <w:t>e</w:t>
      </w:r>
      <w:r w:rsidRPr="007A310A">
        <w:rPr>
          <w:rFonts w:eastAsia="Arial"/>
          <w:spacing w:val="-1"/>
        </w:rPr>
        <w:t>n</w:t>
      </w:r>
      <w:r w:rsidRPr="007A310A">
        <w:rPr>
          <w:rFonts w:eastAsia="Arial"/>
        </w:rPr>
        <w:t xml:space="preserve">ta </w:t>
      </w:r>
      <w:r w:rsidRPr="007A310A">
        <w:rPr>
          <w:rFonts w:eastAsia="Arial"/>
          <w:spacing w:val="1"/>
        </w:rPr>
        <w:t>e</w:t>
      </w:r>
      <w:r w:rsidRPr="007A310A">
        <w:rPr>
          <w:rFonts w:eastAsia="Arial"/>
        </w:rPr>
        <w:t xml:space="preserve">l </w:t>
      </w:r>
      <w:r w:rsidRPr="00575AA9">
        <w:rPr>
          <w:rFonts w:eastAsia="Arial"/>
          <w:spacing w:val="1"/>
        </w:rPr>
        <w:t>3</w:t>
      </w:r>
      <w:r w:rsidRPr="00575AA9">
        <w:rPr>
          <w:rFonts w:eastAsia="Arial"/>
          <w:spacing w:val="-2"/>
        </w:rPr>
        <w:t>,</w:t>
      </w:r>
      <w:r w:rsidRPr="00575AA9">
        <w:rPr>
          <w:rFonts w:eastAsia="Arial"/>
          <w:spacing w:val="1"/>
        </w:rPr>
        <w:t>25</w:t>
      </w:r>
      <w:r w:rsidRPr="00575AA9">
        <w:rPr>
          <w:rFonts w:eastAsia="Arial"/>
        </w:rPr>
        <w:t>%</w:t>
      </w:r>
      <w:r w:rsidRPr="007A310A">
        <w:rPr>
          <w:rFonts w:eastAsia="Arial"/>
          <w:b/>
        </w:rPr>
        <w:t xml:space="preserve"> </w:t>
      </w:r>
      <w:r w:rsidRPr="007A310A">
        <w:rPr>
          <w:rFonts w:eastAsia="Arial"/>
          <w:spacing w:val="1"/>
        </w:rPr>
        <w:t>d</w:t>
      </w:r>
      <w:r w:rsidRPr="007A310A">
        <w:rPr>
          <w:rFonts w:eastAsia="Arial"/>
        </w:rPr>
        <w:t>e las</w:t>
      </w:r>
      <w:r>
        <w:rPr>
          <w:rFonts w:eastAsia="Arial"/>
        </w:rPr>
        <w:t xml:space="preserve"> </w:t>
      </w:r>
      <w:r w:rsidRPr="007A310A">
        <w:rPr>
          <w:rFonts w:eastAsia="Arial"/>
          <w:spacing w:val="1"/>
        </w:rPr>
        <w:t>e</w:t>
      </w:r>
      <w:r w:rsidRPr="007A310A">
        <w:rPr>
          <w:rFonts w:eastAsia="Arial"/>
          <w:spacing w:val="-1"/>
        </w:rPr>
        <w:t>m</w:t>
      </w:r>
      <w:r w:rsidRPr="007A310A">
        <w:rPr>
          <w:rFonts w:eastAsia="Arial"/>
          <w:spacing w:val="1"/>
        </w:rPr>
        <w:t>p</w:t>
      </w:r>
      <w:r w:rsidRPr="007A310A">
        <w:rPr>
          <w:rFonts w:eastAsia="Arial"/>
        </w:rPr>
        <w:t>res</w:t>
      </w:r>
      <w:r w:rsidRPr="007A310A">
        <w:rPr>
          <w:rFonts w:eastAsia="Arial"/>
          <w:spacing w:val="1"/>
        </w:rPr>
        <w:t>a</w:t>
      </w:r>
      <w:r w:rsidRPr="007A310A">
        <w:rPr>
          <w:rFonts w:eastAsia="Arial"/>
        </w:rPr>
        <w:t xml:space="preserve">s </w:t>
      </w:r>
      <w:r w:rsidRPr="007A310A">
        <w:rPr>
          <w:rFonts w:eastAsia="Arial"/>
          <w:spacing w:val="-1"/>
        </w:rPr>
        <w:t>q</w:t>
      </w:r>
      <w:r w:rsidRPr="007A310A">
        <w:rPr>
          <w:rFonts w:eastAsia="Arial"/>
          <w:spacing w:val="1"/>
        </w:rPr>
        <w:t>u</w:t>
      </w:r>
      <w:r w:rsidRPr="007A310A">
        <w:rPr>
          <w:rFonts w:eastAsia="Arial"/>
        </w:rPr>
        <w:t xml:space="preserve">e se </w:t>
      </w:r>
      <w:r w:rsidRPr="007A310A">
        <w:rPr>
          <w:rFonts w:eastAsia="Arial"/>
          <w:spacing w:val="1"/>
        </w:rPr>
        <w:t>en</w:t>
      </w:r>
      <w:r w:rsidRPr="007A310A">
        <w:rPr>
          <w:rFonts w:eastAsia="Arial"/>
          <w:spacing w:val="-2"/>
        </w:rPr>
        <w:t>c</w:t>
      </w:r>
      <w:r w:rsidRPr="007A310A">
        <w:rPr>
          <w:rFonts w:eastAsia="Arial"/>
          <w:spacing w:val="1"/>
        </w:rPr>
        <w:t>ue</w:t>
      </w:r>
      <w:r w:rsidRPr="007A310A">
        <w:rPr>
          <w:rFonts w:eastAsia="Arial"/>
          <w:spacing w:val="-1"/>
        </w:rPr>
        <w:t>n</w:t>
      </w:r>
      <w:r w:rsidRPr="007A310A">
        <w:rPr>
          <w:rFonts w:eastAsia="Arial"/>
        </w:rPr>
        <w:t>tr</w:t>
      </w:r>
      <w:r w:rsidRPr="007A310A">
        <w:rPr>
          <w:rFonts w:eastAsia="Arial"/>
          <w:spacing w:val="-2"/>
        </w:rPr>
        <w:t>a</w:t>
      </w:r>
      <w:r w:rsidRPr="007A310A">
        <w:rPr>
          <w:rFonts w:eastAsia="Arial"/>
        </w:rPr>
        <w:t xml:space="preserve">n </w:t>
      </w:r>
      <w:r>
        <w:rPr>
          <w:rFonts w:eastAsia="Arial"/>
        </w:rPr>
        <w:t>m</w:t>
      </w:r>
      <w:r w:rsidRPr="007A310A">
        <w:rPr>
          <w:rFonts w:eastAsia="Arial"/>
          <w:spacing w:val="1"/>
        </w:rPr>
        <w:t>a</w:t>
      </w:r>
      <w:r w:rsidRPr="007A310A">
        <w:rPr>
          <w:rFonts w:eastAsia="Arial"/>
        </w:rPr>
        <w:t>tricula</w:t>
      </w:r>
      <w:r w:rsidRPr="007A310A">
        <w:rPr>
          <w:rFonts w:eastAsia="Arial"/>
          <w:spacing w:val="1"/>
        </w:rPr>
        <w:t>da</w:t>
      </w:r>
      <w:r>
        <w:rPr>
          <w:rFonts w:eastAsia="Arial"/>
        </w:rPr>
        <w:t>s y r</w:t>
      </w:r>
      <w:r w:rsidRPr="007A310A">
        <w:rPr>
          <w:rFonts w:eastAsia="Arial"/>
        </w:rPr>
        <w:t>e</w:t>
      </w:r>
      <w:r w:rsidRPr="007A310A">
        <w:rPr>
          <w:rFonts w:eastAsia="Arial"/>
          <w:spacing w:val="1"/>
        </w:rPr>
        <w:t>no</w:t>
      </w:r>
      <w:r w:rsidRPr="007A310A">
        <w:rPr>
          <w:rFonts w:eastAsia="Arial"/>
          <w:spacing w:val="-2"/>
        </w:rPr>
        <w:t>v</w:t>
      </w:r>
      <w:r w:rsidRPr="007A310A">
        <w:rPr>
          <w:rFonts w:eastAsia="Arial"/>
          <w:spacing w:val="1"/>
        </w:rPr>
        <w:t>ada</w:t>
      </w:r>
      <w:r w:rsidRPr="007A310A">
        <w:rPr>
          <w:rFonts w:eastAsia="Arial"/>
        </w:rPr>
        <w:t xml:space="preserve">s </w:t>
      </w:r>
      <w:r w:rsidRPr="007A310A">
        <w:rPr>
          <w:rFonts w:eastAsia="Arial"/>
          <w:spacing w:val="1"/>
        </w:rPr>
        <w:t>e</w:t>
      </w:r>
      <w:r w:rsidRPr="007A310A">
        <w:rPr>
          <w:rFonts w:eastAsia="Arial"/>
        </w:rPr>
        <w:t xml:space="preserve">n </w:t>
      </w:r>
      <w:r w:rsidRPr="007A310A">
        <w:rPr>
          <w:rFonts w:eastAsia="Arial"/>
          <w:spacing w:val="-2"/>
        </w:rPr>
        <w:t>t</w:t>
      </w:r>
      <w:r w:rsidRPr="007A310A">
        <w:rPr>
          <w:rFonts w:eastAsia="Arial"/>
          <w:spacing w:val="1"/>
        </w:rPr>
        <w:t>od</w:t>
      </w:r>
      <w:r w:rsidRPr="007A310A">
        <w:rPr>
          <w:rFonts w:eastAsia="Arial"/>
        </w:rPr>
        <w:t xml:space="preserve">o </w:t>
      </w:r>
      <w:r w:rsidRPr="007A310A">
        <w:rPr>
          <w:rFonts w:eastAsia="Arial"/>
          <w:spacing w:val="1"/>
        </w:rPr>
        <w:t>e</w:t>
      </w:r>
      <w:r w:rsidRPr="007A310A">
        <w:rPr>
          <w:rFonts w:eastAsia="Arial"/>
        </w:rPr>
        <w:t xml:space="preserve">l </w:t>
      </w:r>
      <w:r w:rsidRPr="007A310A">
        <w:rPr>
          <w:rFonts w:eastAsia="Arial"/>
          <w:spacing w:val="1"/>
        </w:rPr>
        <w:t>d</w:t>
      </w:r>
      <w:r w:rsidRPr="007A310A">
        <w:rPr>
          <w:rFonts w:eastAsia="Arial"/>
          <w:spacing w:val="-1"/>
        </w:rPr>
        <w:t>e</w:t>
      </w:r>
      <w:r w:rsidRPr="007A310A">
        <w:rPr>
          <w:rFonts w:eastAsia="Arial"/>
          <w:spacing w:val="1"/>
        </w:rPr>
        <w:t>p</w:t>
      </w:r>
      <w:r w:rsidRPr="007A310A">
        <w:rPr>
          <w:rFonts w:eastAsia="Arial"/>
          <w:spacing w:val="-1"/>
        </w:rPr>
        <w:t>a</w:t>
      </w:r>
      <w:r w:rsidRPr="007A310A">
        <w:rPr>
          <w:rFonts w:eastAsia="Arial"/>
        </w:rPr>
        <w:t>rta</w:t>
      </w:r>
      <w:r w:rsidRPr="007A310A">
        <w:rPr>
          <w:rFonts w:eastAsia="Arial"/>
          <w:spacing w:val="2"/>
        </w:rPr>
        <w:t>m</w:t>
      </w:r>
      <w:r w:rsidRPr="007A310A">
        <w:rPr>
          <w:rFonts w:eastAsia="Arial"/>
          <w:spacing w:val="-1"/>
        </w:rPr>
        <w:t>e</w:t>
      </w:r>
      <w:r w:rsidRPr="007A310A">
        <w:rPr>
          <w:rFonts w:eastAsia="Arial"/>
          <w:spacing w:val="1"/>
        </w:rPr>
        <w:t>n</w:t>
      </w:r>
      <w:r w:rsidRPr="007A310A">
        <w:rPr>
          <w:rFonts w:eastAsia="Arial"/>
        </w:rPr>
        <w:t>t</w:t>
      </w:r>
      <w:r w:rsidRPr="007A310A">
        <w:rPr>
          <w:rFonts w:eastAsia="Arial"/>
          <w:spacing w:val="-1"/>
        </w:rPr>
        <w:t>o</w:t>
      </w:r>
      <w:r w:rsidRPr="007A310A">
        <w:rPr>
          <w:rFonts w:eastAsia="Arial"/>
        </w:rPr>
        <w:t xml:space="preserve">, </w:t>
      </w:r>
      <w:r w:rsidRPr="007A310A">
        <w:rPr>
          <w:rFonts w:eastAsia="Arial"/>
          <w:spacing w:val="1"/>
        </w:rPr>
        <w:t>e</w:t>
      </w:r>
      <w:r w:rsidRPr="007A310A">
        <w:rPr>
          <w:rFonts w:eastAsia="Arial"/>
        </w:rPr>
        <w:t xml:space="preserve">l </w:t>
      </w:r>
      <w:r w:rsidRPr="00575AA9">
        <w:rPr>
          <w:rFonts w:eastAsia="Arial"/>
          <w:spacing w:val="1"/>
        </w:rPr>
        <w:t>3</w:t>
      </w:r>
      <w:r w:rsidRPr="00575AA9">
        <w:rPr>
          <w:rFonts w:eastAsia="Arial"/>
          <w:spacing w:val="-2"/>
        </w:rPr>
        <w:t>,</w:t>
      </w:r>
      <w:r w:rsidRPr="00575AA9">
        <w:rPr>
          <w:rFonts w:eastAsia="Arial"/>
          <w:spacing w:val="1"/>
        </w:rPr>
        <w:t>17</w:t>
      </w:r>
      <w:r w:rsidRPr="00575AA9">
        <w:rPr>
          <w:rFonts w:eastAsia="Arial"/>
        </w:rPr>
        <w:t>%</w:t>
      </w:r>
      <w:r w:rsidRPr="007A310A">
        <w:rPr>
          <w:rFonts w:eastAsia="Arial"/>
          <w:b/>
        </w:rPr>
        <w:t xml:space="preserve"> </w:t>
      </w:r>
      <w:r w:rsidRPr="007A310A">
        <w:rPr>
          <w:rFonts w:eastAsia="Arial"/>
          <w:spacing w:val="-1"/>
        </w:rPr>
        <w:t>d</w:t>
      </w:r>
      <w:r w:rsidRPr="007A310A">
        <w:rPr>
          <w:rFonts w:eastAsia="Arial"/>
        </w:rPr>
        <w:t xml:space="preserve">e las </w:t>
      </w:r>
      <w:r w:rsidRPr="007A310A">
        <w:rPr>
          <w:rFonts w:eastAsia="Arial"/>
          <w:spacing w:val="-1"/>
        </w:rPr>
        <w:t>q</w:t>
      </w:r>
      <w:r w:rsidRPr="007A310A">
        <w:rPr>
          <w:rFonts w:eastAsia="Arial"/>
          <w:spacing w:val="1"/>
        </w:rPr>
        <w:t>u</w:t>
      </w:r>
      <w:r w:rsidRPr="007A310A">
        <w:rPr>
          <w:rFonts w:eastAsia="Arial"/>
        </w:rPr>
        <w:t>e</w:t>
      </w:r>
      <w:r>
        <w:rPr>
          <w:rFonts w:eastAsia="Arial"/>
        </w:rPr>
        <w:t xml:space="preserve"> </w:t>
      </w:r>
      <w:r w:rsidRPr="007A310A">
        <w:rPr>
          <w:rFonts w:eastAsia="Arial"/>
          <w:spacing w:val="-1"/>
        </w:rPr>
        <w:t>ha</w:t>
      </w:r>
      <w:r w:rsidRPr="007A310A">
        <w:rPr>
          <w:rFonts w:eastAsia="Arial"/>
        </w:rPr>
        <w:t>n re</w:t>
      </w:r>
      <w:r w:rsidRPr="007A310A">
        <w:rPr>
          <w:rFonts w:eastAsia="Arial"/>
          <w:spacing w:val="1"/>
        </w:rPr>
        <w:t>no</w:t>
      </w:r>
      <w:r w:rsidRPr="007A310A">
        <w:rPr>
          <w:rFonts w:eastAsia="Arial"/>
          <w:spacing w:val="-2"/>
        </w:rPr>
        <w:t>v</w:t>
      </w:r>
      <w:r w:rsidRPr="007A310A">
        <w:rPr>
          <w:rFonts w:eastAsia="Arial"/>
          <w:spacing w:val="1"/>
        </w:rPr>
        <w:t>ad</w:t>
      </w:r>
      <w:r w:rsidRPr="007A310A">
        <w:rPr>
          <w:rFonts w:eastAsia="Arial"/>
        </w:rPr>
        <w:t>o s</w:t>
      </w:r>
      <w:r w:rsidRPr="007A310A">
        <w:rPr>
          <w:rFonts w:eastAsia="Arial"/>
          <w:spacing w:val="1"/>
        </w:rPr>
        <w:t>u</w:t>
      </w:r>
      <w:r w:rsidRPr="007A310A">
        <w:rPr>
          <w:rFonts w:eastAsia="Arial"/>
        </w:rPr>
        <w:t xml:space="preserve">s </w:t>
      </w:r>
      <w:r w:rsidRPr="007A310A">
        <w:rPr>
          <w:rFonts w:eastAsia="Arial"/>
          <w:spacing w:val="1"/>
        </w:rPr>
        <w:t>a</w:t>
      </w:r>
      <w:r w:rsidRPr="007A310A">
        <w:rPr>
          <w:rFonts w:eastAsia="Arial"/>
        </w:rPr>
        <w:t>cti</w:t>
      </w:r>
      <w:r w:rsidRPr="007A310A">
        <w:rPr>
          <w:rFonts w:eastAsia="Arial"/>
          <w:spacing w:val="-2"/>
        </w:rPr>
        <w:t>v</w:t>
      </w:r>
      <w:r w:rsidRPr="007A310A">
        <w:rPr>
          <w:rFonts w:eastAsia="Arial"/>
        </w:rPr>
        <w:t>id</w:t>
      </w:r>
      <w:r w:rsidRPr="007A310A">
        <w:rPr>
          <w:rFonts w:eastAsia="Arial"/>
          <w:spacing w:val="-1"/>
        </w:rPr>
        <w:t>a</w:t>
      </w:r>
      <w:r w:rsidRPr="007A310A">
        <w:rPr>
          <w:rFonts w:eastAsia="Arial"/>
          <w:spacing w:val="1"/>
        </w:rPr>
        <w:t>de</w:t>
      </w:r>
      <w:r w:rsidRPr="007A310A">
        <w:rPr>
          <w:rFonts w:eastAsia="Arial"/>
        </w:rPr>
        <w:t>s c</w:t>
      </w:r>
      <w:r w:rsidRPr="007A310A">
        <w:rPr>
          <w:rFonts w:eastAsia="Arial"/>
          <w:spacing w:val="-1"/>
        </w:rPr>
        <w:t>o</w:t>
      </w:r>
      <w:r w:rsidRPr="007A310A">
        <w:rPr>
          <w:rFonts w:eastAsia="Arial"/>
          <w:spacing w:val="1"/>
        </w:rPr>
        <w:t>me</w:t>
      </w:r>
      <w:r w:rsidRPr="007A310A">
        <w:rPr>
          <w:rFonts w:eastAsia="Arial"/>
        </w:rPr>
        <w:t>rc</w:t>
      </w:r>
      <w:r w:rsidRPr="007A310A">
        <w:rPr>
          <w:rFonts w:eastAsia="Arial"/>
          <w:spacing w:val="-1"/>
        </w:rPr>
        <w:t>i</w:t>
      </w:r>
      <w:r w:rsidRPr="007A310A">
        <w:rPr>
          <w:rFonts w:eastAsia="Arial"/>
          <w:spacing w:val="1"/>
        </w:rPr>
        <w:t>a</w:t>
      </w:r>
      <w:r w:rsidRPr="007A310A">
        <w:rPr>
          <w:rFonts w:eastAsia="Arial"/>
        </w:rPr>
        <w:t xml:space="preserve">les y </w:t>
      </w:r>
      <w:r w:rsidRPr="007A310A">
        <w:rPr>
          <w:rFonts w:eastAsia="Arial"/>
          <w:spacing w:val="1"/>
        </w:rPr>
        <w:t>e</w:t>
      </w:r>
      <w:r w:rsidRPr="007A310A">
        <w:rPr>
          <w:rFonts w:eastAsia="Arial"/>
        </w:rPr>
        <w:t xml:space="preserve">l </w:t>
      </w:r>
      <w:r w:rsidRPr="00575AA9">
        <w:rPr>
          <w:rFonts w:eastAsia="Arial"/>
          <w:spacing w:val="1"/>
        </w:rPr>
        <w:t>3</w:t>
      </w:r>
      <w:r w:rsidRPr="00575AA9">
        <w:rPr>
          <w:rFonts w:eastAsia="Arial"/>
        </w:rPr>
        <w:t>,</w:t>
      </w:r>
      <w:r w:rsidRPr="00575AA9">
        <w:rPr>
          <w:rFonts w:eastAsia="Arial"/>
          <w:spacing w:val="1"/>
        </w:rPr>
        <w:t>49</w:t>
      </w:r>
      <w:r w:rsidRPr="00575AA9">
        <w:rPr>
          <w:rFonts w:eastAsia="Arial"/>
        </w:rPr>
        <w:t>%</w:t>
      </w:r>
      <w:r w:rsidRPr="007A310A">
        <w:rPr>
          <w:rFonts w:eastAsia="Arial"/>
          <w:b/>
        </w:rPr>
        <w:t xml:space="preserve"> </w:t>
      </w:r>
      <w:r w:rsidRPr="007A310A">
        <w:rPr>
          <w:rFonts w:eastAsia="Arial"/>
          <w:spacing w:val="1"/>
        </w:rPr>
        <w:t>d</w:t>
      </w:r>
      <w:r w:rsidRPr="007A310A">
        <w:rPr>
          <w:rFonts w:eastAsia="Arial"/>
        </w:rPr>
        <w:t xml:space="preserve">e las </w:t>
      </w:r>
      <w:r w:rsidRPr="007A310A">
        <w:rPr>
          <w:rFonts w:eastAsia="Arial"/>
          <w:spacing w:val="1"/>
        </w:rPr>
        <w:t>n</w:t>
      </w:r>
      <w:r w:rsidRPr="007A310A">
        <w:rPr>
          <w:rFonts w:eastAsia="Arial"/>
          <w:spacing w:val="-1"/>
        </w:rPr>
        <w:t>u</w:t>
      </w:r>
      <w:r w:rsidRPr="007A310A">
        <w:rPr>
          <w:rFonts w:eastAsia="Arial"/>
          <w:spacing w:val="1"/>
        </w:rPr>
        <w:t>e</w:t>
      </w:r>
      <w:r w:rsidRPr="007A310A">
        <w:rPr>
          <w:rFonts w:eastAsia="Arial"/>
          <w:spacing w:val="-2"/>
        </w:rPr>
        <w:t>v</w:t>
      </w:r>
      <w:r w:rsidRPr="007A310A">
        <w:rPr>
          <w:rFonts w:eastAsia="Arial"/>
          <w:spacing w:val="1"/>
        </w:rPr>
        <w:t>a</w:t>
      </w:r>
      <w:r w:rsidRPr="007A310A">
        <w:rPr>
          <w:rFonts w:eastAsia="Arial"/>
        </w:rPr>
        <w:t xml:space="preserve">s </w:t>
      </w:r>
      <w:r w:rsidRPr="007A310A">
        <w:rPr>
          <w:rFonts w:eastAsia="Arial"/>
          <w:spacing w:val="1"/>
        </w:rPr>
        <w:t>emp</w:t>
      </w:r>
      <w:r w:rsidRPr="007A310A">
        <w:rPr>
          <w:rFonts w:eastAsia="Arial"/>
        </w:rPr>
        <w:t>re</w:t>
      </w:r>
      <w:r w:rsidRPr="007A310A">
        <w:rPr>
          <w:rFonts w:eastAsia="Arial"/>
          <w:spacing w:val="-2"/>
        </w:rPr>
        <w:t>s</w:t>
      </w:r>
      <w:r w:rsidRPr="007A310A">
        <w:rPr>
          <w:rFonts w:eastAsia="Arial"/>
          <w:spacing w:val="1"/>
        </w:rPr>
        <w:t>a</w:t>
      </w:r>
      <w:r w:rsidRPr="007A310A">
        <w:rPr>
          <w:rFonts w:eastAsia="Arial"/>
        </w:rPr>
        <w:t xml:space="preserve">s </w:t>
      </w:r>
      <w:r w:rsidRPr="007A310A">
        <w:rPr>
          <w:rFonts w:eastAsia="Arial"/>
          <w:spacing w:val="1"/>
        </w:rPr>
        <w:t>d</w:t>
      </w:r>
      <w:r w:rsidRPr="007A310A">
        <w:rPr>
          <w:rFonts w:eastAsia="Arial"/>
        </w:rPr>
        <w:t>e t</w:t>
      </w:r>
      <w:r w:rsidRPr="007A310A">
        <w:rPr>
          <w:rFonts w:eastAsia="Arial"/>
          <w:spacing w:val="-1"/>
        </w:rPr>
        <w:t>od</w:t>
      </w:r>
      <w:r w:rsidRPr="007A310A">
        <w:rPr>
          <w:rFonts w:eastAsia="Arial"/>
        </w:rPr>
        <w:t xml:space="preserve">o  </w:t>
      </w:r>
      <w:r w:rsidRPr="007A310A">
        <w:rPr>
          <w:rFonts w:eastAsia="Arial"/>
          <w:spacing w:val="1"/>
        </w:rPr>
        <w:t>e</w:t>
      </w:r>
      <w:r w:rsidRPr="007A310A">
        <w:rPr>
          <w:rFonts w:eastAsia="Arial"/>
        </w:rPr>
        <w:t>l Q</w:t>
      </w:r>
      <w:r w:rsidRPr="007A310A">
        <w:rPr>
          <w:rFonts w:eastAsia="Arial"/>
          <w:spacing w:val="1"/>
        </w:rPr>
        <w:t>u</w:t>
      </w:r>
      <w:r w:rsidRPr="007A310A">
        <w:rPr>
          <w:rFonts w:eastAsia="Arial"/>
        </w:rPr>
        <w:t>i</w:t>
      </w:r>
      <w:r w:rsidRPr="007A310A">
        <w:rPr>
          <w:rFonts w:eastAsia="Arial"/>
          <w:spacing w:val="-2"/>
        </w:rPr>
        <w:t>n</w:t>
      </w:r>
      <w:r w:rsidRPr="007A310A">
        <w:rPr>
          <w:rFonts w:eastAsia="Arial"/>
          <w:spacing w:val="1"/>
        </w:rPr>
        <w:t>d</w:t>
      </w:r>
      <w:r w:rsidRPr="007A310A">
        <w:rPr>
          <w:rFonts w:eastAsia="Arial"/>
          <w:spacing w:val="-2"/>
        </w:rPr>
        <w:t>í</w:t>
      </w:r>
      <w:r w:rsidRPr="007A310A">
        <w:rPr>
          <w:rFonts w:eastAsia="Arial"/>
          <w:spacing w:val="1"/>
        </w:rPr>
        <w:t>o</w:t>
      </w:r>
      <w:r w:rsidRPr="007A310A">
        <w:rPr>
          <w:rFonts w:eastAsia="Arial"/>
        </w:rPr>
        <w:t>.</w:t>
      </w:r>
      <w:r>
        <w:rPr>
          <w:rFonts w:eastAsia="Arial"/>
        </w:rPr>
        <w:t xml:space="preserve"> </w:t>
      </w:r>
      <w:r w:rsidRPr="008B7B89">
        <w:rPr>
          <w:rFonts w:eastAsia="Arial"/>
          <w:spacing w:val="1"/>
        </w:rPr>
        <w:t>E</w:t>
      </w:r>
      <w:r w:rsidRPr="008B7B89">
        <w:rPr>
          <w:rFonts w:eastAsia="Arial"/>
        </w:rPr>
        <w:t xml:space="preserve">l </w:t>
      </w:r>
      <w:r w:rsidRPr="00575AA9">
        <w:rPr>
          <w:rFonts w:eastAsia="Arial"/>
          <w:spacing w:val="1"/>
        </w:rPr>
        <w:t>0</w:t>
      </w:r>
      <w:r w:rsidRPr="00575AA9">
        <w:rPr>
          <w:rFonts w:eastAsia="Arial"/>
        </w:rPr>
        <w:t>,</w:t>
      </w:r>
      <w:r w:rsidR="00D24457">
        <w:rPr>
          <w:rFonts w:eastAsia="Arial"/>
          <w:spacing w:val="1"/>
        </w:rPr>
        <w:t>49</w:t>
      </w:r>
      <w:r w:rsidRPr="00575AA9">
        <w:rPr>
          <w:rFonts w:eastAsia="Arial"/>
        </w:rPr>
        <w:t>%</w:t>
      </w:r>
      <w:r w:rsidRPr="008B7B89">
        <w:rPr>
          <w:rFonts w:eastAsia="Arial"/>
          <w:b/>
        </w:rPr>
        <w:t xml:space="preserve"> </w:t>
      </w:r>
      <w:r w:rsidRPr="008B7B89">
        <w:rPr>
          <w:rFonts w:eastAsia="Arial"/>
          <w:spacing w:val="1"/>
        </w:rPr>
        <w:t>d</w:t>
      </w:r>
      <w:r w:rsidRPr="008B7B89">
        <w:rPr>
          <w:rFonts w:eastAsia="Arial"/>
        </w:rPr>
        <w:t xml:space="preserve">e </w:t>
      </w:r>
      <w:r>
        <w:rPr>
          <w:rFonts w:eastAsia="Arial"/>
        </w:rPr>
        <w:t>l</w:t>
      </w:r>
      <w:r w:rsidRPr="008B7B89">
        <w:rPr>
          <w:rFonts w:eastAsia="Arial"/>
        </w:rPr>
        <w:t xml:space="preserve">as </w:t>
      </w:r>
      <w:r w:rsidRPr="008B7B89">
        <w:rPr>
          <w:rFonts w:eastAsia="Arial"/>
          <w:spacing w:val="1"/>
        </w:rPr>
        <w:t>ma</w:t>
      </w:r>
      <w:r w:rsidRPr="008B7B89">
        <w:rPr>
          <w:rFonts w:eastAsia="Arial"/>
        </w:rPr>
        <w:t>tri</w:t>
      </w:r>
      <w:r w:rsidRPr="008B7B89">
        <w:rPr>
          <w:rFonts w:eastAsia="Arial"/>
          <w:spacing w:val="-3"/>
        </w:rPr>
        <w:t>c</w:t>
      </w:r>
      <w:r w:rsidRPr="008B7B89">
        <w:rPr>
          <w:rFonts w:eastAsia="Arial"/>
          <w:spacing w:val="1"/>
        </w:rPr>
        <w:t>u</w:t>
      </w:r>
      <w:r w:rsidRPr="008B7B89">
        <w:rPr>
          <w:rFonts w:eastAsia="Arial"/>
        </w:rPr>
        <w:t>la</w:t>
      </w:r>
      <w:r w:rsidRPr="008B7B89">
        <w:rPr>
          <w:rFonts w:eastAsia="Arial"/>
          <w:spacing w:val="1"/>
        </w:rPr>
        <w:t>da</w:t>
      </w:r>
      <w:r w:rsidRPr="008B7B89">
        <w:rPr>
          <w:rFonts w:eastAsia="Arial"/>
        </w:rPr>
        <w:t>s, c</w:t>
      </w:r>
      <w:r w:rsidRPr="008B7B89">
        <w:rPr>
          <w:rFonts w:eastAsia="Arial"/>
          <w:spacing w:val="1"/>
        </w:rPr>
        <w:t>o</w:t>
      </w:r>
      <w:r w:rsidRPr="008B7B89">
        <w:rPr>
          <w:rFonts w:eastAsia="Arial"/>
        </w:rPr>
        <w:t>r</w:t>
      </w:r>
      <w:r w:rsidRPr="008B7B89">
        <w:rPr>
          <w:rFonts w:eastAsia="Arial"/>
          <w:spacing w:val="-1"/>
        </w:rPr>
        <w:t>r</w:t>
      </w:r>
      <w:r w:rsidRPr="008B7B89">
        <w:rPr>
          <w:rFonts w:eastAsia="Arial"/>
          <w:spacing w:val="1"/>
        </w:rPr>
        <w:t>e</w:t>
      </w:r>
      <w:r w:rsidRPr="008B7B89">
        <w:rPr>
          <w:rFonts w:eastAsia="Arial"/>
        </w:rPr>
        <w:t>s</w:t>
      </w:r>
      <w:r w:rsidRPr="008B7B89">
        <w:rPr>
          <w:rFonts w:eastAsia="Arial"/>
          <w:spacing w:val="1"/>
        </w:rPr>
        <w:t>p</w:t>
      </w:r>
      <w:r w:rsidRPr="008B7B89">
        <w:rPr>
          <w:rFonts w:eastAsia="Arial"/>
          <w:spacing w:val="-1"/>
        </w:rPr>
        <w:t>o</w:t>
      </w:r>
      <w:r w:rsidRPr="008B7B89">
        <w:rPr>
          <w:rFonts w:eastAsia="Arial"/>
          <w:spacing w:val="1"/>
        </w:rPr>
        <w:t>nd</w:t>
      </w:r>
      <w:r w:rsidRPr="008B7B89">
        <w:rPr>
          <w:rFonts w:eastAsia="Arial"/>
          <w:spacing w:val="-1"/>
        </w:rPr>
        <w:t>e</w:t>
      </w:r>
      <w:r w:rsidRPr="008B7B89">
        <w:rPr>
          <w:rFonts w:eastAsia="Arial"/>
        </w:rPr>
        <w:t xml:space="preserve">n </w:t>
      </w:r>
      <w:r w:rsidRPr="008B7B89">
        <w:rPr>
          <w:rFonts w:eastAsia="Arial"/>
          <w:spacing w:val="1"/>
        </w:rPr>
        <w:t>a</w:t>
      </w:r>
      <w:r w:rsidRPr="008B7B89">
        <w:rPr>
          <w:rFonts w:eastAsia="Arial"/>
        </w:rPr>
        <w:t xml:space="preserve">l </w:t>
      </w:r>
      <w:r w:rsidRPr="008B7B89">
        <w:rPr>
          <w:rFonts w:eastAsia="Arial"/>
          <w:spacing w:val="1"/>
        </w:rPr>
        <w:t>m</w:t>
      </w:r>
      <w:r w:rsidRPr="008B7B89">
        <w:rPr>
          <w:rFonts w:eastAsia="Arial"/>
          <w:spacing w:val="-1"/>
        </w:rPr>
        <w:t>u</w:t>
      </w:r>
      <w:r w:rsidRPr="008B7B89">
        <w:rPr>
          <w:rFonts w:eastAsia="Arial"/>
          <w:spacing w:val="1"/>
        </w:rPr>
        <w:t>n</w:t>
      </w:r>
      <w:r w:rsidRPr="008B7B89">
        <w:rPr>
          <w:rFonts w:eastAsia="Arial"/>
        </w:rPr>
        <w:t>ic</w:t>
      </w:r>
      <w:r w:rsidRPr="008B7B89">
        <w:rPr>
          <w:rFonts w:eastAsia="Arial"/>
          <w:spacing w:val="-1"/>
        </w:rPr>
        <w:t>i</w:t>
      </w:r>
      <w:r w:rsidRPr="008B7B89">
        <w:rPr>
          <w:rFonts w:eastAsia="Arial"/>
          <w:spacing w:val="1"/>
        </w:rPr>
        <w:t>p</w:t>
      </w:r>
      <w:r w:rsidRPr="008B7B89">
        <w:rPr>
          <w:rFonts w:eastAsia="Arial"/>
        </w:rPr>
        <w:t xml:space="preserve">io </w:t>
      </w:r>
      <w:r w:rsidRPr="008B7B89">
        <w:rPr>
          <w:rFonts w:eastAsia="Arial"/>
          <w:spacing w:val="1"/>
        </w:rPr>
        <w:t>d</w:t>
      </w:r>
      <w:r w:rsidRPr="008B7B89">
        <w:rPr>
          <w:rFonts w:eastAsia="Arial"/>
        </w:rPr>
        <w:t xml:space="preserve">e </w:t>
      </w:r>
      <w:r>
        <w:rPr>
          <w:rFonts w:eastAsia="Arial"/>
          <w:spacing w:val="-2"/>
        </w:rPr>
        <w:t>C</w:t>
      </w:r>
      <w:r w:rsidRPr="008B7B89">
        <w:rPr>
          <w:rFonts w:eastAsia="Arial"/>
          <w:spacing w:val="1"/>
        </w:rPr>
        <w:t>ó</w:t>
      </w:r>
      <w:r w:rsidRPr="008B7B89">
        <w:rPr>
          <w:rFonts w:eastAsia="Arial"/>
        </w:rPr>
        <w:t>rd</w:t>
      </w:r>
      <w:r w:rsidRPr="008B7B89">
        <w:rPr>
          <w:rFonts w:eastAsia="Arial"/>
          <w:spacing w:val="1"/>
        </w:rPr>
        <w:t>o</w:t>
      </w:r>
      <w:r w:rsidRPr="008B7B89">
        <w:rPr>
          <w:rFonts w:eastAsia="Arial"/>
          <w:spacing w:val="-1"/>
        </w:rPr>
        <w:t>b</w:t>
      </w:r>
      <w:r w:rsidRPr="008B7B89">
        <w:rPr>
          <w:rFonts w:eastAsia="Arial"/>
          <w:spacing w:val="1"/>
        </w:rPr>
        <w:t>a</w:t>
      </w:r>
      <w:r w:rsidR="00303CF2">
        <w:rPr>
          <w:rFonts w:eastAsia="Arial"/>
        </w:rPr>
        <w:t xml:space="preserve">. </w:t>
      </w:r>
      <w:r w:rsidRPr="008B7B89">
        <w:rPr>
          <w:rFonts w:eastAsia="Arial"/>
        </w:rPr>
        <w:t xml:space="preserve">Así </w:t>
      </w:r>
      <w:r w:rsidRPr="008B7B89">
        <w:rPr>
          <w:rFonts w:eastAsia="Arial"/>
          <w:spacing w:val="1"/>
        </w:rPr>
        <w:t>m</w:t>
      </w:r>
      <w:r w:rsidRPr="008B7B89">
        <w:rPr>
          <w:rFonts w:eastAsia="Arial"/>
        </w:rPr>
        <w:t>i</w:t>
      </w:r>
      <w:r w:rsidRPr="008B7B89">
        <w:rPr>
          <w:rFonts w:eastAsia="Arial"/>
          <w:spacing w:val="-3"/>
        </w:rPr>
        <w:t>s</w:t>
      </w:r>
      <w:r w:rsidRPr="008B7B89">
        <w:rPr>
          <w:rFonts w:eastAsia="Arial"/>
          <w:spacing w:val="1"/>
        </w:rPr>
        <w:t>m</w:t>
      </w:r>
      <w:r w:rsidRPr="008B7B89">
        <w:rPr>
          <w:rFonts w:eastAsia="Arial"/>
        </w:rPr>
        <w:t>o</w:t>
      </w:r>
      <w:r>
        <w:rPr>
          <w:rFonts w:eastAsia="Arial"/>
        </w:rPr>
        <w:t>,</w:t>
      </w:r>
      <w:r w:rsidRPr="008B7B89">
        <w:rPr>
          <w:rFonts w:eastAsia="Arial"/>
        </w:rPr>
        <w:t xml:space="preserve"> </w:t>
      </w:r>
      <w:r w:rsidRPr="008B7B89">
        <w:rPr>
          <w:rFonts w:eastAsia="Arial"/>
          <w:spacing w:val="-1"/>
        </w:rPr>
        <w:t xml:space="preserve">el </w:t>
      </w:r>
      <w:r w:rsidRPr="00575AA9">
        <w:rPr>
          <w:rFonts w:eastAsia="Arial"/>
          <w:spacing w:val="1"/>
          <w:position w:val="-1"/>
        </w:rPr>
        <w:t>0</w:t>
      </w:r>
      <w:r w:rsidRPr="00575AA9">
        <w:rPr>
          <w:rFonts w:eastAsia="Arial"/>
          <w:position w:val="-1"/>
        </w:rPr>
        <w:t>,</w:t>
      </w:r>
      <w:r w:rsidRPr="00575AA9">
        <w:rPr>
          <w:rFonts w:eastAsia="Arial"/>
          <w:spacing w:val="1"/>
          <w:position w:val="-1"/>
        </w:rPr>
        <w:t>38</w:t>
      </w:r>
      <w:r w:rsidRPr="00575AA9">
        <w:rPr>
          <w:rFonts w:eastAsia="Arial"/>
          <w:position w:val="-1"/>
        </w:rPr>
        <w:t>%</w:t>
      </w:r>
      <w:r w:rsidRPr="008B7B89">
        <w:rPr>
          <w:rFonts w:eastAsia="Arial"/>
          <w:b/>
          <w:position w:val="-1"/>
        </w:rPr>
        <w:t xml:space="preserve"> </w:t>
      </w:r>
      <w:r w:rsidRPr="008B7B89">
        <w:rPr>
          <w:rFonts w:eastAsia="Arial"/>
          <w:spacing w:val="1"/>
          <w:position w:val="-1"/>
        </w:rPr>
        <w:t>d</w:t>
      </w:r>
      <w:r w:rsidRPr="008B7B89">
        <w:rPr>
          <w:rFonts w:eastAsia="Arial"/>
          <w:position w:val="-1"/>
        </w:rPr>
        <w:t>e l</w:t>
      </w:r>
      <w:r w:rsidRPr="008B7B89">
        <w:rPr>
          <w:rFonts w:eastAsia="Arial"/>
          <w:spacing w:val="1"/>
          <w:position w:val="-1"/>
        </w:rPr>
        <w:t>a</w:t>
      </w:r>
      <w:r w:rsidRPr="008B7B89">
        <w:rPr>
          <w:rFonts w:eastAsia="Arial"/>
          <w:position w:val="-1"/>
        </w:rPr>
        <w:t xml:space="preserve">s </w:t>
      </w:r>
      <w:r w:rsidRPr="008B7B89">
        <w:rPr>
          <w:rFonts w:eastAsia="Arial"/>
          <w:spacing w:val="-1"/>
          <w:position w:val="-1"/>
        </w:rPr>
        <w:t>e</w:t>
      </w:r>
      <w:r w:rsidRPr="008B7B89">
        <w:rPr>
          <w:rFonts w:eastAsia="Arial"/>
          <w:spacing w:val="1"/>
          <w:position w:val="-1"/>
        </w:rPr>
        <w:t>mp</w:t>
      </w:r>
      <w:r w:rsidRPr="008B7B89">
        <w:rPr>
          <w:rFonts w:eastAsia="Arial"/>
          <w:spacing w:val="-3"/>
          <w:position w:val="-1"/>
        </w:rPr>
        <w:t>r</w:t>
      </w:r>
      <w:r w:rsidRPr="008B7B89">
        <w:rPr>
          <w:rFonts w:eastAsia="Arial"/>
          <w:spacing w:val="1"/>
          <w:position w:val="-1"/>
        </w:rPr>
        <w:t>e</w:t>
      </w:r>
      <w:r w:rsidRPr="008B7B89">
        <w:rPr>
          <w:rFonts w:eastAsia="Arial"/>
          <w:position w:val="-1"/>
        </w:rPr>
        <w:t>s</w:t>
      </w:r>
      <w:r w:rsidRPr="008B7B89">
        <w:rPr>
          <w:rFonts w:eastAsia="Arial"/>
          <w:spacing w:val="-1"/>
          <w:position w:val="-1"/>
        </w:rPr>
        <w:t>a</w:t>
      </w:r>
      <w:r w:rsidRPr="008B7B89">
        <w:rPr>
          <w:rFonts w:eastAsia="Arial"/>
          <w:position w:val="-1"/>
        </w:rPr>
        <w:t xml:space="preserve">s  </w:t>
      </w:r>
      <w:r w:rsidRPr="008B7B89">
        <w:rPr>
          <w:rFonts w:eastAsia="Arial"/>
          <w:spacing w:val="-1"/>
          <w:position w:val="-1"/>
        </w:rPr>
        <w:t>q</w:t>
      </w:r>
      <w:r w:rsidRPr="008B7B89">
        <w:rPr>
          <w:rFonts w:eastAsia="Arial"/>
          <w:spacing w:val="1"/>
          <w:position w:val="-1"/>
        </w:rPr>
        <w:t>u</w:t>
      </w:r>
      <w:r w:rsidRPr="008B7B89">
        <w:rPr>
          <w:rFonts w:eastAsia="Arial"/>
          <w:position w:val="-1"/>
        </w:rPr>
        <w:t>e re</w:t>
      </w:r>
      <w:r w:rsidRPr="008B7B89">
        <w:rPr>
          <w:rFonts w:eastAsia="Arial"/>
          <w:spacing w:val="1"/>
          <w:position w:val="-1"/>
        </w:rPr>
        <w:t>no</w:t>
      </w:r>
      <w:r w:rsidRPr="008B7B89">
        <w:rPr>
          <w:rFonts w:eastAsia="Arial"/>
          <w:spacing w:val="-2"/>
          <w:position w:val="-1"/>
        </w:rPr>
        <w:t>v</w:t>
      </w:r>
      <w:r w:rsidRPr="008B7B89">
        <w:rPr>
          <w:rFonts w:eastAsia="Arial"/>
          <w:spacing w:val="1"/>
          <w:position w:val="-1"/>
        </w:rPr>
        <w:t>a</w:t>
      </w:r>
      <w:r w:rsidRPr="008B7B89">
        <w:rPr>
          <w:rFonts w:eastAsia="Arial"/>
          <w:position w:val="-1"/>
        </w:rPr>
        <w:t xml:space="preserve">ron </w:t>
      </w:r>
      <w:r w:rsidRPr="008B7B89">
        <w:rPr>
          <w:rFonts w:eastAsia="Arial"/>
          <w:spacing w:val="-2"/>
          <w:position w:val="-1"/>
        </w:rPr>
        <w:t>s</w:t>
      </w:r>
      <w:r w:rsidRPr="008B7B89">
        <w:rPr>
          <w:rFonts w:eastAsia="Arial"/>
          <w:spacing w:val="1"/>
          <w:position w:val="-1"/>
        </w:rPr>
        <w:t>u</w:t>
      </w:r>
      <w:r w:rsidRPr="008B7B89">
        <w:rPr>
          <w:rFonts w:eastAsia="Arial"/>
          <w:position w:val="-1"/>
        </w:rPr>
        <w:t>s r</w:t>
      </w:r>
      <w:r w:rsidRPr="008B7B89">
        <w:rPr>
          <w:rFonts w:eastAsia="Arial"/>
          <w:spacing w:val="-2"/>
          <w:position w:val="-1"/>
        </w:rPr>
        <w:t>e</w:t>
      </w:r>
      <w:r w:rsidRPr="008B7B89">
        <w:rPr>
          <w:rFonts w:eastAsia="Arial"/>
          <w:spacing w:val="-1"/>
          <w:position w:val="-1"/>
        </w:rPr>
        <w:t>g</w:t>
      </w:r>
      <w:r w:rsidRPr="008B7B89">
        <w:rPr>
          <w:rFonts w:eastAsia="Arial"/>
          <w:position w:val="-1"/>
        </w:rPr>
        <w:t>istros</w:t>
      </w:r>
      <w:r w:rsidRPr="008B7B89">
        <w:rPr>
          <w:rFonts w:eastAsia="Arial"/>
          <w:spacing w:val="1"/>
          <w:position w:val="-1"/>
        </w:rPr>
        <w:t xml:space="preserve"> p</w:t>
      </w:r>
      <w:r w:rsidRPr="008B7B89">
        <w:rPr>
          <w:rFonts w:eastAsia="Arial"/>
          <w:position w:val="-1"/>
        </w:rPr>
        <w:t>ro</w:t>
      </w:r>
      <w:r w:rsidRPr="008B7B89">
        <w:rPr>
          <w:rFonts w:eastAsia="Arial"/>
          <w:spacing w:val="-2"/>
          <w:position w:val="-1"/>
        </w:rPr>
        <w:t>v</w:t>
      </w:r>
      <w:r w:rsidRPr="008B7B89">
        <w:rPr>
          <w:rFonts w:eastAsia="Arial"/>
          <w:position w:val="-1"/>
        </w:rPr>
        <w:t>ie</w:t>
      </w:r>
      <w:r w:rsidRPr="008B7B89">
        <w:rPr>
          <w:rFonts w:eastAsia="Arial"/>
          <w:spacing w:val="1"/>
          <w:position w:val="-1"/>
        </w:rPr>
        <w:t>ne</w:t>
      </w:r>
      <w:r w:rsidRPr="008B7B89">
        <w:rPr>
          <w:rFonts w:eastAsia="Arial"/>
          <w:position w:val="-1"/>
        </w:rPr>
        <w:t>n</w:t>
      </w:r>
      <w:r w:rsidRPr="008B7B89">
        <w:rPr>
          <w:rFonts w:eastAsia="Arial"/>
          <w:spacing w:val="1"/>
          <w:position w:val="-1"/>
        </w:rPr>
        <w:t xml:space="preserve"> d</w:t>
      </w:r>
      <w:r w:rsidRPr="008B7B89">
        <w:rPr>
          <w:rFonts w:eastAsia="Arial"/>
          <w:position w:val="-1"/>
        </w:rPr>
        <w:t>e</w:t>
      </w:r>
      <w:r w:rsidRPr="008B7B89">
        <w:rPr>
          <w:rFonts w:eastAsia="Arial"/>
          <w:spacing w:val="-1"/>
          <w:position w:val="-1"/>
        </w:rPr>
        <w:t xml:space="preserve"> é</w:t>
      </w:r>
      <w:r w:rsidRPr="008B7B89">
        <w:rPr>
          <w:rFonts w:eastAsia="Arial"/>
          <w:position w:val="-1"/>
        </w:rPr>
        <w:t>ste mu</w:t>
      </w:r>
      <w:r w:rsidRPr="008B7B89">
        <w:rPr>
          <w:rFonts w:eastAsia="Arial"/>
          <w:spacing w:val="1"/>
          <w:position w:val="-1"/>
        </w:rPr>
        <w:t>n</w:t>
      </w:r>
      <w:r w:rsidRPr="008B7B89">
        <w:rPr>
          <w:rFonts w:eastAsia="Arial"/>
          <w:position w:val="-1"/>
        </w:rPr>
        <w:t>ic</w:t>
      </w:r>
      <w:r w:rsidRPr="008B7B89">
        <w:rPr>
          <w:rFonts w:eastAsia="Arial"/>
          <w:spacing w:val="-1"/>
          <w:position w:val="-1"/>
        </w:rPr>
        <w:t>i</w:t>
      </w:r>
      <w:r w:rsidRPr="008B7B89">
        <w:rPr>
          <w:rFonts w:eastAsia="Arial"/>
          <w:spacing w:val="1"/>
          <w:position w:val="-1"/>
        </w:rPr>
        <w:t>p</w:t>
      </w:r>
      <w:r w:rsidRPr="008B7B89">
        <w:rPr>
          <w:rFonts w:eastAsia="Arial"/>
          <w:position w:val="-1"/>
        </w:rPr>
        <w:t>i</w:t>
      </w:r>
      <w:r w:rsidRPr="008B7B89">
        <w:rPr>
          <w:rFonts w:eastAsia="Arial"/>
          <w:spacing w:val="5"/>
          <w:position w:val="-1"/>
        </w:rPr>
        <w:t>o</w:t>
      </w:r>
      <w:r w:rsidRPr="008B7B89">
        <w:rPr>
          <w:rFonts w:eastAsia="Arial"/>
          <w:position w:val="-1"/>
        </w:rPr>
        <w:t>.</w:t>
      </w:r>
    </w:p>
    <w:p w:rsidR="00406FF7" w:rsidRPr="006F5CCA" w:rsidRDefault="00406FF7" w:rsidP="00406FF7">
      <w:pPr>
        <w:spacing w:line="360" w:lineRule="auto"/>
      </w:pPr>
    </w:p>
    <w:p w:rsidR="00406FF7" w:rsidRDefault="00406FF7" w:rsidP="003B3716">
      <w:pPr>
        <w:spacing w:line="360" w:lineRule="auto"/>
        <w:ind w:firstLine="284"/>
        <w:jc w:val="both"/>
        <w:rPr>
          <w:rFonts w:eastAsia="Arial"/>
        </w:rPr>
      </w:pPr>
      <w:r w:rsidRPr="00EC6E9A">
        <w:rPr>
          <w:rFonts w:eastAsia="Arial"/>
          <w:spacing w:val="1"/>
        </w:rPr>
        <w:t>La</w:t>
      </w:r>
      <w:r w:rsidRPr="00EC6E9A">
        <w:rPr>
          <w:rFonts w:eastAsia="Arial"/>
        </w:rPr>
        <w:t>s</w:t>
      </w:r>
      <w:r>
        <w:rPr>
          <w:rFonts w:eastAsia="Arial"/>
        </w:rPr>
        <w:t xml:space="preserve"> </w:t>
      </w:r>
      <w:r w:rsidRPr="00EC6E9A">
        <w:rPr>
          <w:rFonts w:eastAsia="Arial"/>
        </w:rPr>
        <w:t>r</w:t>
      </w:r>
      <w:r w:rsidRPr="00EC6E9A">
        <w:rPr>
          <w:rFonts w:eastAsia="Arial"/>
          <w:spacing w:val="-2"/>
        </w:rPr>
        <w:t>e</w:t>
      </w:r>
      <w:r w:rsidRPr="00EC6E9A">
        <w:rPr>
          <w:rFonts w:eastAsia="Arial"/>
          <w:spacing w:val="1"/>
        </w:rPr>
        <w:t>no</w:t>
      </w:r>
      <w:r w:rsidRPr="00EC6E9A">
        <w:rPr>
          <w:rFonts w:eastAsia="Arial"/>
          <w:spacing w:val="-2"/>
        </w:rPr>
        <w:t>v</w:t>
      </w:r>
      <w:r w:rsidRPr="00EC6E9A">
        <w:rPr>
          <w:rFonts w:eastAsia="Arial"/>
          <w:spacing w:val="1"/>
        </w:rPr>
        <w:t>a</w:t>
      </w:r>
      <w:r w:rsidRPr="00EC6E9A">
        <w:rPr>
          <w:rFonts w:eastAsia="Arial"/>
        </w:rPr>
        <w:t>cio</w:t>
      </w:r>
      <w:r w:rsidRPr="00EC6E9A">
        <w:rPr>
          <w:rFonts w:eastAsia="Arial"/>
          <w:spacing w:val="1"/>
        </w:rPr>
        <w:t>ne</w:t>
      </w:r>
      <w:r w:rsidRPr="00EC6E9A">
        <w:rPr>
          <w:rFonts w:eastAsia="Arial"/>
        </w:rPr>
        <w:t>s</w:t>
      </w:r>
      <w:r w:rsidRPr="00EC6E9A">
        <w:rPr>
          <w:rFonts w:eastAsia="Arial"/>
          <w:spacing w:val="1"/>
        </w:rPr>
        <w:t xml:space="preserve"> d</w:t>
      </w:r>
      <w:r w:rsidRPr="00EC6E9A">
        <w:rPr>
          <w:rFonts w:eastAsia="Arial"/>
        </w:rPr>
        <w:t>e Fi</w:t>
      </w:r>
      <w:r w:rsidRPr="00EC6E9A">
        <w:rPr>
          <w:rFonts w:eastAsia="Arial"/>
          <w:spacing w:val="-1"/>
        </w:rPr>
        <w:t>l</w:t>
      </w:r>
      <w:r w:rsidRPr="00EC6E9A">
        <w:rPr>
          <w:rFonts w:eastAsia="Arial"/>
          <w:spacing w:val="1"/>
        </w:rPr>
        <w:t>and</w:t>
      </w:r>
      <w:r w:rsidRPr="00EC6E9A">
        <w:rPr>
          <w:rFonts w:eastAsia="Arial"/>
        </w:rPr>
        <w:t>ia</w:t>
      </w:r>
      <w:r>
        <w:rPr>
          <w:rFonts w:eastAsia="Arial"/>
        </w:rPr>
        <w:t xml:space="preserve"> </w:t>
      </w:r>
      <w:r w:rsidRPr="00EC6E9A">
        <w:rPr>
          <w:rFonts w:eastAsia="Arial"/>
        </w:rPr>
        <w:t>r</w:t>
      </w:r>
      <w:r w:rsidRPr="00EC6E9A">
        <w:rPr>
          <w:rFonts w:eastAsia="Arial"/>
          <w:spacing w:val="2"/>
        </w:rPr>
        <w:t>e</w:t>
      </w:r>
      <w:r w:rsidRPr="00EC6E9A">
        <w:rPr>
          <w:rFonts w:eastAsia="Arial"/>
          <w:spacing w:val="1"/>
        </w:rPr>
        <w:t>p</w:t>
      </w:r>
      <w:r w:rsidRPr="00EC6E9A">
        <w:rPr>
          <w:rFonts w:eastAsia="Arial"/>
        </w:rPr>
        <w:t>res</w:t>
      </w:r>
      <w:r w:rsidRPr="00EC6E9A">
        <w:rPr>
          <w:rFonts w:eastAsia="Arial"/>
          <w:spacing w:val="1"/>
        </w:rPr>
        <w:t>e</w:t>
      </w:r>
      <w:r w:rsidRPr="00EC6E9A">
        <w:rPr>
          <w:rFonts w:eastAsia="Arial"/>
          <w:spacing w:val="-1"/>
        </w:rPr>
        <w:t>n</w:t>
      </w:r>
      <w:r w:rsidRPr="00EC6E9A">
        <w:rPr>
          <w:rFonts w:eastAsia="Arial"/>
        </w:rPr>
        <w:t>t</w:t>
      </w:r>
      <w:r w:rsidRPr="00EC6E9A">
        <w:rPr>
          <w:rFonts w:eastAsia="Arial"/>
          <w:spacing w:val="1"/>
        </w:rPr>
        <w:t>a</w:t>
      </w:r>
      <w:r w:rsidRPr="00EC6E9A">
        <w:rPr>
          <w:rFonts w:eastAsia="Arial"/>
        </w:rPr>
        <w:t>n</w:t>
      </w:r>
      <w:r>
        <w:rPr>
          <w:rFonts w:eastAsia="Arial"/>
        </w:rPr>
        <w:t xml:space="preserve"> </w:t>
      </w:r>
      <w:r w:rsidRPr="00EC6E9A">
        <w:rPr>
          <w:rFonts w:eastAsia="Arial"/>
          <w:spacing w:val="-1"/>
        </w:rPr>
        <w:t>e</w:t>
      </w:r>
      <w:r w:rsidRPr="00EC6E9A">
        <w:rPr>
          <w:rFonts w:eastAsia="Arial"/>
        </w:rPr>
        <w:t>l</w:t>
      </w:r>
      <w:r>
        <w:rPr>
          <w:rFonts w:eastAsia="Arial"/>
        </w:rPr>
        <w:t xml:space="preserve"> </w:t>
      </w:r>
      <w:r w:rsidRPr="00575AA9">
        <w:rPr>
          <w:rFonts w:eastAsia="Arial"/>
          <w:spacing w:val="1"/>
        </w:rPr>
        <w:t>1</w:t>
      </w:r>
      <w:r w:rsidRPr="00575AA9">
        <w:rPr>
          <w:rFonts w:eastAsia="Arial"/>
        </w:rPr>
        <w:t>,</w:t>
      </w:r>
      <w:r w:rsidRPr="00575AA9">
        <w:rPr>
          <w:rFonts w:eastAsia="Arial"/>
          <w:spacing w:val="-1"/>
        </w:rPr>
        <w:t>7</w:t>
      </w:r>
      <w:r w:rsidRPr="00575AA9">
        <w:rPr>
          <w:rFonts w:eastAsia="Arial"/>
          <w:spacing w:val="1"/>
        </w:rPr>
        <w:t>3</w:t>
      </w:r>
      <w:r w:rsidRPr="00575AA9">
        <w:rPr>
          <w:rFonts w:eastAsia="Arial"/>
        </w:rPr>
        <w:t>%</w:t>
      </w:r>
      <w:r>
        <w:rPr>
          <w:rFonts w:eastAsia="Arial"/>
          <w:b/>
        </w:rPr>
        <w:t xml:space="preserve"> </w:t>
      </w:r>
      <w:r w:rsidRPr="00EC6E9A">
        <w:rPr>
          <w:rFonts w:eastAsia="Arial"/>
          <w:spacing w:val="1"/>
        </w:rPr>
        <w:t>de</w:t>
      </w:r>
      <w:r w:rsidRPr="00EC6E9A">
        <w:rPr>
          <w:rFonts w:eastAsia="Arial"/>
        </w:rPr>
        <w:t>l</w:t>
      </w:r>
      <w:r>
        <w:rPr>
          <w:rFonts w:eastAsia="Arial"/>
        </w:rPr>
        <w:t xml:space="preserve"> </w:t>
      </w:r>
      <w:r w:rsidRPr="00EC6E9A">
        <w:rPr>
          <w:rFonts w:eastAsia="Arial"/>
          <w:spacing w:val="-2"/>
        </w:rPr>
        <w:t>t</w:t>
      </w:r>
      <w:r w:rsidRPr="00EC6E9A">
        <w:rPr>
          <w:rFonts w:eastAsia="Arial"/>
          <w:spacing w:val="1"/>
        </w:rPr>
        <w:t>o</w:t>
      </w:r>
      <w:r w:rsidRPr="00EC6E9A">
        <w:rPr>
          <w:rFonts w:eastAsia="Arial"/>
        </w:rPr>
        <w:t>t</w:t>
      </w:r>
      <w:r w:rsidRPr="00EC6E9A">
        <w:rPr>
          <w:rFonts w:eastAsia="Arial"/>
          <w:spacing w:val="1"/>
        </w:rPr>
        <w:t>a</w:t>
      </w:r>
      <w:r w:rsidRPr="00EC6E9A">
        <w:rPr>
          <w:rFonts w:eastAsia="Arial"/>
        </w:rPr>
        <w:t>l</w:t>
      </w:r>
      <w:r>
        <w:rPr>
          <w:rFonts w:eastAsia="Arial"/>
        </w:rPr>
        <w:t xml:space="preserve"> </w:t>
      </w:r>
      <w:r w:rsidRPr="00EC6E9A">
        <w:rPr>
          <w:rFonts w:eastAsia="Arial"/>
          <w:spacing w:val="1"/>
        </w:rPr>
        <w:t>d</w:t>
      </w:r>
      <w:r w:rsidRPr="00EC6E9A">
        <w:rPr>
          <w:rFonts w:eastAsia="Arial"/>
        </w:rPr>
        <w:t>e</w:t>
      </w:r>
      <w:r>
        <w:rPr>
          <w:rFonts w:eastAsia="Arial"/>
        </w:rPr>
        <w:t xml:space="preserve"> </w:t>
      </w:r>
      <w:r w:rsidRPr="00EC6E9A">
        <w:rPr>
          <w:rFonts w:eastAsia="Arial"/>
          <w:spacing w:val="-3"/>
        </w:rPr>
        <w:t>l</w:t>
      </w:r>
      <w:r w:rsidRPr="00EC6E9A">
        <w:rPr>
          <w:rFonts w:eastAsia="Arial"/>
          <w:spacing w:val="-1"/>
        </w:rPr>
        <w:t>a</w:t>
      </w:r>
      <w:r w:rsidRPr="00EC6E9A">
        <w:rPr>
          <w:rFonts w:eastAsia="Arial"/>
        </w:rPr>
        <w:t>s</w:t>
      </w:r>
      <w:r>
        <w:rPr>
          <w:rFonts w:eastAsia="Arial"/>
        </w:rPr>
        <w:t xml:space="preserve"> </w:t>
      </w:r>
      <w:r w:rsidRPr="00EC6E9A">
        <w:rPr>
          <w:rFonts w:eastAsia="Arial"/>
        </w:rPr>
        <w:t>re</w:t>
      </w:r>
      <w:r w:rsidRPr="00EC6E9A">
        <w:rPr>
          <w:rFonts w:eastAsia="Arial"/>
          <w:spacing w:val="1"/>
        </w:rPr>
        <w:t>no</w:t>
      </w:r>
      <w:r w:rsidRPr="00EC6E9A">
        <w:rPr>
          <w:rFonts w:eastAsia="Arial"/>
          <w:spacing w:val="-2"/>
        </w:rPr>
        <w:t>v</w:t>
      </w:r>
      <w:r w:rsidRPr="00EC6E9A">
        <w:rPr>
          <w:rFonts w:eastAsia="Arial"/>
          <w:spacing w:val="1"/>
        </w:rPr>
        <w:t>a</w:t>
      </w:r>
      <w:r w:rsidRPr="00EC6E9A">
        <w:rPr>
          <w:rFonts w:eastAsia="Arial"/>
        </w:rPr>
        <w:t>cio</w:t>
      </w:r>
      <w:r w:rsidRPr="00EC6E9A">
        <w:rPr>
          <w:rFonts w:eastAsia="Arial"/>
          <w:spacing w:val="-1"/>
        </w:rPr>
        <w:t>n</w:t>
      </w:r>
      <w:r w:rsidRPr="00EC6E9A">
        <w:rPr>
          <w:rFonts w:eastAsia="Arial"/>
          <w:spacing w:val="1"/>
        </w:rPr>
        <w:t>e</w:t>
      </w:r>
      <w:r w:rsidRPr="00EC6E9A">
        <w:rPr>
          <w:rFonts w:eastAsia="Arial"/>
        </w:rPr>
        <w:t xml:space="preserve">s </w:t>
      </w:r>
      <w:r w:rsidRPr="00EC6E9A">
        <w:rPr>
          <w:rFonts w:eastAsia="Arial"/>
          <w:spacing w:val="1"/>
        </w:rPr>
        <w:t>de</w:t>
      </w:r>
      <w:r w:rsidRPr="00EC6E9A">
        <w:rPr>
          <w:rFonts w:eastAsia="Arial"/>
        </w:rPr>
        <w:t>l</w:t>
      </w:r>
      <w:r>
        <w:rPr>
          <w:rFonts w:eastAsia="Arial"/>
        </w:rPr>
        <w:t xml:space="preserve"> </w:t>
      </w:r>
      <w:r w:rsidRPr="00EC6E9A">
        <w:rPr>
          <w:rFonts w:eastAsia="Arial"/>
          <w:spacing w:val="-2"/>
        </w:rPr>
        <w:t>Q</w:t>
      </w:r>
      <w:r w:rsidRPr="00EC6E9A">
        <w:rPr>
          <w:rFonts w:eastAsia="Arial"/>
          <w:spacing w:val="1"/>
        </w:rPr>
        <w:t>u</w:t>
      </w:r>
      <w:r w:rsidRPr="00EC6E9A">
        <w:rPr>
          <w:rFonts w:eastAsia="Arial"/>
        </w:rPr>
        <w:t>in</w:t>
      </w:r>
      <w:r w:rsidRPr="00EC6E9A">
        <w:rPr>
          <w:rFonts w:eastAsia="Arial"/>
          <w:spacing w:val="1"/>
        </w:rPr>
        <w:t>d</w:t>
      </w:r>
      <w:r w:rsidRPr="00EC6E9A">
        <w:rPr>
          <w:rFonts w:eastAsia="Arial"/>
          <w:spacing w:val="-2"/>
        </w:rPr>
        <w:t>í</w:t>
      </w:r>
      <w:r w:rsidRPr="00EC6E9A">
        <w:rPr>
          <w:rFonts w:eastAsia="Arial"/>
          <w:spacing w:val="1"/>
        </w:rPr>
        <w:t>o</w:t>
      </w:r>
      <w:r w:rsidRPr="00EC6E9A">
        <w:rPr>
          <w:rFonts w:eastAsia="Arial"/>
        </w:rPr>
        <w:t>.</w:t>
      </w:r>
      <w:r>
        <w:rPr>
          <w:rFonts w:eastAsia="Arial"/>
        </w:rPr>
        <w:t xml:space="preserve"> </w:t>
      </w:r>
      <w:r w:rsidRPr="00EC6E9A">
        <w:rPr>
          <w:rFonts w:eastAsia="Arial"/>
        </w:rPr>
        <w:t>En</w:t>
      </w:r>
      <w:r>
        <w:rPr>
          <w:rFonts w:eastAsia="Arial"/>
        </w:rPr>
        <w:t xml:space="preserve"> </w:t>
      </w:r>
      <w:r w:rsidRPr="00EC6E9A">
        <w:rPr>
          <w:rFonts w:eastAsia="Arial"/>
          <w:spacing w:val="1"/>
        </w:rPr>
        <w:t>e</w:t>
      </w:r>
      <w:r w:rsidRPr="00EC6E9A">
        <w:rPr>
          <w:rFonts w:eastAsia="Arial"/>
        </w:rPr>
        <w:t>l</w:t>
      </w:r>
      <w:r>
        <w:rPr>
          <w:rFonts w:eastAsia="Arial"/>
        </w:rPr>
        <w:t xml:space="preserve"> </w:t>
      </w:r>
      <w:r w:rsidRPr="00EC6E9A">
        <w:rPr>
          <w:rFonts w:eastAsia="Arial"/>
          <w:spacing w:val="-2"/>
        </w:rPr>
        <w:t>c</w:t>
      </w:r>
      <w:r w:rsidRPr="00EC6E9A">
        <w:rPr>
          <w:rFonts w:eastAsia="Arial"/>
          <w:spacing w:val="1"/>
        </w:rPr>
        <w:t>a</w:t>
      </w:r>
      <w:r w:rsidRPr="00EC6E9A">
        <w:rPr>
          <w:rFonts w:eastAsia="Arial"/>
          <w:spacing w:val="-2"/>
        </w:rPr>
        <w:t>s</w:t>
      </w:r>
      <w:r w:rsidRPr="00EC6E9A">
        <w:rPr>
          <w:rFonts w:eastAsia="Arial"/>
        </w:rPr>
        <w:t>o</w:t>
      </w:r>
      <w:r>
        <w:rPr>
          <w:rFonts w:eastAsia="Arial"/>
        </w:rPr>
        <w:t xml:space="preserve"> </w:t>
      </w:r>
      <w:r w:rsidRPr="00EC6E9A">
        <w:rPr>
          <w:rFonts w:eastAsia="Arial"/>
          <w:spacing w:val="-1"/>
        </w:rPr>
        <w:t>d</w:t>
      </w:r>
      <w:r w:rsidRPr="00EC6E9A">
        <w:rPr>
          <w:rFonts w:eastAsia="Arial"/>
        </w:rPr>
        <w:t>e</w:t>
      </w:r>
      <w:r>
        <w:rPr>
          <w:rFonts w:eastAsia="Arial"/>
        </w:rPr>
        <w:t xml:space="preserve"> </w:t>
      </w:r>
      <w:r w:rsidRPr="00EC6E9A">
        <w:rPr>
          <w:rFonts w:eastAsia="Arial"/>
          <w:spacing w:val="4"/>
        </w:rPr>
        <w:t>l</w:t>
      </w:r>
      <w:r w:rsidRPr="00EC6E9A">
        <w:rPr>
          <w:rFonts w:eastAsia="Arial"/>
          <w:spacing w:val="1"/>
        </w:rPr>
        <w:t>a</w:t>
      </w:r>
      <w:r w:rsidRPr="00EC6E9A">
        <w:rPr>
          <w:rFonts w:eastAsia="Arial"/>
        </w:rPr>
        <w:t>s</w:t>
      </w:r>
      <w:r>
        <w:rPr>
          <w:rFonts w:eastAsia="Arial"/>
        </w:rPr>
        <w:t xml:space="preserve"> </w:t>
      </w:r>
      <w:r w:rsidRPr="00EC6E9A">
        <w:rPr>
          <w:rFonts w:eastAsia="Arial"/>
          <w:spacing w:val="-1"/>
        </w:rPr>
        <w:t>e</w:t>
      </w:r>
      <w:r w:rsidRPr="00EC6E9A">
        <w:rPr>
          <w:rFonts w:eastAsia="Arial"/>
          <w:spacing w:val="1"/>
        </w:rPr>
        <w:t>mp</w:t>
      </w:r>
      <w:r w:rsidRPr="00EC6E9A">
        <w:rPr>
          <w:rFonts w:eastAsia="Arial"/>
        </w:rPr>
        <w:t>re</w:t>
      </w:r>
      <w:r w:rsidRPr="00EC6E9A">
        <w:rPr>
          <w:rFonts w:eastAsia="Arial"/>
          <w:spacing w:val="-2"/>
        </w:rPr>
        <w:t>s</w:t>
      </w:r>
      <w:r w:rsidRPr="00EC6E9A">
        <w:rPr>
          <w:rFonts w:eastAsia="Arial"/>
          <w:spacing w:val="1"/>
        </w:rPr>
        <w:t>a</w:t>
      </w:r>
      <w:r w:rsidRPr="00EC6E9A">
        <w:rPr>
          <w:rFonts w:eastAsia="Arial"/>
        </w:rPr>
        <w:t>s</w:t>
      </w:r>
      <w:r>
        <w:rPr>
          <w:rFonts w:eastAsia="Arial"/>
        </w:rPr>
        <w:t xml:space="preserve"> </w:t>
      </w:r>
      <w:r w:rsidRPr="00EC6E9A">
        <w:rPr>
          <w:rFonts w:eastAsia="Arial"/>
          <w:spacing w:val="-1"/>
        </w:rPr>
        <w:t>qu</w:t>
      </w:r>
      <w:r w:rsidRPr="00EC6E9A">
        <w:rPr>
          <w:rFonts w:eastAsia="Arial"/>
        </w:rPr>
        <w:t>e</w:t>
      </w:r>
      <w:r>
        <w:rPr>
          <w:rFonts w:eastAsia="Arial"/>
        </w:rPr>
        <w:t xml:space="preserve"> </w:t>
      </w:r>
      <w:r w:rsidRPr="00EC6E9A">
        <w:rPr>
          <w:rFonts w:eastAsia="Arial"/>
        </w:rPr>
        <w:t>se</w:t>
      </w:r>
      <w:r>
        <w:rPr>
          <w:rFonts w:eastAsia="Arial"/>
        </w:rPr>
        <w:t xml:space="preserve"> </w:t>
      </w:r>
      <w:r w:rsidRPr="00EC6E9A">
        <w:rPr>
          <w:rFonts w:eastAsia="Arial"/>
          <w:spacing w:val="1"/>
        </w:rPr>
        <w:t>en</w:t>
      </w:r>
      <w:r w:rsidRPr="00EC6E9A">
        <w:rPr>
          <w:rFonts w:eastAsia="Arial"/>
          <w:spacing w:val="-2"/>
        </w:rPr>
        <w:t>c</w:t>
      </w:r>
      <w:r w:rsidRPr="00EC6E9A">
        <w:rPr>
          <w:rFonts w:eastAsia="Arial"/>
          <w:spacing w:val="1"/>
        </w:rPr>
        <w:t>u</w:t>
      </w:r>
      <w:r w:rsidRPr="00EC6E9A">
        <w:rPr>
          <w:rFonts w:eastAsia="Arial"/>
          <w:spacing w:val="-1"/>
        </w:rPr>
        <w:t>e</w:t>
      </w:r>
      <w:r w:rsidRPr="00EC6E9A">
        <w:rPr>
          <w:rFonts w:eastAsia="Arial"/>
          <w:spacing w:val="1"/>
        </w:rPr>
        <w:t>n</w:t>
      </w:r>
      <w:r w:rsidRPr="00EC6E9A">
        <w:rPr>
          <w:rFonts w:eastAsia="Arial"/>
        </w:rPr>
        <w:t>tran</w:t>
      </w:r>
      <w:r>
        <w:rPr>
          <w:rFonts w:eastAsia="Arial"/>
        </w:rPr>
        <w:t xml:space="preserve"> </w:t>
      </w:r>
      <w:r w:rsidRPr="00EC6E9A">
        <w:rPr>
          <w:rFonts w:eastAsia="Arial"/>
          <w:spacing w:val="3"/>
        </w:rPr>
        <w:t>f</w:t>
      </w:r>
      <w:r w:rsidRPr="00EC6E9A">
        <w:rPr>
          <w:rFonts w:eastAsia="Arial"/>
          <w:spacing w:val="1"/>
        </w:rPr>
        <w:t>o</w:t>
      </w:r>
      <w:r w:rsidRPr="00EC6E9A">
        <w:rPr>
          <w:rFonts w:eastAsia="Arial"/>
          <w:spacing w:val="-3"/>
        </w:rPr>
        <w:t>r</w:t>
      </w:r>
      <w:r w:rsidRPr="00EC6E9A">
        <w:rPr>
          <w:rFonts w:eastAsia="Arial"/>
          <w:spacing w:val="1"/>
        </w:rPr>
        <w:t>m</w:t>
      </w:r>
      <w:r w:rsidRPr="00EC6E9A">
        <w:rPr>
          <w:rFonts w:eastAsia="Arial"/>
          <w:spacing w:val="-1"/>
        </w:rPr>
        <w:t>a</w:t>
      </w:r>
      <w:r w:rsidRPr="00EC6E9A">
        <w:rPr>
          <w:rFonts w:eastAsia="Arial"/>
        </w:rPr>
        <w:t>l</w:t>
      </w:r>
      <w:r w:rsidRPr="00EC6E9A">
        <w:rPr>
          <w:rFonts w:eastAsia="Arial"/>
          <w:spacing w:val="-1"/>
        </w:rPr>
        <w:t>i</w:t>
      </w:r>
      <w:r w:rsidRPr="00EC6E9A">
        <w:rPr>
          <w:rFonts w:eastAsia="Arial"/>
          <w:spacing w:val="-2"/>
        </w:rPr>
        <w:t>z</w:t>
      </w:r>
      <w:r w:rsidRPr="00EC6E9A">
        <w:rPr>
          <w:rFonts w:eastAsia="Arial"/>
          <w:spacing w:val="1"/>
        </w:rPr>
        <w:t>a</w:t>
      </w:r>
      <w:r w:rsidRPr="00EC6E9A">
        <w:rPr>
          <w:rFonts w:eastAsia="Arial"/>
          <w:spacing w:val="2"/>
        </w:rPr>
        <w:t>da</w:t>
      </w:r>
      <w:r w:rsidRPr="00EC6E9A">
        <w:rPr>
          <w:rFonts w:eastAsia="Arial"/>
        </w:rPr>
        <w:t>s</w:t>
      </w:r>
      <w:r>
        <w:rPr>
          <w:rFonts w:eastAsia="Arial"/>
        </w:rPr>
        <w:t xml:space="preserve"> </w:t>
      </w:r>
      <w:r w:rsidRPr="00EC6E9A">
        <w:rPr>
          <w:rFonts w:eastAsia="Arial"/>
          <w:spacing w:val="1"/>
        </w:rPr>
        <w:t>e</w:t>
      </w:r>
      <w:r w:rsidRPr="00EC6E9A">
        <w:rPr>
          <w:rFonts w:eastAsia="Arial"/>
        </w:rPr>
        <w:t>n</w:t>
      </w:r>
      <w:r w:rsidR="00303CF2">
        <w:rPr>
          <w:rFonts w:eastAsia="Arial"/>
        </w:rPr>
        <w:t xml:space="preserve"> </w:t>
      </w:r>
      <w:r w:rsidRPr="00EC6E9A">
        <w:rPr>
          <w:rFonts w:eastAsia="Arial"/>
        </w:rPr>
        <w:t>t</w:t>
      </w:r>
      <w:r w:rsidRPr="00EC6E9A">
        <w:rPr>
          <w:rFonts w:eastAsia="Arial"/>
          <w:spacing w:val="1"/>
        </w:rPr>
        <w:t>o</w:t>
      </w:r>
      <w:r w:rsidRPr="00EC6E9A">
        <w:rPr>
          <w:rFonts w:eastAsia="Arial"/>
          <w:spacing w:val="-1"/>
        </w:rPr>
        <w:t>d</w:t>
      </w:r>
      <w:r w:rsidR="00303CF2">
        <w:rPr>
          <w:rFonts w:eastAsia="Arial"/>
        </w:rPr>
        <w:t xml:space="preserve">o </w:t>
      </w:r>
      <w:r w:rsidRPr="00EC6E9A">
        <w:rPr>
          <w:rFonts w:eastAsia="Arial"/>
          <w:spacing w:val="1"/>
        </w:rPr>
        <w:t>e</w:t>
      </w:r>
      <w:r w:rsidRPr="00EC6E9A">
        <w:rPr>
          <w:rFonts w:eastAsia="Arial"/>
        </w:rPr>
        <w:t>l</w:t>
      </w:r>
      <w:r>
        <w:rPr>
          <w:rFonts w:eastAsia="Arial"/>
        </w:rPr>
        <w:t xml:space="preserve"> </w:t>
      </w:r>
      <w:r w:rsidRPr="00EC6E9A">
        <w:rPr>
          <w:rFonts w:eastAsia="Arial"/>
          <w:spacing w:val="1"/>
        </w:rPr>
        <w:t>de</w:t>
      </w:r>
      <w:r w:rsidRPr="00EC6E9A">
        <w:rPr>
          <w:rFonts w:eastAsia="Arial"/>
          <w:spacing w:val="-1"/>
        </w:rPr>
        <w:t>p</w:t>
      </w:r>
      <w:r w:rsidRPr="00EC6E9A">
        <w:rPr>
          <w:rFonts w:eastAsia="Arial"/>
          <w:spacing w:val="1"/>
        </w:rPr>
        <w:t>a</w:t>
      </w:r>
      <w:r w:rsidRPr="00EC6E9A">
        <w:rPr>
          <w:rFonts w:eastAsia="Arial"/>
        </w:rPr>
        <w:t>rt</w:t>
      </w:r>
      <w:r w:rsidRPr="00EC6E9A">
        <w:rPr>
          <w:rFonts w:eastAsia="Arial"/>
          <w:spacing w:val="-2"/>
        </w:rPr>
        <w:t>a</w:t>
      </w:r>
      <w:r w:rsidRPr="00EC6E9A">
        <w:rPr>
          <w:rFonts w:eastAsia="Arial"/>
          <w:spacing w:val="1"/>
        </w:rPr>
        <w:t>me</w:t>
      </w:r>
      <w:r w:rsidRPr="00EC6E9A">
        <w:rPr>
          <w:rFonts w:eastAsia="Arial"/>
          <w:spacing w:val="-1"/>
        </w:rPr>
        <w:t>n</w:t>
      </w:r>
      <w:r w:rsidRPr="00EC6E9A">
        <w:rPr>
          <w:rFonts w:eastAsia="Arial"/>
        </w:rPr>
        <w:t>t</w:t>
      </w:r>
      <w:r w:rsidRPr="00EC6E9A">
        <w:rPr>
          <w:rFonts w:eastAsia="Arial"/>
          <w:spacing w:val="1"/>
        </w:rPr>
        <w:t>o</w:t>
      </w:r>
      <w:r w:rsidRPr="00EC6E9A">
        <w:rPr>
          <w:rFonts w:eastAsia="Arial"/>
        </w:rPr>
        <w:t>,</w:t>
      </w:r>
      <w:r>
        <w:rPr>
          <w:rFonts w:eastAsia="Arial"/>
        </w:rPr>
        <w:t xml:space="preserve"> </w:t>
      </w:r>
      <w:r w:rsidRPr="00EC6E9A">
        <w:rPr>
          <w:rFonts w:eastAsia="Arial"/>
          <w:spacing w:val="1"/>
        </w:rPr>
        <w:t>e</w:t>
      </w:r>
      <w:r w:rsidRPr="00EC6E9A">
        <w:rPr>
          <w:rFonts w:eastAsia="Arial"/>
        </w:rPr>
        <w:t>ste</w:t>
      </w:r>
      <w:r>
        <w:rPr>
          <w:rFonts w:eastAsia="Arial"/>
        </w:rPr>
        <w:t xml:space="preserve"> </w:t>
      </w:r>
      <w:r w:rsidRPr="00EC6E9A">
        <w:rPr>
          <w:rFonts w:eastAsia="Arial"/>
          <w:spacing w:val="1"/>
        </w:rPr>
        <w:t>m</w:t>
      </w:r>
      <w:r w:rsidRPr="00EC6E9A">
        <w:rPr>
          <w:rFonts w:eastAsia="Arial"/>
          <w:spacing w:val="-1"/>
        </w:rPr>
        <w:t>u</w:t>
      </w:r>
      <w:r w:rsidRPr="00EC6E9A">
        <w:rPr>
          <w:rFonts w:eastAsia="Arial"/>
          <w:spacing w:val="1"/>
        </w:rPr>
        <w:t>n</w:t>
      </w:r>
      <w:r w:rsidRPr="00EC6E9A">
        <w:rPr>
          <w:rFonts w:eastAsia="Arial"/>
        </w:rPr>
        <w:t>ic</w:t>
      </w:r>
      <w:r w:rsidRPr="00EC6E9A">
        <w:rPr>
          <w:rFonts w:eastAsia="Arial"/>
          <w:spacing w:val="-1"/>
        </w:rPr>
        <w:t>i</w:t>
      </w:r>
      <w:r w:rsidRPr="00EC6E9A">
        <w:rPr>
          <w:rFonts w:eastAsia="Arial"/>
          <w:spacing w:val="1"/>
        </w:rPr>
        <w:t>p</w:t>
      </w:r>
      <w:r w:rsidRPr="00EC6E9A">
        <w:rPr>
          <w:rFonts w:eastAsia="Arial"/>
        </w:rPr>
        <w:t>io</w:t>
      </w:r>
      <w:r>
        <w:rPr>
          <w:rFonts w:eastAsia="Arial"/>
        </w:rPr>
        <w:t xml:space="preserve"> </w:t>
      </w:r>
      <w:r w:rsidRPr="00EC6E9A">
        <w:rPr>
          <w:rFonts w:eastAsia="Arial"/>
          <w:spacing w:val="1"/>
        </w:rPr>
        <w:t>a</w:t>
      </w:r>
      <w:r w:rsidRPr="00EC6E9A">
        <w:rPr>
          <w:rFonts w:eastAsia="Arial"/>
          <w:spacing w:val="-1"/>
        </w:rPr>
        <w:t>p</w:t>
      </w:r>
      <w:r w:rsidRPr="00EC6E9A">
        <w:rPr>
          <w:rFonts w:eastAsia="Arial"/>
          <w:spacing w:val="1"/>
        </w:rPr>
        <w:t>o</w:t>
      </w:r>
      <w:r w:rsidRPr="00EC6E9A">
        <w:rPr>
          <w:rFonts w:eastAsia="Arial"/>
        </w:rPr>
        <w:t>rta</w:t>
      </w:r>
      <w:r>
        <w:rPr>
          <w:rFonts w:eastAsia="Arial"/>
        </w:rPr>
        <w:t xml:space="preserve"> </w:t>
      </w:r>
      <w:r w:rsidRPr="00EC6E9A">
        <w:rPr>
          <w:rFonts w:eastAsia="Arial"/>
          <w:spacing w:val="1"/>
        </w:rPr>
        <w:t>e</w:t>
      </w:r>
      <w:r w:rsidRPr="00EC6E9A">
        <w:rPr>
          <w:rFonts w:eastAsia="Arial"/>
        </w:rPr>
        <w:t>l</w:t>
      </w:r>
      <w:r>
        <w:rPr>
          <w:rFonts w:eastAsia="Arial"/>
        </w:rPr>
        <w:t xml:space="preserve"> </w:t>
      </w:r>
      <w:r w:rsidRPr="00575AA9">
        <w:rPr>
          <w:rFonts w:eastAsia="Arial"/>
          <w:spacing w:val="-1"/>
        </w:rPr>
        <w:t>1</w:t>
      </w:r>
      <w:r w:rsidRPr="00575AA9">
        <w:rPr>
          <w:rFonts w:eastAsia="Arial"/>
        </w:rPr>
        <w:t>,</w:t>
      </w:r>
      <w:r w:rsidRPr="00575AA9">
        <w:rPr>
          <w:rFonts w:eastAsia="Arial"/>
          <w:spacing w:val="1"/>
        </w:rPr>
        <w:t>83</w:t>
      </w:r>
      <w:r w:rsidRPr="00575AA9">
        <w:rPr>
          <w:rFonts w:eastAsia="Arial"/>
        </w:rPr>
        <w:t>%</w:t>
      </w:r>
      <w:r>
        <w:rPr>
          <w:rFonts w:eastAsia="Arial"/>
          <w:b/>
        </w:rPr>
        <w:t xml:space="preserve"> </w:t>
      </w:r>
      <w:r w:rsidRPr="00EC6E9A">
        <w:rPr>
          <w:rFonts w:eastAsia="Arial"/>
          <w:spacing w:val="1"/>
        </w:rPr>
        <w:t>a</w:t>
      </w:r>
      <w:r w:rsidRPr="00EC6E9A">
        <w:rPr>
          <w:rFonts w:eastAsia="Arial"/>
        </w:rPr>
        <w:t>l</w:t>
      </w:r>
      <w:r>
        <w:rPr>
          <w:rFonts w:eastAsia="Arial"/>
        </w:rPr>
        <w:t xml:space="preserve"> </w:t>
      </w:r>
      <w:r>
        <w:rPr>
          <w:rFonts w:eastAsia="Arial"/>
          <w:spacing w:val="1"/>
        </w:rPr>
        <w:t>total de</w:t>
      </w:r>
      <w:r>
        <w:rPr>
          <w:rFonts w:eastAsia="Arial"/>
        </w:rPr>
        <w:t xml:space="preserve"> </w:t>
      </w:r>
      <w:r w:rsidRPr="00EC6E9A">
        <w:rPr>
          <w:rFonts w:eastAsia="Arial"/>
          <w:spacing w:val="1"/>
        </w:rPr>
        <w:t>e</w:t>
      </w:r>
      <w:r w:rsidRPr="00EC6E9A">
        <w:rPr>
          <w:rFonts w:eastAsia="Arial"/>
          <w:spacing w:val="-1"/>
        </w:rPr>
        <w:t>m</w:t>
      </w:r>
      <w:r w:rsidRPr="00EC6E9A">
        <w:rPr>
          <w:rFonts w:eastAsia="Arial"/>
          <w:spacing w:val="1"/>
        </w:rPr>
        <w:t>p</w:t>
      </w:r>
      <w:r w:rsidRPr="00EC6E9A">
        <w:rPr>
          <w:rFonts w:eastAsia="Arial"/>
        </w:rPr>
        <w:t>res</w:t>
      </w:r>
      <w:r w:rsidRPr="00EC6E9A">
        <w:rPr>
          <w:rFonts w:eastAsia="Arial"/>
          <w:spacing w:val="1"/>
        </w:rPr>
        <w:t>a</w:t>
      </w:r>
      <w:r w:rsidRPr="00EC6E9A">
        <w:rPr>
          <w:rFonts w:eastAsia="Arial"/>
        </w:rPr>
        <w:t>s</w:t>
      </w:r>
      <w:r>
        <w:rPr>
          <w:rFonts w:eastAsia="Arial"/>
        </w:rPr>
        <w:t xml:space="preserve"> </w:t>
      </w:r>
      <w:r w:rsidRPr="00EC6E9A">
        <w:rPr>
          <w:rFonts w:eastAsia="Arial"/>
          <w:spacing w:val="-1"/>
        </w:rPr>
        <w:t>d</w:t>
      </w:r>
      <w:r w:rsidRPr="00EC6E9A">
        <w:rPr>
          <w:rFonts w:eastAsia="Arial"/>
          <w:spacing w:val="1"/>
        </w:rPr>
        <w:t>e</w:t>
      </w:r>
      <w:r w:rsidRPr="00EC6E9A">
        <w:rPr>
          <w:rFonts w:eastAsia="Arial"/>
        </w:rPr>
        <w:t>l Q</w:t>
      </w:r>
      <w:r w:rsidRPr="00EC6E9A">
        <w:rPr>
          <w:rFonts w:eastAsia="Arial"/>
          <w:spacing w:val="1"/>
        </w:rPr>
        <w:t>u</w:t>
      </w:r>
      <w:r w:rsidRPr="00EC6E9A">
        <w:rPr>
          <w:rFonts w:eastAsia="Arial"/>
        </w:rPr>
        <w:t>in</w:t>
      </w:r>
      <w:r w:rsidRPr="00EC6E9A">
        <w:rPr>
          <w:rFonts w:eastAsia="Arial"/>
          <w:spacing w:val="1"/>
        </w:rPr>
        <w:t>d</w:t>
      </w:r>
      <w:r w:rsidRPr="00EC6E9A">
        <w:rPr>
          <w:rFonts w:eastAsia="Arial"/>
          <w:spacing w:val="-2"/>
        </w:rPr>
        <w:t>í</w:t>
      </w:r>
      <w:r w:rsidRPr="00EC6E9A">
        <w:rPr>
          <w:rFonts w:eastAsia="Arial"/>
        </w:rPr>
        <w:t>o</w:t>
      </w:r>
      <w:r w:rsidRPr="00EC6E9A">
        <w:rPr>
          <w:rFonts w:eastAsia="Arial"/>
          <w:spacing w:val="1"/>
        </w:rPr>
        <w:t xml:space="preserve"> ba</w:t>
      </w:r>
      <w:r w:rsidRPr="00EC6E9A">
        <w:rPr>
          <w:rFonts w:eastAsia="Arial"/>
        </w:rPr>
        <w:t>jo</w:t>
      </w:r>
      <w:r w:rsidRPr="00EC6E9A">
        <w:rPr>
          <w:rFonts w:eastAsia="Arial"/>
          <w:spacing w:val="1"/>
        </w:rPr>
        <w:t xml:space="preserve"> e</w:t>
      </w:r>
      <w:r w:rsidRPr="00EC6E9A">
        <w:rPr>
          <w:rFonts w:eastAsia="Arial"/>
        </w:rPr>
        <w:t>s</w:t>
      </w:r>
      <w:r w:rsidRPr="00EC6E9A">
        <w:rPr>
          <w:rFonts w:eastAsia="Arial"/>
          <w:spacing w:val="-2"/>
        </w:rPr>
        <w:t>t</w:t>
      </w:r>
      <w:r w:rsidRPr="00EC6E9A">
        <w:rPr>
          <w:rFonts w:eastAsia="Arial"/>
        </w:rPr>
        <w:t>a</w:t>
      </w:r>
      <w:r>
        <w:rPr>
          <w:rFonts w:eastAsia="Arial"/>
        </w:rPr>
        <w:t xml:space="preserve"> </w:t>
      </w:r>
      <w:r w:rsidRPr="00EC6E9A">
        <w:rPr>
          <w:rFonts w:eastAsia="Arial"/>
          <w:spacing w:val="-2"/>
        </w:rPr>
        <w:t>c</w:t>
      </w:r>
      <w:r w:rsidRPr="00EC6E9A">
        <w:rPr>
          <w:rFonts w:eastAsia="Arial"/>
          <w:spacing w:val="1"/>
        </w:rPr>
        <w:t>a</w:t>
      </w:r>
      <w:r w:rsidRPr="00EC6E9A">
        <w:rPr>
          <w:rFonts w:eastAsia="Arial"/>
        </w:rPr>
        <w:t>t</w:t>
      </w:r>
      <w:r w:rsidRPr="00EC6E9A">
        <w:rPr>
          <w:rFonts w:eastAsia="Arial"/>
          <w:spacing w:val="1"/>
        </w:rPr>
        <w:t>e</w:t>
      </w:r>
      <w:r w:rsidRPr="00EC6E9A">
        <w:rPr>
          <w:rFonts w:eastAsia="Arial"/>
          <w:spacing w:val="-1"/>
        </w:rPr>
        <w:t>g</w:t>
      </w:r>
      <w:r w:rsidRPr="00EC6E9A">
        <w:rPr>
          <w:rFonts w:eastAsia="Arial"/>
          <w:spacing w:val="1"/>
        </w:rPr>
        <w:t>o</w:t>
      </w:r>
      <w:r w:rsidRPr="00EC6E9A">
        <w:rPr>
          <w:rFonts w:eastAsia="Arial"/>
        </w:rPr>
        <w:t>r</w:t>
      </w:r>
      <w:r w:rsidRPr="00EC6E9A">
        <w:rPr>
          <w:rFonts w:eastAsia="Arial"/>
          <w:spacing w:val="-3"/>
        </w:rPr>
        <w:t>í</w:t>
      </w:r>
      <w:r w:rsidRPr="00EC6E9A">
        <w:rPr>
          <w:rFonts w:eastAsia="Arial"/>
          <w:spacing w:val="1"/>
        </w:rPr>
        <w:t>a</w:t>
      </w:r>
      <w:r>
        <w:rPr>
          <w:rFonts w:eastAsia="Arial"/>
        </w:rPr>
        <w:t>; d</w:t>
      </w:r>
      <w:r w:rsidRPr="00EC6E9A">
        <w:rPr>
          <w:rFonts w:eastAsia="Arial"/>
        </w:rPr>
        <w:t>e</w:t>
      </w:r>
      <w:r>
        <w:rPr>
          <w:rFonts w:eastAsia="Arial"/>
        </w:rPr>
        <w:t xml:space="preserve"> </w:t>
      </w:r>
      <w:r w:rsidRPr="00EC6E9A">
        <w:rPr>
          <w:rFonts w:eastAsia="Arial"/>
          <w:spacing w:val="4"/>
        </w:rPr>
        <w:t>i</w:t>
      </w:r>
      <w:r w:rsidRPr="00EC6E9A">
        <w:rPr>
          <w:rFonts w:eastAsia="Arial"/>
          <w:spacing w:val="-1"/>
        </w:rPr>
        <w:t>g</w:t>
      </w:r>
      <w:r w:rsidRPr="00EC6E9A">
        <w:rPr>
          <w:rFonts w:eastAsia="Arial"/>
          <w:spacing w:val="1"/>
        </w:rPr>
        <w:t>ua</w:t>
      </w:r>
      <w:r w:rsidRPr="00EC6E9A">
        <w:rPr>
          <w:rFonts w:eastAsia="Arial"/>
        </w:rPr>
        <w:t xml:space="preserve">l </w:t>
      </w:r>
      <w:r w:rsidRPr="00EC6E9A">
        <w:rPr>
          <w:rFonts w:eastAsia="Arial"/>
          <w:spacing w:val="-2"/>
        </w:rPr>
        <w:t>f</w:t>
      </w:r>
      <w:r w:rsidRPr="00EC6E9A">
        <w:rPr>
          <w:rFonts w:eastAsia="Arial"/>
          <w:spacing w:val="1"/>
        </w:rPr>
        <w:t>o</w:t>
      </w:r>
      <w:r w:rsidRPr="00EC6E9A">
        <w:rPr>
          <w:rFonts w:eastAsia="Arial"/>
        </w:rPr>
        <w:t>r</w:t>
      </w:r>
      <w:r w:rsidRPr="00EC6E9A">
        <w:rPr>
          <w:rFonts w:eastAsia="Arial"/>
          <w:spacing w:val="1"/>
        </w:rPr>
        <w:t>m</w:t>
      </w:r>
      <w:r w:rsidRPr="00EC6E9A">
        <w:rPr>
          <w:rFonts w:eastAsia="Arial"/>
        </w:rPr>
        <w:t>a</w:t>
      </w:r>
      <w:r>
        <w:rPr>
          <w:rFonts w:eastAsia="Arial"/>
        </w:rPr>
        <w:t xml:space="preserve">, </w:t>
      </w:r>
      <w:r w:rsidRPr="00EC6E9A">
        <w:rPr>
          <w:rFonts w:eastAsia="Arial"/>
        </w:rPr>
        <w:t>a</w:t>
      </w:r>
      <w:r>
        <w:rPr>
          <w:rFonts w:eastAsia="Arial"/>
        </w:rPr>
        <w:t xml:space="preserve"> </w:t>
      </w:r>
      <w:r w:rsidRPr="00EC6E9A">
        <w:rPr>
          <w:rFonts w:eastAsia="Arial"/>
          <w:spacing w:val="-3"/>
        </w:rPr>
        <w:t>l</w:t>
      </w:r>
      <w:r w:rsidRPr="00EC6E9A">
        <w:rPr>
          <w:rFonts w:eastAsia="Arial"/>
        </w:rPr>
        <w:t>a</w:t>
      </w:r>
      <w:r>
        <w:rPr>
          <w:rFonts w:eastAsia="Arial"/>
        </w:rPr>
        <w:t xml:space="preserve"> </w:t>
      </w:r>
      <w:r w:rsidRPr="00EC6E9A">
        <w:rPr>
          <w:rFonts w:eastAsia="Arial"/>
        </w:rPr>
        <w:t>c</w:t>
      </w:r>
      <w:r w:rsidRPr="00EC6E9A">
        <w:rPr>
          <w:rFonts w:eastAsia="Arial"/>
          <w:spacing w:val="-1"/>
        </w:rPr>
        <w:t>a</w:t>
      </w:r>
      <w:r w:rsidRPr="00EC6E9A">
        <w:rPr>
          <w:rFonts w:eastAsia="Arial"/>
          <w:spacing w:val="1"/>
        </w:rPr>
        <w:t>n</w:t>
      </w:r>
      <w:r w:rsidRPr="00EC6E9A">
        <w:rPr>
          <w:rFonts w:eastAsia="Arial"/>
        </w:rPr>
        <w:t>ti</w:t>
      </w:r>
      <w:r w:rsidRPr="00EC6E9A">
        <w:rPr>
          <w:rFonts w:eastAsia="Arial"/>
          <w:spacing w:val="-1"/>
        </w:rPr>
        <w:t>d</w:t>
      </w:r>
      <w:r w:rsidRPr="00EC6E9A">
        <w:rPr>
          <w:rFonts w:eastAsia="Arial"/>
          <w:spacing w:val="1"/>
        </w:rPr>
        <w:t>a</w:t>
      </w:r>
      <w:r w:rsidRPr="00EC6E9A">
        <w:rPr>
          <w:rFonts w:eastAsia="Arial"/>
        </w:rPr>
        <w:t>d</w:t>
      </w:r>
      <w:r w:rsidRPr="00EC6E9A">
        <w:rPr>
          <w:rFonts w:eastAsia="Arial"/>
          <w:spacing w:val="1"/>
        </w:rPr>
        <w:t xml:space="preserve"> d</w:t>
      </w:r>
      <w:r w:rsidRPr="00EC6E9A">
        <w:rPr>
          <w:rFonts w:eastAsia="Arial"/>
        </w:rPr>
        <w:t>e</w:t>
      </w:r>
      <w:r>
        <w:rPr>
          <w:rFonts w:eastAsia="Arial"/>
        </w:rPr>
        <w:t xml:space="preserve"> </w:t>
      </w:r>
      <w:r w:rsidRPr="00EC6E9A">
        <w:rPr>
          <w:rFonts w:eastAsia="Arial"/>
          <w:spacing w:val="-1"/>
        </w:rPr>
        <w:t>e</w:t>
      </w:r>
      <w:r w:rsidRPr="00EC6E9A">
        <w:rPr>
          <w:rFonts w:eastAsia="Arial"/>
          <w:spacing w:val="1"/>
        </w:rPr>
        <w:t>mp</w:t>
      </w:r>
      <w:r w:rsidRPr="00EC6E9A">
        <w:rPr>
          <w:rFonts w:eastAsia="Arial"/>
        </w:rPr>
        <w:t>re</w:t>
      </w:r>
      <w:r w:rsidRPr="00EC6E9A">
        <w:rPr>
          <w:rFonts w:eastAsia="Arial"/>
          <w:spacing w:val="-2"/>
        </w:rPr>
        <w:t>s</w:t>
      </w:r>
      <w:r w:rsidRPr="00EC6E9A">
        <w:rPr>
          <w:rFonts w:eastAsia="Arial"/>
          <w:spacing w:val="1"/>
        </w:rPr>
        <w:t>a</w:t>
      </w:r>
      <w:r w:rsidRPr="00EC6E9A">
        <w:rPr>
          <w:rFonts w:eastAsia="Arial"/>
        </w:rPr>
        <w:t xml:space="preserve">s </w:t>
      </w:r>
      <w:r w:rsidRPr="00EC6E9A">
        <w:rPr>
          <w:rFonts w:eastAsia="Arial"/>
          <w:spacing w:val="1"/>
        </w:rPr>
        <w:t>ma</w:t>
      </w:r>
      <w:r w:rsidRPr="00EC6E9A">
        <w:rPr>
          <w:rFonts w:eastAsia="Arial"/>
        </w:rPr>
        <w:t>tricul</w:t>
      </w:r>
      <w:r w:rsidRPr="00EC6E9A">
        <w:rPr>
          <w:rFonts w:eastAsia="Arial"/>
          <w:spacing w:val="-2"/>
        </w:rPr>
        <w:t>a</w:t>
      </w:r>
      <w:r w:rsidRPr="00EC6E9A">
        <w:rPr>
          <w:rFonts w:eastAsia="Arial"/>
          <w:spacing w:val="1"/>
        </w:rPr>
        <w:t>da</w:t>
      </w:r>
      <w:r w:rsidRPr="00EC6E9A">
        <w:rPr>
          <w:rFonts w:eastAsia="Arial"/>
        </w:rPr>
        <w:t>s,</w:t>
      </w:r>
      <w:r>
        <w:rPr>
          <w:rFonts w:eastAsia="Arial"/>
        </w:rPr>
        <w:t xml:space="preserve"> </w:t>
      </w:r>
      <w:r w:rsidRPr="00EC6E9A">
        <w:rPr>
          <w:rFonts w:eastAsia="Arial"/>
          <w:spacing w:val="1"/>
        </w:rPr>
        <w:t>a</w:t>
      </w:r>
      <w:r w:rsidRPr="00EC6E9A">
        <w:rPr>
          <w:rFonts w:eastAsia="Arial"/>
          <w:spacing w:val="-1"/>
        </w:rPr>
        <w:t>p</w:t>
      </w:r>
      <w:r w:rsidRPr="00EC6E9A">
        <w:rPr>
          <w:rFonts w:eastAsia="Arial"/>
          <w:spacing w:val="1"/>
        </w:rPr>
        <w:t>o</w:t>
      </w:r>
      <w:r w:rsidRPr="00EC6E9A">
        <w:rPr>
          <w:rFonts w:eastAsia="Arial"/>
        </w:rPr>
        <w:t>rta</w:t>
      </w:r>
      <w:r>
        <w:rPr>
          <w:rFonts w:eastAsia="Arial"/>
        </w:rPr>
        <w:t xml:space="preserve"> </w:t>
      </w:r>
      <w:r w:rsidRPr="00EC6E9A">
        <w:rPr>
          <w:rFonts w:eastAsia="Arial"/>
          <w:spacing w:val="1"/>
        </w:rPr>
        <w:t>e</w:t>
      </w:r>
      <w:r w:rsidRPr="00EC6E9A">
        <w:rPr>
          <w:rFonts w:eastAsia="Arial"/>
        </w:rPr>
        <w:t>l</w:t>
      </w:r>
      <w:r>
        <w:rPr>
          <w:rFonts w:eastAsia="Arial"/>
        </w:rPr>
        <w:t xml:space="preserve"> </w:t>
      </w:r>
      <w:r w:rsidRPr="00575AA9">
        <w:rPr>
          <w:rFonts w:eastAsia="Arial"/>
          <w:spacing w:val="1"/>
        </w:rPr>
        <w:t>2</w:t>
      </w:r>
      <w:r w:rsidRPr="00575AA9">
        <w:rPr>
          <w:rFonts w:eastAsia="Arial"/>
        </w:rPr>
        <w:t>,</w:t>
      </w:r>
      <w:r w:rsidRPr="00575AA9">
        <w:rPr>
          <w:rFonts w:eastAsia="Arial"/>
          <w:spacing w:val="-1"/>
        </w:rPr>
        <w:t>1</w:t>
      </w:r>
      <w:r w:rsidRPr="00575AA9">
        <w:rPr>
          <w:rFonts w:eastAsia="Arial"/>
          <w:spacing w:val="1"/>
        </w:rPr>
        <w:t>2</w:t>
      </w:r>
      <w:r w:rsidRPr="00575AA9">
        <w:rPr>
          <w:rFonts w:eastAsia="Arial"/>
          <w:spacing w:val="-2"/>
        </w:rPr>
        <w:t>%</w:t>
      </w:r>
      <w:r w:rsidRPr="00575AA9">
        <w:rPr>
          <w:rFonts w:eastAsia="Arial"/>
        </w:rPr>
        <w:t>.</w:t>
      </w:r>
      <w:r>
        <w:rPr>
          <w:rFonts w:eastAsia="Arial"/>
          <w:b/>
        </w:rPr>
        <w:t xml:space="preserve"> </w:t>
      </w:r>
      <w:r w:rsidRPr="005E072A">
        <w:rPr>
          <w:rFonts w:eastAsia="Arial"/>
        </w:rPr>
        <w:t>Del</w:t>
      </w:r>
      <w:r>
        <w:rPr>
          <w:rFonts w:eastAsia="Arial"/>
        </w:rPr>
        <w:t xml:space="preserve"> </w:t>
      </w:r>
      <w:r w:rsidRPr="005E072A">
        <w:rPr>
          <w:rFonts w:eastAsia="Arial"/>
        </w:rPr>
        <w:t>t</w:t>
      </w:r>
      <w:r w:rsidRPr="005E072A">
        <w:rPr>
          <w:rFonts w:eastAsia="Arial"/>
          <w:spacing w:val="1"/>
        </w:rPr>
        <w:t>o</w:t>
      </w:r>
      <w:r w:rsidRPr="005E072A">
        <w:rPr>
          <w:rFonts w:eastAsia="Arial"/>
        </w:rPr>
        <w:t>t</w:t>
      </w:r>
      <w:r w:rsidRPr="005E072A">
        <w:rPr>
          <w:rFonts w:eastAsia="Arial"/>
          <w:spacing w:val="1"/>
        </w:rPr>
        <w:t>a</w:t>
      </w:r>
      <w:r w:rsidRPr="005E072A">
        <w:rPr>
          <w:rFonts w:eastAsia="Arial"/>
        </w:rPr>
        <w:t>l</w:t>
      </w:r>
      <w:r>
        <w:rPr>
          <w:rFonts w:eastAsia="Arial"/>
        </w:rPr>
        <w:t xml:space="preserve"> </w:t>
      </w:r>
      <w:r w:rsidRPr="005E072A">
        <w:rPr>
          <w:rFonts w:eastAsia="Arial"/>
          <w:spacing w:val="1"/>
        </w:rPr>
        <w:t>d</w:t>
      </w:r>
      <w:r w:rsidRPr="005E072A">
        <w:rPr>
          <w:rFonts w:eastAsia="Arial"/>
        </w:rPr>
        <w:t>e</w:t>
      </w:r>
      <w:r>
        <w:rPr>
          <w:rFonts w:eastAsia="Arial"/>
        </w:rPr>
        <w:t xml:space="preserve"> </w:t>
      </w:r>
      <w:r w:rsidRPr="005E072A">
        <w:rPr>
          <w:rFonts w:eastAsia="Arial"/>
        </w:rPr>
        <w:t>las</w:t>
      </w:r>
      <w:r>
        <w:rPr>
          <w:rFonts w:eastAsia="Arial"/>
        </w:rPr>
        <w:t xml:space="preserve"> </w:t>
      </w:r>
      <w:r w:rsidRPr="005E072A">
        <w:rPr>
          <w:rFonts w:eastAsia="Arial"/>
          <w:spacing w:val="-1"/>
        </w:rPr>
        <w:t>e</w:t>
      </w:r>
      <w:r w:rsidRPr="005E072A">
        <w:rPr>
          <w:rFonts w:eastAsia="Arial"/>
          <w:spacing w:val="1"/>
        </w:rPr>
        <w:t>mp</w:t>
      </w:r>
      <w:r w:rsidRPr="005E072A">
        <w:rPr>
          <w:rFonts w:eastAsia="Arial"/>
          <w:spacing w:val="-3"/>
        </w:rPr>
        <w:t>r</w:t>
      </w:r>
      <w:r w:rsidRPr="005E072A">
        <w:rPr>
          <w:rFonts w:eastAsia="Arial"/>
          <w:spacing w:val="1"/>
        </w:rPr>
        <w:t>e</w:t>
      </w:r>
      <w:r w:rsidRPr="005E072A">
        <w:rPr>
          <w:rFonts w:eastAsia="Arial"/>
        </w:rPr>
        <w:t>s</w:t>
      </w:r>
      <w:r w:rsidRPr="005E072A">
        <w:rPr>
          <w:rFonts w:eastAsia="Arial"/>
          <w:spacing w:val="1"/>
        </w:rPr>
        <w:t>a</w:t>
      </w:r>
      <w:r w:rsidRPr="005E072A">
        <w:rPr>
          <w:rFonts w:eastAsia="Arial"/>
        </w:rPr>
        <w:t>s</w:t>
      </w:r>
      <w:r>
        <w:rPr>
          <w:rFonts w:eastAsia="Arial"/>
        </w:rPr>
        <w:t xml:space="preserve"> </w:t>
      </w:r>
      <w:r w:rsidRPr="005E072A">
        <w:rPr>
          <w:rFonts w:eastAsia="Arial"/>
          <w:spacing w:val="-1"/>
        </w:rPr>
        <w:t>M</w:t>
      </w:r>
      <w:r w:rsidRPr="005E072A">
        <w:rPr>
          <w:rFonts w:eastAsia="Arial"/>
          <w:spacing w:val="1"/>
        </w:rPr>
        <w:t>a</w:t>
      </w:r>
      <w:r w:rsidRPr="005E072A">
        <w:rPr>
          <w:rFonts w:eastAsia="Arial"/>
        </w:rPr>
        <w:t>tricul</w:t>
      </w:r>
      <w:r w:rsidRPr="005E072A">
        <w:rPr>
          <w:rFonts w:eastAsia="Arial"/>
          <w:spacing w:val="-2"/>
        </w:rPr>
        <w:t>a</w:t>
      </w:r>
      <w:r w:rsidRPr="005E072A">
        <w:rPr>
          <w:rFonts w:eastAsia="Arial"/>
          <w:spacing w:val="1"/>
        </w:rPr>
        <w:t>da</w:t>
      </w:r>
      <w:r w:rsidRPr="005E072A">
        <w:rPr>
          <w:rFonts w:eastAsia="Arial"/>
        </w:rPr>
        <w:t>s</w:t>
      </w:r>
      <w:r>
        <w:rPr>
          <w:rFonts w:eastAsia="Arial"/>
        </w:rPr>
        <w:t xml:space="preserve"> </w:t>
      </w:r>
      <w:r w:rsidRPr="005E072A">
        <w:rPr>
          <w:rFonts w:eastAsia="Arial"/>
        </w:rPr>
        <w:t>y</w:t>
      </w:r>
      <w:r>
        <w:rPr>
          <w:rFonts w:eastAsia="Arial"/>
        </w:rPr>
        <w:t xml:space="preserve"> </w:t>
      </w:r>
      <w:r w:rsidRPr="005E072A">
        <w:rPr>
          <w:rFonts w:eastAsia="Arial"/>
        </w:rPr>
        <w:t>Re</w:t>
      </w:r>
      <w:r w:rsidRPr="005E072A">
        <w:rPr>
          <w:rFonts w:eastAsia="Arial"/>
          <w:spacing w:val="1"/>
        </w:rPr>
        <w:t>no</w:t>
      </w:r>
      <w:r w:rsidRPr="005E072A">
        <w:rPr>
          <w:rFonts w:eastAsia="Arial"/>
          <w:spacing w:val="-2"/>
        </w:rPr>
        <w:t>v</w:t>
      </w:r>
      <w:r w:rsidRPr="005E072A">
        <w:rPr>
          <w:rFonts w:eastAsia="Arial"/>
          <w:spacing w:val="1"/>
        </w:rPr>
        <w:t>ada</w:t>
      </w:r>
      <w:r w:rsidRPr="005E072A">
        <w:rPr>
          <w:rFonts w:eastAsia="Arial"/>
        </w:rPr>
        <w:t>s</w:t>
      </w:r>
      <w:r w:rsidR="00303CF2">
        <w:rPr>
          <w:rFonts w:eastAsia="Arial"/>
        </w:rPr>
        <w:t>,</w:t>
      </w:r>
      <w:r>
        <w:rPr>
          <w:rFonts w:eastAsia="Arial"/>
        </w:rPr>
        <w:t xml:space="preserve"> </w:t>
      </w:r>
      <w:r w:rsidRPr="005E072A">
        <w:rPr>
          <w:rFonts w:eastAsia="Arial"/>
          <w:spacing w:val="-2"/>
        </w:rPr>
        <w:t>G</w:t>
      </w:r>
      <w:r w:rsidRPr="005E072A">
        <w:rPr>
          <w:rFonts w:eastAsia="Arial"/>
          <w:spacing w:val="1"/>
        </w:rPr>
        <w:t>éno</w:t>
      </w:r>
      <w:r w:rsidRPr="005E072A">
        <w:rPr>
          <w:rFonts w:eastAsia="Arial"/>
          <w:spacing w:val="-2"/>
        </w:rPr>
        <w:t>v</w:t>
      </w:r>
      <w:r w:rsidRPr="005E072A">
        <w:rPr>
          <w:rFonts w:eastAsia="Arial"/>
        </w:rPr>
        <w:t>a</w:t>
      </w:r>
      <w:r>
        <w:rPr>
          <w:rFonts w:eastAsia="Arial"/>
        </w:rPr>
        <w:t xml:space="preserve"> </w:t>
      </w:r>
      <w:r w:rsidRPr="005E072A">
        <w:rPr>
          <w:rFonts w:eastAsia="Arial"/>
        </w:rPr>
        <w:t>re</w:t>
      </w:r>
      <w:r w:rsidRPr="005E072A">
        <w:rPr>
          <w:rFonts w:eastAsia="Arial"/>
          <w:spacing w:val="1"/>
        </w:rPr>
        <w:t>p</w:t>
      </w:r>
      <w:r w:rsidRPr="005E072A">
        <w:rPr>
          <w:rFonts w:eastAsia="Arial"/>
        </w:rPr>
        <w:t>res</w:t>
      </w:r>
      <w:r w:rsidRPr="005E072A">
        <w:rPr>
          <w:rFonts w:eastAsia="Arial"/>
          <w:spacing w:val="-1"/>
        </w:rPr>
        <w:t>e</w:t>
      </w:r>
      <w:r w:rsidRPr="005E072A">
        <w:rPr>
          <w:rFonts w:eastAsia="Arial"/>
          <w:spacing w:val="1"/>
        </w:rPr>
        <w:t>n</w:t>
      </w:r>
      <w:r w:rsidRPr="005E072A">
        <w:rPr>
          <w:rFonts w:eastAsia="Arial"/>
        </w:rPr>
        <w:t>ta</w:t>
      </w:r>
      <w:r>
        <w:rPr>
          <w:rFonts w:eastAsia="Arial"/>
        </w:rPr>
        <w:t xml:space="preserve"> </w:t>
      </w:r>
      <w:r w:rsidRPr="005E072A">
        <w:rPr>
          <w:rFonts w:eastAsia="Arial"/>
          <w:spacing w:val="-1"/>
        </w:rPr>
        <w:t>e</w:t>
      </w:r>
      <w:r w:rsidRPr="005E072A">
        <w:rPr>
          <w:rFonts w:eastAsia="Arial"/>
        </w:rPr>
        <w:t>l</w:t>
      </w:r>
      <w:r>
        <w:rPr>
          <w:rFonts w:eastAsia="Arial"/>
        </w:rPr>
        <w:t xml:space="preserve"> </w:t>
      </w:r>
      <w:r w:rsidRPr="00575AA9">
        <w:rPr>
          <w:rFonts w:eastAsia="Arial"/>
          <w:spacing w:val="1"/>
        </w:rPr>
        <w:t>0</w:t>
      </w:r>
      <w:r w:rsidRPr="00575AA9">
        <w:rPr>
          <w:rFonts w:eastAsia="Arial"/>
        </w:rPr>
        <w:t>,</w:t>
      </w:r>
      <w:r w:rsidRPr="00575AA9">
        <w:rPr>
          <w:rFonts w:eastAsia="Arial"/>
          <w:spacing w:val="1"/>
        </w:rPr>
        <w:t>66</w:t>
      </w:r>
      <w:r w:rsidRPr="00575AA9">
        <w:rPr>
          <w:rFonts w:eastAsia="Arial"/>
        </w:rPr>
        <w:t>%</w:t>
      </w:r>
      <w:r>
        <w:rPr>
          <w:rFonts w:eastAsia="Arial"/>
          <w:b/>
        </w:rPr>
        <w:t xml:space="preserve"> </w:t>
      </w:r>
      <w:r w:rsidRPr="005E072A">
        <w:rPr>
          <w:rFonts w:eastAsia="Arial"/>
          <w:spacing w:val="1"/>
        </w:rPr>
        <w:t>d</w:t>
      </w:r>
      <w:r w:rsidRPr="005E072A">
        <w:rPr>
          <w:rFonts w:eastAsia="Arial"/>
        </w:rPr>
        <w:t>e</w:t>
      </w:r>
      <w:r>
        <w:rPr>
          <w:rFonts w:eastAsia="Arial"/>
        </w:rPr>
        <w:t xml:space="preserve"> </w:t>
      </w:r>
      <w:r w:rsidRPr="005E072A">
        <w:rPr>
          <w:rFonts w:eastAsia="Arial"/>
          <w:spacing w:val="1"/>
        </w:rPr>
        <w:t>e</w:t>
      </w:r>
      <w:r w:rsidRPr="005E072A">
        <w:rPr>
          <w:rFonts w:eastAsia="Arial"/>
          <w:spacing w:val="-2"/>
        </w:rPr>
        <w:t>s</w:t>
      </w:r>
      <w:r w:rsidRPr="005E072A">
        <w:rPr>
          <w:rFonts w:eastAsia="Arial"/>
        </w:rPr>
        <w:t>ta</w:t>
      </w:r>
      <w:r>
        <w:rPr>
          <w:rFonts w:eastAsia="Arial"/>
        </w:rPr>
        <w:t xml:space="preserve"> </w:t>
      </w:r>
      <w:r w:rsidRPr="005E072A">
        <w:rPr>
          <w:rFonts w:eastAsia="Arial"/>
        </w:rPr>
        <w:t>c</w:t>
      </w:r>
      <w:r w:rsidRPr="005E072A">
        <w:rPr>
          <w:rFonts w:eastAsia="Arial"/>
          <w:spacing w:val="-3"/>
        </w:rPr>
        <w:t>i</w:t>
      </w:r>
      <w:r w:rsidRPr="005E072A">
        <w:rPr>
          <w:rFonts w:eastAsia="Arial"/>
          <w:spacing w:val="3"/>
        </w:rPr>
        <w:t>f</w:t>
      </w:r>
      <w:r w:rsidRPr="005E072A">
        <w:rPr>
          <w:rFonts w:eastAsia="Arial"/>
        </w:rPr>
        <w:t>ra,</w:t>
      </w:r>
      <w:r>
        <w:rPr>
          <w:rFonts w:eastAsia="Arial"/>
        </w:rPr>
        <w:t xml:space="preserve"> </w:t>
      </w:r>
      <w:r w:rsidRPr="005E072A">
        <w:rPr>
          <w:rFonts w:eastAsia="Arial"/>
          <w:spacing w:val="1"/>
        </w:rPr>
        <w:t>e</w:t>
      </w:r>
      <w:r w:rsidRPr="005E072A">
        <w:rPr>
          <w:rFonts w:eastAsia="Arial"/>
        </w:rPr>
        <w:t>l</w:t>
      </w:r>
      <w:r>
        <w:rPr>
          <w:rFonts w:eastAsia="Arial"/>
        </w:rPr>
        <w:t xml:space="preserve"> </w:t>
      </w:r>
      <w:r w:rsidRPr="00575AA9">
        <w:rPr>
          <w:rFonts w:eastAsia="Arial"/>
          <w:spacing w:val="1"/>
        </w:rPr>
        <w:t>0</w:t>
      </w:r>
      <w:r w:rsidRPr="00575AA9">
        <w:rPr>
          <w:rFonts w:eastAsia="Arial"/>
        </w:rPr>
        <w:t>.</w:t>
      </w:r>
      <w:r w:rsidRPr="00575AA9">
        <w:rPr>
          <w:rFonts w:eastAsia="Arial"/>
          <w:spacing w:val="1"/>
        </w:rPr>
        <w:t>62</w:t>
      </w:r>
      <w:r w:rsidRPr="00575AA9">
        <w:rPr>
          <w:rFonts w:eastAsia="Arial"/>
        </w:rPr>
        <w:t>%</w:t>
      </w:r>
      <w:r>
        <w:rPr>
          <w:rFonts w:eastAsia="Arial"/>
          <w:b/>
        </w:rPr>
        <w:t xml:space="preserve"> </w:t>
      </w:r>
      <w:r w:rsidRPr="005E072A">
        <w:rPr>
          <w:rFonts w:eastAsia="Arial"/>
          <w:spacing w:val="1"/>
        </w:rPr>
        <w:t>de</w:t>
      </w:r>
      <w:r w:rsidRPr="005E072A">
        <w:rPr>
          <w:rFonts w:eastAsia="Arial"/>
        </w:rPr>
        <w:t>l</w:t>
      </w:r>
      <w:r>
        <w:rPr>
          <w:rFonts w:eastAsia="Arial"/>
        </w:rPr>
        <w:t xml:space="preserve"> </w:t>
      </w:r>
      <w:r w:rsidRPr="005E072A">
        <w:rPr>
          <w:rFonts w:eastAsia="Arial"/>
          <w:spacing w:val="-2"/>
        </w:rPr>
        <w:t>t</w:t>
      </w:r>
      <w:r w:rsidRPr="005E072A">
        <w:rPr>
          <w:rFonts w:eastAsia="Arial"/>
          <w:spacing w:val="1"/>
        </w:rPr>
        <w:t>o</w:t>
      </w:r>
      <w:r w:rsidRPr="005E072A">
        <w:rPr>
          <w:rFonts w:eastAsia="Arial"/>
        </w:rPr>
        <w:t>t</w:t>
      </w:r>
      <w:r w:rsidRPr="005E072A">
        <w:rPr>
          <w:rFonts w:eastAsia="Arial"/>
          <w:spacing w:val="1"/>
        </w:rPr>
        <w:t>a</w:t>
      </w:r>
      <w:r w:rsidRPr="005E072A">
        <w:rPr>
          <w:rFonts w:eastAsia="Arial"/>
        </w:rPr>
        <w:t>l</w:t>
      </w:r>
      <w:r>
        <w:rPr>
          <w:rFonts w:eastAsia="Arial"/>
        </w:rPr>
        <w:t xml:space="preserve"> </w:t>
      </w:r>
      <w:r w:rsidRPr="005E072A">
        <w:rPr>
          <w:rFonts w:eastAsia="Arial"/>
          <w:spacing w:val="-1"/>
        </w:rPr>
        <w:t>d</w:t>
      </w:r>
      <w:r w:rsidRPr="005E072A">
        <w:rPr>
          <w:rFonts w:eastAsia="Arial"/>
          <w:spacing w:val="1"/>
        </w:rPr>
        <w:t>e</w:t>
      </w:r>
      <w:r w:rsidRPr="005E072A">
        <w:rPr>
          <w:rFonts w:eastAsia="Arial"/>
        </w:rPr>
        <w:t>l</w:t>
      </w:r>
      <w:r>
        <w:rPr>
          <w:rFonts w:eastAsia="Arial"/>
        </w:rPr>
        <w:t xml:space="preserve"> </w:t>
      </w:r>
      <w:r w:rsidRPr="005E072A">
        <w:rPr>
          <w:rFonts w:eastAsia="Arial"/>
          <w:spacing w:val="1"/>
        </w:rPr>
        <w:t>depa</w:t>
      </w:r>
      <w:r w:rsidRPr="005E072A">
        <w:rPr>
          <w:rFonts w:eastAsia="Arial"/>
        </w:rPr>
        <w:t>r</w:t>
      </w:r>
      <w:r w:rsidRPr="005E072A">
        <w:rPr>
          <w:rFonts w:eastAsia="Arial"/>
          <w:spacing w:val="-3"/>
        </w:rPr>
        <w:t>t</w:t>
      </w:r>
      <w:r w:rsidRPr="005E072A">
        <w:rPr>
          <w:rFonts w:eastAsia="Arial"/>
          <w:spacing w:val="1"/>
        </w:rPr>
        <w:t>a</w:t>
      </w:r>
      <w:r w:rsidRPr="005E072A">
        <w:rPr>
          <w:rFonts w:eastAsia="Arial"/>
          <w:spacing w:val="-1"/>
        </w:rPr>
        <w:t>m</w:t>
      </w:r>
      <w:r w:rsidRPr="005E072A">
        <w:rPr>
          <w:rFonts w:eastAsia="Arial"/>
          <w:spacing w:val="1"/>
        </w:rPr>
        <w:t>en</w:t>
      </w:r>
      <w:r w:rsidRPr="005E072A">
        <w:rPr>
          <w:rFonts w:eastAsia="Arial"/>
          <w:spacing w:val="-2"/>
        </w:rPr>
        <w:t>t</w:t>
      </w:r>
      <w:r w:rsidRPr="005E072A">
        <w:rPr>
          <w:rFonts w:eastAsia="Arial"/>
        </w:rPr>
        <w:t>o</w:t>
      </w:r>
      <w:r>
        <w:rPr>
          <w:rFonts w:eastAsia="Arial"/>
        </w:rPr>
        <w:t xml:space="preserve"> </w:t>
      </w:r>
      <w:r w:rsidRPr="005E072A">
        <w:rPr>
          <w:rFonts w:eastAsia="Arial"/>
        </w:rPr>
        <w:t>s</w:t>
      </w:r>
      <w:r w:rsidRPr="005E072A">
        <w:rPr>
          <w:rFonts w:eastAsia="Arial"/>
          <w:spacing w:val="1"/>
        </w:rPr>
        <w:t>o</w:t>
      </w:r>
      <w:r w:rsidRPr="005E072A">
        <w:rPr>
          <w:rFonts w:eastAsia="Arial"/>
        </w:rPr>
        <w:t>n</w:t>
      </w:r>
      <w:r>
        <w:rPr>
          <w:rFonts w:eastAsia="Arial"/>
        </w:rPr>
        <w:t xml:space="preserve"> </w:t>
      </w:r>
      <w:r w:rsidRPr="005E072A">
        <w:rPr>
          <w:rFonts w:eastAsia="Arial"/>
          <w:spacing w:val="-3"/>
        </w:rPr>
        <w:t>r</w:t>
      </w:r>
      <w:r w:rsidRPr="005E072A">
        <w:rPr>
          <w:rFonts w:eastAsia="Arial"/>
          <w:spacing w:val="-1"/>
        </w:rPr>
        <w:t>e</w:t>
      </w:r>
      <w:r w:rsidRPr="005E072A">
        <w:rPr>
          <w:rFonts w:eastAsia="Arial"/>
          <w:spacing w:val="1"/>
        </w:rPr>
        <w:t>no</w:t>
      </w:r>
      <w:r w:rsidRPr="005E072A">
        <w:rPr>
          <w:rFonts w:eastAsia="Arial"/>
          <w:spacing w:val="-2"/>
        </w:rPr>
        <w:t>v</w:t>
      </w:r>
      <w:r w:rsidRPr="005E072A">
        <w:rPr>
          <w:rFonts w:eastAsia="Arial"/>
          <w:spacing w:val="1"/>
        </w:rPr>
        <w:t>ada</w:t>
      </w:r>
      <w:r w:rsidRPr="005E072A">
        <w:rPr>
          <w:rFonts w:eastAsia="Arial"/>
          <w:spacing w:val="2"/>
        </w:rPr>
        <w:t>s</w:t>
      </w:r>
      <w:r w:rsidRPr="005E072A">
        <w:rPr>
          <w:rFonts w:eastAsia="Arial"/>
        </w:rPr>
        <w:t>,</w:t>
      </w:r>
      <w:r>
        <w:rPr>
          <w:rFonts w:eastAsia="Arial"/>
        </w:rPr>
        <w:t xml:space="preserve"> </w:t>
      </w:r>
      <w:r w:rsidRPr="005E072A">
        <w:rPr>
          <w:rFonts w:eastAsia="Arial"/>
        </w:rPr>
        <w:t>y</w:t>
      </w:r>
      <w:r>
        <w:rPr>
          <w:rFonts w:eastAsia="Arial"/>
        </w:rPr>
        <w:t xml:space="preserve"> </w:t>
      </w:r>
      <w:r w:rsidRPr="005E072A">
        <w:rPr>
          <w:rFonts w:eastAsia="Arial"/>
          <w:spacing w:val="1"/>
        </w:rPr>
        <w:t>e</w:t>
      </w:r>
      <w:r w:rsidRPr="005E072A">
        <w:rPr>
          <w:rFonts w:eastAsia="Arial"/>
        </w:rPr>
        <w:t>l</w:t>
      </w:r>
      <w:r>
        <w:rPr>
          <w:rFonts w:eastAsia="Arial"/>
        </w:rPr>
        <w:t xml:space="preserve"> </w:t>
      </w:r>
      <w:r w:rsidRPr="00575AA9">
        <w:rPr>
          <w:rFonts w:eastAsia="Arial"/>
          <w:spacing w:val="1"/>
        </w:rPr>
        <w:t>0</w:t>
      </w:r>
      <w:r w:rsidRPr="00575AA9">
        <w:rPr>
          <w:rFonts w:eastAsia="Arial"/>
        </w:rPr>
        <w:t>,</w:t>
      </w:r>
      <w:r w:rsidRPr="00575AA9">
        <w:rPr>
          <w:rFonts w:eastAsia="Arial"/>
          <w:spacing w:val="1"/>
        </w:rPr>
        <w:t>79</w:t>
      </w:r>
      <w:r w:rsidRPr="00575AA9">
        <w:rPr>
          <w:rFonts w:eastAsia="Arial"/>
          <w:spacing w:val="-2"/>
        </w:rPr>
        <w:t>%</w:t>
      </w:r>
      <w:r w:rsidRPr="00575AA9">
        <w:rPr>
          <w:rFonts w:eastAsia="Arial"/>
        </w:rPr>
        <w:t>,</w:t>
      </w:r>
      <w:r>
        <w:rPr>
          <w:rFonts w:eastAsia="Arial"/>
          <w:b/>
        </w:rPr>
        <w:t xml:space="preserve"> </w:t>
      </w:r>
      <w:r w:rsidRPr="005E072A">
        <w:rPr>
          <w:rFonts w:eastAsia="Arial"/>
        </w:rPr>
        <w:t>se</w:t>
      </w:r>
      <w:r>
        <w:rPr>
          <w:rFonts w:eastAsia="Arial"/>
        </w:rPr>
        <w:t xml:space="preserve"> </w:t>
      </w:r>
      <w:r w:rsidRPr="005E072A">
        <w:rPr>
          <w:rFonts w:eastAsia="Arial"/>
          <w:spacing w:val="-1"/>
        </w:rPr>
        <w:t>m</w:t>
      </w:r>
      <w:r w:rsidRPr="005E072A">
        <w:rPr>
          <w:rFonts w:eastAsia="Arial"/>
          <w:spacing w:val="1"/>
        </w:rPr>
        <w:t>a</w:t>
      </w:r>
      <w:r w:rsidRPr="005E072A">
        <w:rPr>
          <w:rFonts w:eastAsia="Arial"/>
        </w:rPr>
        <w:t>tricular</w:t>
      </w:r>
      <w:r w:rsidRPr="005E072A">
        <w:rPr>
          <w:rFonts w:eastAsia="Arial"/>
          <w:spacing w:val="-2"/>
        </w:rPr>
        <w:t>o</w:t>
      </w:r>
      <w:r w:rsidRPr="005E072A">
        <w:rPr>
          <w:rFonts w:eastAsia="Arial"/>
        </w:rPr>
        <w:t>n</w:t>
      </w:r>
      <w:r w:rsidRPr="005E072A">
        <w:rPr>
          <w:rFonts w:eastAsia="Arial"/>
          <w:spacing w:val="1"/>
        </w:rPr>
        <w:t xml:space="preserve"> e</w:t>
      </w:r>
      <w:r w:rsidRPr="005E072A">
        <w:rPr>
          <w:rFonts w:eastAsia="Arial"/>
        </w:rPr>
        <w:t>n</w:t>
      </w:r>
      <w:r>
        <w:rPr>
          <w:rFonts w:eastAsia="Arial"/>
        </w:rPr>
        <w:t xml:space="preserve"> </w:t>
      </w:r>
      <w:r w:rsidRPr="005E072A">
        <w:rPr>
          <w:rFonts w:eastAsia="Arial"/>
          <w:spacing w:val="1"/>
        </w:rPr>
        <w:t>e</w:t>
      </w:r>
      <w:r w:rsidRPr="005E072A">
        <w:rPr>
          <w:rFonts w:eastAsia="Arial"/>
        </w:rPr>
        <w:t>l tr</w:t>
      </w:r>
      <w:r w:rsidRPr="005E072A">
        <w:rPr>
          <w:rFonts w:eastAsia="Arial"/>
          <w:spacing w:val="-2"/>
        </w:rPr>
        <w:t>a</w:t>
      </w:r>
      <w:r w:rsidRPr="005E072A">
        <w:rPr>
          <w:rFonts w:eastAsia="Arial"/>
          <w:spacing w:val="1"/>
        </w:rPr>
        <w:t>n</w:t>
      </w:r>
      <w:r w:rsidRPr="005E072A">
        <w:rPr>
          <w:rFonts w:eastAsia="Arial"/>
        </w:rPr>
        <w:t>sc</w:t>
      </w:r>
      <w:r w:rsidRPr="005E072A">
        <w:rPr>
          <w:rFonts w:eastAsia="Arial"/>
          <w:spacing w:val="1"/>
        </w:rPr>
        <w:t>u</w:t>
      </w:r>
      <w:r w:rsidRPr="005E072A">
        <w:rPr>
          <w:rFonts w:eastAsia="Arial"/>
        </w:rPr>
        <w:t>rso</w:t>
      </w:r>
      <w:r>
        <w:rPr>
          <w:rFonts w:eastAsia="Arial"/>
        </w:rPr>
        <w:t xml:space="preserve"> </w:t>
      </w:r>
      <w:r w:rsidRPr="005E072A">
        <w:rPr>
          <w:rFonts w:eastAsia="Arial"/>
          <w:spacing w:val="1"/>
        </w:rPr>
        <w:t>de</w:t>
      </w:r>
      <w:r w:rsidRPr="005E072A">
        <w:rPr>
          <w:rFonts w:eastAsia="Arial"/>
        </w:rPr>
        <w:t>l</w:t>
      </w:r>
      <w:r>
        <w:rPr>
          <w:rFonts w:eastAsia="Arial"/>
        </w:rPr>
        <w:t xml:space="preserve"> </w:t>
      </w:r>
      <w:r w:rsidRPr="005E072A">
        <w:rPr>
          <w:rFonts w:eastAsia="Arial"/>
          <w:spacing w:val="1"/>
        </w:rPr>
        <w:t>año</w:t>
      </w:r>
      <w:r w:rsidRPr="005E072A">
        <w:rPr>
          <w:rFonts w:eastAsia="Arial"/>
        </w:rPr>
        <w:t>.</w:t>
      </w:r>
    </w:p>
    <w:p w:rsidR="00406FF7" w:rsidRDefault="00406FF7" w:rsidP="003B3716">
      <w:pPr>
        <w:spacing w:line="360" w:lineRule="auto"/>
        <w:ind w:firstLine="284"/>
        <w:rPr>
          <w:rFonts w:eastAsia="Arial"/>
        </w:rPr>
      </w:pPr>
    </w:p>
    <w:p w:rsidR="003B3716" w:rsidRDefault="00406FF7" w:rsidP="003B3716">
      <w:pPr>
        <w:spacing w:line="360" w:lineRule="auto"/>
        <w:ind w:firstLine="284"/>
        <w:jc w:val="both"/>
        <w:rPr>
          <w:rFonts w:eastAsia="Arial"/>
          <w:position w:val="-1"/>
        </w:rPr>
      </w:pPr>
      <w:r w:rsidRPr="00B73E7A">
        <w:rPr>
          <w:rFonts w:eastAsia="Arial"/>
        </w:rPr>
        <w:t xml:space="preserve">El </w:t>
      </w:r>
      <w:r w:rsidRPr="00B73E7A">
        <w:rPr>
          <w:rFonts w:eastAsia="Arial"/>
          <w:spacing w:val="1"/>
        </w:rPr>
        <w:t>mun</w:t>
      </w:r>
      <w:r w:rsidRPr="00B73E7A">
        <w:rPr>
          <w:rFonts w:eastAsia="Arial"/>
        </w:rPr>
        <w:t>ic</w:t>
      </w:r>
      <w:r w:rsidRPr="00B73E7A">
        <w:rPr>
          <w:rFonts w:eastAsia="Arial"/>
          <w:spacing w:val="-1"/>
        </w:rPr>
        <w:t>i</w:t>
      </w:r>
      <w:r w:rsidRPr="00B73E7A">
        <w:rPr>
          <w:rFonts w:eastAsia="Arial"/>
          <w:spacing w:val="1"/>
        </w:rPr>
        <w:t>p</w:t>
      </w:r>
      <w:r w:rsidRPr="00B73E7A">
        <w:rPr>
          <w:rFonts w:eastAsia="Arial"/>
        </w:rPr>
        <w:t xml:space="preserve">io </w:t>
      </w:r>
      <w:r w:rsidRPr="00B73E7A">
        <w:rPr>
          <w:rFonts w:eastAsia="Arial"/>
          <w:spacing w:val="-1"/>
        </w:rPr>
        <w:t>d</w:t>
      </w:r>
      <w:r w:rsidRPr="00B73E7A">
        <w:rPr>
          <w:rFonts w:eastAsia="Arial"/>
        </w:rPr>
        <w:t xml:space="preserve">e </w:t>
      </w:r>
      <w:r w:rsidRPr="00B73E7A">
        <w:rPr>
          <w:rFonts w:eastAsia="Arial"/>
          <w:spacing w:val="1"/>
        </w:rPr>
        <w:t>L</w:t>
      </w:r>
      <w:r w:rsidRPr="00B73E7A">
        <w:rPr>
          <w:rFonts w:eastAsia="Arial"/>
        </w:rPr>
        <w:t xml:space="preserve">a </w:t>
      </w:r>
      <w:r w:rsidRPr="00B73E7A">
        <w:rPr>
          <w:rFonts w:eastAsia="Arial"/>
          <w:spacing w:val="2"/>
        </w:rPr>
        <w:t>T</w:t>
      </w:r>
      <w:r w:rsidRPr="00B73E7A">
        <w:rPr>
          <w:rFonts w:eastAsia="Arial"/>
          <w:spacing w:val="-1"/>
        </w:rPr>
        <w:t>e</w:t>
      </w:r>
      <w:r w:rsidRPr="00B73E7A">
        <w:rPr>
          <w:rFonts w:eastAsia="Arial"/>
          <w:spacing w:val="1"/>
        </w:rPr>
        <w:t>ba</w:t>
      </w:r>
      <w:r w:rsidRPr="00B73E7A">
        <w:rPr>
          <w:rFonts w:eastAsia="Arial"/>
        </w:rPr>
        <w:t>ida ti</w:t>
      </w:r>
      <w:r w:rsidRPr="00B73E7A">
        <w:rPr>
          <w:rFonts w:eastAsia="Arial"/>
          <w:spacing w:val="-1"/>
        </w:rPr>
        <w:t>e</w:t>
      </w:r>
      <w:r w:rsidRPr="00B73E7A">
        <w:rPr>
          <w:rFonts w:eastAsia="Arial"/>
          <w:spacing w:val="1"/>
        </w:rPr>
        <w:t>n</w:t>
      </w:r>
      <w:r w:rsidRPr="00B73E7A">
        <w:rPr>
          <w:rFonts w:eastAsia="Arial"/>
        </w:rPr>
        <w:t xml:space="preserve">e </w:t>
      </w:r>
      <w:r w:rsidRPr="00B73E7A">
        <w:rPr>
          <w:rFonts w:eastAsia="Arial"/>
          <w:spacing w:val="1"/>
        </w:rPr>
        <w:t>u</w:t>
      </w:r>
      <w:r w:rsidRPr="00B73E7A">
        <w:rPr>
          <w:rFonts w:eastAsia="Arial"/>
          <w:spacing w:val="-1"/>
        </w:rPr>
        <w:t>n</w:t>
      </w:r>
      <w:r w:rsidRPr="00B73E7A">
        <w:rPr>
          <w:rFonts w:eastAsia="Arial"/>
        </w:rPr>
        <w:t>a re</w:t>
      </w:r>
      <w:r w:rsidRPr="00B73E7A">
        <w:rPr>
          <w:rFonts w:eastAsia="Arial"/>
          <w:spacing w:val="1"/>
        </w:rPr>
        <w:t>p</w:t>
      </w:r>
      <w:r w:rsidRPr="00B73E7A">
        <w:rPr>
          <w:rFonts w:eastAsia="Arial"/>
        </w:rPr>
        <w:t>r</w:t>
      </w:r>
      <w:r w:rsidRPr="00B73E7A">
        <w:rPr>
          <w:rFonts w:eastAsia="Arial"/>
          <w:spacing w:val="-2"/>
        </w:rPr>
        <w:t>e</w:t>
      </w:r>
      <w:r w:rsidRPr="00B73E7A">
        <w:rPr>
          <w:rFonts w:eastAsia="Arial"/>
        </w:rPr>
        <w:t>s</w:t>
      </w:r>
      <w:r w:rsidRPr="00B73E7A">
        <w:rPr>
          <w:rFonts w:eastAsia="Arial"/>
          <w:spacing w:val="1"/>
        </w:rPr>
        <w:t>en</w:t>
      </w:r>
      <w:r w:rsidRPr="00B73E7A">
        <w:rPr>
          <w:rFonts w:eastAsia="Arial"/>
        </w:rPr>
        <w:t>t</w:t>
      </w:r>
      <w:r w:rsidRPr="00B73E7A">
        <w:rPr>
          <w:rFonts w:eastAsia="Arial"/>
          <w:spacing w:val="1"/>
        </w:rPr>
        <w:t>a</w:t>
      </w:r>
      <w:r w:rsidRPr="00B73E7A">
        <w:rPr>
          <w:rFonts w:eastAsia="Arial"/>
        </w:rPr>
        <w:t>c</w:t>
      </w:r>
      <w:r w:rsidRPr="00B73E7A">
        <w:rPr>
          <w:rFonts w:eastAsia="Arial"/>
          <w:spacing w:val="-3"/>
        </w:rPr>
        <w:t>i</w:t>
      </w:r>
      <w:r w:rsidRPr="00B73E7A">
        <w:rPr>
          <w:rFonts w:eastAsia="Arial"/>
          <w:spacing w:val="1"/>
        </w:rPr>
        <w:t>ó</w:t>
      </w:r>
      <w:r w:rsidRPr="00B73E7A">
        <w:rPr>
          <w:rFonts w:eastAsia="Arial"/>
        </w:rPr>
        <w:t xml:space="preserve">n </w:t>
      </w:r>
      <w:r w:rsidRPr="00B73E7A">
        <w:rPr>
          <w:rFonts w:eastAsia="Arial"/>
          <w:spacing w:val="1"/>
        </w:rPr>
        <w:t>e</w:t>
      </w:r>
      <w:r w:rsidRPr="00B73E7A">
        <w:rPr>
          <w:rFonts w:eastAsia="Arial"/>
        </w:rPr>
        <w:t xml:space="preserve">n </w:t>
      </w:r>
      <w:r w:rsidRPr="00B73E7A">
        <w:rPr>
          <w:rFonts w:eastAsia="Arial"/>
          <w:spacing w:val="1"/>
        </w:rPr>
        <w:t>e</w:t>
      </w:r>
      <w:r w:rsidRPr="00B73E7A">
        <w:rPr>
          <w:rFonts w:eastAsia="Arial"/>
        </w:rPr>
        <w:t>l t</w:t>
      </w:r>
      <w:r w:rsidRPr="00B73E7A">
        <w:rPr>
          <w:rFonts w:eastAsia="Arial"/>
          <w:spacing w:val="1"/>
        </w:rPr>
        <w:t>o</w:t>
      </w:r>
      <w:r w:rsidRPr="00B73E7A">
        <w:rPr>
          <w:rFonts w:eastAsia="Arial"/>
          <w:spacing w:val="-2"/>
        </w:rPr>
        <w:t>t</w:t>
      </w:r>
      <w:r w:rsidRPr="00B73E7A">
        <w:rPr>
          <w:rFonts w:eastAsia="Arial"/>
          <w:spacing w:val="1"/>
        </w:rPr>
        <w:t>a</w:t>
      </w:r>
      <w:r w:rsidRPr="00B73E7A">
        <w:rPr>
          <w:rFonts w:eastAsia="Arial"/>
        </w:rPr>
        <w:t xml:space="preserve">l </w:t>
      </w:r>
      <w:r w:rsidRPr="00B73E7A">
        <w:rPr>
          <w:rFonts w:eastAsia="Arial"/>
          <w:spacing w:val="-1"/>
        </w:rPr>
        <w:t>d</w:t>
      </w:r>
      <w:r w:rsidRPr="00B73E7A">
        <w:rPr>
          <w:rFonts w:eastAsia="Arial"/>
        </w:rPr>
        <w:t>e las</w:t>
      </w:r>
      <w:r>
        <w:rPr>
          <w:rFonts w:eastAsia="Arial"/>
        </w:rPr>
        <w:t xml:space="preserve"> </w:t>
      </w:r>
      <w:r w:rsidRPr="00B73E7A">
        <w:rPr>
          <w:rFonts w:eastAsia="Arial"/>
          <w:spacing w:val="1"/>
        </w:rPr>
        <w:t>emp</w:t>
      </w:r>
      <w:r w:rsidRPr="00B73E7A">
        <w:rPr>
          <w:rFonts w:eastAsia="Arial"/>
        </w:rPr>
        <w:t>re</w:t>
      </w:r>
      <w:r w:rsidRPr="00B73E7A">
        <w:rPr>
          <w:rFonts w:eastAsia="Arial"/>
          <w:spacing w:val="-2"/>
        </w:rPr>
        <w:t>s</w:t>
      </w:r>
      <w:r w:rsidRPr="00B73E7A">
        <w:rPr>
          <w:rFonts w:eastAsia="Arial"/>
          <w:spacing w:val="1"/>
        </w:rPr>
        <w:t>a</w:t>
      </w:r>
      <w:r w:rsidRPr="00B73E7A">
        <w:rPr>
          <w:rFonts w:eastAsia="Arial"/>
        </w:rPr>
        <w:t>s re</w:t>
      </w:r>
      <w:r w:rsidRPr="00B73E7A">
        <w:rPr>
          <w:rFonts w:eastAsia="Arial"/>
          <w:spacing w:val="1"/>
        </w:rPr>
        <w:t>no</w:t>
      </w:r>
      <w:r w:rsidRPr="00B73E7A">
        <w:rPr>
          <w:rFonts w:eastAsia="Arial"/>
          <w:spacing w:val="-2"/>
        </w:rPr>
        <w:t>v</w:t>
      </w:r>
      <w:r w:rsidRPr="00B73E7A">
        <w:rPr>
          <w:rFonts w:eastAsia="Arial"/>
          <w:spacing w:val="1"/>
        </w:rPr>
        <w:t>ada</w:t>
      </w:r>
      <w:r w:rsidRPr="00B73E7A">
        <w:rPr>
          <w:rFonts w:eastAsia="Arial"/>
        </w:rPr>
        <w:t xml:space="preserve">s y </w:t>
      </w:r>
      <w:r w:rsidRPr="00B73E7A">
        <w:rPr>
          <w:rFonts w:eastAsia="Arial"/>
          <w:spacing w:val="-1"/>
        </w:rPr>
        <w:t>M</w:t>
      </w:r>
      <w:r w:rsidRPr="00B73E7A">
        <w:rPr>
          <w:rFonts w:eastAsia="Arial"/>
          <w:spacing w:val="1"/>
        </w:rPr>
        <w:t>a</w:t>
      </w:r>
      <w:r w:rsidRPr="00B73E7A">
        <w:rPr>
          <w:rFonts w:eastAsia="Arial"/>
        </w:rPr>
        <w:t>tricula</w:t>
      </w:r>
      <w:r w:rsidRPr="00B73E7A">
        <w:rPr>
          <w:rFonts w:eastAsia="Arial"/>
          <w:spacing w:val="1"/>
        </w:rPr>
        <w:t>da</w:t>
      </w:r>
      <w:r w:rsidRPr="00B73E7A">
        <w:rPr>
          <w:rFonts w:eastAsia="Arial"/>
        </w:rPr>
        <w:t xml:space="preserve">s </w:t>
      </w:r>
      <w:r w:rsidRPr="00B73E7A">
        <w:rPr>
          <w:rFonts w:eastAsia="Arial"/>
          <w:spacing w:val="1"/>
        </w:rPr>
        <w:t>de</w:t>
      </w:r>
      <w:r w:rsidRPr="00B73E7A">
        <w:rPr>
          <w:rFonts w:eastAsia="Arial"/>
        </w:rPr>
        <w:t xml:space="preserve">l </w:t>
      </w:r>
      <w:r w:rsidRPr="00B73E7A">
        <w:rPr>
          <w:rFonts w:eastAsia="Arial"/>
          <w:spacing w:val="-1"/>
        </w:rPr>
        <w:t>d</w:t>
      </w:r>
      <w:r w:rsidRPr="00B73E7A">
        <w:rPr>
          <w:rFonts w:eastAsia="Arial"/>
          <w:spacing w:val="1"/>
        </w:rPr>
        <w:t>e</w:t>
      </w:r>
      <w:r w:rsidRPr="00B73E7A">
        <w:rPr>
          <w:rFonts w:eastAsia="Arial"/>
          <w:spacing w:val="-1"/>
        </w:rPr>
        <w:t>p</w:t>
      </w:r>
      <w:r w:rsidRPr="00B73E7A">
        <w:rPr>
          <w:rFonts w:eastAsia="Arial"/>
          <w:spacing w:val="1"/>
        </w:rPr>
        <w:t>a</w:t>
      </w:r>
      <w:r w:rsidRPr="00B73E7A">
        <w:rPr>
          <w:rFonts w:eastAsia="Arial"/>
        </w:rPr>
        <w:t>rt</w:t>
      </w:r>
      <w:r w:rsidRPr="00B73E7A">
        <w:rPr>
          <w:rFonts w:eastAsia="Arial"/>
          <w:spacing w:val="-2"/>
        </w:rPr>
        <w:t>a</w:t>
      </w:r>
      <w:r w:rsidRPr="00B73E7A">
        <w:rPr>
          <w:rFonts w:eastAsia="Arial"/>
          <w:spacing w:val="1"/>
        </w:rPr>
        <w:t>me</w:t>
      </w:r>
      <w:r w:rsidRPr="00B73E7A">
        <w:rPr>
          <w:rFonts w:eastAsia="Arial"/>
          <w:spacing w:val="-1"/>
        </w:rPr>
        <w:t>n</w:t>
      </w:r>
      <w:r w:rsidRPr="00B73E7A">
        <w:rPr>
          <w:rFonts w:eastAsia="Arial"/>
        </w:rPr>
        <w:t>t</w:t>
      </w:r>
      <w:r w:rsidRPr="00B73E7A">
        <w:rPr>
          <w:rFonts w:eastAsia="Arial"/>
          <w:spacing w:val="1"/>
        </w:rPr>
        <w:t>o</w:t>
      </w:r>
      <w:r w:rsidRPr="00B73E7A">
        <w:rPr>
          <w:rFonts w:eastAsia="Arial"/>
        </w:rPr>
        <w:t xml:space="preserve">, </w:t>
      </w:r>
      <w:r w:rsidRPr="00B73E7A">
        <w:rPr>
          <w:rFonts w:eastAsia="Arial"/>
          <w:spacing w:val="-1"/>
        </w:rPr>
        <w:t>d</w:t>
      </w:r>
      <w:r w:rsidRPr="00B73E7A">
        <w:rPr>
          <w:rFonts w:eastAsia="Arial"/>
          <w:spacing w:val="1"/>
        </w:rPr>
        <w:t>e</w:t>
      </w:r>
      <w:r w:rsidRPr="00B73E7A">
        <w:rPr>
          <w:rFonts w:eastAsia="Arial"/>
        </w:rPr>
        <w:t xml:space="preserve">l </w:t>
      </w:r>
      <w:r w:rsidRPr="00B73E7A">
        <w:rPr>
          <w:rFonts w:eastAsia="Arial"/>
          <w:spacing w:val="1"/>
        </w:rPr>
        <w:t>5</w:t>
      </w:r>
      <w:r w:rsidRPr="00B73E7A">
        <w:rPr>
          <w:rFonts w:eastAsia="Arial"/>
          <w:spacing w:val="-2"/>
        </w:rPr>
        <w:t>,</w:t>
      </w:r>
      <w:r w:rsidRPr="00B73E7A">
        <w:rPr>
          <w:rFonts w:eastAsia="Arial"/>
          <w:spacing w:val="1"/>
        </w:rPr>
        <w:t>1</w:t>
      </w:r>
      <w:r>
        <w:rPr>
          <w:rFonts w:eastAsia="Arial"/>
        </w:rPr>
        <w:t>1 %</w:t>
      </w:r>
      <w:r w:rsidRPr="00B73E7A">
        <w:rPr>
          <w:rFonts w:eastAsia="Arial"/>
        </w:rPr>
        <w:t xml:space="preserve"> </w:t>
      </w:r>
      <w:r w:rsidRPr="00B73E7A">
        <w:rPr>
          <w:rFonts w:eastAsia="Arial"/>
          <w:spacing w:val="1"/>
        </w:rPr>
        <w:t>pa</w:t>
      </w:r>
      <w:r w:rsidRPr="00B73E7A">
        <w:rPr>
          <w:rFonts w:eastAsia="Arial"/>
        </w:rPr>
        <w:t xml:space="preserve">ra las </w:t>
      </w:r>
      <w:r w:rsidRPr="00B73E7A">
        <w:rPr>
          <w:rFonts w:eastAsia="Arial"/>
          <w:spacing w:val="1"/>
        </w:rPr>
        <w:t>d</w:t>
      </w:r>
      <w:r w:rsidRPr="00B73E7A">
        <w:rPr>
          <w:rFonts w:eastAsia="Arial"/>
          <w:spacing w:val="-3"/>
        </w:rPr>
        <w:t>i</w:t>
      </w:r>
      <w:r w:rsidRPr="00B73E7A">
        <w:rPr>
          <w:rFonts w:eastAsia="Arial"/>
          <w:spacing w:val="3"/>
        </w:rPr>
        <w:t>f</w:t>
      </w:r>
      <w:r w:rsidRPr="00B73E7A">
        <w:rPr>
          <w:rFonts w:eastAsia="Arial"/>
          <w:spacing w:val="1"/>
        </w:rPr>
        <w:t>e</w:t>
      </w:r>
      <w:r w:rsidRPr="00B73E7A">
        <w:rPr>
          <w:rFonts w:eastAsia="Arial"/>
        </w:rPr>
        <w:t>r</w:t>
      </w:r>
      <w:r w:rsidRPr="00B73E7A">
        <w:rPr>
          <w:rFonts w:eastAsia="Arial"/>
          <w:spacing w:val="-2"/>
        </w:rPr>
        <w:t>e</w:t>
      </w:r>
      <w:r w:rsidRPr="00B73E7A">
        <w:rPr>
          <w:rFonts w:eastAsia="Arial"/>
          <w:spacing w:val="1"/>
        </w:rPr>
        <w:t>n</w:t>
      </w:r>
      <w:r w:rsidRPr="00B73E7A">
        <w:rPr>
          <w:rFonts w:eastAsia="Arial"/>
          <w:spacing w:val="-2"/>
        </w:rPr>
        <w:t>t</w:t>
      </w:r>
      <w:r w:rsidRPr="00B73E7A">
        <w:rPr>
          <w:rFonts w:eastAsia="Arial"/>
          <w:spacing w:val="-1"/>
        </w:rPr>
        <w:t>e</w:t>
      </w:r>
      <w:r w:rsidRPr="00B73E7A">
        <w:rPr>
          <w:rFonts w:eastAsia="Arial"/>
        </w:rPr>
        <w:t>s</w:t>
      </w:r>
      <w:r>
        <w:rPr>
          <w:rFonts w:eastAsia="Arial"/>
        </w:rPr>
        <w:t xml:space="preserve"> </w:t>
      </w:r>
      <w:r w:rsidRPr="00B73E7A">
        <w:rPr>
          <w:rFonts w:eastAsia="Arial"/>
          <w:position w:val="-1"/>
        </w:rPr>
        <w:t>c</w:t>
      </w:r>
      <w:r w:rsidRPr="00B73E7A">
        <w:rPr>
          <w:rFonts w:eastAsia="Arial"/>
          <w:spacing w:val="1"/>
          <w:position w:val="-1"/>
        </w:rPr>
        <w:t>a</w:t>
      </w:r>
      <w:r w:rsidRPr="00B73E7A">
        <w:rPr>
          <w:rFonts w:eastAsia="Arial"/>
          <w:position w:val="-1"/>
        </w:rPr>
        <w:t>t</w:t>
      </w:r>
      <w:r w:rsidRPr="00B73E7A">
        <w:rPr>
          <w:rFonts w:eastAsia="Arial"/>
          <w:spacing w:val="1"/>
          <w:position w:val="-1"/>
        </w:rPr>
        <w:t>e</w:t>
      </w:r>
      <w:r w:rsidRPr="00B73E7A">
        <w:rPr>
          <w:rFonts w:eastAsia="Arial"/>
          <w:spacing w:val="-1"/>
          <w:position w:val="-1"/>
        </w:rPr>
        <w:t>g</w:t>
      </w:r>
      <w:r w:rsidRPr="00B73E7A">
        <w:rPr>
          <w:rFonts w:eastAsia="Arial"/>
          <w:spacing w:val="1"/>
          <w:position w:val="-1"/>
        </w:rPr>
        <w:t>o</w:t>
      </w:r>
      <w:r w:rsidRPr="00B73E7A">
        <w:rPr>
          <w:rFonts w:eastAsia="Arial"/>
          <w:position w:val="-1"/>
        </w:rPr>
        <w:t>r</w:t>
      </w:r>
      <w:r w:rsidRPr="00B73E7A">
        <w:rPr>
          <w:rFonts w:eastAsia="Arial"/>
          <w:spacing w:val="-3"/>
          <w:position w:val="-1"/>
        </w:rPr>
        <w:t>í</w:t>
      </w:r>
      <w:r w:rsidRPr="00B73E7A">
        <w:rPr>
          <w:rFonts w:eastAsia="Arial"/>
          <w:spacing w:val="1"/>
          <w:position w:val="-1"/>
        </w:rPr>
        <w:t>as</w:t>
      </w:r>
      <w:r w:rsidRPr="006F5CCA">
        <w:rPr>
          <w:rFonts w:ascii="Arial" w:eastAsia="Arial" w:hAnsi="Arial" w:cs="Arial"/>
          <w:position w:val="-1"/>
        </w:rPr>
        <w:t>.</w:t>
      </w:r>
      <w:r>
        <w:rPr>
          <w:rFonts w:ascii="Arial" w:eastAsia="Arial" w:hAnsi="Arial" w:cs="Arial"/>
          <w:position w:val="-1"/>
        </w:rPr>
        <w:t xml:space="preserve"> </w:t>
      </w:r>
      <w:r w:rsidRPr="00DF0CE4">
        <w:rPr>
          <w:rFonts w:eastAsia="Arial"/>
        </w:rPr>
        <w:t xml:space="preserve">Montenegro, </w:t>
      </w:r>
      <w:r w:rsidRPr="00DF0CE4">
        <w:rPr>
          <w:rFonts w:eastAsia="Arial"/>
          <w:spacing w:val="1"/>
        </w:rPr>
        <w:t>a</w:t>
      </w:r>
      <w:r w:rsidRPr="00DF0CE4">
        <w:rPr>
          <w:rFonts w:eastAsia="Arial"/>
          <w:spacing w:val="-1"/>
        </w:rPr>
        <w:t>p</w:t>
      </w:r>
      <w:r w:rsidRPr="00DF0CE4">
        <w:rPr>
          <w:rFonts w:eastAsia="Arial"/>
          <w:spacing w:val="1"/>
        </w:rPr>
        <w:t>o</w:t>
      </w:r>
      <w:r w:rsidRPr="00DF0CE4">
        <w:rPr>
          <w:rFonts w:eastAsia="Arial"/>
        </w:rPr>
        <w:t xml:space="preserve">rta </w:t>
      </w:r>
      <w:r w:rsidRPr="00DF0CE4">
        <w:rPr>
          <w:rFonts w:eastAsia="Arial"/>
          <w:spacing w:val="1"/>
        </w:rPr>
        <w:t>e</w:t>
      </w:r>
      <w:r w:rsidRPr="00DF0CE4">
        <w:rPr>
          <w:rFonts w:eastAsia="Arial"/>
        </w:rPr>
        <w:t xml:space="preserve">l </w:t>
      </w:r>
      <w:r w:rsidRPr="00575AA9">
        <w:rPr>
          <w:rFonts w:eastAsia="Arial"/>
          <w:spacing w:val="1"/>
        </w:rPr>
        <w:t>5</w:t>
      </w:r>
      <w:r w:rsidRPr="00575AA9">
        <w:rPr>
          <w:rFonts w:eastAsia="Arial"/>
        </w:rPr>
        <w:t>,</w:t>
      </w:r>
      <w:r w:rsidRPr="00575AA9">
        <w:rPr>
          <w:rFonts w:eastAsia="Arial"/>
          <w:spacing w:val="-1"/>
        </w:rPr>
        <w:t>4</w:t>
      </w:r>
      <w:r w:rsidRPr="00575AA9">
        <w:rPr>
          <w:rFonts w:eastAsia="Arial"/>
          <w:spacing w:val="1"/>
        </w:rPr>
        <w:t>9</w:t>
      </w:r>
      <w:r w:rsidRPr="00575AA9">
        <w:rPr>
          <w:rFonts w:eastAsia="Arial"/>
        </w:rPr>
        <w:t>%</w:t>
      </w:r>
      <w:r w:rsidRPr="00DF0CE4">
        <w:rPr>
          <w:rFonts w:eastAsia="Arial"/>
          <w:b/>
        </w:rPr>
        <w:t xml:space="preserve"> </w:t>
      </w:r>
      <w:r w:rsidRPr="00DF0CE4">
        <w:rPr>
          <w:rFonts w:eastAsia="Arial"/>
          <w:spacing w:val="1"/>
        </w:rPr>
        <w:t>a</w:t>
      </w:r>
      <w:r w:rsidRPr="00DF0CE4">
        <w:rPr>
          <w:rFonts w:eastAsia="Arial"/>
        </w:rPr>
        <w:t>l t</w:t>
      </w:r>
      <w:r w:rsidRPr="00DF0CE4">
        <w:rPr>
          <w:rFonts w:eastAsia="Arial"/>
          <w:spacing w:val="1"/>
        </w:rPr>
        <w:t>o</w:t>
      </w:r>
      <w:r w:rsidRPr="00DF0CE4">
        <w:rPr>
          <w:rFonts w:eastAsia="Arial"/>
        </w:rPr>
        <w:t>t</w:t>
      </w:r>
      <w:r w:rsidRPr="00DF0CE4">
        <w:rPr>
          <w:rFonts w:eastAsia="Arial"/>
          <w:spacing w:val="1"/>
        </w:rPr>
        <w:t>a</w:t>
      </w:r>
      <w:r w:rsidRPr="00DF0CE4">
        <w:rPr>
          <w:rFonts w:eastAsia="Arial"/>
        </w:rPr>
        <w:t xml:space="preserve">l </w:t>
      </w:r>
      <w:r w:rsidRPr="00DF0CE4">
        <w:rPr>
          <w:rFonts w:eastAsia="Arial"/>
          <w:spacing w:val="-1"/>
        </w:rPr>
        <w:t>d</w:t>
      </w:r>
      <w:r w:rsidRPr="00DF0CE4">
        <w:rPr>
          <w:rFonts w:eastAsia="Arial"/>
        </w:rPr>
        <w:t xml:space="preserve">e las </w:t>
      </w:r>
      <w:r w:rsidRPr="00DF0CE4">
        <w:rPr>
          <w:rFonts w:eastAsia="Arial"/>
          <w:spacing w:val="1"/>
        </w:rPr>
        <w:t>e</w:t>
      </w:r>
      <w:r w:rsidRPr="00DF0CE4">
        <w:rPr>
          <w:rFonts w:eastAsia="Arial"/>
          <w:spacing w:val="-1"/>
        </w:rPr>
        <w:t>m</w:t>
      </w:r>
      <w:r w:rsidRPr="00DF0CE4">
        <w:rPr>
          <w:rFonts w:eastAsia="Arial"/>
          <w:spacing w:val="1"/>
        </w:rPr>
        <w:t>p</w:t>
      </w:r>
      <w:r w:rsidRPr="00DF0CE4">
        <w:rPr>
          <w:rFonts w:eastAsia="Arial"/>
        </w:rPr>
        <w:t>res</w:t>
      </w:r>
      <w:r w:rsidRPr="00DF0CE4">
        <w:rPr>
          <w:rFonts w:eastAsia="Arial"/>
          <w:spacing w:val="1"/>
        </w:rPr>
        <w:t>a</w:t>
      </w:r>
      <w:r w:rsidRPr="00DF0CE4">
        <w:rPr>
          <w:rFonts w:eastAsia="Arial"/>
        </w:rPr>
        <w:t xml:space="preserve">s </w:t>
      </w:r>
      <w:r w:rsidRPr="00DF0CE4">
        <w:rPr>
          <w:rFonts w:eastAsia="Arial"/>
          <w:spacing w:val="-1"/>
        </w:rPr>
        <w:t>q</w:t>
      </w:r>
      <w:r w:rsidRPr="00DF0CE4">
        <w:rPr>
          <w:rFonts w:eastAsia="Arial"/>
          <w:spacing w:val="1"/>
        </w:rPr>
        <w:t>u</w:t>
      </w:r>
      <w:r w:rsidRPr="00DF0CE4">
        <w:rPr>
          <w:rFonts w:eastAsia="Arial"/>
        </w:rPr>
        <w:t xml:space="preserve">e </w:t>
      </w:r>
      <w:r w:rsidRPr="00DF0CE4">
        <w:rPr>
          <w:rFonts w:eastAsia="Arial"/>
          <w:spacing w:val="-1"/>
        </w:rPr>
        <w:t>e</w:t>
      </w:r>
      <w:r w:rsidRPr="00DF0CE4">
        <w:rPr>
          <w:rFonts w:eastAsia="Arial"/>
        </w:rPr>
        <w:t>st</w:t>
      </w:r>
      <w:r w:rsidRPr="00DF0CE4">
        <w:rPr>
          <w:rFonts w:eastAsia="Arial"/>
          <w:spacing w:val="1"/>
        </w:rPr>
        <w:t>á</w:t>
      </w:r>
      <w:r w:rsidRPr="00DF0CE4">
        <w:rPr>
          <w:rFonts w:eastAsia="Arial"/>
        </w:rPr>
        <w:t xml:space="preserve">n </w:t>
      </w:r>
      <w:r w:rsidRPr="00DF0CE4">
        <w:rPr>
          <w:rFonts w:eastAsia="Arial"/>
          <w:spacing w:val="-2"/>
        </w:rPr>
        <w:t>v</w:t>
      </w:r>
      <w:r w:rsidRPr="00DF0CE4">
        <w:rPr>
          <w:rFonts w:eastAsia="Arial"/>
        </w:rPr>
        <w:t>i</w:t>
      </w:r>
      <w:r w:rsidRPr="00DF0CE4">
        <w:rPr>
          <w:rFonts w:eastAsia="Arial"/>
          <w:spacing w:val="-2"/>
        </w:rPr>
        <w:t>g</w:t>
      </w:r>
      <w:r w:rsidRPr="00DF0CE4">
        <w:rPr>
          <w:rFonts w:eastAsia="Arial"/>
          <w:spacing w:val="1"/>
        </w:rPr>
        <w:t>en</w:t>
      </w:r>
      <w:r w:rsidRPr="00DF0CE4">
        <w:rPr>
          <w:rFonts w:eastAsia="Arial"/>
        </w:rPr>
        <w:t>t</w:t>
      </w:r>
      <w:r w:rsidRPr="00DF0CE4">
        <w:rPr>
          <w:rFonts w:eastAsia="Arial"/>
          <w:spacing w:val="1"/>
        </w:rPr>
        <w:t>e</w:t>
      </w:r>
      <w:r w:rsidRPr="00DF0CE4">
        <w:rPr>
          <w:rFonts w:eastAsia="Arial"/>
        </w:rPr>
        <w:t>s y f</w:t>
      </w:r>
      <w:r w:rsidRPr="00DF0CE4">
        <w:rPr>
          <w:rFonts w:eastAsia="Arial"/>
          <w:spacing w:val="1"/>
        </w:rPr>
        <w:t>o</w:t>
      </w:r>
      <w:r w:rsidRPr="00DF0CE4">
        <w:rPr>
          <w:rFonts w:eastAsia="Arial"/>
        </w:rPr>
        <w:t>r</w:t>
      </w:r>
      <w:r w:rsidRPr="00DF0CE4">
        <w:rPr>
          <w:rFonts w:eastAsia="Arial"/>
          <w:spacing w:val="1"/>
        </w:rPr>
        <w:t>ma</w:t>
      </w:r>
      <w:r w:rsidRPr="00DF0CE4">
        <w:rPr>
          <w:rFonts w:eastAsia="Arial"/>
        </w:rPr>
        <w:t>l</w:t>
      </w:r>
      <w:r w:rsidRPr="00DF0CE4">
        <w:rPr>
          <w:rFonts w:eastAsia="Arial"/>
          <w:spacing w:val="-1"/>
        </w:rPr>
        <w:t>i</w:t>
      </w:r>
      <w:r w:rsidRPr="00DF0CE4">
        <w:rPr>
          <w:rFonts w:eastAsia="Arial"/>
          <w:spacing w:val="-2"/>
        </w:rPr>
        <w:t>z</w:t>
      </w:r>
      <w:r w:rsidRPr="00DF0CE4">
        <w:rPr>
          <w:rFonts w:eastAsia="Arial"/>
          <w:spacing w:val="1"/>
        </w:rPr>
        <w:t>ada</w:t>
      </w:r>
      <w:r w:rsidRPr="00DF0CE4">
        <w:rPr>
          <w:rFonts w:eastAsia="Arial"/>
        </w:rPr>
        <w:t xml:space="preserve">s </w:t>
      </w:r>
      <w:r w:rsidRPr="00DF0CE4">
        <w:rPr>
          <w:rFonts w:eastAsia="Arial"/>
          <w:spacing w:val="-1"/>
        </w:rPr>
        <w:t>e</w:t>
      </w:r>
      <w:r w:rsidRPr="00DF0CE4">
        <w:rPr>
          <w:rFonts w:eastAsia="Arial"/>
        </w:rPr>
        <w:t xml:space="preserve">n </w:t>
      </w:r>
      <w:r w:rsidRPr="00DF0CE4">
        <w:rPr>
          <w:rFonts w:eastAsia="Arial"/>
          <w:spacing w:val="1"/>
        </w:rPr>
        <w:t>e</w:t>
      </w:r>
      <w:r w:rsidRPr="00DF0CE4">
        <w:rPr>
          <w:rFonts w:eastAsia="Arial"/>
        </w:rPr>
        <w:t>l c</w:t>
      </w:r>
      <w:r w:rsidRPr="00DF0CE4">
        <w:rPr>
          <w:rFonts w:eastAsia="Arial"/>
          <w:spacing w:val="-1"/>
        </w:rPr>
        <w:t>o</w:t>
      </w:r>
      <w:r w:rsidRPr="00DF0CE4">
        <w:rPr>
          <w:rFonts w:eastAsia="Arial"/>
          <w:spacing w:val="1"/>
        </w:rPr>
        <w:t>me</w:t>
      </w:r>
      <w:r w:rsidRPr="00DF0CE4">
        <w:rPr>
          <w:rFonts w:eastAsia="Arial"/>
        </w:rPr>
        <w:t>rc</w:t>
      </w:r>
      <w:r w:rsidRPr="00DF0CE4">
        <w:rPr>
          <w:rFonts w:eastAsia="Arial"/>
          <w:spacing w:val="-1"/>
        </w:rPr>
        <w:t>i</w:t>
      </w:r>
      <w:r w:rsidRPr="00DF0CE4">
        <w:rPr>
          <w:rFonts w:eastAsia="Arial"/>
        </w:rPr>
        <w:t xml:space="preserve">o </w:t>
      </w:r>
      <w:r w:rsidRPr="00DF0CE4">
        <w:rPr>
          <w:rFonts w:eastAsia="Arial"/>
          <w:spacing w:val="-1"/>
        </w:rPr>
        <w:t>d</w:t>
      </w:r>
      <w:r w:rsidRPr="00DF0CE4">
        <w:rPr>
          <w:rFonts w:eastAsia="Arial"/>
          <w:spacing w:val="1"/>
        </w:rPr>
        <w:t>e</w:t>
      </w:r>
      <w:r w:rsidRPr="00DF0CE4">
        <w:rPr>
          <w:rFonts w:eastAsia="Arial"/>
        </w:rPr>
        <w:t>l Q</w:t>
      </w:r>
      <w:r w:rsidRPr="00DF0CE4">
        <w:rPr>
          <w:rFonts w:eastAsia="Arial"/>
          <w:spacing w:val="1"/>
        </w:rPr>
        <w:t>u</w:t>
      </w:r>
      <w:r w:rsidRPr="00DF0CE4">
        <w:rPr>
          <w:rFonts w:eastAsia="Arial"/>
        </w:rPr>
        <w:t>in</w:t>
      </w:r>
      <w:r w:rsidRPr="00DF0CE4">
        <w:rPr>
          <w:rFonts w:eastAsia="Arial"/>
          <w:spacing w:val="1"/>
        </w:rPr>
        <w:t>d</w:t>
      </w:r>
      <w:r w:rsidRPr="00DF0CE4">
        <w:rPr>
          <w:rFonts w:eastAsia="Arial"/>
          <w:spacing w:val="-2"/>
        </w:rPr>
        <w:t>í</w:t>
      </w:r>
      <w:r w:rsidRPr="00DF0CE4">
        <w:rPr>
          <w:rFonts w:eastAsia="Arial"/>
          <w:spacing w:val="1"/>
        </w:rPr>
        <w:t>o</w:t>
      </w:r>
      <w:r w:rsidRPr="00DF0CE4">
        <w:rPr>
          <w:rFonts w:eastAsia="Arial"/>
        </w:rPr>
        <w:t xml:space="preserve">, a los </w:t>
      </w:r>
      <w:r w:rsidRPr="00DF0CE4">
        <w:rPr>
          <w:rFonts w:eastAsia="Arial"/>
          <w:spacing w:val="1"/>
        </w:rPr>
        <w:t>e</w:t>
      </w:r>
      <w:r w:rsidRPr="00DF0CE4">
        <w:rPr>
          <w:rFonts w:eastAsia="Arial"/>
        </w:rPr>
        <w:t>st</w:t>
      </w:r>
      <w:r w:rsidRPr="00DF0CE4">
        <w:rPr>
          <w:rFonts w:eastAsia="Arial"/>
          <w:spacing w:val="1"/>
        </w:rPr>
        <w:t>ab</w:t>
      </w:r>
      <w:r w:rsidRPr="00DF0CE4">
        <w:rPr>
          <w:rFonts w:eastAsia="Arial"/>
          <w:spacing w:val="-3"/>
        </w:rPr>
        <w:t>l</w:t>
      </w:r>
      <w:r w:rsidRPr="00DF0CE4">
        <w:rPr>
          <w:rFonts w:eastAsia="Arial"/>
          <w:spacing w:val="1"/>
        </w:rPr>
        <w:t>e</w:t>
      </w:r>
      <w:r w:rsidRPr="00DF0CE4">
        <w:rPr>
          <w:rFonts w:eastAsia="Arial"/>
        </w:rPr>
        <w:t>ci</w:t>
      </w:r>
      <w:r w:rsidRPr="00DF0CE4">
        <w:rPr>
          <w:rFonts w:eastAsia="Arial"/>
          <w:spacing w:val="1"/>
        </w:rPr>
        <w:t>m</w:t>
      </w:r>
      <w:r w:rsidRPr="00DF0CE4">
        <w:rPr>
          <w:rFonts w:eastAsia="Arial"/>
        </w:rPr>
        <w:t>i</w:t>
      </w:r>
      <w:r w:rsidRPr="00DF0CE4">
        <w:rPr>
          <w:rFonts w:eastAsia="Arial"/>
          <w:spacing w:val="-2"/>
        </w:rPr>
        <w:t>e</w:t>
      </w:r>
      <w:r w:rsidRPr="00DF0CE4">
        <w:rPr>
          <w:rFonts w:eastAsia="Arial"/>
          <w:spacing w:val="1"/>
        </w:rPr>
        <w:t>n</w:t>
      </w:r>
      <w:r w:rsidRPr="00DF0CE4">
        <w:rPr>
          <w:rFonts w:eastAsia="Arial"/>
        </w:rPr>
        <w:t>t</w:t>
      </w:r>
      <w:r w:rsidRPr="00DF0CE4">
        <w:rPr>
          <w:rFonts w:eastAsia="Arial"/>
          <w:spacing w:val="1"/>
        </w:rPr>
        <w:t>o</w:t>
      </w:r>
      <w:r w:rsidRPr="00DF0CE4">
        <w:rPr>
          <w:rFonts w:eastAsia="Arial"/>
        </w:rPr>
        <w:t xml:space="preserve">s </w:t>
      </w:r>
      <w:r w:rsidRPr="00DF0CE4">
        <w:rPr>
          <w:rFonts w:eastAsia="Arial"/>
          <w:spacing w:val="-1"/>
        </w:rPr>
        <w:t>q</w:t>
      </w:r>
      <w:r w:rsidRPr="00DF0CE4">
        <w:rPr>
          <w:rFonts w:eastAsia="Arial"/>
          <w:spacing w:val="1"/>
        </w:rPr>
        <w:t>u</w:t>
      </w:r>
      <w:r w:rsidRPr="00DF0CE4">
        <w:rPr>
          <w:rFonts w:eastAsia="Arial"/>
        </w:rPr>
        <w:t>e re</w:t>
      </w:r>
      <w:r w:rsidRPr="00DF0CE4">
        <w:rPr>
          <w:rFonts w:eastAsia="Arial"/>
          <w:spacing w:val="1"/>
        </w:rPr>
        <w:t>no</w:t>
      </w:r>
      <w:r w:rsidRPr="00DF0CE4">
        <w:rPr>
          <w:rFonts w:eastAsia="Arial"/>
          <w:spacing w:val="-2"/>
        </w:rPr>
        <w:t>v</w:t>
      </w:r>
      <w:r w:rsidRPr="00DF0CE4">
        <w:rPr>
          <w:rFonts w:eastAsia="Arial"/>
          <w:spacing w:val="1"/>
        </w:rPr>
        <w:t>a</w:t>
      </w:r>
      <w:r w:rsidRPr="00DF0CE4">
        <w:rPr>
          <w:rFonts w:eastAsia="Arial"/>
        </w:rPr>
        <w:t xml:space="preserve">ron </w:t>
      </w:r>
      <w:r w:rsidRPr="00DF0CE4">
        <w:rPr>
          <w:rFonts w:eastAsia="Arial"/>
          <w:spacing w:val="-1"/>
        </w:rPr>
        <w:t>e</w:t>
      </w:r>
      <w:r w:rsidRPr="00DF0CE4">
        <w:rPr>
          <w:rFonts w:eastAsia="Arial"/>
        </w:rPr>
        <w:t>l Re</w:t>
      </w:r>
      <w:r w:rsidRPr="00DF0CE4">
        <w:rPr>
          <w:rFonts w:eastAsia="Arial"/>
          <w:spacing w:val="-1"/>
        </w:rPr>
        <w:t>g</w:t>
      </w:r>
      <w:r w:rsidRPr="00DF0CE4">
        <w:rPr>
          <w:rFonts w:eastAsia="Arial"/>
        </w:rPr>
        <w:t>istro c</w:t>
      </w:r>
      <w:r w:rsidRPr="00DF0CE4">
        <w:rPr>
          <w:rFonts w:eastAsia="Arial"/>
          <w:spacing w:val="1"/>
        </w:rPr>
        <w:t>o</w:t>
      </w:r>
      <w:r w:rsidRPr="00DF0CE4">
        <w:rPr>
          <w:rFonts w:eastAsia="Arial"/>
          <w:spacing w:val="2"/>
        </w:rPr>
        <w:t>m</w:t>
      </w:r>
      <w:r w:rsidRPr="00DF0CE4">
        <w:rPr>
          <w:rFonts w:eastAsia="Arial"/>
          <w:spacing w:val="1"/>
        </w:rPr>
        <w:t>e</w:t>
      </w:r>
      <w:r w:rsidRPr="00DF0CE4">
        <w:rPr>
          <w:rFonts w:eastAsia="Arial"/>
        </w:rPr>
        <w:t>rc</w:t>
      </w:r>
      <w:r w:rsidRPr="00DF0CE4">
        <w:rPr>
          <w:rFonts w:eastAsia="Arial"/>
          <w:spacing w:val="-1"/>
        </w:rPr>
        <w:t>i</w:t>
      </w:r>
      <w:r w:rsidRPr="00DF0CE4">
        <w:rPr>
          <w:rFonts w:eastAsia="Arial"/>
          <w:spacing w:val="1"/>
        </w:rPr>
        <w:t>a</w:t>
      </w:r>
      <w:r w:rsidRPr="00DF0CE4">
        <w:rPr>
          <w:rFonts w:eastAsia="Arial"/>
        </w:rPr>
        <w:t xml:space="preserve">l, </w:t>
      </w:r>
      <w:r w:rsidRPr="00DF0CE4">
        <w:rPr>
          <w:rFonts w:eastAsia="Arial"/>
          <w:spacing w:val="1"/>
        </w:rPr>
        <w:t>a</w:t>
      </w:r>
      <w:r w:rsidRPr="00DF0CE4">
        <w:rPr>
          <w:rFonts w:eastAsia="Arial"/>
          <w:spacing w:val="-1"/>
        </w:rPr>
        <w:t>p</w:t>
      </w:r>
      <w:r w:rsidRPr="00DF0CE4">
        <w:rPr>
          <w:rFonts w:eastAsia="Arial"/>
          <w:spacing w:val="1"/>
        </w:rPr>
        <w:t>o</w:t>
      </w:r>
      <w:r w:rsidRPr="00DF0CE4">
        <w:rPr>
          <w:rFonts w:eastAsia="Arial"/>
        </w:rPr>
        <w:t xml:space="preserve">rta </w:t>
      </w:r>
      <w:r w:rsidRPr="00DF0CE4">
        <w:rPr>
          <w:rFonts w:eastAsia="Arial"/>
          <w:spacing w:val="1"/>
        </w:rPr>
        <w:t>e</w:t>
      </w:r>
      <w:r w:rsidRPr="00DF0CE4">
        <w:rPr>
          <w:rFonts w:eastAsia="Arial"/>
        </w:rPr>
        <w:t xml:space="preserve">l </w:t>
      </w:r>
      <w:r w:rsidRPr="00575AA9">
        <w:rPr>
          <w:rFonts w:eastAsia="Arial"/>
          <w:spacing w:val="1"/>
        </w:rPr>
        <w:t>5</w:t>
      </w:r>
      <w:r w:rsidRPr="00575AA9">
        <w:rPr>
          <w:rFonts w:eastAsia="Arial"/>
        </w:rPr>
        <w:t>,</w:t>
      </w:r>
      <w:r w:rsidRPr="00575AA9">
        <w:rPr>
          <w:rFonts w:eastAsia="Arial"/>
          <w:spacing w:val="1"/>
        </w:rPr>
        <w:t>6</w:t>
      </w:r>
      <w:r w:rsidRPr="00575AA9">
        <w:rPr>
          <w:rFonts w:eastAsia="Arial"/>
          <w:spacing w:val="-2"/>
        </w:rPr>
        <w:t>%</w:t>
      </w:r>
      <w:r w:rsidRPr="00575AA9">
        <w:rPr>
          <w:rFonts w:eastAsia="Arial"/>
        </w:rPr>
        <w:t>;</w:t>
      </w:r>
      <w:r w:rsidRPr="00DF0CE4">
        <w:rPr>
          <w:rFonts w:eastAsia="Arial"/>
          <w:b/>
        </w:rPr>
        <w:t xml:space="preserve"> </w:t>
      </w:r>
      <w:r w:rsidRPr="00DF0CE4">
        <w:rPr>
          <w:rFonts w:eastAsia="Arial"/>
        </w:rPr>
        <w:t xml:space="preserve">y </w:t>
      </w:r>
      <w:r w:rsidRPr="00DF0CE4">
        <w:rPr>
          <w:rFonts w:eastAsia="Arial"/>
          <w:spacing w:val="1"/>
        </w:rPr>
        <w:t>d</w:t>
      </w:r>
      <w:r w:rsidRPr="00DF0CE4">
        <w:rPr>
          <w:rFonts w:eastAsia="Arial"/>
        </w:rPr>
        <w:t xml:space="preserve">e las </w:t>
      </w:r>
      <w:r w:rsidRPr="00DF0CE4">
        <w:rPr>
          <w:rFonts w:eastAsia="Arial"/>
          <w:spacing w:val="1"/>
        </w:rPr>
        <w:t>3</w:t>
      </w:r>
      <w:r w:rsidRPr="00DF0CE4">
        <w:rPr>
          <w:rFonts w:eastAsia="Arial"/>
        </w:rPr>
        <w:t>.</w:t>
      </w:r>
      <w:r w:rsidRPr="00DF0CE4">
        <w:rPr>
          <w:rFonts w:eastAsia="Arial"/>
          <w:spacing w:val="1"/>
        </w:rPr>
        <w:t>7</w:t>
      </w:r>
      <w:r w:rsidRPr="00DF0CE4">
        <w:rPr>
          <w:rFonts w:eastAsia="Arial"/>
          <w:spacing w:val="-1"/>
        </w:rPr>
        <w:t>7</w:t>
      </w:r>
      <w:r w:rsidRPr="00DF0CE4">
        <w:rPr>
          <w:rFonts w:eastAsia="Arial"/>
        </w:rPr>
        <w:t xml:space="preserve">9 </w:t>
      </w:r>
      <w:r w:rsidRPr="00DF0CE4">
        <w:rPr>
          <w:rFonts w:eastAsia="Arial"/>
          <w:spacing w:val="-1"/>
        </w:rPr>
        <w:t>q</w:t>
      </w:r>
      <w:r w:rsidRPr="00DF0CE4">
        <w:rPr>
          <w:rFonts w:eastAsia="Arial"/>
          <w:spacing w:val="1"/>
        </w:rPr>
        <w:t>u</w:t>
      </w:r>
      <w:r w:rsidRPr="00DF0CE4">
        <w:rPr>
          <w:rFonts w:eastAsia="Arial"/>
        </w:rPr>
        <w:t>e se c</w:t>
      </w:r>
      <w:r w:rsidRPr="00DF0CE4">
        <w:rPr>
          <w:rFonts w:eastAsia="Arial"/>
          <w:spacing w:val="1"/>
        </w:rPr>
        <w:t>on</w:t>
      </w:r>
      <w:r w:rsidRPr="00DF0CE4">
        <w:rPr>
          <w:rFonts w:eastAsia="Arial"/>
        </w:rPr>
        <w:t>sti</w:t>
      </w:r>
      <w:r w:rsidRPr="00DF0CE4">
        <w:rPr>
          <w:rFonts w:eastAsia="Arial"/>
          <w:spacing w:val="-2"/>
        </w:rPr>
        <w:t>t</w:t>
      </w:r>
      <w:r w:rsidRPr="00DF0CE4">
        <w:rPr>
          <w:rFonts w:eastAsia="Arial"/>
          <w:spacing w:val="-1"/>
        </w:rPr>
        <w:t>u</w:t>
      </w:r>
      <w:r w:rsidRPr="00DF0CE4">
        <w:rPr>
          <w:rFonts w:eastAsia="Arial"/>
          <w:spacing w:val="-2"/>
        </w:rPr>
        <w:t>y</w:t>
      </w:r>
      <w:r w:rsidRPr="00DF0CE4">
        <w:rPr>
          <w:rFonts w:eastAsia="Arial"/>
          <w:spacing w:val="1"/>
        </w:rPr>
        <w:t>e</w:t>
      </w:r>
      <w:r w:rsidRPr="00DF0CE4">
        <w:rPr>
          <w:rFonts w:eastAsia="Arial"/>
        </w:rPr>
        <w:t xml:space="preserve">ron </w:t>
      </w:r>
      <w:r w:rsidRPr="00DF0CE4">
        <w:rPr>
          <w:rFonts w:eastAsia="Arial"/>
          <w:spacing w:val="1"/>
        </w:rPr>
        <w:t>e</w:t>
      </w:r>
      <w:r w:rsidRPr="00DF0CE4">
        <w:rPr>
          <w:rFonts w:eastAsia="Arial"/>
        </w:rPr>
        <w:t xml:space="preserve">n </w:t>
      </w:r>
      <w:r w:rsidRPr="00DF0CE4">
        <w:rPr>
          <w:rFonts w:eastAsia="Arial"/>
          <w:spacing w:val="1"/>
        </w:rPr>
        <w:t>e</w:t>
      </w:r>
      <w:r w:rsidRPr="00DF0CE4">
        <w:rPr>
          <w:rFonts w:eastAsia="Arial"/>
        </w:rPr>
        <w:t xml:space="preserve">l </w:t>
      </w:r>
      <w:r w:rsidRPr="00DF0CE4">
        <w:rPr>
          <w:rFonts w:eastAsia="Arial"/>
          <w:spacing w:val="1"/>
        </w:rPr>
        <w:t>añ</w:t>
      </w:r>
      <w:r w:rsidRPr="00DF0CE4">
        <w:rPr>
          <w:rFonts w:eastAsia="Arial"/>
        </w:rPr>
        <w:t xml:space="preserve">o </w:t>
      </w:r>
      <w:r w:rsidRPr="00DF0CE4">
        <w:rPr>
          <w:rFonts w:eastAsia="Arial"/>
          <w:spacing w:val="1"/>
          <w:position w:val="-1"/>
        </w:rPr>
        <w:t>20</w:t>
      </w:r>
      <w:r w:rsidRPr="00DF0CE4">
        <w:rPr>
          <w:rFonts w:eastAsia="Arial"/>
          <w:spacing w:val="-1"/>
          <w:position w:val="-1"/>
        </w:rPr>
        <w:t>1</w:t>
      </w:r>
      <w:r w:rsidRPr="00DF0CE4">
        <w:rPr>
          <w:rFonts w:eastAsia="Arial"/>
          <w:spacing w:val="1"/>
          <w:position w:val="-1"/>
        </w:rPr>
        <w:t>3</w:t>
      </w:r>
      <w:r w:rsidRPr="00DF0CE4">
        <w:rPr>
          <w:rFonts w:eastAsia="Arial"/>
          <w:position w:val="-1"/>
        </w:rPr>
        <w:t>,</w:t>
      </w:r>
      <w:r w:rsidRPr="00DF0CE4">
        <w:rPr>
          <w:rFonts w:eastAsia="Arial"/>
          <w:spacing w:val="1"/>
          <w:position w:val="-1"/>
        </w:rPr>
        <w:t xml:space="preserve"> e</w:t>
      </w:r>
      <w:r w:rsidRPr="00DF0CE4">
        <w:rPr>
          <w:rFonts w:eastAsia="Arial"/>
          <w:position w:val="-1"/>
        </w:rPr>
        <w:t xml:space="preserve">l </w:t>
      </w:r>
      <w:r w:rsidRPr="00575AA9">
        <w:rPr>
          <w:rFonts w:eastAsia="Arial"/>
          <w:spacing w:val="1"/>
          <w:position w:val="-1"/>
        </w:rPr>
        <w:t>5</w:t>
      </w:r>
      <w:r w:rsidRPr="00575AA9">
        <w:rPr>
          <w:rFonts w:eastAsia="Arial"/>
          <w:position w:val="-1"/>
        </w:rPr>
        <w:t>,</w:t>
      </w:r>
      <w:r w:rsidRPr="00575AA9">
        <w:rPr>
          <w:rFonts w:eastAsia="Arial"/>
          <w:spacing w:val="-1"/>
          <w:position w:val="-1"/>
        </w:rPr>
        <w:t>1</w:t>
      </w:r>
      <w:r w:rsidRPr="00575AA9">
        <w:rPr>
          <w:rFonts w:eastAsia="Arial"/>
          <w:spacing w:val="1"/>
          <w:position w:val="-1"/>
        </w:rPr>
        <w:t>3</w:t>
      </w:r>
      <w:r w:rsidRPr="00575AA9">
        <w:rPr>
          <w:rFonts w:eastAsia="Arial"/>
          <w:position w:val="-1"/>
        </w:rPr>
        <w:t>%</w:t>
      </w:r>
      <w:r w:rsidRPr="00DF0CE4">
        <w:rPr>
          <w:rFonts w:eastAsia="Arial"/>
          <w:b/>
          <w:position w:val="-1"/>
        </w:rPr>
        <w:t xml:space="preserve"> </w:t>
      </w:r>
      <w:r w:rsidRPr="00DF0CE4">
        <w:rPr>
          <w:rFonts w:eastAsia="Arial"/>
          <w:spacing w:val="1"/>
          <w:position w:val="-1"/>
        </w:rPr>
        <w:t>d</w:t>
      </w:r>
      <w:r w:rsidRPr="00DF0CE4">
        <w:rPr>
          <w:rFonts w:eastAsia="Arial"/>
          <w:position w:val="-1"/>
        </w:rPr>
        <w:t xml:space="preserve">e </w:t>
      </w:r>
      <w:r w:rsidRPr="00DF0CE4">
        <w:rPr>
          <w:rFonts w:eastAsia="Arial"/>
          <w:spacing w:val="1"/>
          <w:position w:val="-1"/>
        </w:rPr>
        <w:t xml:space="preserve"> e</w:t>
      </w:r>
      <w:r w:rsidRPr="00DF0CE4">
        <w:rPr>
          <w:rFonts w:eastAsia="Arial"/>
          <w:position w:val="-1"/>
        </w:rPr>
        <w:t>l</w:t>
      </w:r>
      <w:r w:rsidRPr="00DF0CE4">
        <w:rPr>
          <w:rFonts w:eastAsia="Arial"/>
          <w:spacing w:val="-1"/>
          <w:position w:val="-1"/>
        </w:rPr>
        <w:t>la</w:t>
      </w:r>
      <w:r w:rsidRPr="00DF0CE4">
        <w:rPr>
          <w:rFonts w:eastAsia="Arial"/>
          <w:position w:val="-1"/>
        </w:rPr>
        <w:t xml:space="preserve">s </w:t>
      </w:r>
      <w:r w:rsidRPr="00DF0CE4">
        <w:rPr>
          <w:rFonts w:eastAsia="Arial"/>
          <w:spacing w:val="1"/>
          <w:position w:val="-1"/>
        </w:rPr>
        <w:t>p</w:t>
      </w:r>
      <w:r w:rsidRPr="00DF0CE4">
        <w:rPr>
          <w:rFonts w:eastAsia="Arial"/>
          <w:position w:val="-1"/>
        </w:rPr>
        <w:t>ro</w:t>
      </w:r>
      <w:r w:rsidRPr="00DF0CE4">
        <w:rPr>
          <w:rFonts w:eastAsia="Arial"/>
          <w:spacing w:val="-2"/>
          <w:position w:val="-1"/>
        </w:rPr>
        <w:t>v</w:t>
      </w:r>
      <w:r w:rsidRPr="00DF0CE4">
        <w:rPr>
          <w:rFonts w:eastAsia="Arial"/>
          <w:position w:val="-1"/>
        </w:rPr>
        <w:t>ie</w:t>
      </w:r>
      <w:r w:rsidRPr="00DF0CE4">
        <w:rPr>
          <w:rFonts w:eastAsia="Arial"/>
          <w:spacing w:val="1"/>
          <w:position w:val="-1"/>
        </w:rPr>
        <w:t>n</w:t>
      </w:r>
      <w:r w:rsidRPr="00DF0CE4">
        <w:rPr>
          <w:rFonts w:eastAsia="Arial"/>
          <w:position w:val="-1"/>
        </w:rPr>
        <w:t xml:space="preserve">e </w:t>
      </w:r>
      <w:r w:rsidRPr="00DF0CE4">
        <w:rPr>
          <w:rFonts w:eastAsia="Arial"/>
          <w:spacing w:val="-1"/>
          <w:position w:val="-1"/>
        </w:rPr>
        <w:t>d</w:t>
      </w:r>
      <w:r w:rsidRPr="00DF0CE4">
        <w:rPr>
          <w:rFonts w:eastAsia="Arial"/>
          <w:position w:val="-1"/>
        </w:rPr>
        <w:t>e este municipio</w:t>
      </w:r>
      <w:r>
        <w:rPr>
          <w:rFonts w:eastAsia="Arial"/>
          <w:position w:val="-1"/>
        </w:rPr>
        <w:t>.</w:t>
      </w:r>
    </w:p>
    <w:p w:rsidR="003B3716" w:rsidRDefault="003B3716" w:rsidP="003B3716">
      <w:pPr>
        <w:spacing w:line="360" w:lineRule="auto"/>
        <w:ind w:firstLine="284"/>
        <w:jc w:val="both"/>
        <w:rPr>
          <w:rFonts w:eastAsia="Arial"/>
          <w:position w:val="-1"/>
        </w:rPr>
      </w:pPr>
    </w:p>
    <w:p w:rsidR="00406FF7" w:rsidRDefault="00406FF7" w:rsidP="003B3716">
      <w:pPr>
        <w:spacing w:line="360" w:lineRule="auto"/>
        <w:ind w:firstLine="284"/>
        <w:jc w:val="both"/>
        <w:rPr>
          <w:rFonts w:ascii="Arial" w:eastAsia="Arial" w:hAnsi="Arial" w:cs="Arial"/>
        </w:rPr>
      </w:pPr>
      <w:r w:rsidRPr="00C47671">
        <w:rPr>
          <w:rFonts w:eastAsia="Arial"/>
        </w:rPr>
        <w:t>Pi</w:t>
      </w:r>
      <w:r w:rsidRPr="00C47671">
        <w:rPr>
          <w:rFonts w:eastAsia="Arial"/>
          <w:spacing w:val="-1"/>
        </w:rPr>
        <w:t>j</w:t>
      </w:r>
      <w:r w:rsidRPr="00C47671">
        <w:rPr>
          <w:rFonts w:eastAsia="Arial"/>
          <w:spacing w:val="1"/>
        </w:rPr>
        <w:t>ao</w:t>
      </w:r>
      <w:r w:rsidRPr="00C47671">
        <w:rPr>
          <w:rFonts w:eastAsia="Arial"/>
        </w:rPr>
        <w:t xml:space="preserve">, </w:t>
      </w:r>
      <w:r w:rsidRPr="00C47671">
        <w:rPr>
          <w:rFonts w:eastAsia="Arial"/>
          <w:spacing w:val="1"/>
        </w:rPr>
        <w:t>e</w:t>
      </w:r>
      <w:r w:rsidRPr="00C47671">
        <w:rPr>
          <w:rFonts w:eastAsia="Arial"/>
        </w:rPr>
        <w:t xml:space="preserve">s </w:t>
      </w:r>
      <w:r w:rsidRPr="00C47671">
        <w:rPr>
          <w:rFonts w:eastAsia="Arial"/>
          <w:spacing w:val="-1"/>
        </w:rPr>
        <w:t>u</w:t>
      </w:r>
      <w:r w:rsidRPr="00C47671">
        <w:rPr>
          <w:rFonts w:eastAsia="Arial"/>
          <w:spacing w:val="1"/>
        </w:rPr>
        <w:t>n</w:t>
      </w:r>
      <w:r w:rsidRPr="00C47671">
        <w:rPr>
          <w:rFonts w:eastAsia="Arial"/>
        </w:rPr>
        <w:t xml:space="preserve">o </w:t>
      </w:r>
      <w:r w:rsidRPr="00C47671">
        <w:rPr>
          <w:rFonts w:eastAsia="Arial"/>
          <w:spacing w:val="1"/>
        </w:rPr>
        <w:t>d</w:t>
      </w:r>
      <w:r w:rsidRPr="00C47671">
        <w:rPr>
          <w:rFonts w:eastAsia="Arial"/>
        </w:rPr>
        <w:t xml:space="preserve">e </w:t>
      </w:r>
      <w:r w:rsidRPr="00C47671">
        <w:rPr>
          <w:rFonts w:eastAsia="Arial"/>
          <w:spacing w:val="-3"/>
        </w:rPr>
        <w:t>l</w:t>
      </w:r>
      <w:r w:rsidRPr="00C47671">
        <w:rPr>
          <w:rFonts w:eastAsia="Arial"/>
          <w:spacing w:val="1"/>
        </w:rPr>
        <w:t>o</w:t>
      </w:r>
      <w:r w:rsidRPr="00C47671">
        <w:rPr>
          <w:rFonts w:eastAsia="Arial"/>
        </w:rPr>
        <w:t xml:space="preserve">s </w:t>
      </w:r>
      <w:r w:rsidRPr="00C47671">
        <w:rPr>
          <w:rFonts w:eastAsia="Arial"/>
          <w:spacing w:val="1"/>
        </w:rPr>
        <w:t>mun</w:t>
      </w:r>
      <w:r w:rsidRPr="00C47671">
        <w:rPr>
          <w:rFonts w:eastAsia="Arial"/>
        </w:rPr>
        <w:t>ic</w:t>
      </w:r>
      <w:r w:rsidRPr="00C47671">
        <w:rPr>
          <w:rFonts w:eastAsia="Arial"/>
          <w:spacing w:val="-1"/>
        </w:rPr>
        <w:t>i</w:t>
      </w:r>
      <w:r w:rsidRPr="00C47671">
        <w:rPr>
          <w:rFonts w:eastAsia="Arial"/>
          <w:spacing w:val="1"/>
        </w:rPr>
        <w:t>p</w:t>
      </w:r>
      <w:r w:rsidRPr="00C47671">
        <w:rPr>
          <w:rFonts w:eastAsia="Arial"/>
          <w:spacing w:val="-3"/>
        </w:rPr>
        <w:t>i</w:t>
      </w:r>
      <w:r w:rsidRPr="00C47671">
        <w:rPr>
          <w:rFonts w:eastAsia="Arial"/>
          <w:spacing w:val="1"/>
        </w:rPr>
        <w:t>o</w:t>
      </w:r>
      <w:r w:rsidRPr="00C47671">
        <w:rPr>
          <w:rFonts w:eastAsia="Arial"/>
        </w:rPr>
        <w:t xml:space="preserve">s </w:t>
      </w:r>
      <w:r w:rsidRPr="00C47671">
        <w:rPr>
          <w:rFonts w:eastAsia="Arial"/>
          <w:spacing w:val="1"/>
        </w:rPr>
        <w:t>má</w:t>
      </w:r>
      <w:r w:rsidRPr="00C47671">
        <w:rPr>
          <w:rFonts w:eastAsia="Arial"/>
        </w:rPr>
        <w:t xml:space="preserve">s </w:t>
      </w:r>
      <w:r w:rsidRPr="00C47671">
        <w:rPr>
          <w:rFonts w:eastAsia="Arial"/>
          <w:spacing w:val="1"/>
        </w:rPr>
        <w:t>pe</w:t>
      </w:r>
      <w:r w:rsidRPr="00C47671">
        <w:rPr>
          <w:rFonts w:eastAsia="Arial"/>
          <w:spacing w:val="-1"/>
        </w:rPr>
        <w:t>q</w:t>
      </w:r>
      <w:r w:rsidRPr="00C47671">
        <w:rPr>
          <w:rFonts w:eastAsia="Arial"/>
          <w:spacing w:val="1"/>
        </w:rPr>
        <w:t>u</w:t>
      </w:r>
      <w:r w:rsidRPr="00C47671">
        <w:rPr>
          <w:rFonts w:eastAsia="Arial"/>
          <w:spacing w:val="-1"/>
        </w:rPr>
        <w:t>e</w:t>
      </w:r>
      <w:r w:rsidRPr="00C47671">
        <w:rPr>
          <w:rFonts w:eastAsia="Arial"/>
          <w:spacing w:val="1"/>
        </w:rPr>
        <w:t>ñ</w:t>
      </w:r>
      <w:r w:rsidRPr="00C47671">
        <w:rPr>
          <w:rFonts w:eastAsia="Arial"/>
          <w:spacing w:val="2"/>
        </w:rPr>
        <w:t>o</w:t>
      </w:r>
      <w:r w:rsidRPr="00C47671">
        <w:rPr>
          <w:rFonts w:eastAsia="Arial"/>
        </w:rPr>
        <w:t xml:space="preserve">s </w:t>
      </w:r>
      <w:r w:rsidRPr="00C47671">
        <w:rPr>
          <w:rFonts w:eastAsia="Arial"/>
          <w:spacing w:val="-1"/>
        </w:rPr>
        <w:t>d</w:t>
      </w:r>
      <w:r w:rsidRPr="00C47671">
        <w:rPr>
          <w:rFonts w:eastAsia="Arial"/>
          <w:spacing w:val="1"/>
        </w:rPr>
        <w:t>e</w:t>
      </w:r>
      <w:r w:rsidRPr="00C47671">
        <w:rPr>
          <w:rFonts w:eastAsia="Arial"/>
        </w:rPr>
        <w:t xml:space="preserve">l </w:t>
      </w:r>
      <w:r w:rsidRPr="00C47671">
        <w:rPr>
          <w:rFonts w:eastAsia="Arial"/>
          <w:spacing w:val="-1"/>
        </w:rPr>
        <w:t>d</w:t>
      </w:r>
      <w:r w:rsidRPr="00C47671">
        <w:rPr>
          <w:rFonts w:eastAsia="Arial"/>
          <w:spacing w:val="1"/>
        </w:rPr>
        <w:t>e</w:t>
      </w:r>
      <w:r w:rsidRPr="00C47671">
        <w:rPr>
          <w:rFonts w:eastAsia="Arial"/>
          <w:spacing w:val="-1"/>
        </w:rPr>
        <w:t>p</w:t>
      </w:r>
      <w:r w:rsidRPr="00C47671">
        <w:rPr>
          <w:rFonts w:eastAsia="Arial"/>
          <w:spacing w:val="1"/>
        </w:rPr>
        <w:t>a</w:t>
      </w:r>
      <w:r w:rsidRPr="00C47671">
        <w:rPr>
          <w:rFonts w:eastAsia="Arial"/>
        </w:rPr>
        <w:t>rt</w:t>
      </w:r>
      <w:r w:rsidRPr="00C47671">
        <w:rPr>
          <w:rFonts w:eastAsia="Arial"/>
          <w:spacing w:val="-2"/>
        </w:rPr>
        <w:t>a</w:t>
      </w:r>
      <w:r w:rsidRPr="00C47671">
        <w:rPr>
          <w:rFonts w:eastAsia="Arial"/>
          <w:spacing w:val="1"/>
        </w:rPr>
        <w:t>men</w:t>
      </w:r>
      <w:r w:rsidRPr="00C47671">
        <w:rPr>
          <w:rFonts w:eastAsia="Arial"/>
          <w:spacing w:val="-2"/>
        </w:rPr>
        <w:t>t</w:t>
      </w:r>
      <w:r w:rsidRPr="00C47671">
        <w:rPr>
          <w:rFonts w:eastAsia="Arial"/>
          <w:spacing w:val="1"/>
        </w:rPr>
        <w:t>o</w:t>
      </w:r>
      <w:r w:rsidRPr="00C47671">
        <w:rPr>
          <w:rFonts w:eastAsia="Arial"/>
        </w:rPr>
        <w:t xml:space="preserve">, y </w:t>
      </w:r>
      <w:r w:rsidRPr="00C47671">
        <w:rPr>
          <w:rFonts w:eastAsia="Arial"/>
          <w:spacing w:val="1"/>
        </w:rPr>
        <w:t>apo</w:t>
      </w:r>
      <w:r w:rsidRPr="00C47671">
        <w:rPr>
          <w:rFonts w:eastAsia="Arial"/>
        </w:rPr>
        <w:t xml:space="preserve">rta </w:t>
      </w:r>
      <w:r w:rsidRPr="00C47671">
        <w:rPr>
          <w:rFonts w:eastAsia="Arial"/>
          <w:spacing w:val="-2"/>
        </w:rPr>
        <w:t>c</w:t>
      </w:r>
      <w:r w:rsidRPr="00C47671">
        <w:rPr>
          <w:rFonts w:eastAsia="Arial"/>
          <w:spacing w:val="1"/>
        </w:rPr>
        <w:t>e</w:t>
      </w:r>
      <w:r w:rsidRPr="00C47671">
        <w:rPr>
          <w:rFonts w:eastAsia="Arial"/>
        </w:rPr>
        <w:t>r</w:t>
      </w:r>
      <w:r w:rsidRPr="00C47671">
        <w:rPr>
          <w:rFonts w:eastAsia="Arial"/>
          <w:spacing w:val="-3"/>
        </w:rPr>
        <w:t>c</w:t>
      </w:r>
      <w:r w:rsidRPr="00C47671">
        <w:rPr>
          <w:rFonts w:eastAsia="Arial"/>
        </w:rPr>
        <w:t xml:space="preserve">a </w:t>
      </w:r>
      <w:r w:rsidRPr="00C47671">
        <w:rPr>
          <w:rFonts w:eastAsia="Arial"/>
          <w:spacing w:val="1"/>
        </w:rPr>
        <w:t>de</w:t>
      </w:r>
      <w:r w:rsidRPr="00C47671">
        <w:rPr>
          <w:rFonts w:eastAsia="Arial"/>
        </w:rPr>
        <w:t xml:space="preserve">l </w:t>
      </w:r>
      <w:r w:rsidRPr="00C47671">
        <w:rPr>
          <w:rFonts w:eastAsia="Arial"/>
          <w:b/>
          <w:spacing w:val="1"/>
        </w:rPr>
        <w:t>0</w:t>
      </w:r>
      <w:r w:rsidRPr="00C47671">
        <w:rPr>
          <w:rFonts w:eastAsia="Arial"/>
          <w:b/>
          <w:spacing w:val="-2"/>
        </w:rPr>
        <w:t>,</w:t>
      </w:r>
      <w:r w:rsidRPr="00C47671">
        <w:rPr>
          <w:rFonts w:eastAsia="Arial"/>
          <w:b/>
          <w:spacing w:val="1"/>
        </w:rPr>
        <w:t>71</w:t>
      </w:r>
      <w:r w:rsidRPr="00C47671">
        <w:rPr>
          <w:rFonts w:eastAsia="Arial"/>
          <w:b/>
        </w:rPr>
        <w:t xml:space="preserve">% </w:t>
      </w:r>
      <w:r w:rsidRPr="00C47671">
        <w:rPr>
          <w:rFonts w:eastAsia="Arial"/>
        </w:rPr>
        <w:t>a la c</w:t>
      </w:r>
      <w:r w:rsidRPr="00C47671">
        <w:rPr>
          <w:rFonts w:eastAsia="Arial"/>
          <w:spacing w:val="-1"/>
        </w:rPr>
        <w:t>a</w:t>
      </w:r>
      <w:r w:rsidRPr="00C47671">
        <w:rPr>
          <w:rFonts w:eastAsia="Arial"/>
          <w:spacing w:val="1"/>
        </w:rPr>
        <w:t>n</w:t>
      </w:r>
      <w:r w:rsidRPr="00C47671">
        <w:rPr>
          <w:rFonts w:eastAsia="Arial"/>
        </w:rPr>
        <w:t>ti</w:t>
      </w:r>
      <w:r w:rsidRPr="00C47671">
        <w:rPr>
          <w:rFonts w:eastAsia="Arial"/>
          <w:spacing w:val="1"/>
        </w:rPr>
        <w:t>d</w:t>
      </w:r>
      <w:r w:rsidRPr="00C47671">
        <w:rPr>
          <w:rFonts w:eastAsia="Arial"/>
          <w:spacing w:val="-1"/>
        </w:rPr>
        <w:t>a</w:t>
      </w:r>
      <w:r w:rsidRPr="00C47671">
        <w:rPr>
          <w:rFonts w:eastAsia="Arial"/>
        </w:rPr>
        <w:t xml:space="preserve">d </w:t>
      </w:r>
      <w:r w:rsidRPr="00C47671">
        <w:rPr>
          <w:rFonts w:eastAsia="Arial"/>
          <w:spacing w:val="1"/>
        </w:rPr>
        <w:t>d</w:t>
      </w:r>
      <w:r w:rsidRPr="00C47671">
        <w:rPr>
          <w:rFonts w:eastAsia="Arial"/>
        </w:rPr>
        <w:t>e</w:t>
      </w:r>
      <w:r w:rsidRPr="00C47671">
        <w:rPr>
          <w:rFonts w:eastAsia="Arial"/>
          <w:spacing w:val="1"/>
        </w:rPr>
        <w:t xml:space="preserve"> e</w:t>
      </w:r>
      <w:r w:rsidRPr="00C47671">
        <w:rPr>
          <w:rFonts w:eastAsia="Arial"/>
          <w:spacing w:val="-1"/>
        </w:rPr>
        <w:t>m</w:t>
      </w:r>
      <w:r w:rsidRPr="00C47671">
        <w:rPr>
          <w:rFonts w:eastAsia="Arial"/>
          <w:spacing w:val="1"/>
        </w:rPr>
        <w:t>p</w:t>
      </w:r>
      <w:r w:rsidRPr="00C47671">
        <w:rPr>
          <w:rFonts w:eastAsia="Arial"/>
        </w:rPr>
        <w:t>res</w:t>
      </w:r>
      <w:r w:rsidRPr="00C47671">
        <w:rPr>
          <w:rFonts w:eastAsia="Arial"/>
          <w:spacing w:val="1"/>
        </w:rPr>
        <w:t>a</w:t>
      </w:r>
      <w:r w:rsidRPr="00C47671">
        <w:rPr>
          <w:rFonts w:eastAsia="Arial"/>
        </w:rPr>
        <w:t xml:space="preserve">s </w:t>
      </w:r>
      <w:r w:rsidRPr="00C47671">
        <w:rPr>
          <w:rFonts w:eastAsia="Arial"/>
          <w:spacing w:val="1"/>
        </w:rPr>
        <w:t>nue</w:t>
      </w:r>
      <w:r w:rsidRPr="00C47671">
        <w:rPr>
          <w:rFonts w:eastAsia="Arial"/>
          <w:spacing w:val="-2"/>
        </w:rPr>
        <w:t>v</w:t>
      </w:r>
      <w:r w:rsidRPr="00C47671">
        <w:rPr>
          <w:rFonts w:eastAsia="Arial"/>
          <w:spacing w:val="-1"/>
        </w:rPr>
        <w:t>a</w:t>
      </w:r>
      <w:r w:rsidRPr="00C47671">
        <w:rPr>
          <w:rFonts w:eastAsia="Arial"/>
        </w:rPr>
        <w:t xml:space="preserve">s </w:t>
      </w:r>
      <w:r w:rsidRPr="00C47671">
        <w:rPr>
          <w:rFonts w:eastAsia="Arial"/>
          <w:spacing w:val="-1"/>
        </w:rPr>
        <w:t>q</w:t>
      </w:r>
      <w:r w:rsidRPr="00C47671">
        <w:rPr>
          <w:rFonts w:eastAsia="Arial"/>
          <w:spacing w:val="1"/>
        </w:rPr>
        <w:t>u</w:t>
      </w:r>
      <w:r w:rsidRPr="00C47671">
        <w:rPr>
          <w:rFonts w:eastAsia="Arial"/>
        </w:rPr>
        <w:t>e se re</w:t>
      </w:r>
      <w:r w:rsidRPr="00C47671">
        <w:rPr>
          <w:rFonts w:eastAsia="Arial"/>
          <w:spacing w:val="-1"/>
        </w:rPr>
        <w:t>g</w:t>
      </w:r>
      <w:r w:rsidRPr="00C47671">
        <w:rPr>
          <w:rFonts w:eastAsia="Arial"/>
        </w:rPr>
        <w:t>istr</w:t>
      </w:r>
      <w:r w:rsidRPr="00C47671">
        <w:rPr>
          <w:rFonts w:eastAsia="Arial"/>
          <w:spacing w:val="7"/>
        </w:rPr>
        <w:t>a</w:t>
      </w:r>
      <w:r w:rsidRPr="00C47671">
        <w:rPr>
          <w:rFonts w:eastAsia="Arial"/>
        </w:rPr>
        <w:t xml:space="preserve">ron </w:t>
      </w:r>
      <w:r w:rsidRPr="00C47671">
        <w:rPr>
          <w:rFonts w:eastAsia="Arial"/>
          <w:spacing w:val="1"/>
        </w:rPr>
        <w:t>e</w:t>
      </w:r>
      <w:r w:rsidRPr="00C47671">
        <w:rPr>
          <w:rFonts w:eastAsia="Arial"/>
        </w:rPr>
        <w:t xml:space="preserve">l </w:t>
      </w:r>
      <w:r w:rsidRPr="00C47671">
        <w:rPr>
          <w:rFonts w:eastAsia="Arial"/>
          <w:spacing w:val="1"/>
        </w:rPr>
        <w:t>añ</w:t>
      </w:r>
      <w:r w:rsidRPr="00C47671">
        <w:rPr>
          <w:rFonts w:eastAsia="Arial"/>
        </w:rPr>
        <w:t>o</w:t>
      </w:r>
      <w:r w:rsidRPr="00C47671">
        <w:rPr>
          <w:rFonts w:eastAsia="Arial"/>
          <w:spacing w:val="1"/>
        </w:rPr>
        <w:t xml:space="preserve"> 20</w:t>
      </w:r>
      <w:r w:rsidRPr="00C47671">
        <w:rPr>
          <w:rFonts w:eastAsia="Arial"/>
          <w:spacing w:val="-1"/>
        </w:rPr>
        <w:t>1</w:t>
      </w:r>
      <w:r w:rsidRPr="00C47671">
        <w:rPr>
          <w:rFonts w:eastAsia="Arial"/>
          <w:spacing w:val="1"/>
        </w:rPr>
        <w:t>3</w:t>
      </w:r>
      <w:r w:rsidRPr="00C47671">
        <w:rPr>
          <w:rFonts w:eastAsia="Arial"/>
        </w:rPr>
        <w:t xml:space="preserve">. </w:t>
      </w:r>
      <w:r w:rsidRPr="00C47671">
        <w:rPr>
          <w:rFonts w:eastAsia="Arial"/>
          <w:spacing w:val="1"/>
        </w:rPr>
        <w:t>L</w:t>
      </w:r>
      <w:r w:rsidRPr="00C47671">
        <w:rPr>
          <w:rFonts w:eastAsia="Arial"/>
          <w:spacing w:val="-1"/>
        </w:rPr>
        <w:t>a</w:t>
      </w:r>
      <w:r w:rsidRPr="00C47671">
        <w:rPr>
          <w:rFonts w:eastAsia="Arial"/>
        </w:rPr>
        <w:t xml:space="preserve">s </w:t>
      </w:r>
      <w:r w:rsidRPr="00C47671">
        <w:rPr>
          <w:rFonts w:eastAsia="Arial"/>
          <w:spacing w:val="1"/>
        </w:rPr>
        <w:t>emp</w:t>
      </w:r>
      <w:r w:rsidRPr="00C47671">
        <w:rPr>
          <w:rFonts w:eastAsia="Arial"/>
          <w:spacing w:val="-3"/>
        </w:rPr>
        <w:t>r</w:t>
      </w:r>
      <w:r w:rsidRPr="00C47671">
        <w:rPr>
          <w:rFonts w:eastAsia="Arial"/>
          <w:spacing w:val="1"/>
        </w:rPr>
        <w:t>e</w:t>
      </w:r>
      <w:r w:rsidRPr="00C47671">
        <w:rPr>
          <w:rFonts w:eastAsia="Arial"/>
        </w:rPr>
        <w:t>s</w:t>
      </w:r>
      <w:r w:rsidRPr="00C47671">
        <w:rPr>
          <w:rFonts w:eastAsia="Arial"/>
          <w:spacing w:val="1"/>
        </w:rPr>
        <w:t>a</w:t>
      </w:r>
      <w:r w:rsidRPr="00C47671">
        <w:rPr>
          <w:rFonts w:eastAsia="Arial"/>
        </w:rPr>
        <w:t>s re</w:t>
      </w:r>
      <w:r w:rsidRPr="00C47671">
        <w:rPr>
          <w:rFonts w:eastAsia="Arial"/>
          <w:spacing w:val="1"/>
        </w:rPr>
        <w:t>no</w:t>
      </w:r>
      <w:r w:rsidRPr="00C47671">
        <w:rPr>
          <w:rFonts w:eastAsia="Arial"/>
          <w:spacing w:val="-2"/>
        </w:rPr>
        <w:t>v</w:t>
      </w:r>
      <w:r w:rsidRPr="00C47671">
        <w:rPr>
          <w:rFonts w:eastAsia="Arial"/>
          <w:spacing w:val="1"/>
        </w:rPr>
        <w:t>ada</w:t>
      </w:r>
      <w:r w:rsidRPr="00C47671">
        <w:rPr>
          <w:rFonts w:eastAsia="Arial"/>
        </w:rPr>
        <w:t xml:space="preserve">s </w:t>
      </w:r>
      <w:r w:rsidRPr="00C47671">
        <w:rPr>
          <w:rFonts w:eastAsia="Arial"/>
          <w:spacing w:val="1"/>
        </w:rPr>
        <w:t>de</w:t>
      </w:r>
      <w:r w:rsidRPr="00C47671">
        <w:rPr>
          <w:rFonts w:eastAsia="Arial"/>
        </w:rPr>
        <w:t xml:space="preserve">l </w:t>
      </w:r>
      <w:r w:rsidRPr="00C47671">
        <w:rPr>
          <w:rFonts w:eastAsia="Arial"/>
          <w:spacing w:val="1"/>
        </w:rPr>
        <w:t>m</w:t>
      </w:r>
      <w:r w:rsidRPr="00C47671">
        <w:rPr>
          <w:rFonts w:eastAsia="Arial"/>
          <w:spacing w:val="-1"/>
        </w:rPr>
        <w:t>u</w:t>
      </w:r>
      <w:r w:rsidRPr="00C47671">
        <w:rPr>
          <w:rFonts w:eastAsia="Arial"/>
          <w:spacing w:val="1"/>
        </w:rPr>
        <w:t>n</w:t>
      </w:r>
      <w:r w:rsidRPr="00C47671">
        <w:rPr>
          <w:rFonts w:eastAsia="Arial"/>
        </w:rPr>
        <w:t>i</w:t>
      </w:r>
      <w:r w:rsidRPr="00C47671">
        <w:rPr>
          <w:rFonts w:eastAsia="Arial"/>
          <w:spacing w:val="1"/>
        </w:rPr>
        <w:t>c</w:t>
      </w:r>
      <w:r w:rsidRPr="00C47671">
        <w:rPr>
          <w:rFonts w:eastAsia="Arial"/>
          <w:spacing w:val="-1"/>
        </w:rPr>
        <w:t>i</w:t>
      </w:r>
      <w:r w:rsidRPr="00C47671">
        <w:rPr>
          <w:rFonts w:eastAsia="Arial"/>
          <w:spacing w:val="1"/>
        </w:rPr>
        <w:t>p</w:t>
      </w:r>
      <w:r w:rsidRPr="00C47671">
        <w:rPr>
          <w:rFonts w:eastAsia="Arial"/>
        </w:rPr>
        <w:t>io re</w:t>
      </w:r>
      <w:r w:rsidRPr="00C47671">
        <w:rPr>
          <w:rFonts w:eastAsia="Arial"/>
          <w:spacing w:val="1"/>
        </w:rPr>
        <w:t>p</w:t>
      </w:r>
      <w:r w:rsidRPr="00C47671">
        <w:rPr>
          <w:rFonts w:eastAsia="Arial"/>
        </w:rPr>
        <w:t>res</w:t>
      </w:r>
      <w:r w:rsidRPr="00C47671">
        <w:rPr>
          <w:rFonts w:eastAsia="Arial"/>
          <w:spacing w:val="-1"/>
        </w:rPr>
        <w:t>en</w:t>
      </w:r>
      <w:r w:rsidRPr="00C47671">
        <w:rPr>
          <w:rFonts w:eastAsia="Arial"/>
        </w:rPr>
        <w:t>t</w:t>
      </w:r>
      <w:r w:rsidRPr="00C47671">
        <w:rPr>
          <w:rFonts w:eastAsia="Arial"/>
          <w:spacing w:val="1"/>
        </w:rPr>
        <w:t>a</w:t>
      </w:r>
      <w:r w:rsidRPr="00C47671">
        <w:rPr>
          <w:rFonts w:eastAsia="Arial"/>
        </w:rPr>
        <w:t xml:space="preserve">n </w:t>
      </w:r>
      <w:r w:rsidRPr="00C47671">
        <w:rPr>
          <w:rFonts w:eastAsia="Arial"/>
          <w:spacing w:val="1"/>
        </w:rPr>
        <w:t>e</w:t>
      </w:r>
      <w:r w:rsidRPr="00C47671">
        <w:rPr>
          <w:rFonts w:eastAsia="Arial"/>
        </w:rPr>
        <w:t xml:space="preserve">l </w:t>
      </w:r>
      <w:r w:rsidRPr="00C47671">
        <w:rPr>
          <w:rFonts w:eastAsia="Arial"/>
          <w:b/>
          <w:spacing w:val="1"/>
        </w:rPr>
        <w:t>0</w:t>
      </w:r>
      <w:r w:rsidRPr="00C47671">
        <w:rPr>
          <w:rFonts w:eastAsia="Arial"/>
          <w:b/>
        </w:rPr>
        <w:t>,</w:t>
      </w:r>
      <w:r w:rsidRPr="00C47671">
        <w:rPr>
          <w:rFonts w:eastAsia="Arial"/>
          <w:b/>
          <w:spacing w:val="-1"/>
        </w:rPr>
        <w:t>5</w:t>
      </w:r>
      <w:r w:rsidRPr="00C47671">
        <w:rPr>
          <w:rFonts w:eastAsia="Arial"/>
          <w:b/>
          <w:spacing w:val="1"/>
        </w:rPr>
        <w:t>8</w:t>
      </w:r>
      <w:r w:rsidRPr="00C47671">
        <w:rPr>
          <w:rFonts w:eastAsia="Arial"/>
          <w:b/>
          <w:spacing w:val="-2"/>
        </w:rPr>
        <w:t>%</w:t>
      </w:r>
      <w:r>
        <w:rPr>
          <w:rFonts w:eastAsia="Arial"/>
        </w:rPr>
        <w:t>; mientras que el</w:t>
      </w:r>
      <w:r w:rsidRPr="00C47671">
        <w:rPr>
          <w:rFonts w:eastAsia="Arial"/>
        </w:rPr>
        <w:t xml:space="preserve"> </w:t>
      </w:r>
      <w:r w:rsidRPr="00C47671">
        <w:rPr>
          <w:rFonts w:eastAsia="Arial"/>
          <w:b/>
          <w:spacing w:val="1"/>
        </w:rPr>
        <w:t>0</w:t>
      </w:r>
      <w:r w:rsidRPr="00C47671">
        <w:rPr>
          <w:rFonts w:eastAsia="Arial"/>
          <w:b/>
        </w:rPr>
        <w:t>,</w:t>
      </w:r>
      <w:r w:rsidRPr="00C47671">
        <w:rPr>
          <w:rFonts w:eastAsia="Arial"/>
          <w:b/>
          <w:spacing w:val="1"/>
        </w:rPr>
        <w:t>6</w:t>
      </w:r>
      <w:r w:rsidRPr="00C47671">
        <w:rPr>
          <w:rFonts w:eastAsia="Arial"/>
          <w:b/>
          <w:spacing w:val="-1"/>
        </w:rPr>
        <w:t>1</w:t>
      </w:r>
      <w:r w:rsidRPr="00C47671">
        <w:rPr>
          <w:rFonts w:eastAsia="Arial"/>
          <w:b/>
        </w:rPr>
        <w:t xml:space="preserve">% </w:t>
      </w:r>
      <w:r w:rsidRPr="00C47671">
        <w:rPr>
          <w:rFonts w:eastAsia="Arial"/>
        </w:rPr>
        <w:t>c</w:t>
      </w:r>
      <w:r w:rsidRPr="00C47671">
        <w:rPr>
          <w:rFonts w:eastAsia="Arial"/>
          <w:spacing w:val="1"/>
        </w:rPr>
        <w:t>or</w:t>
      </w:r>
      <w:r w:rsidRPr="00C47671">
        <w:rPr>
          <w:rFonts w:eastAsia="Arial"/>
        </w:rPr>
        <w:t>res</w:t>
      </w:r>
      <w:r w:rsidRPr="00C47671">
        <w:rPr>
          <w:rFonts w:eastAsia="Arial"/>
          <w:spacing w:val="1"/>
        </w:rPr>
        <w:t>pon</w:t>
      </w:r>
      <w:r w:rsidRPr="00C47671">
        <w:rPr>
          <w:rFonts w:eastAsia="Arial"/>
          <w:spacing w:val="-1"/>
        </w:rPr>
        <w:t>d</w:t>
      </w:r>
      <w:r w:rsidRPr="00C47671">
        <w:rPr>
          <w:rFonts w:eastAsia="Arial"/>
        </w:rPr>
        <w:t>e</w:t>
      </w:r>
      <w:r>
        <w:rPr>
          <w:rFonts w:eastAsia="Arial"/>
        </w:rPr>
        <w:t xml:space="preserve"> </w:t>
      </w:r>
      <w:r w:rsidRPr="00C47671">
        <w:rPr>
          <w:rFonts w:eastAsia="Arial"/>
        </w:rPr>
        <w:t>a</w:t>
      </w:r>
      <w:r>
        <w:rPr>
          <w:rFonts w:eastAsia="Arial"/>
        </w:rPr>
        <w:t xml:space="preserve"> </w:t>
      </w:r>
      <w:r>
        <w:rPr>
          <w:rFonts w:eastAsia="Arial"/>
          <w:position w:val="-1"/>
        </w:rPr>
        <w:t>l</w:t>
      </w:r>
      <w:r w:rsidRPr="00C47671">
        <w:rPr>
          <w:rFonts w:eastAsia="Arial"/>
          <w:position w:val="-1"/>
        </w:rPr>
        <w:t xml:space="preserve">as </w:t>
      </w:r>
      <w:r w:rsidRPr="00C47671">
        <w:rPr>
          <w:rFonts w:eastAsia="Arial"/>
          <w:spacing w:val="-1"/>
          <w:position w:val="-1"/>
        </w:rPr>
        <w:t>q</w:t>
      </w:r>
      <w:r w:rsidRPr="00C47671">
        <w:rPr>
          <w:rFonts w:eastAsia="Arial"/>
          <w:spacing w:val="1"/>
          <w:position w:val="-1"/>
        </w:rPr>
        <w:t>u</w:t>
      </w:r>
      <w:r w:rsidRPr="00C47671">
        <w:rPr>
          <w:rFonts w:eastAsia="Arial"/>
          <w:position w:val="-1"/>
        </w:rPr>
        <w:t xml:space="preserve">e </w:t>
      </w:r>
      <w:r w:rsidRPr="00C47671">
        <w:rPr>
          <w:rFonts w:eastAsia="Arial"/>
          <w:spacing w:val="1"/>
          <w:position w:val="-1"/>
        </w:rPr>
        <w:t>e</w:t>
      </w:r>
      <w:r w:rsidRPr="00C47671">
        <w:rPr>
          <w:rFonts w:eastAsia="Arial"/>
          <w:position w:val="-1"/>
        </w:rPr>
        <w:t>s</w:t>
      </w:r>
      <w:r w:rsidRPr="00C47671">
        <w:rPr>
          <w:rFonts w:eastAsia="Arial"/>
          <w:spacing w:val="-2"/>
          <w:position w:val="-1"/>
        </w:rPr>
        <w:t>t</w:t>
      </w:r>
      <w:r w:rsidRPr="00C47671">
        <w:rPr>
          <w:rFonts w:eastAsia="Arial"/>
          <w:spacing w:val="1"/>
          <w:position w:val="-1"/>
        </w:rPr>
        <w:t>á</w:t>
      </w:r>
      <w:r w:rsidRPr="00C47671">
        <w:rPr>
          <w:rFonts w:eastAsia="Arial"/>
          <w:position w:val="-1"/>
        </w:rPr>
        <w:t xml:space="preserve">n </w:t>
      </w:r>
      <w:r w:rsidRPr="00C47671">
        <w:rPr>
          <w:rFonts w:eastAsia="Arial"/>
          <w:spacing w:val="-1"/>
          <w:position w:val="-1"/>
        </w:rPr>
        <w:t>Ma</w:t>
      </w:r>
      <w:r w:rsidRPr="00C47671">
        <w:rPr>
          <w:rFonts w:eastAsia="Arial"/>
          <w:position w:val="-1"/>
        </w:rPr>
        <w:t>tricula</w:t>
      </w:r>
      <w:r w:rsidRPr="00C47671">
        <w:rPr>
          <w:rFonts w:eastAsia="Arial"/>
          <w:spacing w:val="1"/>
          <w:position w:val="-1"/>
        </w:rPr>
        <w:t>da</w:t>
      </w:r>
      <w:r w:rsidRPr="00C47671">
        <w:rPr>
          <w:rFonts w:eastAsia="Arial"/>
          <w:position w:val="-1"/>
        </w:rPr>
        <w:t>s y R</w:t>
      </w:r>
      <w:r w:rsidRPr="00C47671">
        <w:rPr>
          <w:rFonts w:eastAsia="Arial"/>
          <w:spacing w:val="1"/>
          <w:position w:val="-1"/>
        </w:rPr>
        <w:t>eno</w:t>
      </w:r>
      <w:r w:rsidRPr="00C47671">
        <w:rPr>
          <w:rFonts w:eastAsia="Arial"/>
          <w:spacing w:val="-2"/>
          <w:position w:val="-1"/>
        </w:rPr>
        <w:t>v</w:t>
      </w:r>
      <w:r w:rsidRPr="00C47671">
        <w:rPr>
          <w:rFonts w:eastAsia="Arial"/>
          <w:spacing w:val="1"/>
          <w:position w:val="-1"/>
        </w:rPr>
        <w:t>a</w:t>
      </w:r>
      <w:r w:rsidRPr="00C47671">
        <w:rPr>
          <w:rFonts w:eastAsia="Arial"/>
          <w:spacing w:val="-1"/>
          <w:position w:val="-1"/>
        </w:rPr>
        <w:t>d</w:t>
      </w:r>
      <w:r w:rsidRPr="00C47671">
        <w:rPr>
          <w:rFonts w:eastAsia="Arial"/>
          <w:spacing w:val="1"/>
          <w:position w:val="-1"/>
        </w:rPr>
        <w:t>a</w:t>
      </w:r>
      <w:r w:rsidRPr="00C47671">
        <w:rPr>
          <w:rFonts w:eastAsia="Arial"/>
          <w:position w:val="-1"/>
        </w:rPr>
        <w:t xml:space="preserve">s </w:t>
      </w:r>
      <w:r w:rsidRPr="00C47671">
        <w:rPr>
          <w:rFonts w:eastAsia="Arial"/>
          <w:spacing w:val="-1"/>
          <w:position w:val="-1"/>
        </w:rPr>
        <w:t>e</w:t>
      </w:r>
      <w:r w:rsidRPr="00C47671">
        <w:rPr>
          <w:rFonts w:eastAsia="Arial"/>
          <w:position w:val="-1"/>
        </w:rPr>
        <w:t xml:space="preserve">n </w:t>
      </w:r>
      <w:r w:rsidRPr="00C47671">
        <w:rPr>
          <w:rFonts w:eastAsia="Arial"/>
          <w:spacing w:val="1"/>
          <w:position w:val="-1"/>
        </w:rPr>
        <w:t>e</w:t>
      </w:r>
      <w:r w:rsidRPr="00C47671">
        <w:rPr>
          <w:rFonts w:eastAsia="Arial"/>
          <w:position w:val="-1"/>
        </w:rPr>
        <w:t xml:space="preserve">l </w:t>
      </w:r>
      <w:r w:rsidRPr="00C47671">
        <w:rPr>
          <w:rFonts w:eastAsia="Arial"/>
          <w:spacing w:val="1"/>
          <w:position w:val="-1"/>
        </w:rPr>
        <w:t>d</w:t>
      </w:r>
      <w:r w:rsidRPr="00C47671">
        <w:rPr>
          <w:rFonts w:eastAsia="Arial"/>
          <w:spacing w:val="-1"/>
          <w:position w:val="-1"/>
        </w:rPr>
        <w:t>e</w:t>
      </w:r>
      <w:r w:rsidRPr="00C47671">
        <w:rPr>
          <w:rFonts w:eastAsia="Arial"/>
          <w:spacing w:val="1"/>
          <w:position w:val="-1"/>
        </w:rPr>
        <w:t>pa</w:t>
      </w:r>
      <w:r w:rsidRPr="00C47671">
        <w:rPr>
          <w:rFonts w:eastAsia="Arial"/>
          <w:position w:val="-1"/>
        </w:rPr>
        <w:t>rt</w:t>
      </w:r>
      <w:r w:rsidRPr="00C47671">
        <w:rPr>
          <w:rFonts w:eastAsia="Arial"/>
          <w:spacing w:val="-2"/>
          <w:position w:val="-1"/>
        </w:rPr>
        <w:t>a</w:t>
      </w:r>
      <w:r w:rsidRPr="00C47671">
        <w:rPr>
          <w:rFonts w:eastAsia="Arial"/>
          <w:spacing w:val="1"/>
          <w:position w:val="-1"/>
        </w:rPr>
        <w:t>m</w:t>
      </w:r>
      <w:r w:rsidRPr="00C47671">
        <w:rPr>
          <w:rFonts w:eastAsia="Arial"/>
          <w:spacing w:val="-1"/>
          <w:position w:val="-1"/>
        </w:rPr>
        <w:t>e</w:t>
      </w:r>
      <w:r w:rsidRPr="00C47671">
        <w:rPr>
          <w:rFonts w:eastAsia="Arial"/>
          <w:spacing w:val="1"/>
          <w:position w:val="-1"/>
        </w:rPr>
        <w:t>n</w:t>
      </w:r>
      <w:r w:rsidRPr="00C47671">
        <w:rPr>
          <w:rFonts w:eastAsia="Arial"/>
          <w:position w:val="-1"/>
        </w:rPr>
        <w:t>t</w:t>
      </w:r>
      <w:r w:rsidRPr="00C47671">
        <w:rPr>
          <w:rFonts w:eastAsia="Arial"/>
          <w:spacing w:val="1"/>
          <w:position w:val="-1"/>
        </w:rPr>
        <w:t>o</w:t>
      </w:r>
      <w:r w:rsidRPr="006F5CCA">
        <w:rPr>
          <w:rFonts w:ascii="Arial" w:eastAsia="Arial" w:hAnsi="Arial" w:cs="Arial"/>
          <w:position w:val="-1"/>
        </w:rPr>
        <w:t>.</w:t>
      </w:r>
      <w:r>
        <w:rPr>
          <w:rFonts w:ascii="Arial" w:eastAsia="Arial" w:hAnsi="Arial" w:cs="Arial"/>
          <w:position w:val="-1"/>
        </w:rPr>
        <w:t xml:space="preserve"> </w:t>
      </w:r>
      <w:r w:rsidRPr="00C47671">
        <w:rPr>
          <w:rFonts w:eastAsia="Arial"/>
        </w:rPr>
        <w:t>Q</w:t>
      </w:r>
      <w:r w:rsidRPr="00C47671">
        <w:rPr>
          <w:rFonts w:eastAsia="Arial"/>
          <w:spacing w:val="1"/>
        </w:rPr>
        <w:t>u</w:t>
      </w:r>
      <w:r w:rsidRPr="00C47671">
        <w:rPr>
          <w:rFonts w:eastAsia="Arial"/>
        </w:rPr>
        <w:t>i</w:t>
      </w:r>
      <w:r w:rsidRPr="00C47671">
        <w:rPr>
          <w:rFonts w:eastAsia="Arial"/>
          <w:spacing w:val="1"/>
        </w:rPr>
        <w:t>m</w:t>
      </w:r>
      <w:r w:rsidRPr="00C47671">
        <w:rPr>
          <w:rFonts w:eastAsia="Arial"/>
          <w:spacing w:val="-1"/>
        </w:rPr>
        <w:t>b</w:t>
      </w:r>
      <w:r w:rsidRPr="00C47671">
        <w:rPr>
          <w:rFonts w:eastAsia="Arial"/>
          <w:spacing w:val="1"/>
        </w:rPr>
        <w:t>a</w:t>
      </w:r>
      <w:r w:rsidRPr="00C47671">
        <w:rPr>
          <w:rFonts w:eastAsia="Arial"/>
          <w:spacing w:val="-2"/>
        </w:rPr>
        <w:t>y</w:t>
      </w:r>
      <w:r w:rsidRPr="00C47671">
        <w:rPr>
          <w:rFonts w:eastAsia="Arial"/>
        </w:rPr>
        <w:t>a</w:t>
      </w:r>
      <w:r>
        <w:rPr>
          <w:rFonts w:eastAsia="Arial"/>
        </w:rPr>
        <w:t xml:space="preserve"> </w:t>
      </w:r>
      <w:r w:rsidRPr="00C47671">
        <w:rPr>
          <w:rFonts w:eastAsia="Arial"/>
          <w:spacing w:val="1"/>
        </w:rPr>
        <w:t>a</w:t>
      </w:r>
      <w:r w:rsidRPr="00C47671">
        <w:rPr>
          <w:rFonts w:eastAsia="Arial"/>
          <w:spacing w:val="-1"/>
        </w:rPr>
        <w:t>p</w:t>
      </w:r>
      <w:r w:rsidRPr="00C47671">
        <w:rPr>
          <w:rFonts w:eastAsia="Arial"/>
          <w:spacing w:val="1"/>
        </w:rPr>
        <w:t>o</w:t>
      </w:r>
      <w:r w:rsidRPr="00C47671">
        <w:rPr>
          <w:rFonts w:eastAsia="Arial"/>
        </w:rPr>
        <w:t>rta</w:t>
      </w:r>
      <w:r>
        <w:rPr>
          <w:rFonts w:eastAsia="Arial"/>
        </w:rPr>
        <w:t xml:space="preserve"> </w:t>
      </w:r>
      <w:r w:rsidRPr="00C47671">
        <w:rPr>
          <w:rFonts w:eastAsia="Arial"/>
          <w:spacing w:val="1"/>
        </w:rPr>
        <w:t>e</w:t>
      </w:r>
      <w:r w:rsidRPr="00C47671">
        <w:rPr>
          <w:rFonts w:eastAsia="Arial"/>
        </w:rPr>
        <w:t xml:space="preserve">l </w:t>
      </w:r>
      <w:r w:rsidRPr="00C47671">
        <w:rPr>
          <w:rFonts w:eastAsia="Arial"/>
          <w:b/>
          <w:spacing w:val="-1"/>
        </w:rPr>
        <w:t>5</w:t>
      </w:r>
      <w:r w:rsidRPr="00C47671">
        <w:rPr>
          <w:rFonts w:eastAsia="Arial"/>
          <w:b/>
        </w:rPr>
        <w:t>,</w:t>
      </w:r>
      <w:r w:rsidRPr="00C47671">
        <w:rPr>
          <w:rFonts w:eastAsia="Arial"/>
          <w:b/>
          <w:spacing w:val="1"/>
        </w:rPr>
        <w:t>5</w:t>
      </w:r>
      <w:r w:rsidRPr="00C47671">
        <w:rPr>
          <w:rFonts w:eastAsia="Arial"/>
          <w:b/>
        </w:rPr>
        <w:t>6%</w:t>
      </w:r>
      <w:r>
        <w:rPr>
          <w:rFonts w:eastAsia="Arial"/>
          <w:b/>
        </w:rPr>
        <w:t xml:space="preserve"> </w:t>
      </w:r>
      <w:r w:rsidRPr="00C47671">
        <w:rPr>
          <w:rFonts w:eastAsia="Arial"/>
          <w:b/>
        </w:rPr>
        <w:t xml:space="preserve"> </w:t>
      </w:r>
      <w:r w:rsidRPr="00C47671">
        <w:rPr>
          <w:rFonts w:eastAsia="Arial"/>
        </w:rPr>
        <w:t>a</w:t>
      </w:r>
      <w:r>
        <w:rPr>
          <w:rFonts w:eastAsia="Arial"/>
        </w:rPr>
        <w:t xml:space="preserve"> </w:t>
      </w:r>
      <w:r w:rsidRPr="00C47671">
        <w:rPr>
          <w:rFonts w:eastAsia="Arial"/>
        </w:rPr>
        <w:t>la</w:t>
      </w:r>
      <w:r>
        <w:rPr>
          <w:rFonts w:eastAsia="Arial"/>
        </w:rPr>
        <w:t xml:space="preserve"> </w:t>
      </w:r>
      <w:r w:rsidRPr="00C47671">
        <w:rPr>
          <w:rFonts w:eastAsia="Arial"/>
          <w:spacing w:val="-2"/>
        </w:rPr>
        <w:lastRenderedPageBreak/>
        <w:t>c</w:t>
      </w:r>
      <w:r w:rsidRPr="00C47671">
        <w:rPr>
          <w:rFonts w:eastAsia="Arial"/>
          <w:spacing w:val="1"/>
        </w:rPr>
        <w:t>an</w:t>
      </w:r>
      <w:r w:rsidRPr="00C47671">
        <w:rPr>
          <w:rFonts w:eastAsia="Arial"/>
        </w:rPr>
        <w:t>t</w:t>
      </w:r>
      <w:r w:rsidRPr="00C47671">
        <w:rPr>
          <w:rFonts w:eastAsia="Arial"/>
          <w:spacing w:val="-2"/>
        </w:rPr>
        <w:t>i</w:t>
      </w:r>
      <w:r w:rsidRPr="00C47671">
        <w:rPr>
          <w:rFonts w:eastAsia="Arial"/>
          <w:spacing w:val="1"/>
        </w:rPr>
        <w:t>da</w:t>
      </w:r>
      <w:r w:rsidRPr="00C47671">
        <w:rPr>
          <w:rFonts w:eastAsia="Arial"/>
        </w:rPr>
        <w:t>d</w:t>
      </w:r>
      <w:r>
        <w:rPr>
          <w:rFonts w:eastAsia="Arial"/>
        </w:rPr>
        <w:t xml:space="preserve"> </w:t>
      </w:r>
      <w:r w:rsidRPr="00C47671">
        <w:rPr>
          <w:rFonts w:eastAsia="Arial"/>
          <w:spacing w:val="-1"/>
        </w:rPr>
        <w:t>d</w:t>
      </w:r>
      <w:r w:rsidRPr="00C47671">
        <w:rPr>
          <w:rFonts w:eastAsia="Arial"/>
        </w:rPr>
        <w:t>e</w:t>
      </w:r>
      <w:r>
        <w:rPr>
          <w:rFonts w:eastAsia="Arial"/>
        </w:rPr>
        <w:t xml:space="preserve"> </w:t>
      </w:r>
      <w:r w:rsidRPr="00C47671">
        <w:rPr>
          <w:rFonts w:eastAsia="Arial"/>
          <w:spacing w:val="-1"/>
        </w:rPr>
        <w:t>e</w:t>
      </w:r>
      <w:r w:rsidRPr="00C47671">
        <w:rPr>
          <w:rFonts w:eastAsia="Arial"/>
          <w:spacing w:val="1"/>
        </w:rPr>
        <w:t>mp</w:t>
      </w:r>
      <w:r w:rsidRPr="00C47671">
        <w:rPr>
          <w:rFonts w:eastAsia="Arial"/>
        </w:rPr>
        <w:t>res</w:t>
      </w:r>
      <w:r w:rsidRPr="00C47671">
        <w:rPr>
          <w:rFonts w:eastAsia="Arial"/>
          <w:spacing w:val="1"/>
        </w:rPr>
        <w:t>a</w:t>
      </w:r>
      <w:r w:rsidRPr="00C47671">
        <w:rPr>
          <w:rFonts w:eastAsia="Arial"/>
        </w:rPr>
        <w:t xml:space="preserve">s </w:t>
      </w:r>
      <w:r w:rsidRPr="00C47671">
        <w:rPr>
          <w:rFonts w:eastAsia="Arial"/>
          <w:spacing w:val="-1"/>
        </w:rPr>
        <w:t>m</w:t>
      </w:r>
      <w:r w:rsidRPr="00C47671">
        <w:rPr>
          <w:rFonts w:eastAsia="Arial"/>
          <w:spacing w:val="1"/>
        </w:rPr>
        <w:t>a</w:t>
      </w:r>
      <w:r w:rsidRPr="00C47671">
        <w:rPr>
          <w:rFonts w:eastAsia="Arial"/>
        </w:rPr>
        <w:t>tricul</w:t>
      </w:r>
      <w:r w:rsidRPr="00C47671">
        <w:rPr>
          <w:rFonts w:eastAsia="Arial"/>
          <w:spacing w:val="-2"/>
        </w:rPr>
        <w:t>a</w:t>
      </w:r>
      <w:r w:rsidRPr="00C47671">
        <w:rPr>
          <w:rFonts w:eastAsia="Arial"/>
          <w:spacing w:val="1"/>
        </w:rPr>
        <w:t>da</w:t>
      </w:r>
      <w:r w:rsidRPr="00C47671">
        <w:rPr>
          <w:rFonts w:eastAsia="Arial"/>
        </w:rPr>
        <w:t>s</w:t>
      </w:r>
      <w:r>
        <w:rPr>
          <w:rFonts w:eastAsia="Arial"/>
        </w:rPr>
        <w:t xml:space="preserve"> </w:t>
      </w:r>
      <w:r>
        <w:rPr>
          <w:rFonts w:eastAsia="Arial"/>
          <w:spacing w:val="-1"/>
        </w:rPr>
        <w:t>en el total departamental</w:t>
      </w:r>
      <w:r w:rsidRPr="00C47671">
        <w:rPr>
          <w:rFonts w:eastAsia="Arial"/>
        </w:rPr>
        <w:t xml:space="preserve">, </w:t>
      </w:r>
      <w:r w:rsidRPr="00C47671">
        <w:rPr>
          <w:rFonts w:eastAsia="Arial"/>
          <w:spacing w:val="-1"/>
        </w:rPr>
        <w:t>u</w:t>
      </w:r>
      <w:r w:rsidRPr="00C47671">
        <w:rPr>
          <w:rFonts w:eastAsia="Arial"/>
        </w:rPr>
        <w:t xml:space="preserve">n </w:t>
      </w:r>
      <w:r w:rsidRPr="005D1D0D">
        <w:rPr>
          <w:rFonts w:eastAsia="Arial"/>
          <w:spacing w:val="1"/>
        </w:rPr>
        <w:t>5</w:t>
      </w:r>
      <w:r w:rsidRPr="005D1D0D">
        <w:rPr>
          <w:rFonts w:eastAsia="Arial"/>
        </w:rPr>
        <w:t>,</w:t>
      </w:r>
      <w:r w:rsidRPr="005D1D0D">
        <w:rPr>
          <w:rFonts w:eastAsia="Arial"/>
          <w:spacing w:val="-1"/>
        </w:rPr>
        <w:t>7</w:t>
      </w:r>
      <w:r w:rsidRPr="005D1D0D">
        <w:rPr>
          <w:rFonts w:eastAsia="Arial"/>
          <w:spacing w:val="1"/>
        </w:rPr>
        <w:t>4</w:t>
      </w:r>
      <w:r w:rsidRPr="005D1D0D">
        <w:rPr>
          <w:rFonts w:eastAsia="Arial"/>
        </w:rPr>
        <w:t>%</w:t>
      </w:r>
      <w:r w:rsidRPr="00C47671">
        <w:rPr>
          <w:rFonts w:eastAsia="Arial"/>
          <w:b/>
        </w:rPr>
        <w:t xml:space="preserve">  </w:t>
      </w:r>
      <w:r w:rsidRPr="00C47671">
        <w:rPr>
          <w:rFonts w:eastAsia="Arial"/>
        </w:rPr>
        <w:t>c</w:t>
      </w:r>
      <w:r w:rsidRPr="00C47671">
        <w:rPr>
          <w:rFonts w:eastAsia="Arial"/>
          <w:spacing w:val="1"/>
        </w:rPr>
        <w:t>o</w:t>
      </w:r>
      <w:r w:rsidRPr="00C47671">
        <w:rPr>
          <w:rFonts w:eastAsia="Arial"/>
        </w:rPr>
        <w:t>r</w:t>
      </w:r>
      <w:r w:rsidRPr="00C47671">
        <w:rPr>
          <w:rFonts w:eastAsia="Arial"/>
          <w:spacing w:val="-1"/>
        </w:rPr>
        <w:t>r</w:t>
      </w:r>
      <w:r w:rsidRPr="00C47671">
        <w:rPr>
          <w:rFonts w:eastAsia="Arial"/>
          <w:spacing w:val="1"/>
        </w:rPr>
        <w:t>e</w:t>
      </w:r>
      <w:r w:rsidRPr="00C47671">
        <w:rPr>
          <w:rFonts w:eastAsia="Arial"/>
        </w:rPr>
        <w:t>s</w:t>
      </w:r>
      <w:r w:rsidRPr="00C47671">
        <w:rPr>
          <w:rFonts w:eastAsia="Arial"/>
          <w:spacing w:val="1"/>
        </w:rPr>
        <w:t>pond</w:t>
      </w:r>
      <w:r w:rsidRPr="00C47671">
        <w:rPr>
          <w:rFonts w:eastAsia="Arial"/>
        </w:rPr>
        <w:t>e a l</w:t>
      </w:r>
      <w:r w:rsidRPr="00C47671">
        <w:rPr>
          <w:rFonts w:eastAsia="Arial"/>
          <w:spacing w:val="-2"/>
        </w:rPr>
        <w:t>a</w:t>
      </w:r>
      <w:r>
        <w:rPr>
          <w:rFonts w:eastAsia="Arial"/>
        </w:rPr>
        <w:t>s</w:t>
      </w:r>
      <w:r w:rsidRPr="00C47671">
        <w:rPr>
          <w:rFonts w:eastAsia="Arial"/>
          <w:spacing w:val="1"/>
        </w:rPr>
        <w:t xml:space="preserve"> 64</w:t>
      </w:r>
      <w:r w:rsidRPr="00C47671">
        <w:rPr>
          <w:rFonts w:eastAsia="Arial"/>
        </w:rPr>
        <w:t xml:space="preserve">7 </w:t>
      </w:r>
      <w:r w:rsidRPr="00C47671">
        <w:rPr>
          <w:rFonts w:eastAsia="Arial"/>
          <w:spacing w:val="-1"/>
        </w:rPr>
        <w:t>e</w:t>
      </w:r>
      <w:r w:rsidRPr="00C47671">
        <w:rPr>
          <w:rFonts w:eastAsia="Arial"/>
          <w:spacing w:val="1"/>
        </w:rPr>
        <w:t>mp</w:t>
      </w:r>
      <w:r w:rsidRPr="00C47671">
        <w:rPr>
          <w:rFonts w:eastAsia="Arial"/>
        </w:rPr>
        <w:t>re</w:t>
      </w:r>
      <w:r w:rsidRPr="00C47671">
        <w:rPr>
          <w:rFonts w:eastAsia="Arial"/>
          <w:spacing w:val="-2"/>
        </w:rPr>
        <w:t>s</w:t>
      </w:r>
      <w:r w:rsidRPr="00C47671">
        <w:rPr>
          <w:rFonts w:eastAsia="Arial"/>
          <w:spacing w:val="1"/>
        </w:rPr>
        <w:t>a</w:t>
      </w:r>
      <w:r w:rsidRPr="00C47671">
        <w:rPr>
          <w:rFonts w:eastAsia="Arial"/>
        </w:rPr>
        <w:t xml:space="preserve">s </w:t>
      </w:r>
      <w:r w:rsidRPr="00C47671">
        <w:rPr>
          <w:rFonts w:eastAsia="Arial"/>
          <w:spacing w:val="-1"/>
        </w:rPr>
        <w:t>q</w:t>
      </w:r>
      <w:r w:rsidRPr="00C47671">
        <w:rPr>
          <w:rFonts w:eastAsia="Arial"/>
          <w:spacing w:val="1"/>
        </w:rPr>
        <w:t>u</w:t>
      </w:r>
      <w:r w:rsidRPr="00C47671">
        <w:rPr>
          <w:rFonts w:eastAsia="Arial"/>
        </w:rPr>
        <w:t>e re</w:t>
      </w:r>
      <w:r w:rsidRPr="00C47671">
        <w:rPr>
          <w:rFonts w:eastAsia="Arial"/>
          <w:spacing w:val="1"/>
        </w:rPr>
        <w:t>no</w:t>
      </w:r>
      <w:r w:rsidRPr="00C47671">
        <w:rPr>
          <w:rFonts w:eastAsia="Arial"/>
          <w:spacing w:val="-2"/>
        </w:rPr>
        <w:t>v</w:t>
      </w:r>
      <w:r w:rsidRPr="00C47671">
        <w:rPr>
          <w:rFonts w:eastAsia="Arial"/>
          <w:spacing w:val="1"/>
        </w:rPr>
        <w:t>a</w:t>
      </w:r>
      <w:r w:rsidRPr="00C47671">
        <w:rPr>
          <w:rFonts w:eastAsia="Arial"/>
        </w:rPr>
        <w:t xml:space="preserve">ron </w:t>
      </w:r>
      <w:r w:rsidRPr="00C47671">
        <w:rPr>
          <w:rFonts w:eastAsia="Arial"/>
          <w:spacing w:val="-1"/>
        </w:rPr>
        <w:t>e</w:t>
      </w:r>
      <w:r w:rsidRPr="00C47671">
        <w:rPr>
          <w:rFonts w:eastAsia="Arial"/>
        </w:rPr>
        <w:t>l re</w:t>
      </w:r>
      <w:r w:rsidRPr="00C47671">
        <w:rPr>
          <w:rFonts w:eastAsia="Arial"/>
          <w:spacing w:val="-1"/>
        </w:rPr>
        <w:t>g</w:t>
      </w:r>
      <w:r w:rsidRPr="00C47671">
        <w:rPr>
          <w:rFonts w:eastAsia="Arial"/>
        </w:rPr>
        <w:t xml:space="preserve">istro </w:t>
      </w:r>
      <w:r w:rsidRPr="00C47671">
        <w:rPr>
          <w:rFonts w:eastAsia="Arial"/>
          <w:spacing w:val="1"/>
        </w:rPr>
        <w:t>me</w:t>
      </w:r>
      <w:r w:rsidRPr="00C47671">
        <w:rPr>
          <w:rFonts w:eastAsia="Arial"/>
        </w:rPr>
        <w:t>rca</w:t>
      </w:r>
      <w:r w:rsidRPr="00C47671">
        <w:rPr>
          <w:rFonts w:eastAsia="Arial"/>
          <w:spacing w:val="1"/>
        </w:rPr>
        <w:t>n</w:t>
      </w:r>
      <w:r w:rsidRPr="00C47671">
        <w:rPr>
          <w:rFonts w:eastAsia="Arial"/>
        </w:rPr>
        <w:t xml:space="preserve">til </w:t>
      </w:r>
      <w:r w:rsidRPr="00C47671">
        <w:rPr>
          <w:rFonts w:eastAsia="Arial"/>
          <w:spacing w:val="1"/>
        </w:rPr>
        <w:t>e</w:t>
      </w:r>
      <w:r w:rsidRPr="00C47671">
        <w:rPr>
          <w:rFonts w:eastAsia="Arial"/>
        </w:rPr>
        <w:t xml:space="preserve">n </w:t>
      </w:r>
      <w:r w:rsidRPr="00C47671">
        <w:rPr>
          <w:rFonts w:eastAsia="Arial"/>
          <w:spacing w:val="1"/>
        </w:rPr>
        <w:t>e</w:t>
      </w:r>
      <w:r w:rsidRPr="00C47671">
        <w:rPr>
          <w:rFonts w:eastAsia="Arial"/>
        </w:rPr>
        <w:t xml:space="preserve">l </w:t>
      </w:r>
      <w:r w:rsidRPr="00C47671">
        <w:rPr>
          <w:rFonts w:eastAsia="Arial"/>
          <w:spacing w:val="1"/>
        </w:rPr>
        <w:t>añ</w:t>
      </w:r>
      <w:r w:rsidRPr="00C47671">
        <w:rPr>
          <w:rFonts w:eastAsia="Arial"/>
        </w:rPr>
        <w:t xml:space="preserve">o </w:t>
      </w:r>
      <w:r w:rsidRPr="00C47671">
        <w:rPr>
          <w:rFonts w:eastAsia="Arial"/>
          <w:spacing w:val="1"/>
        </w:rPr>
        <w:t>2</w:t>
      </w:r>
      <w:r w:rsidRPr="00C47671">
        <w:rPr>
          <w:rFonts w:eastAsia="Arial"/>
          <w:spacing w:val="-1"/>
        </w:rPr>
        <w:t>0</w:t>
      </w:r>
      <w:r w:rsidRPr="00C47671">
        <w:rPr>
          <w:rFonts w:eastAsia="Arial"/>
          <w:spacing w:val="1"/>
        </w:rPr>
        <w:t>1</w:t>
      </w:r>
      <w:r w:rsidRPr="00C47671">
        <w:rPr>
          <w:rFonts w:eastAsia="Arial"/>
          <w:spacing w:val="5"/>
        </w:rPr>
        <w:t>3</w:t>
      </w:r>
      <w:r w:rsidRPr="00C47671">
        <w:rPr>
          <w:rFonts w:eastAsia="Arial"/>
        </w:rPr>
        <w:t xml:space="preserve">. </w:t>
      </w:r>
      <w:r w:rsidRPr="00C47671">
        <w:rPr>
          <w:rFonts w:eastAsia="Arial"/>
          <w:spacing w:val="-2"/>
        </w:rPr>
        <w:t>E</w:t>
      </w:r>
      <w:r w:rsidRPr="00C47671">
        <w:rPr>
          <w:rFonts w:eastAsia="Arial"/>
        </w:rPr>
        <w:t xml:space="preserve">n </w:t>
      </w:r>
      <w:r w:rsidRPr="00C47671">
        <w:rPr>
          <w:rFonts w:eastAsia="Arial"/>
          <w:spacing w:val="1"/>
        </w:rPr>
        <w:t>o</w:t>
      </w:r>
      <w:r w:rsidRPr="00C47671">
        <w:rPr>
          <w:rFonts w:eastAsia="Arial"/>
          <w:spacing w:val="-2"/>
        </w:rPr>
        <w:t>t</w:t>
      </w:r>
      <w:r w:rsidRPr="00C47671">
        <w:rPr>
          <w:rFonts w:eastAsia="Arial"/>
        </w:rPr>
        <w:t>ra ins</w:t>
      </w:r>
      <w:r w:rsidRPr="00C47671">
        <w:rPr>
          <w:rFonts w:eastAsia="Arial"/>
          <w:spacing w:val="1"/>
        </w:rPr>
        <w:t>tan</w:t>
      </w:r>
      <w:r w:rsidRPr="00C47671">
        <w:rPr>
          <w:rFonts w:eastAsia="Arial"/>
        </w:rPr>
        <w:t xml:space="preserve">cia se </w:t>
      </w:r>
      <w:r w:rsidRPr="00C47671">
        <w:rPr>
          <w:rFonts w:eastAsia="Arial"/>
          <w:spacing w:val="-1"/>
        </w:rPr>
        <w:t>e</w:t>
      </w:r>
      <w:r w:rsidRPr="00C47671">
        <w:rPr>
          <w:rFonts w:eastAsia="Arial"/>
          <w:spacing w:val="1"/>
        </w:rPr>
        <w:t>n</w:t>
      </w:r>
      <w:r w:rsidRPr="00C47671">
        <w:rPr>
          <w:rFonts w:eastAsia="Arial"/>
        </w:rPr>
        <w:t>c</w:t>
      </w:r>
      <w:r w:rsidRPr="00C47671">
        <w:rPr>
          <w:rFonts w:eastAsia="Arial"/>
          <w:spacing w:val="-1"/>
        </w:rPr>
        <w:t>u</w:t>
      </w:r>
      <w:r w:rsidRPr="00C47671">
        <w:rPr>
          <w:rFonts w:eastAsia="Arial"/>
          <w:spacing w:val="1"/>
        </w:rPr>
        <w:t>en</w:t>
      </w:r>
      <w:r w:rsidRPr="00C47671">
        <w:rPr>
          <w:rFonts w:eastAsia="Arial"/>
        </w:rPr>
        <w:t xml:space="preserve">tran las </w:t>
      </w:r>
      <w:r w:rsidRPr="00C47671">
        <w:rPr>
          <w:rFonts w:eastAsia="Arial"/>
          <w:spacing w:val="-1"/>
        </w:rPr>
        <w:t>83</w:t>
      </w:r>
      <w:r w:rsidRPr="00C47671">
        <w:rPr>
          <w:rFonts w:eastAsia="Arial"/>
        </w:rPr>
        <w:t>7</w:t>
      </w:r>
      <w:r>
        <w:rPr>
          <w:rFonts w:eastAsia="Arial"/>
        </w:rPr>
        <w:t xml:space="preserve">. </w:t>
      </w:r>
      <w:r w:rsidRPr="00290231">
        <w:rPr>
          <w:rFonts w:eastAsia="Arial"/>
        </w:rPr>
        <w:t>S</w:t>
      </w:r>
      <w:r w:rsidRPr="00290231">
        <w:rPr>
          <w:rFonts w:eastAsia="Arial"/>
          <w:spacing w:val="1"/>
        </w:rPr>
        <w:t>a</w:t>
      </w:r>
      <w:r w:rsidRPr="00290231">
        <w:rPr>
          <w:rFonts w:eastAsia="Arial"/>
        </w:rPr>
        <w:t>le</w:t>
      </w:r>
      <w:r w:rsidRPr="00290231">
        <w:rPr>
          <w:rFonts w:eastAsia="Arial"/>
          <w:spacing w:val="1"/>
        </w:rPr>
        <w:t>n</w:t>
      </w:r>
      <w:r w:rsidRPr="00290231">
        <w:rPr>
          <w:rFonts w:eastAsia="Arial"/>
          <w:spacing w:val="-2"/>
        </w:rPr>
        <w:t>t</w:t>
      </w:r>
      <w:r w:rsidRPr="00290231">
        <w:rPr>
          <w:rFonts w:eastAsia="Arial"/>
        </w:rPr>
        <w:t xml:space="preserve">o </w:t>
      </w:r>
      <w:r w:rsidRPr="00290231">
        <w:rPr>
          <w:rFonts w:eastAsia="Arial"/>
          <w:spacing w:val="1"/>
        </w:rPr>
        <w:t>apo</w:t>
      </w:r>
      <w:r w:rsidRPr="00290231">
        <w:rPr>
          <w:rFonts w:eastAsia="Arial"/>
        </w:rPr>
        <w:t>r</w:t>
      </w:r>
      <w:r w:rsidRPr="00290231">
        <w:rPr>
          <w:rFonts w:eastAsia="Arial"/>
          <w:spacing w:val="-3"/>
        </w:rPr>
        <w:t>t</w:t>
      </w:r>
      <w:r w:rsidRPr="00290231">
        <w:rPr>
          <w:rFonts w:eastAsia="Arial"/>
        </w:rPr>
        <w:t xml:space="preserve">a </w:t>
      </w:r>
      <w:r w:rsidRPr="00290231">
        <w:rPr>
          <w:rFonts w:eastAsia="Arial"/>
          <w:spacing w:val="1"/>
        </w:rPr>
        <w:t>en</w:t>
      </w:r>
      <w:r w:rsidRPr="00290231">
        <w:rPr>
          <w:rFonts w:eastAsia="Arial"/>
        </w:rPr>
        <w:t xml:space="preserve">tre </w:t>
      </w:r>
      <w:r w:rsidRPr="00290231">
        <w:rPr>
          <w:rFonts w:eastAsia="Arial"/>
          <w:spacing w:val="1"/>
        </w:rPr>
        <w:t>e</w:t>
      </w:r>
      <w:r w:rsidRPr="00290231">
        <w:rPr>
          <w:rFonts w:eastAsia="Arial"/>
        </w:rPr>
        <w:t xml:space="preserve">l </w:t>
      </w:r>
      <w:r w:rsidRPr="005D1D0D">
        <w:rPr>
          <w:rFonts w:eastAsia="Arial"/>
          <w:spacing w:val="1"/>
        </w:rPr>
        <w:t>2</w:t>
      </w:r>
      <w:r w:rsidRPr="005D1D0D">
        <w:rPr>
          <w:rFonts w:eastAsia="Arial"/>
        </w:rPr>
        <w:t>,</w:t>
      </w:r>
      <w:r w:rsidRPr="005D1D0D">
        <w:rPr>
          <w:rFonts w:eastAsia="Arial"/>
          <w:spacing w:val="1"/>
        </w:rPr>
        <w:t>6</w:t>
      </w:r>
      <w:r w:rsidRPr="005D1D0D">
        <w:rPr>
          <w:rFonts w:eastAsia="Arial"/>
        </w:rPr>
        <w:t>%</w:t>
      </w:r>
      <w:r w:rsidRPr="00290231">
        <w:rPr>
          <w:rFonts w:eastAsia="Arial"/>
          <w:b/>
        </w:rPr>
        <w:t xml:space="preserve"> </w:t>
      </w:r>
      <w:r w:rsidRPr="00290231">
        <w:rPr>
          <w:rFonts w:eastAsia="Arial"/>
        </w:rPr>
        <w:t xml:space="preserve">y </w:t>
      </w:r>
      <w:r w:rsidRPr="005D1D0D">
        <w:rPr>
          <w:rFonts w:eastAsia="Arial"/>
          <w:spacing w:val="1"/>
        </w:rPr>
        <w:t>2</w:t>
      </w:r>
      <w:r w:rsidRPr="005D1D0D">
        <w:rPr>
          <w:rFonts w:eastAsia="Arial"/>
        </w:rPr>
        <w:t>,</w:t>
      </w:r>
      <w:r w:rsidRPr="005D1D0D">
        <w:rPr>
          <w:rFonts w:eastAsia="Arial"/>
          <w:spacing w:val="1"/>
        </w:rPr>
        <w:t>8</w:t>
      </w:r>
      <w:r w:rsidRPr="005D1D0D">
        <w:rPr>
          <w:rFonts w:eastAsia="Arial"/>
        </w:rPr>
        <w:t>%</w:t>
      </w:r>
      <w:r w:rsidRPr="00290231">
        <w:rPr>
          <w:rFonts w:eastAsia="Arial"/>
          <w:b/>
        </w:rPr>
        <w:t xml:space="preserve"> </w:t>
      </w:r>
      <w:r w:rsidRPr="00290231">
        <w:rPr>
          <w:rFonts w:eastAsia="Arial"/>
          <w:spacing w:val="1"/>
        </w:rPr>
        <w:t>a</w:t>
      </w:r>
      <w:r w:rsidRPr="00290231">
        <w:rPr>
          <w:rFonts w:eastAsia="Arial"/>
        </w:rPr>
        <w:t>l t</w:t>
      </w:r>
      <w:r w:rsidRPr="00290231">
        <w:rPr>
          <w:rFonts w:eastAsia="Arial"/>
          <w:spacing w:val="1"/>
        </w:rPr>
        <w:t>o</w:t>
      </w:r>
      <w:r w:rsidRPr="00290231">
        <w:rPr>
          <w:rFonts w:eastAsia="Arial"/>
        </w:rPr>
        <w:t>t</w:t>
      </w:r>
      <w:r w:rsidRPr="00290231">
        <w:rPr>
          <w:rFonts w:eastAsia="Arial"/>
          <w:spacing w:val="1"/>
        </w:rPr>
        <w:t>a</w:t>
      </w:r>
      <w:r w:rsidRPr="00290231">
        <w:rPr>
          <w:rFonts w:eastAsia="Arial"/>
        </w:rPr>
        <w:t>l</w:t>
      </w:r>
      <w:r w:rsidRPr="00290231">
        <w:rPr>
          <w:rFonts w:eastAsia="Arial"/>
          <w:spacing w:val="1"/>
        </w:rPr>
        <w:t xml:space="preserve"> d</w:t>
      </w:r>
      <w:r w:rsidRPr="00290231">
        <w:rPr>
          <w:rFonts w:eastAsia="Arial"/>
        </w:rPr>
        <w:t>e las ci</w:t>
      </w:r>
      <w:r w:rsidRPr="00290231">
        <w:rPr>
          <w:rFonts w:eastAsia="Arial"/>
          <w:spacing w:val="2"/>
        </w:rPr>
        <w:t>f</w:t>
      </w:r>
      <w:r w:rsidRPr="00290231">
        <w:rPr>
          <w:rFonts w:eastAsia="Arial"/>
        </w:rPr>
        <w:t>ras c</w:t>
      </w:r>
      <w:r w:rsidRPr="00290231">
        <w:rPr>
          <w:rFonts w:eastAsia="Arial"/>
          <w:spacing w:val="1"/>
        </w:rPr>
        <w:t>o</w:t>
      </w:r>
      <w:r w:rsidRPr="00290231">
        <w:rPr>
          <w:rFonts w:eastAsia="Arial"/>
        </w:rPr>
        <w:t>r</w:t>
      </w:r>
      <w:r w:rsidRPr="00290231">
        <w:rPr>
          <w:rFonts w:eastAsia="Arial"/>
          <w:spacing w:val="-1"/>
        </w:rPr>
        <w:t>r</w:t>
      </w:r>
      <w:r w:rsidRPr="00290231">
        <w:rPr>
          <w:rFonts w:eastAsia="Arial"/>
          <w:spacing w:val="1"/>
        </w:rPr>
        <w:t>e</w:t>
      </w:r>
      <w:r w:rsidRPr="00290231">
        <w:rPr>
          <w:rFonts w:eastAsia="Arial"/>
        </w:rPr>
        <w:t>s</w:t>
      </w:r>
      <w:r w:rsidRPr="00290231">
        <w:rPr>
          <w:rFonts w:eastAsia="Arial"/>
          <w:spacing w:val="1"/>
        </w:rPr>
        <w:t>po</w:t>
      </w:r>
      <w:r w:rsidRPr="00290231">
        <w:rPr>
          <w:rFonts w:eastAsia="Arial"/>
          <w:spacing w:val="-1"/>
        </w:rPr>
        <w:t>n</w:t>
      </w:r>
      <w:r w:rsidRPr="00290231">
        <w:rPr>
          <w:rFonts w:eastAsia="Arial"/>
          <w:spacing w:val="1"/>
        </w:rPr>
        <w:t>d</w:t>
      </w:r>
      <w:r w:rsidRPr="00290231">
        <w:rPr>
          <w:rFonts w:eastAsia="Arial"/>
        </w:rPr>
        <w:t>ie</w:t>
      </w:r>
      <w:r w:rsidRPr="00290231">
        <w:rPr>
          <w:rFonts w:eastAsia="Arial"/>
          <w:spacing w:val="1"/>
        </w:rPr>
        <w:t>n</w:t>
      </w:r>
      <w:r w:rsidRPr="00290231">
        <w:rPr>
          <w:rFonts w:eastAsia="Arial"/>
          <w:spacing w:val="-2"/>
        </w:rPr>
        <w:t>t</w:t>
      </w:r>
      <w:r w:rsidRPr="00290231">
        <w:rPr>
          <w:rFonts w:eastAsia="Arial"/>
          <w:spacing w:val="1"/>
        </w:rPr>
        <w:t>e</w:t>
      </w:r>
      <w:r w:rsidRPr="00290231">
        <w:rPr>
          <w:rFonts w:eastAsia="Arial"/>
        </w:rPr>
        <w:t xml:space="preserve">s a las </w:t>
      </w:r>
      <w:r w:rsidRPr="00290231">
        <w:rPr>
          <w:rFonts w:eastAsia="Arial"/>
          <w:spacing w:val="1"/>
        </w:rPr>
        <w:t>ma</w:t>
      </w:r>
      <w:r w:rsidRPr="00290231">
        <w:rPr>
          <w:rFonts w:eastAsia="Arial"/>
        </w:rPr>
        <w:t>tricula</w:t>
      </w:r>
      <w:r w:rsidRPr="00290231">
        <w:rPr>
          <w:rFonts w:eastAsia="Arial"/>
          <w:spacing w:val="-2"/>
        </w:rPr>
        <w:t>s</w:t>
      </w:r>
      <w:r w:rsidRPr="00290231">
        <w:rPr>
          <w:rFonts w:eastAsia="Arial"/>
        </w:rPr>
        <w:t>, re</w:t>
      </w:r>
      <w:r w:rsidRPr="00290231">
        <w:rPr>
          <w:rFonts w:eastAsia="Arial"/>
          <w:spacing w:val="-1"/>
        </w:rPr>
        <w:t>n</w:t>
      </w:r>
      <w:r w:rsidRPr="00290231">
        <w:rPr>
          <w:rFonts w:eastAsia="Arial"/>
          <w:spacing w:val="1"/>
        </w:rPr>
        <w:t>o</w:t>
      </w:r>
      <w:r w:rsidRPr="00290231">
        <w:rPr>
          <w:rFonts w:eastAsia="Arial"/>
          <w:spacing w:val="-2"/>
        </w:rPr>
        <w:t>v</w:t>
      </w:r>
      <w:r w:rsidRPr="00290231">
        <w:rPr>
          <w:rFonts w:eastAsia="Arial"/>
          <w:spacing w:val="1"/>
        </w:rPr>
        <w:t>a</w:t>
      </w:r>
      <w:r w:rsidRPr="00290231">
        <w:rPr>
          <w:rFonts w:eastAsia="Arial"/>
        </w:rPr>
        <w:t>cio</w:t>
      </w:r>
      <w:r w:rsidRPr="00290231">
        <w:rPr>
          <w:rFonts w:eastAsia="Arial"/>
          <w:spacing w:val="1"/>
        </w:rPr>
        <w:t>ne</w:t>
      </w:r>
      <w:r w:rsidRPr="00290231">
        <w:rPr>
          <w:rFonts w:eastAsia="Arial"/>
        </w:rPr>
        <w:t xml:space="preserve">s y </w:t>
      </w:r>
      <w:r w:rsidRPr="00290231">
        <w:rPr>
          <w:rFonts w:eastAsia="Arial"/>
          <w:spacing w:val="-1"/>
        </w:rPr>
        <w:t>e</w:t>
      </w:r>
      <w:r w:rsidRPr="00290231">
        <w:rPr>
          <w:rFonts w:eastAsia="Arial"/>
          <w:spacing w:val="1"/>
        </w:rPr>
        <w:t>mp</w:t>
      </w:r>
      <w:r w:rsidRPr="00290231">
        <w:rPr>
          <w:rFonts w:eastAsia="Arial"/>
        </w:rPr>
        <w:t>res</w:t>
      </w:r>
      <w:r w:rsidRPr="00290231">
        <w:rPr>
          <w:rFonts w:eastAsia="Arial"/>
          <w:spacing w:val="1"/>
        </w:rPr>
        <w:t>a</w:t>
      </w:r>
      <w:r w:rsidRPr="00290231">
        <w:rPr>
          <w:rFonts w:eastAsia="Arial"/>
        </w:rPr>
        <w:t xml:space="preserve">s </w:t>
      </w:r>
      <w:r w:rsidRPr="00290231">
        <w:rPr>
          <w:rFonts w:eastAsia="Arial"/>
          <w:spacing w:val="-1"/>
        </w:rPr>
        <w:t>M</w:t>
      </w:r>
      <w:r w:rsidRPr="00290231">
        <w:rPr>
          <w:rFonts w:eastAsia="Arial"/>
          <w:spacing w:val="1"/>
        </w:rPr>
        <w:t>a</w:t>
      </w:r>
      <w:r w:rsidRPr="00290231">
        <w:rPr>
          <w:rFonts w:eastAsia="Arial"/>
          <w:spacing w:val="-2"/>
        </w:rPr>
        <w:t>t</w:t>
      </w:r>
      <w:r w:rsidRPr="00290231">
        <w:rPr>
          <w:rFonts w:eastAsia="Arial"/>
        </w:rPr>
        <w:t>r</w:t>
      </w:r>
      <w:r w:rsidRPr="00290231">
        <w:rPr>
          <w:rFonts w:eastAsia="Arial"/>
          <w:spacing w:val="-1"/>
        </w:rPr>
        <w:t>i</w:t>
      </w:r>
      <w:r w:rsidRPr="00290231">
        <w:rPr>
          <w:rFonts w:eastAsia="Arial"/>
        </w:rPr>
        <w:t>c</w:t>
      </w:r>
      <w:r w:rsidRPr="00290231">
        <w:rPr>
          <w:rFonts w:eastAsia="Arial"/>
          <w:spacing w:val="1"/>
        </w:rPr>
        <w:t>u</w:t>
      </w:r>
      <w:r w:rsidRPr="00290231">
        <w:rPr>
          <w:rFonts w:eastAsia="Arial"/>
        </w:rPr>
        <w:t>la</w:t>
      </w:r>
      <w:r w:rsidRPr="00290231">
        <w:rPr>
          <w:rFonts w:eastAsia="Arial"/>
          <w:spacing w:val="1"/>
        </w:rPr>
        <w:t>da</w:t>
      </w:r>
      <w:r w:rsidRPr="00290231">
        <w:rPr>
          <w:rFonts w:eastAsia="Arial"/>
        </w:rPr>
        <w:t>s y Re</w:t>
      </w:r>
      <w:r w:rsidRPr="00290231">
        <w:rPr>
          <w:rFonts w:eastAsia="Arial"/>
          <w:spacing w:val="1"/>
        </w:rPr>
        <w:t>no</w:t>
      </w:r>
      <w:r w:rsidRPr="00290231">
        <w:rPr>
          <w:rFonts w:eastAsia="Arial"/>
          <w:spacing w:val="-2"/>
        </w:rPr>
        <w:t>v</w:t>
      </w:r>
      <w:r w:rsidRPr="00290231">
        <w:rPr>
          <w:rFonts w:eastAsia="Arial"/>
          <w:spacing w:val="1"/>
        </w:rPr>
        <w:t>a</w:t>
      </w:r>
      <w:r w:rsidRPr="00290231">
        <w:rPr>
          <w:rFonts w:eastAsia="Arial"/>
          <w:spacing w:val="-1"/>
        </w:rPr>
        <w:t>d</w:t>
      </w:r>
      <w:r w:rsidRPr="00290231">
        <w:rPr>
          <w:rFonts w:eastAsia="Arial"/>
          <w:spacing w:val="1"/>
        </w:rPr>
        <w:t>a</w:t>
      </w:r>
      <w:r w:rsidRPr="00290231">
        <w:rPr>
          <w:rFonts w:eastAsia="Arial"/>
        </w:rPr>
        <w:t xml:space="preserve">s </w:t>
      </w:r>
      <w:r w:rsidRPr="00290231">
        <w:rPr>
          <w:rFonts w:eastAsia="Arial"/>
          <w:spacing w:val="-1"/>
        </w:rPr>
        <w:t>e</w:t>
      </w:r>
      <w:r w:rsidRPr="00290231">
        <w:rPr>
          <w:rFonts w:eastAsia="Arial"/>
        </w:rPr>
        <w:t>n t</w:t>
      </w:r>
      <w:r w:rsidRPr="00290231">
        <w:rPr>
          <w:rFonts w:eastAsia="Arial"/>
          <w:spacing w:val="-1"/>
        </w:rPr>
        <w:t>o</w:t>
      </w:r>
      <w:r w:rsidRPr="00290231">
        <w:rPr>
          <w:rFonts w:eastAsia="Arial"/>
          <w:spacing w:val="1"/>
        </w:rPr>
        <w:t>d</w:t>
      </w:r>
      <w:r w:rsidRPr="00290231">
        <w:rPr>
          <w:rFonts w:eastAsia="Arial"/>
        </w:rPr>
        <w:t xml:space="preserve">o </w:t>
      </w:r>
      <w:r w:rsidRPr="00290231">
        <w:rPr>
          <w:rFonts w:eastAsia="Arial"/>
          <w:spacing w:val="-1"/>
        </w:rPr>
        <w:t>e</w:t>
      </w:r>
      <w:r w:rsidRPr="00290231">
        <w:rPr>
          <w:rFonts w:eastAsia="Arial"/>
        </w:rPr>
        <w:t xml:space="preserve">l </w:t>
      </w:r>
      <w:r>
        <w:rPr>
          <w:rFonts w:eastAsia="Arial"/>
          <w:spacing w:val="1"/>
        </w:rPr>
        <w:t>Quindío</w:t>
      </w:r>
      <w:r w:rsidRPr="006F5CCA">
        <w:rPr>
          <w:rFonts w:ascii="Arial" w:eastAsia="Arial" w:hAnsi="Arial" w:cs="Arial"/>
        </w:rPr>
        <w:t>.</w:t>
      </w:r>
    </w:p>
    <w:p w:rsidR="006F1C63" w:rsidRDefault="006F1C63" w:rsidP="003B3716">
      <w:pPr>
        <w:spacing w:line="360" w:lineRule="auto"/>
        <w:ind w:firstLine="284"/>
        <w:jc w:val="both"/>
        <w:rPr>
          <w:rFonts w:ascii="Arial" w:eastAsia="Arial" w:hAnsi="Arial" w:cs="Arial"/>
        </w:rPr>
      </w:pPr>
    </w:p>
    <w:p w:rsidR="00406FF7" w:rsidRPr="00363A30" w:rsidRDefault="00363A30" w:rsidP="00363A30">
      <w:pPr>
        <w:pStyle w:val="Ttulo2"/>
        <w:rPr>
          <w:rFonts w:ascii="Times New Roman" w:hAnsi="Times New Roman" w:cs="Times New Roman"/>
          <w:color w:val="auto"/>
          <w:sz w:val="30"/>
          <w:szCs w:val="30"/>
        </w:rPr>
      </w:pPr>
      <w:bookmarkStart w:id="84" w:name="_Toc406754338"/>
      <w:r w:rsidRPr="00363A30">
        <w:rPr>
          <w:rFonts w:ascii="Times New Roman" w:hAnsi="Times New Roman" w:cs="Times New Roman"/>
          <w:color w:val="auto"/>
          <w:sz w:val="30"/>
          <w:szCs w:val="30"/>
        </w:rPr>
        <w:t>10.</w:t>
      </w:r>
      <w:r w:rsidR="00406FF7" w:rsidRPr="00363A30">
        <w:rPr>
          <w:rFonts w:ascii="Times New Roman" w:hAnsi="Times New Roman" w:cs="Times New Roman"/>
          <w:color w:val="auto"/>
          <w:sz w:val="30"/>
          <w:szCs w:val="30"/>
        </w:rPr>
        <w:t>2 Coyuntura: Movimiento de sociedades</w:t>
      </w:r>
      <w:bookmarkEnd w:id="84"/>
    </w:p>
    <w:p w:rsidR="00406FF7" w:rsidRPr="00766035" w:rsidRDefault="00406FF7" w:rsidP="00406FF7">
      <w:pPr>
        <w:widowControl w:val="0"/>
        <w:autoSpaceDE w:val="0"/>
        <w:autoSpaceDN w:val="0"/>
        <w:adjustRightInd w:val="0"/>
        <w:spacing w:before="2" w:line="360" w:lineRule="auto"/>
        <w:ind w:right="-33"/>
        <w:jc w:val="both"/>
        <w:rPr>
          <w:b/>
        </w:rPr>
      </w:pPr>
    </w:p>
    <w:p w:rsidR="00406FF7" w:rsidRPr="00D05497" w:rsidRDefault="00406FF7" w:rsidP="00363A30">
      <w:pPr>
        <w:spacing w:line="360" w:lineRule="auto"/>
        <w:ind w:firstLine="284"/>
        <w:jc w:val="both"/>
        <w:rPr>
          <w:rFonts w:eastAsia="Arial"/>
        </w:rPr>
      </w:pPr>
      <w:r w:rsidRPr="00D05497">
        <w:rPr>
          <w:rFonts w:eastAsia="Arial"/>
        </w:rPr>
        <w:t>P</w:t>
      </w:r>
      <w:r w:rsidRPr="00D05497">
        <w:rPr>
          <w:rFonts w:eastAsia="Arial"/>
          <w:spacing w:val="1"/>
        </w:rPr>
        <w:t>a</w:t>
      </w:r>
      <w:r w:rsidRPr="00D05497">
        <w:rPr>
          <w:rFonts w:eastAsia="Arial"/>
        </w:rPr>
        <w:t>ra</w:t>
      </w:r>
      <w:r>
        <w:rPr>
          <w:rFonts w:eastAsia="Arial"/>
        </w:rPr>
        <w:t xml:space="preserve"> </w:t>
      </w:r>
      <w:r w:rsidRPr="00D05497">
        <w:rPr>
          <w:rFonts w:eastAsia="Arial"/>
          <w:spacing w:val="1"/>
        </w:rPr>
        <w:t>e</w:t>
      </w:r>
      <w:r w:rsidRPr="00D05497">
        <w:rPr>
          <w:rFonts w:eastAsia="Arial"/>
        </w:rPr>
        <w:t>l</w:t>
      </w:r>
      <w:r>
        <w:rPr>
          <w:rFonts w:eastAsia="Arial"/>
        </w:rPr>
        <w:t xml:space="preserve"> </w:t>
      </w:r>
      <w:r w:rsidRPr="00D05497">
        <w:rPr>
          <w:rFonts w:eastAsia="Arial"/>
          <w:spacing w:val="1"/>
        </w:rPr>
        <w:t>a</w:t>
      </w:r>
      <w:r w:rsidRPr="00D05497">
        <w:rPr>
          <w:rFonts w:eastAsia="Arial"/>
          <w:spacing w:val="-1"/>
        </w:rPr>
        <w:t>ñ</w:t>
      </w:r>
      <w:r w:rsidRPr="00D05497">
        <w:rPr>
          <w:rFonts w:eastAsia="Arial"/>
        </w:rPr>
        <w:t>o</w:t>
      </w:r>
      <w:r>
        <w:rPr>
          <w:rFonts w:eastAsia="Arial"/>
        </w:rPr>
        <w:t xml:space="preserve"> </w:t>
      </w:r>
      <w:r w:rsidRPr="00D05497">
        <w:rPr>
          <w:rFonts w:eastAsia="Arial"/>
          <w:spacing w:val="1"/>
        </w:rPr>
        <w:t>20</w:t>
      </w:r>
      <w:r w:rsidRPr="00D05497">
        <w:rPr>
          <w:rFonts w:eastAsia="Arial"/>
          <w:spacing w:val="-1"/>
        </w:rPr>
        <w:t>1</w:t>
      </w:r>
      <w:r w:rsidRPr="00D05497">
        <w:rPr>
          <w:rFonts w:eastAsia="Arial"/>
          <w:spacing w:val="1"/>
        </w:rPr>
        <w:t>3</w:t>
      </w:r>
      <w:r w:rsidRPr="00D05497">
        <w:rPr>
          <w:rFonts w:eastAsia="Arial"/>
        </w:rPr>
        <w:t>,</w:t>
      </w:r>
      <w:r>
        <w:rPr>
          <w:rFonts w:eastAsia="Arial"/>
        </w:rPr>
        <w:t xml:space="preserve"> </w:t>
      </w:r>
      <w:r w:rsidRPr="00A828FD">
        <w:rPr>
          <w:rFonts w:eastAsia="Arial"/>
          <w:spacing w:val="1"/>
        </w:rPr>
        <w:t>4</w:t>
      </w:r>
      <w:r w:rsidRPr="00A828FD">
        <w:rPr>
          <w:rFonts w:eastAsia="Arial"/>
          <w:spacing w:val="-1"/>
        </w:rPr>
        <w:t>6</w:t>
      </w:r>
      <w:r w:rsidRPr="00A828FD">
        <w:rPr>
          <w:rFonts w:eastAsia="Arial"/>
        </w:rPr>
        <w:t>7</w:t>
      </w:r>
      <w:r>
        <w:rPr>
          <w:rFonts w:eastAsia="Arial"/>
          <w:b/>
        </w:rPr>
        <w:t xml:space="preserve"> </w:t>
      </w:r>
      <w:r w:rsidRPr="00D05497">
        <w:rPr>
          <w:rFonts w:eastAsia="Arial"/>
          <w:spacing w:val="1"/>
        </w:rPr>
        <w:t>emp</w:t>
      </w:r>
      <w:r w:rsidRPr="00D05497">
        <w:rPr>
          <w:rFonts w:eastAsia="Arial"/>
        </w:rPr>
        <w:t>re</w:t>
      </w:r>
      <w:r w:rsidRPr="00D05497">
        <w:rPr>
          <w:rFonts w:eastAsia="Arial"/>
          <w:spacing w:val="-2"/>
        </w:rPr>
        <w:t>s</w:t>
      </w:r>
      <w:r w:rsidRPr="00D05497">
        <w:rPr>
          <w:rFonts w:eastAsia="Arial"/>
          <w:spacing w:val="1"/>
        </w:rPr>
        <w:t>a</w:t>
      </w:r>
      <w:r w:rsidRPr="00D05497">
        <w:rPr>
          <w:rFonts w:eastAsia="Arial"/>
        </w:rPr>
        <w:t>s</w:t>
      </w:r>
      <w:r>
        <w:rPr>
          <w:rFonts w:eastAsia="Arial"/>
        </w:rPr>
        <w:t xml:space="preserve"> </w:t>
      </w:r>
      <w:r w:rsidRPr="00D05497">
        <w:rPr>
          <w:rFonts w:eastAsia="Arial"/>
        </w:rPr>
        <w:t>se</w:t>
      </w:r>
      <w:r>
        <w:rPr>
          <w:rFonts w:eastAsia="Arial"/>
        </w:rPr>
        <w:t xml:space="preserve"> </w:t>
      </w:r>
      <w:r w:rsidRPr="00D05497">
        <w:rPr>
          <w:rFonts w:eastAsia="Arial"/>
          <w:spacing w:val="-1"/>
        </w:rPr>
        <w:t>m</w:t>
      </w:r>
      <w:r w:rsidRPr="00D05497">
        <w:rPr>
          <w:rFonts w:eastAsia="Arial"/>
          <w:spacing w:val="1"/>
        </w:rPr>
        <w:t>a</w:t>
      </w:r>
      <w:r w:rsidRPr="00D05497">
        <w:rPr>
          <w:rFonts w:eastAsia="Arial"/>
        </w:rPr>
        <w:t>tricular</w:t>
      </w:r>
      <w:r w:rsidRPr="00D05497">
        <w:rPr>
          <w:rFonts w:eastAsia="Arial"/>
          <w:spacing w:val="1"/>
        </w:rPr>
        <w:t>o</w:t>
      </w:r>
      <w:r w:rsidRPr="00D05497">
        <w:rPr>
          <w:rFonts w:eastAsia="Arial"/>
        </w:rPr>
        <w:t>n</w:t>
      </w:r>
      <w:r>
        <w:rPr>
          <w:rFonts w:eastAsia="Arial"/>
        </w:rPr>
        <w:t xml:space="preserve"> </w:t>
      </w:r>
      <w:r w:rsidRPr="00D05497">
        <w:rPr>
          <w:rFonts w:eastAsia="Arial"/>
        </w:rPr>
        <w:t>c</w:t>
      </w:r>
      <w:r w:rsidRPr="00D05497">
        <w:rPr>
          <w:rFonts w:eastAsia="Arial"/>
          <w:spacing w:val="-1"/>
        </w:rPr>
        <w:t>o</w:t>
      </w:r>
      <w:r w:rsidRPr="00D05497">
        <w:rPr>
          <w:rFonts w:eastAsia="Arial"/>
          <w:spacing w:val="1"/>
        </w:rPr>
        <w:t>m</w:t>
      </w:r>
      <w:r w:rsidRPr="00D05497">
        <w:rPr>
          <w:rFonts w:eastAsia="Arial"/>
        </w:rPr>
        <w:t xml:space="preserve">o </w:t>
      </w:r>
      <w:r w:rsidRPr="00A828FD">
        <w:rPr>
          <w:rFonts w:eastAsia="Arial"/>
        </w:rPr>
        <w:t>pe</w:t>
      </w:r>
      <w:r w:rsidRPr="00A828FD">
        <w:rPr>
          <w:rFonts w:eastAsia="Arial"/>
          <w:spacing w:val="1"/>
        </w:rPr>
        <w:t>rs</w:t>
      </w:r>
      <w:r w:rsidRPr="00A828FD">
        <w:rPr>
          <w:rFonts w:eastAsia="Arial"/>
        </w:rPr>
        <w:t>o</w:t>
      </w:r>
      <w:r w:rsidRPr="00A828FD">
        <w:rPr>
          <w:rFonts w:eastAsia="Arial"/>
          <w:spacing w:val="-3"/>
        </w:rPr>
        <w:t>n</w:t>
      </w:r>
      <w:r w:rsidRPr="00A828FD">
        <w:rPr>
          <w:rFonts w:eastAsia="Arial"/>
        </w:rPr>
        <w:t xml:space="preserve">a </w:t>
      </w:r>
      <w:r w:rsidRPr="00A828FD">
        <w:rPr>
          <w:rFonts w:eastAsia="Arial"/>
          <w:spacing w:val="-2"/>
        </w:rPr>
        <w:t>j</w:t>
      </w:r>
      <w:r w:rsidRPr="00A828FD">
        <w:rPr>
          <w:rFonts w:eastAsia="Arial"/>
        </w:rPr>
        <w:t>uríd</w:t>
      </w:r>
      <w:r w:rsidRPr="00A828FD">
        <w:rPr>
          <w:rFonts w:eastAsia="Arial"/>
          <w:spacing w:val="1"/>
        </w:rPr>
        <w:t>ica</w:t>
      </w:r>
      <w:r w:rsidRPr="00A828FD">
        <w:rPr>
          <w:rFonts w:eastAsia="Arial"/>
        </w:rPr>
        <w:t>,</w:t>
      </w:r>
      <w:r w:rsidRPr="00A828FD">
        <w:rPr>
          <w:rFonts w:eastAsia="Arial"/>
          <w:b/>
        </w:rPr>
        <w:t xml:space="preserve"> </w:t>
      </w:r>
      <w:r w:rsidRPr="00D05497">
        <w:rPr>
          <w:rFonts w:eastAsia="Arial"/>
          <w:spacing w:val="1"/>
        </w:rPr>
        <w:t>e</w:t>
      </w:r>
      <w:r w:rsidRPr="00D05497">
        <w:rPr>
          <w:rFonts w:eastAsia="Arial"/>
        </w:rPr>
        <w:t>s</w:t>
      </w:r>
      <w:r>
        <w:rPr>
          <w:rFonts w:eastAsia="Arial"/>
        </w:rPr>
        <w:t xml:space="preserve"> </w:t>
      </w:r>
      <w:r w:rsidRPr="00D05497">
        <w:rPr>
          <w:rFonts w:eastAsia="Arial"/>
          <w:spacing w:val="1"/>
        </w:rPr>
        <w:t>de</w:t>
      </w:r>
      <w:r w:rsidRPr="00D05497">
        <w:rPr>
          <w:rFonts w:eastAsia="Arial"/>
        </w:rPr>
        <w:t>cir</w:t>
      </w:r>
      <w:r>
        <w:rPr>
          <w:rFonts w:eastAsia="Arial"/>
        </w:rPr>
        <w:t xml:space="preserve"> </w:t>
      </w:r>
      <w:r w:rsidRPr="00D05497">
        <w:rPr>
          <w:rFonts w:eastAsia="Arial"/>
        </w:rPr>
        <w:t xml:space="preserve"> </w:t>
      </w:r>
      <w:r w:rsidRPr="00D05497">
        <w:rPr>
          <w:rFonts w:eastAsia="Arial"/>
          <w:spacing w:val="1"/>
        </w:rPr>
        <w:t>u</w:t>
      </w:r>
      <w:r w:rsidRPr="00D05497">
        <w:rPr>
          <w:rFonts w:eastAsia="Arial"/>
        </w:rPr>
        <w:t>n</w:t>
      </w:r>
      <w:r>
        <w:rPr>
          <w:rFonts w:eastAsia="Arial"/>
        </w:rPr>
        <w:t xml:space="preserve"> </w:t>
      </w:r>
      <w:r w:rsidRPr="00A828FD">
        <w:rPr>
          <w:rFonts w:eastAsia="Arial"/>
          <w:spacing w:val="1"/>
        </w:rPr>
        <w:t>1</w:t>
      </w:r>
      <w:r w:rsidRPr="00A828FD">
        <w:rPr>
          <w:rFonts w:eastAsia="Arial"/>
          <w:spacing w:val="-1"/>
        </w:rPr>
        <w:t>2</w:t>
      </w:r>
      <w:r w:rsidRPr="00A828FD">
        <w:rPr>
          <w:rFonts w:eastAsia="Arial"/>
        </w:rPr>
        <w:t>,</w:t>
      </w:r>
      <w:r w:rsidRPr="00A828FD">
        <w:rPr>
          <w:rFonts w:eastAsia="Arial"/>
          <w:spacing w:val="1"/>
        </w:rPr>
        <w:t>36</w:t>
      </w:r>
      <w:r w:rsidRPr="00A828FD">
        <w:rPr>
          <w:rFonts w:eastAsia="Arial"/>
        </w:rPr>
        <w:t>%</w:t>
      </w:r>
      <w:r w:rsidRPr="00D05497">
        <w:rPr>
          <w:rFonts w:eastAsia="Arial"/>
          <w:b/>
        </w:rPr>
        <w:t xml:space="preserve"> </w:t>
      </w:r>
      <w:r w:rsidRPr="00D05497">
        <w:rPr>
          <w:rFonts w:eastAsia="Arial"/>
          <w:spacing w:val="1"/>
        </w:rPr>
        <w:t>d</w:t>
      </w:r>
      <w:r w:rsidRPr="00D05497">
        <w:rPr>
          <w:rFonts w:eastAsia="Arial"/>
        </w:rPr>
        <w:t>e</w:t>
      </w:r>
      <w:r>
        <w:rPr>
          <w:rFonts w:eastAsia="Arial"/>
        </w:rPr>
        <w:t xml:space="preserve">l </w:t>
      </w:r>
      <w:r w:rsidRPr="00D05497">
        <w:rPr>
          <w:rFonts w:eastAsia="Arial"/>
          <w:spacing w:val="-2"/>
        </w:rPr>
        <w:t>t</w:t>
      </w:r>
      <w:r w:rsidRPr="00D05497">
        <w:rPr>
          <w:rFonts w:eastAsia="Arial"/>
          <w:spacing w:val="1"/>
        </w:rPr>
        <w:t>o</w:t>
      </w:r>
      <w:r w:rsidRPr="00D05497">
        <w:rPr>
          <w:rFonts w:eastAsia="Arial"/>
        </w:rPr>
        <w:t>t</w:t>
      </w:r>
      <w:r w:rsidRPr="00D05497">
        <w:rPr>
          <w:rFonts w:eastAsia="Arial"/>
          <w:spacing w:val="1"/>
        </w:rPr>
        <w:t>a</w:t>
      </w:r>
      <w:r w:rsidRPr="00D05497">
        <w:rPr>
          <w:rFonts w:eastAsia="Arial"/>
        </w:rPr>
        <w:t>l</w:t>
      </w:r>
      <w:r>
        <w:rPr>
          <w:rFonts w:eastAsia="Arial"/>
        </w:rPr>
        <w:t xml:space="preserve"> </w:t>
      </w:r>
      <w:r w:rsidRPr="00D05497">
        <w:rPr>
          <w:rFonts w:eastAsia="Arial"/>
          <w:spacing w:val="-1"/>
        </w:rPr>
        <w:t>d</w:t>
      </w:r>
      <w:r w:rsidRPr="00D05497">
        <w:rPr>
          <w:rFonts w:eastAsia="Arial"/>
        </w:rPr>
        <w:t>e</w:t>
      </w:r>
      <w:r>
        <w:rPr>
          <w:rFonts w:eastAsia="Arial"/>
        </w:rPr>
        <w:t xml:space="preserve"> </w:t>
      </w:r>
      <w:r w:rsidRPr="00D05497">
        <w:rPr>
          <w:rFonts w:eastAsia="Arial"/>
          <w:spacing w:val="1"/>
        </w:rPr>
        <w:t>ma</w:t>
      </w:r>
      <w:r w:rsidRPr="00D05497">
        <w:rPr>
          <w:rFonts w:eastAsia="Arial"/>
        </w:rPr>
        <w:t>tricul</w:t>
      </w:r>
      <w:r w:rsidRPr="00D05497">
        <w:rPr>
          <w:rFonts w:eastAsia="Arial"/>
          <w:spacing w:val="-2"/>
        </w:rPr>
        <w:t>a</w:t>
      </w:r>
      <w:r w:rsidRPr="00D05497">
        <w:rPr>
          <w:rFonts w:eastAsia="Arial"/>
          <w:spacing w:val="1"/>
        </w:rPr>
        <w:t>do</w:t>
      </w:r>
      <w:r w:rsidRPr="00D05497">
        <w:rPr>
          <w:rFonts w:eastAsia="Arial"/>
        </w:rPr>
        <w:t>s</w:t>
      </w:r>
      <w:r>
        <w:rPr>
          <w:rFonts w:eastAsia="Arial"/>
        </w:rPr>
        <w:t xml:space="preserve"> </w:t>
      </w:r>
      <w:r w:rsidRPr="00D05497">
        <w:rPr>
          <w:rFonts w:eastAsia="Arial"/>
          <w:spacing w:val="-1"/>
        </w:rPr>
        <w:t>e</w:t>
      </w:r>
      <w:r w:rsidRPr="00D05497">
        <w:rPr>
          <w:rFonts w:eastAsia="Arial"/>
        </w:rPr>
        <w:t>n</w:t>
      </w:r>
      <w:r>
        <w:rPr>
          <w:rFonts w:eastAsia="Arial"/>
        </w:rPr>
        <w:t xml:space="preserve"> </w:t>
      </w:r>
      <w:r w:rsidRPr="00D05497">
        <w:rPr>
          <w:rFonts w:eastAsia="Arial"/>
          <w:spacing w:val="1"/>
        </w:rPr>
        <w:t>e</w:t>
      </w:r>
      <w:r w:rsidRPr="00D05497">
        <w:rPr>
          <w:rFonts w:eastAsia="Arial"/>
        </w:rPr>
        <w:t>s</w:t>
      </w:r>
      <w:r w:rsidRPr="00D05497">
        <w:rPr>
          <w:rFonts w:eastAsia="Arial"/>
          <w:spacing w:val="-2"/>
        </w:rPr>
        <w:t>t</w:t>
      </w:r>
      <w:r w:rsidRPr="00D05497">
        <w:rPr>
          <w:rFonts w:eastAsia="Arial"/>
        </w:rPr>
        <w:t>e</w:t>
      </w:r>
      <w:r>
        <w:rPr>
          <w:rFonts w:eastAsia="Arial"/>
        </w:rPr>
        <w:t xml:space="preserve"> </w:t>
      </w:r>
      <w:r w:rsidRPr="00D05497">
        <w:rPr>
          <w:rFonts w:eastAsia="Arial"/>
          <w:spacing w:val="-1"/>
        </w:rPr>
        <w:t>a</w:t>
      </w:r>
      <w:r w:rsidRPr="00D05497">
        <w:rPr>
          <w:rFonts w:eastAsia="Arial"/>
          <w:spacing w:val="1"/>
        </w:rPr>
        <w:t>ño</w:t>
      </w:r>
      <w:r w:rsidRPr="00D05497">
        <w:rPr>
          <w:rFonts w:eastAsia="Arial"/>
        </w:rPr>
        <w:t>.</w:t>
      </w:r>
      <w:r>
        <w:rPr>
          <w:rFonts w:eastAsia="Arial"/>
        </w:rPr>
        <w:t xml:space="preserve"> </w:t>
      </w:r>
      <w:r w:rsidRPr="00D05497">
        <w:rPr>
          <w:rFonts w:eastAsia="Arial"/>
        </w:rPr>
        <w:t>Res</w:t>
      </w:r>
      <w:r w:rsidRPr="00D05497">
        <w:rPr>
          <w:rFonts w:eastAsia="Arial"/>
          <w:spacing w:val="-1"/>
        </w:rPr>
        <w:t>p</w:t>
      </w:r>
      <w:r w:rsidRPr="00D05497">
        <w:rPr>
          <w:rFonts w:eastAsia="Arial"/>
          <w:spacing w:val="1"/>
        </w:rPr>
        <w:t>e</w:t>
      </w:r>
      <w:r w:rsidRPr="00D05497">
        <w:rPr>
          <w:rFonts w:eastAsia="Arial"/>
        </w:rPr>
        <w:t xml:space="preserve">cto </w:t>
      </w:r>
      <w:r w:rsidRPr="00D05497">
        <w:rPr>
          <w:rFonts w:eastAsia="Arial"/>
          <w:spacing w:val="1"/>
        </w:rPr>
        <w:t>a</w:t>
      </w:r>
      <w:r w:rsidRPr="00D05497">
        <w:rPr>
          <w:rFonts w:eastAsia="Arial"/>
        </w:rPr>
        <w:t>l</w:t>
      </w:r>
      <w:r w:rsidRPr="00D05497">
        <w:rPr>
          <w:rFonts w:eastAsia="Arial"/>
          <w:spacing w:val="1"/>
        </w:rPr>
        <w:t xml:space="preserve"> añ</w:t>
      </w:r>
      <w:r w:rsidRPr="00D05497">
        <w:rPr>
          <w:rFonts w:eastAsia="Arial"/>
        </w:rPr>
        <w:t xml:space="preserve">o </w:t>
      </w:r>
      <w:r w:rsidRPr="00D05497">
        <w:rPr>
          <w:rFonts w:eastAsia="Arial"/>
          <w:spacing w:val="-1"/>
        </w:rPr>
        <w:t>2</w:t>
      </w:r>
      <w:r w:rsidRPr="00D05497">
        <w:rPr>
          <w:rFonts w:eastAsia="Arial"/>
          <w:spacing w:val="1"/>
        </w:rPr>
        <w:t>01</w:t>
      </w:r>
      <w:r w:rsidRPr="00D05497">
        <w:rPr>
          <w:rFonts w:eastAsia="Arial"/>
        </w:rPr>
        <w:t xml:space="preserve">2se </w:t>
      </w:r>
      <w:r w:rsidRPr="00D05497">
        <w:rPr>
          <w:rFonts w:eastAsia="Arial"/>
          <w:spacing w:val="1"/>
        </w:rPr>
        <w:t>ap</w:t>
      </w:r>
      <w:r w:rsidRPr="00D05497">
        <w:rPr>
          <w:rFonts w:eastAsia="Arial"/>
        </w:rPr>
        <w:t>rec</w:t>
      </w:r>
      <w:r w:rsidRPr="00D05497">
        <w:rPr>
          <w:rFonts w:eastAsia="Arial"/>
          <w:spacing w:val="-3"/>
        </w:rPr>
        <w:t>i</w:t>
      </w:r>
      <w:r w:rsidRPr="00D05497">
        <w:rPr>
          <w:rFonts w:eastAsia="Arial"/>
        </w:rPr>
        <w:t xml:space="preserve">a </w:t>
      </w:r>
      <w:r w:rsidRPr="00D05497">
        <w:rPr>
          <w:rFonts w:eastAsia="Arial"/>
          <w:spacing w:val="1"/>
        </w:rPr>
        <w:t>u</w:t>
      </w:r>
      <w:r w:rsidRPr="00D05497">
        <w:rPr>
          <w:rFonts w:eastAsia="Arial"/>
        </w:rPr>
        <w:t>n</w:t>
      </w:r>
      <w:r>
        <w:rPr>
          <w:rFonts w:eastAsia="Arial"/>
        </w:rPr>
        <w:t xml:space="preserve"> </w:t>
      </w:r>
      <w:r w:rsidRPr="00D05497">
        <w:rPr>
          <w:rFonts w:eastAsia="Arial"/>
        </w:rPr>
        <w:t>incr</w:t>
      </w:r>
      <w:r w:rsidRPr="00D05497">
        <w:rPr>
          <w:rFonts w:eastAsia="Arial"/>
          <w:spacing w:val="-2"/>
        </w:rPr>
        <w:t>e</w:t>
      </w:r>
      <w:r w:rsidRPr="00D05497">
        <w:rPr>
          <w:rFonts w:eastAsia="Arial"/>
          <w:spacing w:val="1"/>
        </w:rPr>
        <w:t>me</w:t>
      </w:r>
      <w:r w:rsidRPr="00D05497">
        <w:rPr>
          <w:rFonts w:eastAsia="Arial"/>
          <w:spacing w:val="-1"/>
        </w:rPr>
        <w:t>n</w:t>
      </w:r>
      <w:r w:rsidRPr="00D05497">
        <w:rPr>
          <w:rFonts w:eastAsia="Arial"/>
        </w:rPr>
        <w:t>to</w:t>
      </w:r>
      <w:r>
        <w:rPr>
          <w:rFonts w:eastAsia="Arial"/>
        </w:rPr>
        <w:t xml:space="preserve"> </w:t>
      </w:r>
      <w:r w:rsidRPr="00D05497">
        <w:rPr>
          <w:rFonts w:eastAsia="Arial"/>
          <w:spacing w:val="-1"/>
        </w:rPr>
        <w:t>e</w:t>
      </w:r>
      <w:r w:rsidRPr="00D05497">
        <w:rPr>
          <w:rFonts w:eastAsia="Arial"/>
        </w:rPr>
        <w:t>n</w:t>
      </w:r>
      <w:r>
        <w:rPr>
          <w:rFonts w:eastAsia="Arial"/>
        </w:rPr>
        <w:t xml:space="preserve"> </w:t>
      </w:r>
      <w:r w:rsidRPr="00D05497">
        <w:rPr>
          <w:rFonts w:eastAsia="Arial"/>
        </w:rPr>
        <w:t>la</w:t>
      </w:r>
      <w:r>
        <w:rPr>
          <w:rFonts w:eastAsia="Arial"/>
        </w:rPr>
        <w:t xml:space="preserve"> </w:t>
      </w:r>
      <w:r w:rsidRPr="00D05497">
        <w:rPr>
          <w:rFonts w:eastAsia="Arial"/>
        </w:rPr>
        <w:t>c</w:t>
      </w:r>
      <w:r w:rsidRPr="00D05497">
        <w:rPr>
          <w:rFonts w:eastAsia="Arial"/>
          <w:spacing w:val="1"/>
        </w:rPr>
        <w:t>an</w:t>
      </w:r>
      <w:r w:rsidRPr="00D05497">
        <w:rPr>
          <w:rFonts w:eastAsia="Arial"/>
        </w:rPr>
        <w:t>ti</w:t>
      </w:r>
      <w:r w:rsidRPr="00D05497">
        <w:rPr>
          <w:rFonts w:eastAsia="Arial"/>
          <w:spacing w:val="-1"/>
        </w:rPr>
        <w:t>d</w:t>
      </w:r>
      <w:r w:rsidRPr="00D05497">
        <w:rPr>
          <w:rFonts w:eastAsia="Arial"/>
          <w:spacing w:val="1"/>
        </w:rPr>
        <w:t>a</w:t>
      </w:r>
      <w:r w:rsidRPr="00D05497">
        <w:rPr>
          <w:rFonts w:eastAsia="Arial"/>
        </w:rPr>
        <w:t>d</w:t>
      </w:r>
      <w:r>
        <w:rPr>
          <w:rFonts w:eastAsia="Arial"/>
        </w:rPr>
        <w:t xml:space="preserve"> </w:t>
      </w:r>
      <w:r w:rsidRPr="00D05497">
        <w:rPr>
          <w:rFonts w:eastAsia="Arial"/>
          <w:spacing w:val="-1"/>
        </w:rPr>
        <w:t>d</w:t>
      </w:r>
      <w:r>
        <w:rPr>
          <w:rFonts w:eastAsia="Arial"/>
          <w:spacing w:val="-1"/>
        </w:rPr>
        <w:t xml:space="preserve">e </w:t>
      </w:r>
      <w:r w:rsidRPr="00D05497">
        <w:rPr>
          <w:rFonts w:eastAsia="Arial"/>
          <w:spacing w:val="1"/>
        </w:rPr>
        <w:t>e</w:t>
      </w:r>
      <w:r w:rsidRPr="00D05497">
        <w:rPr>
          <w:rFonts w:eastAsia="Arial"/>
          <w:spacing w:val="-1"/>
        </w:rPr>
        <w:t>m</w:t>
      </w:r>
      <w:r w:rsidRPr="00D05497">
        <w:rPr>
          <w:rFonts w:eastAsia="Arial"/>
          <w:spacing w:val="1"/>
        </w:rPr>
        <w:t>p</w:t>
      </w:r>
      <w:r w:rsidRPr="00D05497">
        <w:rPr>
          <w:rFonts w:eastAsia="Arial"/>
        </w:rPr>
        <w:t>res</w:t>
      </w:r>
      <w:r w:rsidRPr="00D05497">
        <w:rPr>
          <w:rFonts w:eastAsia="Arial"/>
          <w:spacing w:val="1"/>
        </w:rPr>
        <w:t>a</w:t>
      </w:r>
      <w:r w:rsidRPr="00D05497">
        <w:rPr>
          <w:rFonts w:eastAsia="Arial"/>
        </w:rPr>
        <w:t xml:space="preserve">s </w:t>
      </w:r>
      <w:r w:rsidRPr="00D05497">
        <w:rPr>
          <w:rFonts w:eastAsia="Arial"/>
          <w:spacing w:val="-1"/>
        </w:rPr>
        <w:t>q</w:t>
      </w:r>
      <w:r w:rsidRPr="00D05497">
        <w:rPr>
          <w:rFonts w:eastAsia="Arial"/>
          <w:spacing w:val="1"/>
        </w:rPr>
        <w:t>u</w:t>
      </w:r>
      <w:r w:rsidRPr="00D05497">
        <w:rPr>
          <w:rFonts w:eastAsia="Arial"/>
        </w:rPr>
        <w:t>e</w:t>
      </w:r>
      <w:r>
        <w:rPr>
          <w:rFonts w:eastAsia="Arial"/>
        </w:rPr>
        <w:t xml:space="preserve"> </w:t>
      </w:r>
      <w:r w:rsidRPr="00D05497">
        <w:rPr>
          <w:rFonts w:eastAsia="Arial"/>
        </w:rPr>
        <w:t>se</w:t>
      </w:r>
      <w:r>
        <w:rPr>
          <w:rFonts w:eastAsia="Arial"/>
        </w:rPr>
        <w:t xml:space="preserve"> </w:t>
      </w:r>
      <w:r w:rsidRPr="00D05497">
        <w:rPr>
          <w:rFonts w:eastAsia="Arial"/>
        </w:rPr>
        <w:t>c</w:t>
      </w:r>
      <w:r w:rsidRPr="00D05497">
        <w:rPr>
          <w:rFonts w:eastAsia="Arial"/>
          <w:spacing w:val="1"/>
        </w:rPr>
        <w:t>on</w:t>
      </w:r>
      <w:r w:rsidRPr="00D05497">
        <w:rPr>
          <w:rFonts w:eastAsia="Arial"/>
        </w:rPr>
        <w:t>sti</w:t>
      </w:r>
      <w:r w:rsidRPr="00D05497">
        <w:rPr>
          <w:rFonts w:eastAsia="Arial"/>
          <w:spacing w:val="-2"/>
        </w:rPr>
        <w:t>t</w:t>
      </w:r>
      <w:r w:rsidRPr="00D05497">
        <w:rPr>
          <w:rFonts w:eastAsia="Arial"/>
          <w:spacing w:val="1"/>
        </w:rPr>
        <w:t>u</w:t>
      </w:r>
      <w:r w:rsidRPr="00D05497">
        <w:rPr>
          <w:rFonts w:eastAsia="Arial"/>
          <w:spacing w:val="-2"/>
        </w:rPr>
        <w:t>y</w:t>
      </w:r>
      <w:r w:rsidRPr="00D05497">
        <w:rPr>
          <w:rFonts w:eastAsia="Arial"/>
          <w:spacing w:val="1"/>
        </w:rPr>
        <w:t>e</w:t>
      </w:r>
      <w:r w:rsidRPr="00D05497">
        <w:rPr>
          <w:rFonts w:eastAsia="Arial"/>
        </w:rPr>
        <w:t xml:space="preserve">ron </w:t>
      </w:r>
      <w:r w:rsidRPr="00D05497">
        <w:rPr>
          <w:rFonts w:eastAsia="Arial"/>
          <w:spacing w:val="1"/>
        </w:rPr>
        <w:t>ba</w:t>
      </w:r>
      <w:r w:rsidRPr="00D05497">
        <w:rPr>
          <w:rFonts w:eastAsia="Arial"/>
        </w:rPr>
        <w:t>jo</w:t>
      </w:r>
      <w:r>
        <w:rPr>
          <w:rFonts w:eastAsia="Arial"/>
        </w:rPr>
        <w:t xml:space="preserve"> </w:t>
      </w:r>
      <w:r w:rsidRPr="00D05497">
        <w:rPr>
          <w:rFonts w:eastAsia="Arial"/>
          <w:spacing w:val="1"/>
        </w:rPr>
        <w:t>e</w:t>
      </w:r>
      <w:r w:rsidRPr="00D05497">
        <w:rPr>
          <w:rFonts w:eastAsia="Arial"/>
        </w:rPr>
        <w:t>s</w:t>
      </w:r>
      <w:r w:rsidRPr="00D05497">
        <w:rPr>
          <w:rFonts w:eastAsia="Arial"/>
          <w:spacing w:val="-1"/>
        </w:rPr>
        <w:t>t</w:t>
      </w:r>
      <w:r w:rsidRPr="00D05497">
        <w:rPr>
          <w:rFonts w:eastAsia="Arial"/>
        </w:rPr>
        <w:t xml:space="preserve">a </w:t>
      </w:r>
      <w:r w:rsidRPr="00D05497">
        <w:rPr>
          <w:rFonts w:eastAsia="Arial"/>
          <w:spacing w:val="3"/>
        </w:rPr>
        <w:t>f</w:t>
      </w:r>
      <w:r w:rsidRPr="00D05497">
        <w:rPr>
          <w:rFonts w:eastAsia="Arial"/>
        </w:rPr>
        <w:t>i</w:t>
      </w:r>
      <w:r w:rsidRPr="00D05497">
        <w:rPr>
          <w:rFonts w:eastAsia="Arial"/>
          <w:spacing w:val="-2"/>
        </w:rPr>
        <w:t>g</w:t>
      </w:r>
      <w:r w:rsidRPr="00D05497">
        <w:rPr>
          <w:rFonts w:eastAsia="Arial"/>
          <w:spacing w:val="1"/>
        </w:rPr>
        <w:t>u</w:t>
      </w:r>
      <w:r w:rsidRPr="00D05497">
        <w:rPr>
          <w:rFonts w:eastAsia="Arial"/>
          <w:spacing w:val="-3"/>
        </w:rPr>
        <w:t>r</w:t>
      </w:r>
      <w:r w:rsidRPr="00D05497">
        <w:rPr>
          <w:rFonts w:eastAsia="Arial"/>
        </w:rPr>
        <w:t>a jur</w:t>
      </w:r>
      <w:r w:rsidRPr="00D05497">
        <w:rPr>
          <w:rFonts w:eastAsia="Arial"/>
          <w:spacing w:val="-2"/>
        </w:rPr>
        <w:t>í</w:t>
      </w:r>
      <w:r w:rsidRPr="00D05497">
        <w:rPr>
          <w:rFonts w:eastAsia="Arial"/>
          <w:spacing w:val="1"/>
        </w:rPr>
        <w:t>d</w:t>
      </w:r>
      <w:r w:rsidRPr="00D05497">
        <w:rPr>
          <w:rFonts w:eastAsia="Arial"/>
        </w:rPr>
        <w:t>ica</w:t>
      </w:r>
      <w:r>
        <w:rPr>
          <w:rFonts w:eastAsia="Arial"/>
        </w:rPr>
        <w:t xml:space="preserve"> </w:t>
      </w:r>
      <w:r w:rsidRPr="00D05497">
        <w:rPr>
          <w:rFonts w:eastAsia="Arial"/>
          <w:spacing w:val="1"/>
        </w:rPr>
        <w:t>de</w:t>
      </w:r>
      <w:r w:rsidRPr="00D05497">
        <w:rPr>
          <w:rFonts w:eastAsia="Arial"/>
        </w:rPr>
        <w:t>l</w:t>
      </w:r>
      <w:r>
        <w:rPr>
          <w:rFonts w:eastAsia="Arial"/>
        </w:rPr>
        <w:t xml:space="preserve"> </w:t>
      </w:r>
      <w:r w:rsidRPr="00A828FD">
        <w:rPr>
          <w:rFonts w:eastAsia="Arial"/>
          <w:spacing w:val="1"/>
        </w:rPr>
        <w:t>12</w:t>
      </w:r>
      <w:r w:rsidRPr="00A828FD">
        <w:rPr>
          <w:rFonts w:eastAsia="Arial"/>
        </w:rPr>
        <w:t>,</w:t>
      </w:r>
      <w:r w:rsidRPr="00A828FD">
        <w:rPr>
          <w:rFonts w:eastAsia="Arial"/>
          <w:spacing w:val="1"/>
        </w:rPr>
        <w:t>8</w:t>
      </w:r>
      <w:r w:rsidRPr="00A828FD">
        <w:rPr>
          <w:rFonts w:eastAsia="Arial"/>
          <w:spacing w:val="2"/>
        </w:rPr>
        <w:t>3</w:t>
      </w:r>
      <w:r w:rsidRPr="00A828FD">
        <w:rPr>
          <w:rFonts w:eastAsia="Arial"/>
          <w:spacing w:val="-2"/>
        </w:rPr>
        <w:t>%</w:t>
      </w:r>
      <w:r w:rsidRPr="00A828FD">
        <w:rPr>
          <w:rFonts w:eastAsia="Arial"/>
        </w:rPr>
        <w:t>,</w:t>
      </w:r>
      <w:r>
        <w:rPr>
          <w:rFonts w:eastAsia="Arial"/>
          <w:b/>
        </w:rPr>
        <w:t xml:space="preserve"> </w:t>
      </w:r>
      <w:r w:rsidRPr="00D05497">
        <w:rPr>
          <w:rFonts w:eastAsia="Arial"/>
        </w:rPr>
        <w:t xml:space="preserve">lo </w:t>
      </w:r>
      <w:r w:rsidRPr="00D05497">
        <w:rPr>
          <w:rFonts w:eastAsia="Arial"/>
          <w:spacing w:val="-1"/>
        </w:rPr>
        <w:t>q</w:t>
      </w:r>
      <w:r w:rsidRPr="00D05497">
        <w:rPr>
          <w:rFonts w:eastAsia="Arial"/>
          <w:spacing w:val="1"/>
        </w:rPr>
        <w:t>u</w:t>
      </w:r>
      <w:r w:rsidRPr="00D05497">
        <w:rPr>
          <w:rFonts w:eastAsia="Arial"/>
        </w:rPr>
        <w:t>e</w:t>
      </w:r>
      <w:r>
        <w:rPr>
          <w:rFonts w:eastAsia="Arial"/>
        </w:rPr>
        <w:t xml:space="preserve"> </w:t>
      </w:r>
      <w:r w:rsidRPr="00D05497">
        <w:rPr>
          <w:rFonts w:eastAsia="Arial"/>
        </w:rPr>
        <w:t>si</w:t>
      </w:r>
      <w:r w:rsidRPr="00D05497">
        <w:rPr>
          <w:rFonts w:eastAsia="Arial"/>
          <w:spacing w:val="-2"/>
        </w:rPr>
        <w:t>g</w:t>
      </w:r>
      <w:r w:rsidRPr="00D05497">
        <w:rPr>
          <w:rFonts w:eastAsia="Arial"/>
          <w:spacing w:val="1"/>
        </w:rPr>
        <w:t>n</w:t>
      </w:r>
      <w:r w:rsidRPr="00D05497">
        <w:rPr>
          <w:rFonts w:eastAsia="Arial"/>
        </w:rPr>
        <w:t>i</w:t>
      </w:r>
      <w:r w:rsidRPr="00D05497">
        <w:rPr>
          <w:rFonts w:eastAsia="Arial"/>
          <w:spacing w:val="2"/>
        </w:rPr>
        <w:t>f</w:t>
      </w:r>
      <w:r w:rsidRPr="00D05497">
        <w:rPr>
          <w:rFonts w:eastAsia="Arial"/>
        </w:rPr>
        <w:t>ica</w:t>
      </w:r>
      <w:r>
        <w:rPr>
          <w:rFonts w:eastAsia="Arial"/>
        </w:rPr>
        <w:t xml:space="preserve"> </w:t>
      </w:r>
      <w:r w:rsidRPr="00D05497">
        <w:rPr>
          <w:rFonts w:eastAsia="Arial"/>
          <w:spacing w:val="-1"/>
        </w:rPr>
        <w:t>q</w:t>
      </w:r>
      <w:r w:rsidRPr="00D05497">
        <w:rPr>
          <w:rFonts w:eastAsia="Arial"/>
          <w:spacing w:val="1"/>
        </w:rPr>
        <w:t>u</w:t>
      </w:r>
      <w:r w:rsidRPr="00D05497">
        <w:rPr>
          <w:rFonts w:eastAsia="Arial"/>
        </w:rPr>
        <w:t>e</w:t>
      </w:r>
      <w:r>
        <w:rPr>
          <w:rFonts w:eastAsia="Arial"/>
        </w:rPr>
        <w:t xml:space="preserve"> </w:t>
      </w:r>
      <w:r w:rsidRPr="00A828FD">
        <w:rPr>
          <w:rFonts w:eastAsia="Arial"/>
          <w:spacing w:val="1"/>
        </w:rPr>
        <w:t>5</w:t>
      </w:r>
      <w:r w:rsidRPr="00A828FD">
        <w:rPr>
          <w:rFonts w:eastAsia="Arial"/>
        </w:rPr>
        <w:t>3</w:t>
      </w:r>
      <w:r>
        <w:rPr>
          <w:rFonts w:eastAsia="Arial"/>
          <w:b/>
        </w:rPr>
        <w:t xml:space="preserve"> </w:t>
      </w:r>
      <w:r w:rsidRPr="00D05497">
        <w:rPr>
          <w:rFonts w:eastAsia="Arial"/>
          <w:spacing w:val="-1"/>
        </w:rPr>
        <w:t>e</w:t>
      </w:r>
      <w:r w:rsidRPr="00D05497">
        <w:rPr>
          <w:rFonts w:eastAsia="Arial"/>
          <w:spacing w:val="1"/>
        </w:rPr>
        <w:t>mp</w:t>
      </w:r>
      <w:r w:rsidRPr="00D05497">
        <w:rPr>
          <w:rFonts w:eastAsia="Arial"/>
        </w:rPr>
        <w:t>re</w:t>
      </w:r>
      <w:r w:rsidRPr="00D05497">
        <w:rPr>
          <w:rFonts w:eastAsia="Arial"/>
          <w:spacing w:val="-2"/>
        </w:rPr>
        <w:t>s</w:t>
      </w:r>
      <w:r w:rsidRPr="00D05497">
        <w:rPr>
          <w:rFonts w:eastAsia="Arial"/>
          <w:spacing w:val="1"/>
        </w:rPr>
        <w:t>a</w:t>
      </w:r>
      <w:r>
        <w:rPr>
          <w:rFonts w:eastAsia="Arial"/>
          <w:spacing w:val="1"/>
        </w:rPr>
        <w:t xml:space="preserve">s </w:t>
      </w:r>
      <w:r w:rsidRPr="00D05497">
        <w:rPr>
          <w:rFonts w:eastAsia="Arial"/>
          <w:spacing w:val="1"/>
        </w:rPr>
        <w:t>má</w:t>
      </w:r>
      <w:r w:rsidRPr="00D05497">
        <w:rPr>
          <w:rFonts w:eastAsia="Arial"/>
        </w:rPr>
        <w:t>s</w:t>
      </w:r>
      <w:r>
        <w:rPr>
          <w:rFonts w:eastAsia="Arial"/>
        </w:rPr>
        <w:t xml:space="preserve"> </w:t>
      </w:r>
      <w:r w:rsidRPr="00D05497">
        <w:rPr>
          <w:rFonts w:eastAsia="Arial"/>
        </w:rPr>
        <w:t>iniciar</w:t>
      </w:r>
      <w:r w:rsidRPr="00D05497">
        <w:rPr>
          <w:rFonts w:eastAsia="Arial"/>
          <w:spacing w:val="-2"/>
        </w:rPr>
        <w:t>o</w:t>
      </w:r>
      <w:r w:rsidRPr="00D05497">
        <w:rPr>
          <w:rFonts w:eastAsia="Arial"/>
        </w:rPr>
        <w:t>n y</w:t>
      </w:r>
      <w:r>
        <w:rPr>
          <w:rFonts w:eastAsia="Arial"/>
        </w:rPr>
        <w:t xml:space="preserve"> </w:t>
      </w:r>
      <w:r w:rsidRPr="00D05497">
        <w:rPr>
          <w:rFonts w:eastAsia="Arial"/>
          <w:spacing w:val="3"/>
        </w:rPr>
        <w:t>f</w:t>
      </w:r>
      <w:r w:rsidRPr="00D05497">
        <w:rPr>
          <w:rFonts w:eastAsia="Arial"/>
          <w:spacing w:val="1"/>
        </w:rPr>
        <w:t>o</w:t>
      </w:r>
      <w:r w:rsidRPr="00D05497">
        <w:rPr>
          <w:rFonts w:eastAsia="Arial"/>
        </w:rPr>
        <w:t>r</w:t>
      </w:r>
      <w:r w:rsidRPr="00D05497">
        <w:rPr>
          <w:rFonts w:eastAsia="Arial"/>
          <w:spacing w:val="-1"/>
        </w:rPr>
        <w:t>m</w:t>
      </w:r>
      <w:r w:rsidRPr="00D05497">
        <w:rPr>
          <w:rFonts w:eastAsia="Arial"/>
          <w:spacing w:val="1"/>
        </w:rPr>
        <w:t>a</w:t>
      </w:r>
      <w:r w:rsidRPr="00D05497">
        <w:rPr>
          <w:rFonts w:eastAsia="Arial"/>
        </w:rPr>
        <w:t>l</w:t>
      </w:r>
      <w:r w:rsidRPr="00D05497">
        <w:rPr>
          <w:rFonts w:eastAsia="Arial"/>
          <w:spacing w:val="-1"/>
        </w:rPr>
        <w:t>i</w:t>
      </w:r>
      <w:r w:rsidRPr="00D05497">
        <w:rPr>
          <w:rFonts w:eastAsia="Arial"/>
          <w:spacing w:val="-2"/>
        </w:rPr>
        <w:t>z</w:t>
      </w:r>
      <w:r w:rsidRPr="00D05497">
        <w:rPr>
          <w:rFonts w:eastAsia="Arial"/>
          <w:spacing w:val="1"/>
        </w:rPr>
        <w:t>a</w:t>
      </w:r>
      <w:r w:rsidRPr="00D05497">
        <w:rPr>
          <w:rFonts w:eastAsia="Arial"/>
        </w:rPr>
        <w:t>ron su</w:t>
      </w:r>
      <w:r w:rsidRPr="00D05497">
        <w:rPr>
          <w:rFonts w:eastAsia="Arial"/>
          <w:spacing w:val="1"/>
        </w:rPr>
        <w:t xml:space="preserve"> a</w:t>
      </w:r>
      <w:r w:rsidRPr="00D05497">
        <w:rPr>
          <w:rFonts w:eastAsia="Arial"/>
        </w:rPr>
        <w:t>cti</w:t>
      </w:r>
      <w:r w:rsidRPr="00D05497">
        <w:rPr>
          <w:rFonts w:eastAsia="Arial"/>
          <w:spacing w:val="-2"/>
        </w:rPr>
        <w:t>v</w:t>
      </w:r>
      <w:r w:rsidRPr="00D05497">
        <w:rPr>
          <w:rFonts w:eastAsia="Arial"/>
        </w:rPr>
        <w:t>id</w:t>
      </w:r>
      <w:r w:rsidRPr="00D05497">
        <w:rPr>
          <w:rFonts w:eastAsia="Arial"/>
          <w:spacing w:val="1"/>
        </w:rPr>
        <w:t>a</w:t>
      </w:r>
      <w:r w:rsidRPr="00D05497">
        <w:rPr>
          <w:rFonts w:eastAsia="Arial"/>
        </w:rPr>
        <w:t>d</w:t>
      </w:r>
      <w:r>
        <w:rPr>
          <w:rFonts w:eastAsia="Arial"/>
        </w:rPr>
        <w:t xml:space="preserve"> </w:t>
      </w:r>
      <w:r w:rsidRPr="00D05497">
        <w:rPr>
          <w:rFonts w:eastAsia="Arial"/>
        </w:rPr>
        <w:t>c</w:t>
      </w:r>
      <w:r w:rsidRPr="00D05497">
        <w:rPr>
          <w:rFonts w:eastAsia="Arial"/>
          <w:spacing w:val="-1"/>
        </w:rPr>
        <w:t>om</w:t>
      </w:r>
      <w:r w:rsidRPr="00D05497">
        <w:rPr>
          <w:rFonts w:eastAsia="Arial"/>
        </w:rPr>
        <w:t>o</w:t>
      </w:r>
      <w:r>
        <w:rPr>
          <w:rFonts w:eastAsia="Arial"/>
        </w:rPr>
        <w:t xml:space="preserve"> </w:t>
      </w:r>
      <w:r w:rsidRPr="00D05497">
        <w:rPr>
          <w:rFonts w:eastAsia="Arial"/>
          <w:spacing w:val="-1"/>
        </w:rPr>
        <w:t>p</w:t>
      </w:r>
      <w:r w:rsidRPr="00D05497">
        <w:rPr>
          <w:rFonts w:eastAsia="Arial"/>
          <w:spacing w:val="1"/>
        </w:rPr>
        <w:t>e</w:t>
      </w:r>
      <w:r w:rsidRPr="00D05497">
        <w:rPr>
          <w:rFonts w:eastAsia="Arial"/>
        </w:rPr>
        <w:t>rso</w:t>
      </w:r>
      <w:r w:rsidRPr="00D05497">
        <w:rPr>
          <w:rFonts w:eastAsia="Arial"/>
          <w:spacing w:val="1"/>
        </w:rPr>
        <w:t>na</w:t>
      </w:r>
      <w:r w:rsidRPr="00D05497">
        <w:rPr>
          <w:rFonts w:eastAsia="Arial"/>
        </w:rPr>
        <w:t xml:space="preserve">s </w:t>
      </w:r>
      <w:r w:rsidRPr="00D05497">
        <w:rPr>
          <w:rFonts w:eastAsia="Arial"/>
          <w:spacing w:val="-2"/>
        </w:rPr>
        <w:t>j</w:t>
      </w:r>
      <w:r w:rsidRPr="00D05497">
        <w:rPr>
          <w:rFonts w:eastAsia="Arial"/>
          <w:spacing w:val="1"/>
        </w:rPr>
        <w:t>u</w:t>
      </w:r>
      <w:r w:rsidRPr="00D05497">
        <w:rPr>
          <w:rFonts w:eastAsia="Arial"/>
        </w:rPr>
        <w:t>r</w:t>
      </w:r>
      <w:r w:rsidRPr="00D05497">
        <w:rPr>
          <w:rFonts w:eastAsia="Arial"/>
          <w:spacing w:val="-3"/>
        </w:rPr>
        <w:t>í</w:t>
      </w:r>
      <w:r w:rsidRPr="00D05497">
        <w:rPr>
          <w:rFonts w:eastAsia="Arial"/>
          <w:spacing w:val="1"/>
        </w:rPr>
        <w:t>d</w:t>
      </w:r>
      <w:r w:rsidRPr="00D05497">
        <w:rPr>
          <w:rFonts w:eastAsia="Arial"/>
        </w:rPr>
        <w:t>icas</w:t>
      </w:r>
      <w:r w:rsidRPr="00D05497">
        <w:rPr>
          <w:rFonts w:eastAsia="Arial"/>
          <w:spacing w:val="1"/>
        </w:rPr>
        <w:t xml:space="preserve"> e</w:t>
      </w:r>
      <w:r w:rsidRPr="00D05497">
        <w:rPr>
          <w:rFonts w:eastAsia="Arial"/>
        </w:rPr>
        <w:t>n</w:t>
      </w:r>
      <w:r w:rsidR="00762800">
        <w:rPr>
          <w:rFonts w:eastAsia="Arial"/>
        </w:rPr>
        <w:t xml:space="preserve"> </w:t>
      </w:r>
      <w:r w:rsidRPr="00D05497">
        <w:rPr>
          <w:rFonts w:eastAsia="Arial"/>
          <w:spacing w:val="1"/>
        </w:rPr>
        <w:t>e</w:t>
      </w:r>
      <w:r w:rsidRPr="00D05497">
        <w:rPr>
          <w:rFonts w:eastAsia="Arial"/>
        </w:rPr>
        <w:t xml:space="preserve">l </w:t>
      </w:r>
      <w:r w:rsidRPr="00D05497">
        <w:rPr>
          <w:rFonts w:eastAsia="Arial"/>
          <w:spacing w:val="1"/>
        </w:rPr>
        <w:t>a</w:t>
      </w:r>
      <w:r w:rsidRPr="00D05497">
        <w:rPr>
          <w:rFonts w:eastAsia="Arial"/>
          <w:spacing w:val="-1"/>
        </w:rPr>
        <w:t>ñ</w:t>
      </w:r>
      <w:r w:rsidRPr="00D05497">
        <w:rPr>
          <w:rFonts w:eastAsia="Arial"/>
        </w:rPr>
        <w:t>o</w:t>
      </w:r>
      <w:r w:rsidRPr="00D05497">
        <w:rPr>
          <w:rFonts w:eastAsia="Arial"/>
          <w:spacing w:val="1"/>
        </w:rPr>
        <w:t xml:space="preserve"> 2</w:t>
      </w:r>
      <w:r w:rsidRPr="00D05497">
        <w:rPr>
          <w:rFonts w:eastAsia="Arial"/>
          <w:spacing w:val="-1"/>
        </w:rPr>
        <w:t>0</w:t>
      </w:r>
      <w:r w:rsidRPr="00D05497">
        <w:rPr>
          <w:rFonts w:eastAsia="Arial"/>
          <w:spacing w:val="1"/>
        </w:rPr>
        <w:t>13</w:t>
      </w:r>
      <w:r w:rsidRPr="00D05497">
        <w:rPr>
          <w:rFonts w:eastAsia="Arial"/>
        </w:rPr>
        <w:t>.</w:t>
      </w:r>
    </w:p>
    <w:p w:rsidR="00406FF7" w:rsidRPr="00D05497" w:rsidRDefault="00406FF7" w:rsidP="00363A30">
      <w:pPr>
        <w:spacing w:line="360" w:lineRule="auto"/>
        <w:ind w:firstLine="284"/>
        <w:jc w:val="both"/>
        <w:rPr>
          <w:rFonts w:eastAsia="Arial"/>
        </w:rPr>
      </w:pPr>
    </w:p>
    <w:p w:rsidR="00406FF7" w:rsidRDefault="00406FF7" w:rsidP="00363A30">
      <w:pPr>
        <w:spacing w:line="360" w:lineRule="auto"/>
        <w:ind w:firstLine="284"/>
        <w:jc w:val="both"/>
        <w:rPr>
          <w:rFonts w:eastAsia="Arial"/>
        </w:rPr>
      </w:pPr>
      <w:r w:rsidRPr="00D05497">
        <w:rPr>
          <w:rFonts w:eastAsia="Arial"/>
        </w:rPr>
        <w:t>P</w:t>
      </w:r>
      <w:r w:rsidRPr="00D05497">
        <w:rPr>
          <w:rFonts w:eastAsia="Arial"/>
          <w:spacing w:val="1"/>
        </w:rPr>
        <w:t>a</w:t>
      </w:r>
      <w:r w:rsidRPr="00D05497">
        <w:rPr>
          <w:rFonts w:eastAsia="Arial"/>
        </w:rPr>
        <w:t>ra</w:t>
      </w:r>
      <w:r>
        <w:rPr>
          <w:rFonts w:eastAsia="Arial"/>
        </w:rPr>
        <w:t xml:space="preserve"> </w:t>
      </w:r>
      <w:r w:rsidRPr="00D05497">
        <w:rPr>
          <w:rFonts w:eastAsia="Arial"/>
          <w:spacing w:val="1"/>
        </w:rPr>
        <w:t>e</w:t>
      </w:r>
      <w:r w:rsidRPr="00D05497">
        <w:rPr>
          <w:rFonts w:eastAsia="Arial"/>
        </w:rPr>
        <w:t>l</w:t>
      </w:r>
      <w:r>
        <w:rPr>
          <w:rFonts w:eastAsia="Arial"/>
        </w:rPr>
        <w:t xml:space="preserve"> </w:t>
      </w:r>
      <w:r w:rsidRPr="00D05497">
        <w:rPr>
          <w:rFonts w:eastAsia="Arial"/>
          <w:spacing w:val="-1"/>
        </w:rPr>
        <w:t>a</w:t>
      </w:r>
      <w:r w:rsidRPr="00D05497">
        <w:rPr>
          <w:rFonts w:eastAsia="Arial"/>
          <w:spacing w:val="1"/>
        </w:rPr>
        <w:t>ñ</w:t>
      </w:r>
      <w:r w:rsidRPr="00D05497">
        <w:rPr>
          <w:rFonts w:eastAsia="Arial"/>
        </w:rPr>
        <w:t>o</w:t>
      </w:r>
      <w:r>
        <w:rPr>
          <w:rFonts w:eastAsia="Arial"/>
        </w:rPr>
        <w:t xml:space="preserve"> </w:t>
      </w:r>
      <w:r w:rsidRPr="00D05497">
        <w:rPr>
          <w:rFonts w:eastAsia="Arial"/>
          <w:spacing w:val="1"/>
        </w:rPr>
        <w:t>2</w:t>
      </w:r>
      <w:r w:rsidRPr="00D05497">
        <w:rPr>
          <w:rFonts w:eastAsia="Arial"/>
          <w:spacing w:val="-1"/>
        </w:rPr>
        <w:t>0</w:t>
      </w:r>
      <w:r w:rsidRPr="00D05497">
        <w:rPr>
          <w:rFonts w:eastAsia="Arial"/>
          <w:spacing w:val="1"/>
        </w:rPr>
        <w:t>1</w:t>
      </w:r>
      <w:r w:rsidRPr="00D05497">
        <w:rPr>
          <w:rFonts w:eastAsia="Arial"/>
        </w:rPr>
        <w:t>3</w:t>
      </w:r>
      <w:r w:rsidR="00762800">
        <w:rPr>
          <w:rFonts w:eastAsia="Arial"/>
        </w:rPr>
        <w:t>,</w:t>
      </w:r>
      <w:r>
        <w:rPr>
          <w:rFonts w:eastAsia="Arial"/>
        </w:rPr>
        <w:t xml:space="preserve"> </w:t>
      </w:r>
      <w:r w:rsidRPr="00D05497">
        <w:rPr>
          <w:rFonts w:eastAsia="Arial"/>
          <w:spacing w:val="-3"/>
        </w:rPr>
        <w:t>l</w:t>
      </w:r>
      <w:r w:rsidRPr="00D05497">
        <w:rPr>
          <w:rFonts w:eastAsia="Arial"/>
          <w:spacing w:val="1"/>
        </w:rPr>
        <w:t>a</w:t>
      </w:r>
      <w:r w:rsidRPr="00D05497">
        <w:rPr>
          <w:rFonts w:eastAsia="Arial"/>
        </w:rPr>
        <w:t>s</w:t>
      </w:r>
      <w:r>
        <w:rPr>
          <w:rFonts w:eastAsia="Arial"/>
        </w:rPr>
        <w:t xml:space="preserve"> </w:t>
      </w:r>
      <w:r w:rsidRPr="00D05497">
        <w:rPr>
          <w:rFonts w:eastAsia="Arial"/>
          <w:spacing w:val="-1"/>
        </w:rPr>
        <w:t>p</w:t>
      </w:r>
      <w:r w:rsidRPr="00D05497">
        <w:rPr>
          <w:rFonts w:eastAsia="Arial"/>
          <w:spacing w:val="1"/>
        </w:rPr>
        <w:t>e</w:t>
      </w:r>
      <w:r w:rsidRPr="00D05497">
        <w:rPr>
          <w:rFonts w:eastAsia="Arial"/>
        </w:rPr>
        <w:t>rso</w:t>
      </w:r>
      <w:r w:rsidRPr="00D05497">
        <w:rPr>
          <w:rFonts w:eastAsia="Arial"/>
          <w:spacing w:val="1"/>
        </w:rPr>
        <w:t>na</w:t>
      </w:r>
      <w:r w:rsidRPr="00D05497">
        <w:rPr>
          <w:rFonts w:eastAsia="Arial"/>
        </w:rPr>
        <w:t>s</w:t>
      </w:r>
      <w:r>
        <w:rPr>
          <w:rFonts w:eastAsia="Arial"/>
        </w:rPr>
        <w:t xml:space="preserve"> </w:t>
      </w:r>
      <w:r w:rsidRPr="00D05497">
        <w:rPr>
          <w:rFonts w:eastAsia="Arial"/>
        </w:rPr>
        <w:t>jur</w:t>
      </w:r>
      <w:r w:rsidRPr="00D05497">
        <w:rPr>
          <w:rFonts w:eastAsia="Arial"/>
          <w:spacing w:val="-2"/>
        </w:rPr>
        <w:t>í</w:t>
      </w:r>
      <w:r w:rsidRPr="00D05497">
        <w:rPr>
          <w:rFonts w:eastAsia="Arial"/>
          <w:spacing w:val="1"/>
        </w:rPr>
        <w:t>d</w:t>
      </w:r>
      <w:r w:rsidRPr="00D05497">
        <w:rPr>
          <w:rFonts w:eastAsia="Arial"/>
        </w:rPr>
        <w:t>icas</w:t>
      </w:r>
      <w:r>
        <w:rPr>
          <w:rFonts w:eastAsia="Arial"/>
        </w:rPr>
        <w:t xml:space="preserve"> </w:t>
      </w:r>
      <w:r w:rsidRPr="00D05497">
        <w:rPr>
          <w:rFonts w:eastAsia="Arial"/>
          <w:spacing w:val="-1"/>
        </w:rPr>
        <w:t>m</w:t>
      </w:r>
      <w:r w:rsidRPr="00D05497">
        <w:rPr>
          <w:rFonts w:eastAsia="Arial"/>
          <w:spacing w:val="1"/>
        </w:rPr>
        <w:t>a</w:t>
      </w:r>
      <w:r w:rsidRPr="00D05497">
        <w:rPr>
          <w:rFonts w:eastAsia="Arial"/>
        </w:rPr>
        <w:t>tricula</w:t>
      </w:r>
      <w:r w:rsidRPr="00D05497">
        <w:rPr>
          <w:rFonts w:eastAsia="Arial"/>
          <w:spacing w:val="1"/>
        </w:rPr>
        <w:t>da</w:t>
      </w:r>
      <w:r w:rsidRPr="00D05497">
        <w:rPr>
          <w:rFonts w:eastAsia="Arial"/>
          <w:spacing w:val="-2"/>
        </w:rPr>
        <w:t>s</w:t>
      </w:r>
      <w:r>
        <w:rPr>
          <w:rFonts w:eastAsia="Arial"/>
        </w:rPr>
        <w:t xml:space="preserve"> </w:t>
      </w:r>
      <w:r w:rsidRPr="00D05497">
        <w:rPr>
          <w:rFonts w:eastAsia="Arial"/>
        </w:rPr>
        <w:t>re</w:t>
      </w:r>
      <w:r w:rsidRPr="00D05497">
        <w:rPr>
          <w:rFonts w:eastAsia="Arial"/>
          <w:spacing w:val="1"/>
        </w:rPr>
        <w:t>p</w:t>
      </w:r>
      <w:r w:rsidRPr="00D05497">
        <w:rPr>
          <w:rFonts w:eastAsia="Arial"/>
        </w:rPr>
        <w:t>re</w:t>
      </w:r>
      <w:r w:rsidRPr="00D05497">
        <w:rPr>
          <w:rFonts w:eastAsia="Arial"/>
          <w:spacing w:val="-2"/>
        </w:rPr>
        <w:t>s</w:t>
      </w:r>
      <w:r w:rsidRPr="00D05497">
        <w:rPr>
          <w:rFonts w:eastAsia="Arial"/>
          <w:spacing w:val="1"/>
        </w:rPr>
        <w:t>en</w:t>
      </w:r>
      <w:r w:rsidRPr="00D05497">
        <w:rPr>
          <w:rFonts w:eastAsia="Arial"/>
          <w:spacing w:val="-2"/>
        </w:rPr>
        <w:t>t</w:t>
      </w:r>
      <w:r w:rsidRPr="00D05497">
        <w:rPr>
          <w:rFonts w:eastAsia="Arial"/>
          <w:spacing w:val="1"/>
        </w:rPr>
        <w:t>a</w:t>
      </w:r>
      <w:r w:rsidRPr="00D05497">
        <w:rPr>
          <w:rFonts w:eastAsia="Arial"/>
        </w:rPr>
        <w:t>r</w:t>
      </w:r>
      <w:r w:rsidRPr="00D05497">
        <w:rPr>
          <w:rFonts w:eastAsia="Arial"/>
          <w:spacing w:val="-2"/>
        </w:rPr>
        <w:t>o</w:t>
      </w:r>
      <w:r w:rsidRPr="00D05497">
        <w:rPr>
          <w:rFonts w:eastAsia="Arial"/>
        </w:rPr>
        <w:t>n</w:t>
      </w:r>
      <w:r>
        <w:rPr>
          <w:rFonts w:eastAsia="Arial"/>
        </w:rPr>
        <w:t xml:space="preserve"> </w:t>
      </w:r>
      <w:r w:rsidRPr="00D05497">
        <w:rPr>
          <w:rFonts w:eastAsia="Arial"/>
          <w:spacing w:val="1"/>
        </w:rPr>
        <w:t>e</w:t>
      </w:r>
      <w:r w:rsidRPr="00D05497">
        <w:rPr>
          <w:rFonts w:eastAsia="Arial"/>
        </w:rPr>
        <w:t>l</w:t>
      </w:r>
      <w:r>
        <w:rPr>
          <w:rFonts w:eastAsia="Arial"/>
        </w:rPr>
        <w:t xml:space="preserve"> </w:t>
      </w:r>
      <w:r w:rsidRPr="00A828FD">
        <w:rPr>
          <w:rFonts w:eastAsia="Arial"/>
          <w:spacing w:val="2"/>
        </w:rPr>
        <w:t>1</w:t>
      </w:r>
      <w:r w:rsidRPr="00A828FD">
        <w:rPr>
          <w:rFonts w:eastAsia="Arial"/>
          <w:spacing w:val="1"/>
        </w:rPr>
        <w:t>2</w:t>
      </w:r>
      <w:r w:rsidRPr="00A828FD">
        <w:rPr>
          <w:rFonts w:eastAsia="Arial"/>
          <w:spacing w:val="-2"/>
        </w:rPr>
        <w:t>,</w:t>
      </w:r>
      <w:r w:rsidRPr="00A828FD">
        <w:rPr>
          <w:rFonts w:eastAsia="Arial"/>
          <w:spacing w:val="1"/>
        </w:rPr>
        <w:t>36</w:t>
      </w:r>
      <w:r w:rsidRPr="00A828FD">
        <w:rPr>
          <w:rFonts w:eastAsia="Arial"/>
        </w:rPr>
        <w:t>%</w:t>
      </w:r>
      <w:r w:rsidRPr="00D05497">
        <w:rPr>
          <w:rFonts w:eastAsia="Arial"/>
          <w:b/>
        </w:rPr>
        <w:t xml:space="preserve"> </w:t>
      </w:r>
      <w:r w:rsidRPr="00D05497">
        <w:rPr>
          <w:rFonts w:eastAsia="Arial"/>
          <w:spacing w:val="-1"/>
        </w:rPr>
        <w:t xml:space="preserve">de </w:t>
      </w:r>
      <w:r w:rsidRPr="00D05497">
        <w:rPr>
          <w:rFonts w:eastAsia="Arial"/>
        </w:rPr>
        <w:t>las</w:t>
      </w:r>
      <w:r>
        <w:rPr>
          <w:rFonts w:eastAsia="Arial"/>
        </w:rPr>
        <w:t xml:space="preserve"> </w:t>
      </w:r>
      <w:r w:rsidRPr="00D05497">
        <w:rPr>
          <w:rFonts w:eastAsia="Arial"/>
          <w:spacing w:val="1"/>
        </w:rPr>
        <w:t>3</w:t>
      </w:r>
      <w:r w:rsidRPr="00D05497">
        <w:rPr>
          <w:rFonts w:eastAsia="Arial"/>
        </w:rPr>
        <w:t>.</w:t>
      </w:r>
      <w:r w:rsidRPr="00D05497">
        <w:rPr>
          <w:rFonts w:eastAsia="Arial"/>
          <w:spacing w:val="1"/>
        </w:rPr>
        <w:t>7</w:t>
      </w:r>
      <w:r w:rsidRPr="00D05497">
        <w:rPr>
          <w:rFonts w:eastAsia="Arial"/>
          <w:spacing w:val="-1"/>
        </w:rPr>
        <w:t>7</w:t>
      </w:r>
      <w:r w:rsidRPr="00D05497">
        <w:rPr>
          <w:rFonts w:eastAsia="Arial"/>
        </w:rPr>
        <w:t>9</w:t>
      </w:r>
      <w:r>
        <w:rPr>
          <w:rFonts w:eastAsia="Arial"/>
        </w:rPr>
        <w:t xml:space="preserve"> </w:t>
      </w:r>
      <w:r w:rsidRPr="00D05497">
        <w:rPr>
          <w:rFonts w:eastAsia="Arial"/>
          <w:spacing w:val="-1"/>
        </w:rPr>
        <w:t>e</w:t>
      </w:r>
      <w:r w:rsidRPr="00D05497">
        <w:rPr>
          <w:rFonts w:eastAsia="Arial"/>
          <w:spacing w:val="1"/>
        </w:rPr>
        <w:t>mp</w:t>
      </w:r>
      <w:r w:rsidRPr="00D05497">
        <w:rPr>
          <w:rFonts w:eastAsia="Arial"/>
        </w:rPr>
        <w:t>res</w:t>
      </w:r>
      <w:r w:rsidRPr="00D05497">
        <w:rPr>
          <w:rFonts w:eastAsia="Arial"/>
          <w:spacing w:val="1"/>
        </w:rPr>
        <w:t>a</w:t>
      </w:r>
      <w:r w:rsidRPr="00D05497">
        <w:rPr>
          <w:rFonts w:eastAsia="Arial"/>
        </w:rPr>
        <w:t xml:space="preserve">s </w:t>
      </w:r>
      <w:r w:rsidRPr="00D05497">
        <w:rPr>
          <w:rFonts w:eastAsia="Arial"/>
          <w:spacing w:val="1"/>
        </w:rPr>
        <w:t>nue</w:t>
      </w:r>
      <w:r w:rsidRPr="00D05497">
        <w:rPr>
          <w:rFonts w:eastAsia="Arial"/>
          <w:spacing w:val="-2"/>
        </w:rPr>
        <w:t>v</w:t>
      </w:r>
      <w:r w:rsidRPr="00D05497">
        <w:rPr>
          <w:rFonts w:eastAsia="Arial"/>
          <w:spacing w:val="1"/>
        </w:rPr>
        <w:t>a</w:t>
      </w:r>
      <w:r w:rsidRPr="00D05497">
        <w:rPr>
          <w:rFonts w:eastAsia="Arial"/>
        </w:rPr>
        <w:t>s</w:t>
      </w:r>
      <w:r>
        <w:rPr>
          <w:rFonts w:eastAsia="Arial"/>
        </w:rPr>
        <w:t xml:space="preserve"> </w:t>
      </w:r>
      <w:r w:rsidRPr="00D05497">
        <w:rPr>
          <w:rFonts w:eastAsia="Arial"/>
          <w:spacing w:val="-1"/>
        </w:rPr>
        <w:t>q</w:t>
      </w:r>
      <w:r w:rsidRPr="00D05497">
        <w:rPr>
          <w:rFonts w:eastAsia="Arial"/>
          <w:spacing w:val="1"/>
        </w:rPr>
        <w:t>u</w:t>
      </w:r>
      <w:r w:rsidRPr="00D05497">
        <w:rPr>
          <w:rFonts w:eastAsia="Arial"/>
        </w:rPr>
        <w:t>e</w:t>
      </w:r>
      <w:r>
        <w:rPr>
          <w:rFonts w:eastAsia="Arial"/>
        </w:rPr>
        <w:t xml:space="preserve"> </w:t>
      </w:r>
      <w:r w:rsidRPr="00D05497">
        <w:rPr>
          <w:rFonts w:eastAsia="Arial"/>
        </w:rPr>
        <w:t>se</w:t>
      </w:r>
      <w:r>
        <w:rPr>
          <w:rFonts w:eastAsia="Arial"/>
        </w:rPr>
        <w:t xml:space="preserve"> </w:t>
      </w:r>
      <w:r w:rsidRPr="00D05497">
        <w:rPr>
          <w:rFonts w:eastAsia="Arial"/>
        </w:rPr>
        <w:t>re</w:t>
      </w:r>
      <w:r w:rsidRPr="00D05497">
        <w:rPr>
          <w:rFonts w:eastAsia="Arial"/>
          <w:spacing w:val="-1"/>
        </w:rPr>
        <w:t>g</w:t>
      </w:r>
      <w:r w:rsidRPr="00D05497">
        <w:rPr>
          <w:rFonts w:eastAsia="Arial"/>
        </w:rPr>
        <w:t>istraro</w:t>
      </w:r>
      <w:r w:rsidRPr="00D05497">
        <w:rPr>
          <w:rFonts w:eastAsia="Arial"/>
          <w:spacing w:val="1"/>
        </w:rPr>
        <w:t>n</w:t>
      </w:r>
      <w:r w:rsidRPr="00D05497">
        <w:rPr>
          <w:rFonts w:eastAsia="Arial"/>
        </w:rPr>
        <w:t>,</w:t>
      </w:r>
      <w:r>
        <w:rPr>
          <w:rFonts w:eastAsia="Arial"/>
        </w:rPr>
        <w:t xml:space="preserve"> </w:t>
      </w:r>
      <w:r w:rsidRPr="00D05497">
        <w:rPr>
          <w:rFonts w:eastAsia="Arial"/>
          <w:spacing w:val="1"/>
        </w:rPr>
        <w:t>m</w:t>
      </w:r>
      <w:r w:rsidRPr="00D05497">
        <w:rPr>
          <w:rFonts w:eastAsia="Arial"/>
        </w:rPr>
        <w:t>i</w:t>
      </w:r>
      <w:r w:rsidRPr="00D05497">
        <w:rPr>
          <w:rFonts w:eastAsia="Arial"/>
          <w:spacing w:val="-2"/>
        </w:rPr>
        <w:t>e</w:t>
      </w:r>
      <w:r w:rsidRPr="00D05497">
        <w:rPr>
          <w:rFonts w:eastAsia="Arial"/>
          <w:spacing w:val="1"/>
        </w:rPr>
        <w:t>n</w:t>
      </w:r>
      <w:r w:rsidRPr="00D05497">
        <w:rPr>
          <w:rFonts w:eastAsia="Arial"/>
        </w:rPr>
        <w:t>tras</w:t>
      </w:r>
      <w:r>
        <w:rPr>
          <w:rFonts w:eastAsia="Arial"/>
        </w:rPr>
        <w:t xml:space="preserve"> </w:t>
      </w:r>
      <w:r w:rsidRPr="00D05497">
        <w:rPr>
          <w:rFonts w:eastAsia="Arial"/>
          <w:spacing w:val="5"/>
        </w:rPr>
        <w:t>q</w:t>
      </w:r>
      <w:r w:rsidRPr="00D05497">
        <w:rPr>
          <w:rFonts w:eastAsia="Arial"/>
          <w:spacing w:val="1"/>
        </w:rPr>
        <w:t>u</w:t>
      </w:r>
      <w:r w:rsidRPr="00D05497">
        <w:rPr>
          <w:rFonts w:eastAsia="Arial"/>
        </w:rPr>
        <w:t>e</w:t>
      </w:r>
      <w:r>
        <w:rPr>
          <w:rFonts w:eastAsia="Arial"/>
        </w:rPr>
        <w:t xml:space="preserve"> </w:t>
      </w:r>
      <w:r w:rsidRPr="00D05497">
        <w:rPr>
          <w:rFonts w:eastAsia="Arial"/>
          <w:spacing w:val="-1"/>
        </w:rPr>
        <w:t>e</w:t>
      </w:r>
      <w:r w:rsidRPr="00D05497">
        <w:rPr>
          <w:rFonts w:eastAsia="Arial"/>
        </w:rPr>
        <w:t>n</w:t>
      </w:r>
      <w:r>
        <w:rPr>
          <w:rFonts w:eastAsia="Arial"/>
        </w:rPr>
        <w:t xml:space="preserve"> </w:t>
      </w:r>
      <w:r w:rsidRPr="00D05497">
        <w:rPr>
          <w:rFonts w:eastAsia="Arial"/>
          <w:spacing w:val="1"/>
        </w:rPr>
        <w:t>e</w:t>
      </w:r>
      <w:r w:rsidRPr="00D05497">
        <w:rPr>
          <w:rFonts w:eastAsia="Arial"/>
        </w:rPr>
        <w:t>l</w:t>
      </w:r>
      <w:r>
        <w:rPr>
          <w:rFonts w:eastAsia="Arial"/>
        </w:rPr>
        <w:t xml:space="preserve"> </w:t>
      </w:r>
      <w:r w:rsidRPr="00D05497">
        <w:rPr>
          <w:rFonts w:eastAsia="Arial"/>
          <w:spacing w:val="1"/>
        </w:rPr>
        <w:t>20</w:t>
      </w:r>
      <w:r w:rsidRPr="00D05497">
        <w:rPr>
          <w:rFonts w:eastAsia="Arial"/>
          <w:spacing w:val="-1"/>
        </w:rPr>
        <w:t>1</w:t>
      </w:r>
      <w:r w:rsidRPr="00D05497">
        <w:rPr>
          <w:rFonts w:eastAsia="Arial"/>
          <w:spacing w:val="1"/>
        </w:rPr>
        <w:t>2</w:t>
      </w:r>
      <w:r w:rsidRPr="00D05497">
        <w:rPr>
          <w:rFonts w:eastAsia="Arial"/>
        </w:rPr>
        <w:t>,</w:t>
      </w:r>
      <w:r>
        <w:rPr>
          <w:rFonts w:eastAsia="Arial"/>
        </w:rPr>
        <w:t xml:space="preserve"> </w:t>
      </w:r>
      <w:r w:rsidRPr="00D05497">
        <w:rPr>
          <w:rFonts w:eastAsia="Arial"/>
          <w:spacing w:val="-1"/>
        </w:rPr>
        <w:t>e</w:t>
      </w:r>
      <w:r w:rsidRPr="00D05497">
        <w:rPr>
          <w:rFonts w:eastAsia="Arial"/>
          <w:spacing w:val="-2"/>
        </w:rPr>
        <w:t>s</w:t>
      </w:r>
      <w:r w:rsidRPr="00D05497">
        <w:rPr>
          <w:rFonts w:eastAsia="Arial"/>
        </w:rPr>
        <w:t xml:space="preserve">a </w:t>
      </w:r>
      <w:r w:rsidRPr="00D05497">
        <w:rPr>
          <w:rFonts w:eastAsia="Arial"/>
          <w:spacing w:val="1"/>
        </w:rPr>
        <w:t>pa</w:t>
      </w:r>
      <w:r w:rsidRPr="00D05497">
        <w:rPr>
          <w:rFonts w:eastAsia="Arial"/>
        </w:rPr>
        <w:t>rtic</w:t>
      </w:r>
      <w:r w:rsidRPr="00D05497">
        <w:rPr>
          <w:rFonts w:eastAsia="Arial"/>
          <w:spacing w:val="-1"/>
        </w:rPr>
        <w:t>i</w:t>
      </w:r>
      <w:r w:rsidRPr="00D05497">
        <w:rPr>
          <w:rFonts w:eastAsia="Arial"/>
          <w:spacing w:val="1"/>
        </w:rPr>
        <w:t>pa</w:t>
      </w:r>
      <w:r w:rsidRPr="00D05497">
        <w:rPr>
          <w:rFonts w:eastAsia="Arial"/>
        </w:rPr>
        <w:t>ci</w:t>
      </w:r>
      <w:r w:rsidRPr="00D05497">
        <w:rPr>
          <w:rFonts w:eastAsia="Arial"/>
          <w:spacing w:val="-2"/>
        </w:rPr>
        <w:t>ó</w:t>
      </w:r>
      <w:r w:rsidRPr="00D05497">
        <w:rPr>
          <w:rFonts w:eastAsia="Arial"/>
        </w:rPr>
        <w:t>n</w:t>
      </w:r>
      <w:r>
        <w:rPr>
          <w:rFonts w:eastAsia="Arial"/>
        </w:rPr>
        <w:t xml:space="preserve"> </w:t>
      </w:r>
      <w:r w:rsidRPr="00D05497">
        <w:rPr>
          <w:rFonts w:eastAsia="Arial"/>
          <w:spacing w:val="3"/>
        </w:rPr>
        <w:t>f</w:t>
      </w:r>
      <w:r w:rsidRPr="00D05497">
        <w:rPr>
          <w:rFonts w:eastAsia="Arial"/>
          <w:spacing w:val="1"/>
        </w:rPr>
        <w:t>u</w:t>
      </w:r>
      <w:r w:rsidRPr="00D05497">
        <w:rPr>
          <w:rFonts w:eastAsia="Arial"/>
        </w:rPr>
        <w:t>e</w:t>
      </w:r>
      <w:r>
        <w:rPr>
          <w:rFonts w:eastAsia="Arial"/>
        </w:rPr>
        <w:t xml:space="preserve"> </w:t>
      </w:r>
      <w:r w:rsidRPr="00D05497">
        <w:rPr>
          <w:rFonts w:eastAsia="Arial"/>
        </w:rPr>
        <w:t>i</w:t>
      </w:r>
      <w:r w:rsidRPr="00D05497">
        <w:rPr>
          <w:rFonts w:eastAsia="Arial"/>
          <w:spacing w:val="-2"/>
        </w:rPr>
        <w:t>n</w:t>
      </w:r>
      <w:r w:rsidRPr="00D05497">
        <w:rPr>
          <w:rFonts w:eastAsia="Arial"/>
        </w:rPr>
        <w:t>f</w:t>
      </w:r>
      <w:r w:rsidRPr="00D05497">
        <w:rPr>
          <w:rFonts w:eastAsia="Arial"/>
          <w:spacing w:val="1"/>
        </w:rPr>
        <w:t>e</w:t>
      </w:r>
      <w:r w:rsidRPr="00D05497">
        <w:rPr>
          <w:rFonts w:eastAsia="Arial"/>
        </w:rPr>
        <w:t>r</w:t>
      </w:r>
      <w:r w:rsidRPr="00D05497">
        <w:rPr>
          <w:rFonts w:eastAsia="Arial"/>
          <w:spacing w:val="-4"/>
        </w:rPr>
        <w:t>i</w:t>
      </w:r>
      <w:r w:rsidRPr="00D05497">
        <w:rPr>
          <w:rFonts w:eastAsia="Arial"/>
          <w:spacing w:val="1"/>
        </w:rPr>
        <w:t>o</w:t>
      </w:r>
      <w:r w:rsidRPr="00D05497">
        <w:rPr>
          <w:rFonts w:eastAsia="Arial"/>
        </w:rPr>
        <w:t>r,</w:t>
      </w:r>
      <w:r>
        <w:rPr>
          <w:rFonts w:eastAsia="Arial"/>
        </w:rPr>
        <w:t xml:space="preserve"> </w:t>
      </w:r>
      <w:r w:rsidRPr="00D05497">
        <w:rPr>
          <w:rFonts w:eastAsia="Arial"/>
          <w:spacing w:val="1"/>
        </w:rPr>
        <w:t>pue</w:t>
      </w:r>
      <w:r w:rsidRPr="00D05497">
        <w:rPr>
          <w:rFonts w:eastAsia="Arial"/>
        </w:rPr>
        <w:t xml:space="preserve">s </w:t>
      </w:r>
      <w:r w:rsidRPr="00D05497">
        <w:rPr>
          <w:rFonts w:eastAsia="Arial"/>
          <w:spacing w:val="1"/>
        </w:rPr>
        <w:t>e</w:t>
      </w:r>
      <w:r w:rsidRPr="00D05497">
        <w:rPr>
          <w:rFonts w:eastAsia="Arial"/>
        </w:rPr>
        <w:t>l</w:t>
      </w:r>
      <w:r>
        <w:rPr>
          <w:rFonts w:eastAsia="Arial"/>
        </w:rPr>
        <w:t xml:space="preserve"> </w:t>
      </w:r>
      <w:r w:rsidRPr="00A828FD">
        <w:rPr>
          <w:rFonts w:eastAsia="Arial"/>
          <w:spacing w:val="1"/>
        </w:rPr>
        <w:t>11</w:t>
      </w:r>
      <w:r w:rsidRPr="00A828FD">
        <w:rPr>
          <w:rFonts w:eastAsia="Arial"/>
          <w:spacing w:val="-2"/>
        </w:rPr>
        <w:t>,</w:t>
      </w:r>
      <w:r w:rsidRPr="00A828FD">
        <w:rPr>
          <w:rFonts w:eastAsia="Arial"/>
          <w:spacing w:val="1"/>
        </w:rPr>
        <w:t>48</w:t>
      </w:r>
      <w:r w:rsidRPr="00A828FD">
        <w:rPr>
          <w:rFonts w:eastAsia="Arial"/>
        </w:rPr>
        <w:t>%</w:t>
      </w:r>
      <w:r>
        <w:rPr>
          <w:rFonts w:eastAsia="Arial"/>
          <w:b/>
        </w:rPr>
        <w:t xml:space="preserve"> </w:t>
      </w:r>
      <w:r w:rsidRPr="00D05497">
        <w:rPr>
          <w:rFonts w:eastAsia="Arial"/>
          <w:spacing w:val="1"/>
        </w:rPr>
        <w:t>d</w:t>
      </w:r>
      <w:r w:rsidRPr="00D05497">
        <w:rPr>
          <w:rFonts w:eastAsia="Arial"/>
        </w:rPr>
        <w:t>e</w:t>
      </w:r>
      <w:r>
        <w:rPr>
          <w:rFonts w:eastAsia="Arial"/>
        </w:rPr>
        <w:t xml:space="preserve"> </w:t>
      </w:r>
      <w:r w:rsidRPr="00D05497">
        <w:rPr>
          <w:rFonts w:eastAsia="Arial"/>
        </w:rPr>
        <w:t>l</w:t>
      </w:r>
      <w:r w:rsidRPr="00D05497">
        <w:rPr>
          <w:rFonts w:eastAsia="Arial"/>
          <w:spacing w:val="1"/>
        </w:rPr>
        <w:t>a</w:t>
      </w:r>
      <w:r w:rsidRPr="00D05497">
        <w:rPr>
          <w:rFonts w:eastAsia="Arial"/>
        </w:rPr>
        <w:t>s</w:t>
      </w:r>
      <w:r>
        <w:rPr>
          <w:rFonts w:eastAsia="Arial"/>
        </w:rPr>
        <w:t xml:space="preserve"> </w:t>
      </w:r>
      <w:r w:rsidRPr="00D05497">
        <w:rPr>
          <w:rFonts w:eastAsia="Arial"/>
          <w:spacing w:val="1"/>
        </w:rPr>
        <w:t>3</w:t>
      </w:r>
      <w:r w:rsidRPr="00D05497">
        <w:rPr>
          <w:rFonts w:eastAsia="Arial"/>
        </w:rPr>
        <w:t>.</w:t>
      </w:r>
      <w:r w:rsidRPr="00D05497">
        <w:rPr>
          <w:rFonts w:eastAsia="Arial"/>
          <w:spacing w:val="1"/>
        </w:rPr>
        <w:t>6</w:t>
      </w:r>
      <w:r w:rsidRPr="00D05497">
        <w:rPr>
          <w:rFonts w:eastAsia="Arial"/>
          <w:spacing w:val="-1"/>
        </w:rPr>
        <w:t>0</w:t>
      </w:r>
      <w:r w:rsidRPr="00D05497">
        <w:rPr>
          <w:rFonts w:eastAsia="Arial"/>
        </w:rPr>
        <w:t>7</w:t>
      </w:r>
      <w:r>
        <w:rPr>
          <w:rFonts w:eastAsia="Arial"/>
        </w:rPr>
        <w:t xml:space="preserve"> </w:t>
      </w:r>
      <w:r w:rsidRPr="00D05497">
        <w:rPr>
          <w:rFonts w:eastAsia="Arial"/>
          <w:spacing w:val="-1"/>
        </w:rPr>
        <w:t>m</w:t>
      </w:r>
      <w:r w:rsidRPr="00D05497">
        <w:rPr>
          <w:rFonts w:eastAsia="Arial"/>
          <w:spacing w:val="1"/>
        </w:rPr>
        <w:t>a</w:t>
      </w:r>
      <w:r w:rsidRPr="00D05497">
        <w:rPr>
          <w:rFonts w:eastAsia="Arial"/>
        </w:rPr>
        <w:t>tr</w:t>
      </w:r>
      <w:r w:rsidRPr="00D05497">
        <w:rPr>
          <w:rFonts w:eastAsia="Arial"/>
          <w:spacing w:val="-2"/>
        </w:rPr>
        <w:t>í</w:t>
      </w:r>
      <w:r w:rsidRPr="00D05497">
        <w:rPr>
          <w:rFonts w:eastAsia="Arial"/>
        </w:rPr>
        <w:t>c</w:t>
      </w:r>
      <w:r w:rsidRPr="00D05497">
        <w:rPr>
          <w:rFonts w:eastAsia="Arial"/>
          <w:spacing w:val="1"/>
        </w:rPr>
        <w:t>u</w:t>
      </w:r>
      <w:r w:rsidRPr="00D05497">
        <w:rPr>
          <w:rFonts w:eastAsia="Arial"/>
        </w:rPr>
        <w:t>la</w:t>
      </w:r>
      <w:r w:rsidRPr="00D05497">
        <w:rPr>
          <w:rFonts w:eastAsia="Arial"/>
          <w:spacing w:val="1"/>
        </w:rPr>
        <w:t>s</w:t>
      </w:r>
      <w:r w:rsidRPr="00D05497">
        <w:rPr>
          <w:rFonts w:eastAsia="Arial"/>
        </w:rPr>
        <w:t>,</w:t>
      </w:r>
      <w:r>
        <w:rPr>
          <w:rFonts w:eastAsia="Arial"/>
        </w:rPr>
        <w:t xml:space="preserve"> </w:t>
      </w:r>
      <w:r w:rsidRPr="00D05497">
        <w:rPr>
          <w:rFonts w:eastAsia="Arial"/>
        </w:rPr>
        <w:t>c</w:t>
      </w:r>
      <w:r w:rsidRPr="00D05497">
        <w:rPr>
          <w:rFonts w:eastAsia="Arial"/>
          <w:spacing w:val="1"/>
        </w:rPr>
        <w:t>o</w:t>
      </w:r>
      <w:r w:rsidRPr="00D05497">
        <w:rPr>
          <w:rFonts w:eastAsia="Arial"/>
        </w:rPr>
        <w:t>r</w:t>
      </w:r>
      <w:r w:rsidRPr="00D05497">
        <w:rPr>
          <w:rFonts w:eastAsia="Arial"/>
          <w:spacing w:val="-1"/>
        </w:rPr>
        <w:t>r</w:t>
      </w:r>
      <w:r w:rsidRPr="00D05497">
        <w:rPr>
          <w:rFonts w:eastAsia="Arial"/>
          <w:spacing w:val="1"/>
        </w:rPr>
        <w:t>e</w:t>
      </w:r>
      <w:r w:rsidRPr="00D05497">
        <w:rPr>
          <w:rFonts w:eastAsia="Arial"/>
        </w:rPr>
        <w:t>s</w:t>
      </w:r>
      <w:r w:rsidRPr="00D05497">
        <w:rPr>
          <w:rFonts w:eastAsia="Arial"/>
          <w:spacing w:val="1"/>
        </w:rPr>
        <w:t>po</w:t>
      </w:r>
      <w:r w:rsidRPr="00D05497">
        <w:rPr>
          <w:rFonts w:eastAsia="Arial"/>
          <w:spacing w:val="-1"/>
        </w:rPr>
        <w:t>n</w:t>
      </w:r>
      <w:r w:rsidRPr="00D05497">
        <w:rPr>
          <w:rFonts w:eastAsia="Arial"/>
          <w:spacing w:val="1"/>
        </w:rPr>
        <w:t>d</w:t>
      </w:r>
      <w:r w:rsidRPr="00D05497">
        <w:rPr>
          <w:rFonts w:eastAsia="Arial"/>
          <w:spacing w:val="-2"/>
        </w:rPr>
        <w:t>í</w:t>
      </w:r>
      <w:r w:rsidRPr="00D05497">
        <w:rPr>
          <w:rFonts w:eastAsia="Arial"/>
        </w:rPr>
        <w:t>a</w:t>
      </w:r>
      <w:r>
        <w:rPr>
          <w:rFonts w:eastAsia="Arial"/>
        </w:rPr>
        <w:t xml:space="preserve"> </w:t>
      </w:r>
      <w:r w:rsidRPr="00D05497">
        <w:rPr>
          <w:rFonts w:eastAsia="Arial"/>
        </w:rPr>
        <w:t>a las</w:t>
      </w:r>
      <w:r w:rsidRPr="00D05497">
        <w:rPr>
          <w:rFonts w:eastAsia="Arial"/>
          <w:spacing w:val="1"/>
        </w:rPr>
        <w:t xml:space="preserve"> e</w:t>
      </w:r>
      <w:r w:rsidRPr="00D05497">
        <w:rPr>
          <w:rFonts w:eastAsia="Arial"/>
          <w:spacing w:val="-1"/>
        </w:rPr>
        <w:t>m</w:t>
      </w:r>
      <w:r w:rsidRPr="00D05497">
        <w:rPr>
          <w:rFonts w:eastAsia="Arial"/>
          <w:spacing w:val="1"/>
        </w:rPr>
        <w:t>p</w:t>
      </w:r>
      <w:r w:rsidRPr="00D05497">
        <w:rPr>
          <w:rFonts w:eastAsia="Arial"/>
        </w:rPr>
        <w:t>res</w:t>
      </w:r>
      <w:r w:rsidRPr="00D05497">
        <w:rPr>
          <w:rFonts w:eastAsia="Arial"/>
          <w:spacing w:val="1"/>
        </w:rPr>
        <w:t>a</w:t>
      </w:r>
      <w:r w:rsidRPr="00D05497">
        <w:rPr>
          <w:rFonts w:eastAsia="Arial"/>
        </w:rPr>
        <w:t xml:space="preserve">s </w:t>
      </w:r>
      <w:r w:rsidRPr="00D05497">
        <w:rPr>
          <w:rFonts w:eastAsia="Arial"/>
          <w:spacing w:val="-3"/>
        </w:rPr>
        <w:t>r</w:t>
      </w:r>
      <w:r w:rsidRPr="00D05497">
        <w:rPr>
          <w:rFonts w:eastAsia="Arial"/>
          <w:spacing w:val="1"/>
        </w:rPr>
        <w:t>e</w:t>
      </w:r>
      <w:r w:rsidRPr="00D05497">
        <w:rPr>
          <w:rFonts w:eastAsia="Arial"/>
          <w:spacing w:val="-1"/>
        </w:rPr>
        <w:t>g</w:t>
      </w:r>
      <w:r w:rsidRPr="00D05497">
        <w:rPr>
          <w:rFonts w:eastAsia="Arial"/>
        </w:rPr>
        <w:t>istra</w:t>
      </w:r>
      <w:r w:rsidRPr="00D05497">
        <w:rPr>
          <w:rFonts w:eastAsia="Arial"/>
          <w:spacing w:val="1"/>
        </w:rPr>
        <w:t>da</w:t>
      </w:r>
      <w:r w:rsidRPr="00D05497">
        <w:rPr>
          <w:rFonts w:eastAsia="Arial"/>
        </w:rPr>
        <w:t xml:space="preserve">s </w:t>
      </w:r>
      <w:r w:rsidRPr="00D05497">
        <w:rPr>
          <w:rFonts w:eastAsia="Arial"/>
          <w:spacing w:val="1"/>
        </w:rPr>
        <w:t>ba</w:t>
      </w:r>
      <w:r w:rsidRPr="00D05497">
        <w:rPr>
          <w:rFonts w:eastAsia="Arial"/>
          <w:spacing w:val="-3"/>
        </w:rPr>
        <w:t>j</w:t>
      </w:r>
      <w:r w:rsidRPr="00D05497">
        <w:rPr>
          <w:rFonts w:eastAsia="Arial"/>
        </w:rPr>
        <w:t>o</w:t>
      </w:r>
      <w:r w:rsidRPr="00D05497">
        <w:rPr>
          <w:rFonts w:eastAsia="Arial"/>
          <w:spacing w:val="1"/>
        </w:rPr>
        <w:t xml:space="preserve"> e</w:t>
      </w:r>
      <w:r w:rsidRPr="00D05497">
        <w:rPr>
          <w:rFonts w:eastAsia="Arial"/>
        </w:rPr>
        <w:t>s</w:t>
      </w:r>
      <w:r w:rsidRPr="00D05497">
        <w:rPr>
          <w:rFonts w:eastAsia="Arial"/>
          <w:spacing w:val="-2"/>
        </w:rPr>
        <w:t>t</w:t>
      </w:r>
      <w:r w:rsidRPr="00D05497">
        <w:rPr>
          <w:rFonts w:eastAsia="Arial"/>
        </w:rPr>
        <w:t>a</w:t>
      </w:r>
      <w:r>
        <w:rPr>
          <w:rFonts w:eastAsia="Arial"/>
        </w:rPr>
        <w:t xml:space="preserve"> </w:t>
      </w:r>
      <w:r w:rsidRPr="00D05497">
        <w:rPr>
          <w:rFonts w:eastAsia="Arial"/>
          <w:spacing w:val="3"/>
        </w:rPr>
        <w:t>f</w:t>
      </w:r>
      <w:r w:rsidRPr="00D05497">
        <w:rPr>
          <w:rFonts w:eastAsia="Arial"/>
        </w:rPr>
        <w:t>i</w:t>
      </w:r>
      <w:r w:rsidRPr="00D05497">
        <w:rPr>
          <w:rFonts w:eastAsia="Arial"/>
          <w:spacing w:val="-2"/>
        </w:rPr>
        <w:t>g</w:t>
      </w:r>
      <w:r w:rsidRPr="00D05497">
        <w:rPr>
          <w:rFonts w:eastAsia="Arial"/>
          <w:spacing w:val="1"/>
        </w:rPr>
        <w:t>u</w:t>
      </w:r>
      <w:r w:rsidRPr="00D05497">
        <w:rPr>
          <w:rFonts w:eastAsia="Arial"/>
        </w:rPr>
        <w:t>ra.</w:t>
      </w:r>
    </w:p>
    <w:p w:rsidR="00406FF7" w:rsidRDefault="00406FF7" w:rsidP="00406FF7">
      <w:pPr>
        <w:ind w:left="102" w:right="79"/>
        <w:jc w:val="center"/>
        <w:rPr>
          <w:rFonts w:eastAsia="Arial"/>
        </w:rPr>
      </w:pPr>
    </w:p>
    <w:p w:rsidR="006F1C63" w:rsidRDefault="006F1C63" w:rsidP="00406FF7">
      <w:pPr>
        <w:ind w:left="102" w:right="79"/>
        <w:jc w:val="center"/>
        <w:rPr>
          <w:rFonts w:eastAsia="Arial"/>
        </w:rPr>
      </w:pPr>
    </w:p>
    <w:p w:rsidR="00406FF7" w:rsidRPr="00363A30" w:rsidRDefault="00363A30" w:rsidP="00363A30">
      <w:pPr>
        <w:ind w:left="102" w:right="79"/>
        <w:rPr>
          <w:rFonts w:eastAsia="Arial"/>
        </w:rPr>
      </w:pPr>
      <w:r w:rsidRPr="00363A30">
        <w:rPr>
          <w:rFonts w:eastAsia="Arial"/>
        </w:rPr>
        <w:t>Tabla 10.3</w:t>
      </w:r>
    </w:p>
    <w:p w:rsidR="00406FF7" w:rsidRPr="00363A30" w:rsidRDefault="00406FF7" w:rsidP="00363A30">
      <w:pPr>
        <w:ind w:left="102" w:right="79"/>
        <w:rPr>
          <w:color w:val="212121"/>
        </w:rPr>
      </w:pPr>
      <w:r w:rsidRPr="00363A30">
        <w:rPr>
          <w:color w:val="212121"/>
        </w:rPr>
        <w:t>Confor</w:t>
      </w:r>
      <w:r w:rsidRPr="00363A30">
        <w:rPr>
          <w:color w:val="212121"/>
          <w:spacing w:val="-4"/>
        </w:rPr>
        <w:t>m</w:t>
      </w:r>
      <w:r w:rsidRPr="00363A30">
        <w:rPr>
          <w:color w:val="212121"/>
        </w:rPr>
        <w:t>a</w:t>
      </w:r>
      <w:r w:rsidRPr="00363A30">
        <w:rPr>
          <w:color w:val="212121"/>
          <w:spacing w:val="-1"/>
        </w:rPr>
        <w:t>c</w:t>
      </w:r>
      <w:r w:rsidRPr="00363A30">
        <w:rPr>
          <w:color w:val="212121"/>
          <w:spacing w:val="1"/>
        </w:rPr>
        <w:t>i</w:t>
      </w:r>
      <w:r w:rsidRPr="00363A30">
        <w:rPr>
          <w:color w:val="212121"/>
        </w:rPr>
        <w:t xml:space="preserve">ón de </w:t>
      </w:r>
      <w:r w:rsidRPr="00363A30">
        <w:rPr>
          <w:color w:val="212121"/>
          <w:spacing w:val="-1"/>
        </w:rPr>
        <w:t>s</w:t>
      </w:r>
      <w:r w:rsidRPr="00363A30">
        <w:rPr>
          <w:color w:val="212121"/>
          <w:spacing w:val="-3"/>
        </w:rPr>
        <w:t>o</w:t>
      </w:r>
      <w:r w:rsidRPr="00363A30">
        <w:rPr>
          <w:color w:val="212121"/>
          <w:spacing w:val="1"/>
        </w:rPr>
        <w:t>c</w:t>
      </w:r>
      <w:r w:rsidRPr="00363A30">
        <w:rPr>
          <w:color w:val="212121"/>
          <w:spacing w:val="-1"/>
        </w:rPr>
        <w:t>i</w:t>
      </w:r>
      <w:r w:rsidRPr="00363A30">
        <w:rPr>
          <w:color w:val="212121"/>
        </w:rPr>
        <w:t>ed</w:t>
      </w:r>
      <w:r w:rsidRPr="00363A30">
        <w:rPr>
          <w:color w:val="212121"/>
          <w:spacing w:val="1"/>
        </w:rPr>
        <w:t>a</w:t>
      </w:r>
      <w:r w:rsidRPr="00363A30">
        <w:rPr>
          <w:color w:val="212121"/>
        </w:rPr>
        <w:t>des por a</w:t>
      </w:r>
      <w:r w:rsidRPr="00363A30">
        <w:rPr>
          <w:color w:val="212121"/>
          <w:spacing w:val="-1"/>
        </w:rPr>
        <w:t>c</w:t>
      </w:r>
      <w:r w:rsidRPr="00363A30">
        <w:rPr>
          <w:color w:val="212121"/>
          <w:spacing w:val="1"/>
        </w:rPr>
        <w:t>ti</w:t>
      </w:r>
      <w:r w:rsidRPr="00363A30">
        <w:rPr>
          <w:color w:val="212121"/>
          <w:spacing w:val="-3"/>
        </w:rPr>
        <w:t>v</w:t>
      </w:r>
      <w:r w:rsidRPr="00363A30">
        <w:rPr>
          <w:color w:val="212121"/>
          <w:spacing w:val="1"/>
        </w:rPr>
        <w:t>i</w:t>
      </w:r>
      <w:r w:rsidRPr="00363A30">
        <w:rPr>
          <w:color w:val="212121"/>
        </w:rPr>
        <w:t>d</w:t>
      </w:r>
      <w:r w:rsidRPr="00363A30">
        <w:rPr>
          <w:color w:val="212121"/>
          <w:spacing w:val="-2"/>
        </w:rPr>
        <w:t>a</w:t>
      </w:r>
      <w:r w:rsidRPr="00363A30">
        <w:rPr>
          <w:color w:val="212121"/>
        </w:rPr>
        <w:t>des e</w:t>
      </w:r>
      <w:r w:rsidRPr="00363A30">
        <w:rPr>
          <w:color w:val="212121"/>
          <w:spacing w:val="-1"/>
        </w:rPr>
        <w:t>m</w:t>
      </w:r>
      <w:r w:rsidRPr="00363A30">
        <w:rPr>
          <w:color w:val="212121"/>
        </w:rPr>
        <w:t>pr</w:t>
      </w:r>
      <w:r w:rsidRPr="00363A30">
        <w:rPr>
          <w:color w:val="212121"/>
          <w:spacing w:val="1"/>
        </w:rPr>
        <w:t>e</w:t>
      </w:r>
      <w:r w:rsidRPr="00363A30">
        <w:rPr>
          <w:color w:val="212121"/>
          <w:spacing w:val="-1"/>
        </w:rPr>
        <w:t>s</w:t>
      </w:r>
      <w:r w:rsidRPr="00363A30">
        <w:rPr>
          <w:color w:val="212121"/>
          <w:spacing w:val="-2"/>
        </w:rPr>
        <w:t>a</w:t>
      </w:r>
      <w:r w:rsidRPr="00363A30">
        <w:rPr>
          <w:color w:val="212121"/>
        </w:rPr>
        <w:t>r</w:t>
      </w:r>
      <w:r w:rsidRPr="00363A30">
        <w:rPr>
          <w:color w:val="212121"/>
          <w:spacing w:val="-1"/>
        </w:rPr>
        <w:t>i</w:t>
      </w:r>
      <w:r w:rsidRPr="00363A30">
        <w:rPr>
          <w:color w:val="212121"/>
        </w:rPr>
        <w:t>a</w:t>
      </w:r>
      <w:r w:rsidRPr="00363A30">
        <w:rPr>
          <w:color w:val="212121"/>
          <w:spacing w:val="1"/>
        </w:rPr>
        <w:t>l</w:t>
      </w:r>
      <w:r w:rsidRPr="00363A30">
        <w:rPr>
          <w:color w:val="212121"/>
        </w:rPr>
        <w:t>es</w:t>
      </w:r>
    </w:p>
    <w:p w:rsidR="00406FF7" w:rsidRDefault="00406FF7" w:rsidP="00363A30">
      <w:pPr>
        <w:ind w:left="102" w:right="79"/>
        <w:rPr>
          <w:rFonts w:eastAsia="Arial"/>
        </w:rPr>
      </w:pPr>
      <w:r w:rsidRPr="00363A30">
        <w:rPr>
          <w:rFonts w:eastAsia="Arial"/>
        </w:rPr>
        <w:t>Vigencia 2013</w:t>
      </w:r>
    </w:p>
    <w:p w:rsidR="00406FF7" w:rsidRPr="00833C01" w:rsidRDefault="00406FF7" w:rsidP="00406FF7">
      <w:pPr>
        <w:ind w:left="102" w:right="79"/>
        <w:jc w:val="center"/>
        <w:rPr>
          <w:rFonts w:eastAsia="Arial"/>
          <w:sz w:val="20"/>
        </w:rPr>
      </w:pPr>
    </w:p>
    <w:tbl>
      <w:tblPr>
        <w:tblW w:w="4961" w:type="pct"/>
        <w:jc w:val="center"/>
        <w:tblCellMar>
          <w:left w:w="70" w:type="dxa"/>
          <w:right w:w="70" w:type="dxa"/>
        </w:tblCellMar>
        <w:tblLook w:val="04A0" w:firstRow="1" w:lastRow="0" w:firstColumn="1" w:lastColumn="0" w:noHBand="0" w:noVBand="1"/>
      </w:tblPr>
      <w:tblGrid>
        <w:gridCol w:w="2568"/>
        <w:gridCol w:w="666"/>
        <w:gridCol w:w="945"/>
        <w:gridCol w:w="899"/>
        <w:gridCol w:w="659"/>
        <w:gridCol w:w="1582"/>
        <w:gridCol w:w="1448"/>
      </w:tblGrid>
      <w:tr w:rsidR="00406FF7" w:rsidRPr="00D7722C" w:rsidTr="00575447">
        <w:trPr>
          <w:trHeight w:val="525"/>
          <w:tblHeader/>
          <w:jc w:val="center"/>
        </w:trPr>
        <w:tc>
          <w:tcPr>
            <w:tcW w:w="1464" w:type="pct"/>
            <w:tcBorders>
              <w:top w:val="single" w:sz="4" w:space="0" w:color="auto"/>
              <w:left w:val="nil"/>
              <w:bottom w:val="double" w:sz="6" w:space="0" w:color="auto"/>
              <w:right w:val="nil"/>
            </w:tcBorders>
            <w:shd w:val="clear" w:color="000000" w:fill="FFFFFF"/>
            <w:vAlign w:val="center"/>
            <w:hideMark/>
          </w:tcPr>
          <w:p w:rsidR="00406FF7" w:rsidRPr="00D7722C" w:rsidRDefault="00406FF7" w:rsidP="00575447">
            <w:pPr>
              <w:jc w:val="center"/>
              <w:rPr>
                <w:b/>
                <w:bCs/>
                <w:color w:val="000000"/>
                <w:sz w:val="20"/>
                <w:szCs w:val="20"/>
              </w:rPr>
            </w:pPr>
            <w:r w:rsidRPr="00D7722C">
              <w:rPr>
                <w:b/>
                <w:bCs/>
                <w:color w:val="000000"/>
                <w:sz w:val="20"/>
                <w:szCs w:val="20"/>
              </w:rPr>
              <w:t>Actividad</w:t>
            </w:r>
          </w:p>
        </w:tc>
        <w:tc>
          <w:tcPr>
            <w:tcW w:w="380" w:type="pct"/>
            <w:tcBorders>
              <w:top w:val="single" w:sz="4" w:space="0" w:color="auto"/>
              <w:left w:val="nil"/>
              <w:bottom w:val="double" w:sz="6" w:space="0" w:color="auto"/>
              <w:right w:val="nil"/>
            </w:tcBorders>
            <w:shd w:val="clear" w:color="000000" w:fill="FFFFFF"/>
            <w:vAlign w:val="center"/>
            <w:hideMark/>
          </w:tcPr>
          <w:p w:rsidR="00406FF7" w:rsidRPr="00D7722C" w:rsidRDefault="00406FF7" w:rsidP="00575447">
            <w:pPr>
              <w:jc w:val="center"/>
              <w:rPr>
                <w:b/>
                <w:bCs/>
                <w:color w:val="212121"/>
                <w:sz w:val="20"/>
                <w:szCs w:val="20"/>
              </w:rPr>
            </w:pPr>
            <w:r w:rsidRPr="00D7722C">
              <w:rPr>
                <w:b/>
                <w:bCs/>
                <w:color w:val="212121"/>
                <w:sz w:val="20"/>
                <w:szCs w:val="20"/>
              </w:rPr>
              <w:t>Micro</w:t>
            </w:r>
          </w:p>
        </w:tc>
        <w:tc>
          <w:tcPr>
            <w:tcW w:w="539" w:type="pct"/>
            <w:tcBorders>
              <w:top w:val="single" w:sz="4" w:space="0" w:color="auto"/>
              <w:left w:val="nil"/>
              <w:bottom w:val="double" w:sz="6" w:space="0" w:color="auto"/>
              <w:right w:val="nil"/>
            </w:tcBorders>
            <w:shd w:val="clear" w:color="000000" w:fill="FFFFFF"/>
            <w:vAlign w:val="center"/>
            <w:hideMark/>
          </w:tcPr>
          <w:p w:rsidR="00406FF7" w:rsidRPr="00D7722C" w:rsidRDefault="00406FF7" w:rsidP="00575447">
            <w:pPr>
              <w:jc w:val="center"/>
              <w:rPr>
                <w:b/>
                <w:bCs/>
                <w:color w:val="212121"/>
                <w:sz w:val="20"/>
                <w:szCs w:val="20"/>
              </w:rPr>
            </w:pPr>
            <w:r w:rsidRPr="00D7722C">
              <w:rPr>
                <w:b/>
                <w:bCs/>
                <w:color w:val="212121"/>
                <w:sz w:val="20"/>
                <w:szCs w:val="20"/>
              </w:rPr>
              <w:t>Pequeña</w:t>
            </w:r>
          </w:p>
        </w:tc>
        <w:tc>
          <w:tcPr>
            <w:tcW w:w="513" w:type="pct"/>
            <w:tcBorders>
              <w:top w:val="single" w:sz="4" w:space="0" w:color="auto"/>
              <w:left w:val="nil"/>
              <w:bottom w:val="double" w:sz="6" w:space="0" w:color="auto"/>
              <w:right w:val="nil"/>
            </w:tcBorders>
            <w:shd w:val="clear" w:color="000000" w:fill="FFFFFF"/>
            <w:vAlign w:val="center"/>
            <w:hideMark/>
          </w:tcPr>
          <w:p w:rsidR="00406FF7" w:rsidRPr="00D7722C" w:rsidRDefault="00406FF7" w:rsidP="00575447">
            <w:pPr>
              <w:jc w:val="center"/>
              <w:rPr>
                <w:b/>
                <w:bCs/>
                <w:color w:val="212121"/>
                <w:sz w:val="20"/>
                <w:szCs w:val="20"/>
              </w:rPr>
            </w:pPr>
            <w:r w:rsidRPr="00D7722C">
              <w:rPr>
                <w:b/>
                <w:bCs/>
                <w:color w:val="212121"/>
                <w:sz w:val="20"/>
                <w:szCs w:val="20"/>
              </w:rPr>
              <w:t>Mediana</w:t>
            </w:r>
          </w:p>
        </w:tc>
        <w:tc>
          <w:tcPr>
            <w:tcW w:w="376" w:type="pct"/>
            <w:tcBorders>
              <w:top w:val="single" w:sz="4" w:space="0" w:color="auto"/>
              <w:left w:val="nil"/>
              <w:bottom w:val="double" w:sz="6" w:space="0" w:color="auto"/>
              <w:right w:val="nil"/>
            </w:tcBorders>
            <w:shd w:val="clear" w:color="000000" w:fill="FFFFFF"/>
            <w:vAlign w:val="center"/>
            <w:hideMark/>
          </w:tcPr>
          <w:p w:rsidR="00406FF7" w:rsidRPr="00D7722C" w:rsidRDefault="00406FF7" w:rsidP="00575447">
            <w:pPr>
              <w:jc w:val="center"/>
              <w:rPr>
                <w:b/>
                <w:bCs/>
                <w:color w:val="212121"/>
                <w:sz w:val="20"/>
                <w:szCs w:val="20"/>
              </w:rPr>
            </w:pPr>
            <w:r w:rsidRPr="00D7722C">
              <w:rPr>
                <w:b/>
                <w:bCs/>
                <w:color w:val="212121"/>
                <w:sz w:val="20"/>
                <w:szCs w:val="20"/>
              </w:rPr>
              <w:t>Gran</w:t>
            </w:r>
          </w:p>
        </w:tc>
        <w:tc>
          <w:tcPr>
            <w:tcW w:w="902" w:type="pct"/>
            <w:tcBorders>
              <w:top w:val="single" w:sz="4" w:space="0" w:color="auto"/>
              <w:left w:val="nil"/>
              <w:bottom w:val="double" w:sz="6" w:space="0" w:color="auto"/>
              <w:right w:val="nil"/>
            </w:tcBorders>
            <w:shd w:val="clear" w:color="000000" w:fill="FFFFFF"/>
            <w:vAlign w:val="center"/>
            <w:hideMark/>
          </w:tcPr>
          <w:p w:rsidR="00406FF7" w:rsidRPr="00D7722C" w:rsidRDefault="00406FF7" w:rsidP="00575447">
            <w:pPr>
              <w:jc w:val="center"/>
              <w:rPr>
                <w:b/>
                <w:bCs/>
                <w:color w:val="212121"/>
                <w:sz w:val="20"/>
                <w:szCs w:val="20"/>
              </w:rPr>
            </w:pPr>
            <w:r w:rsidRPr="00D7722C">
              <w:rPr>
                <w:b/>
                <w:bCs/>
                <w:color w:val="212121"/>
                <w:sz w:val="20"/>
                <w:szCs w:val="20"/>
              </w:rPr>
              <w:t>Participación % Micro</w:t>
            </w:r>
          </w:p>
        </w:tc>
        <w:tc>
          <w:tcPr>
            <w:tcW w:w="826" w:type="pct"/>
            <w:tcBorders>
              <w:top w:val="single" w:sz="4" w:space="0" w:color="auto"/>
              <w:left w:val="nil"/>
              <w:bottom w:val="double" w:sz="6" w:space="0" w:color="auto"/>
              <w:right w:val="nil"/>
            </w:tcBorders>
            <w:shd w:val="clear" w:color="000000" w:fill="FFFFFF"/>
            <w:vAlign w:val="center"/>
            <w:hideMark/>
          </w:tcPr>
          <w:p w:rsidR="00406FF7" w:rsidRPr="00D7722C" w:rsidRDefault="00406FF7" w:rsidP="00575447">
            <w:pPr>
              <w:jc w:val="center"/>
              <w:rPr>
                <w:b/>
                <w:bCs/>
                <w:color w:val="212121"/>
                <w:sz w:val="20"/>
                <w:szCs w:val="20"/>
              </w:rPr>
            </w:pPr>
            <w:r w:rsidRPr="00D7722C">
              <w:rPr>
                <w:b/>
                <w:bCs/>
                <w:color w:val="212121"/>
                <w:sz w:val="20"/>
                <w:szCs w:val="20"/>
              </w:rPr>
              <w:t>Participación % Pequeñas</w:t>
            </w:r>
          </w:p>
        </w:tc>
      </w:tr>
      <w:tr w:rsidR="00406FF7" w:rsidRPr="00D7722C" w:rsidTr="00575447">
        <w:trPr>
          <w:trHeight w:val="525"/>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Agricultura, ganadería, caza, silvicultura y pesca</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19</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2</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4,24%</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10,53%</w:t>
            </w:r>
          </w:p>
        </w:tc>
      </w:tr>
      <w:tr w:rsidR="00406FF7" w:rsidRPr="00D7722C" w:rsidTr="00575447">
        <w:trPr>
          <w:trHeight w:val="30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Explotación de minas  y canteras</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r>
      <w:tr w:rsidR="00406FF7" w:rsidRPr="00D7722C" w:rsidTr="00575447">
        <w:trPr>
          <w:trHeight w:val="30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Industrias manufactureras</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48</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1</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10,71%</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5,26%</w:t>
            </w:r>
          </w:p>
        </w:tc>
      </w:tr>
      <w:tr w:rsidR="00406FF7" w:rsidRPr="00D7722C" w:rsidTr="00575447">
        <w:trPr>
          <w:trHeight w:val="93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Suministro de electricidad, gas, vapor y aire acondicionado</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4</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0,89%</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r>
      <w:tr w:rsidR="00406FF7" w:rsidRPr="00D7722C" w:rsidTr="00575447">
        <w:trPr>
          <w:trHeight w:val="102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lastRenderedPageBreak/>
              <w:t>Distribución de agua; evacuación y tratamiento de aguas residuales, gestión de desechos  y actividades de saneamiento ambiental</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6</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1,34%</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r>
      <w:tr w:rsidR="00406FF7" w:rsidRPr="00D7722C" w:rsidTr="00575447">
        <w:trPr>
          <w:trHeight w:val="30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Construcción</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67</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3</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14,96%</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15,79%</w:t>
            </w:r>
          </w:p>
        </w:tc>
      </w:tr>
      <w:tr w:rsidR="00406FF7" w:rsidRPr="00D7722C" w:rsidTr="00575447">
        <w:trPr>
          <w:trHeight w:val="765"/>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Comercio al por mayor y al por menor; reparación de vehículos automotores y motocicletas</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107</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2</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23,88%</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10,53%</w:t>
            </w:r>
          </w:p>
        </w:tc>
      </w:tr>
      <w:tr w:rsidR="00406FF7" w:rsidRPr="00D7722C" w:rsidTr="00575447">
        <w:trPr>
          <w:trHeight w:val="30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 xml:space="preserve"> Transporte y almacenamiento</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15</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2</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3,35%</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10,53%</w:t>
            </w:r>
          </w:p>
        </w:tc>
      </w:tr>
      <w:tr w:rsidR="00406FF7" w:rsidRPr="00D7722C" w:rsidTr="00575447">
        <w:trPr>
          <w:trHeight w:val="30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Alojamiento y servicios de comida</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16</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1</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3,57%</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5,26%</w:t>
            </w:r>
          </w:p>
        </w:tc>
      </w:tr>
      <w:tr w:rsidR="00406FF7" w:rsidRPr="00D7722C" w:rsidTr="00575447">
        <w:trPr>
          <w:trHeight w:val="30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 xml:space="preserve"> Información y comunicaciones</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20</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2</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4,46%</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10,53%</w:t>
            </w:r>
          </w:p>
        </w:tc>
      </w:tr>
      <w:tr w:rsidR="00406FF7" w:rsidRPr="00D7722C" w:rsidTr="00575447">
        <w:trPr>
          <w:trHeight w:val="30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Actividades financieras y de seguros</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5</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1,12%</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r>
      <w:tr w:rsidR="00406FF7" w:rsidRPr="00D7722C" w:rsidTr="00575447">
        <w:trPr>
          <w:trHeight w:val="30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 xml:space="preserve"> Actividades inmobiliarias</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24</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5,36%</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r>
      <w:tr w:rsidR="00406FF7" w:rsidRPr="00D7722C" w:rsidTr="00575447">
        <w:trPr>
          <w:trHeight w:val="51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Actividades profesionales, científicas y técnicas</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60</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13,39%</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r>
      <w:tr w:rsidR="00406FF7" w:rsidRPr="00D7722C" w:rsidTr="00575447">
        <w:trPr>
          <w:trHeight w:val="51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Actividades de servicios administrativos y de apoyo</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27</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4</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6,03%</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21,05%</w:t>
            </w:r>
          </w:p>
        </w:tc>
      </w:tr>
      <w:tr w:rsidR="00406FF7" w:rsidRPr="00D7722C" w:rsidTr="00575447">
        <w:trPr>
          <w:trHeight w:val="765"/>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Administración pública y defensa; planes de seguridad social de afiliación obligatoria</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r>
      <w:tr w:rsidR="00406FF7" w:rsidRPr="00D7722C" w:rsidTr="00575447">
        <w:trPr>
          <w:trHeight w:val="30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 xml:space="preserve"> Educación</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5</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1,12%</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r>
      <w:tr w:rsidR="00406FF7" w:rsidRPr="00D7722C" w:rsidTr="00575447">
        <w:trPr>
          <w:trHeight w:val="525"/>
          <w:jc w:val="center"/>
        </w:trPr>
        <w:tc>
          <w:tcPr>
            <w:tcW w:w="1464" w:type="pct"/>
            <w:tcBorders>
              <w:top w:val="nil"/>
              <w:left w:val="nil"/>
              <w:bottom w:val="nil"/>
              <w:right w:val="nil"/>
            </w:tcBorders>
            <w:shd w:val="clear" w:color="000000" w:fill="FFFFFF"/>
            <w:vAlign w:val="bottom"/>
            <w:hideMark/>
          </w:tcPr>
          <w:p w:rsidR="00406FF7" w:rsidRPr="00D7722C" w:rsidRDefault="00406FF7" w:rsidP="00575447">
            <w:pPr>
              <w:rPr>
                <w:color w:val="212121"/>
                <w:sz w:val="20"/>
                <w:szCs w:val="20"/>
              </w:rPr>
            </w:pPr>
            <w:r w:rsidRPr="00D7722C">
              <w:rPr>
                <w:color w:val="212121"/>
                <w:sz w:val="20"/>
                <w:szCs w:val="20"/>
              </w:rPr>
              <w:t>Actividades de atención de la Salud humana y de asistencia social</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18</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1</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4,02%</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5,26%</w:t>
            </w:r>
          </w:p>
        </w:tc>
      </w:tr>
      <w:tr w:rsidR="00406FF7" w:rsidRPr="00D7722C" w:rsidTr="00575447">
        <w:trPr>
          <w:trHeight w:val="510"/>
          <w:jc w:val="center"/>
        </w:trPr>
        <w:tc>
          <w:tcPr>
            <w:tcW w:w="1464" w:type="pct"/>
            <w:tcBorders>
              <w:top w:val="nil"/>
              <w:left w:val="nil"/>
              <w:bottom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Actividades artísticas, de entretenimiento y recreación</w:t>
            </w:r>
          </w:p>
        </w:tc>
        <w:tc>
          <w:tcPr>
            <w:tcW w:w="380"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4</w:t>
            </w:r>
          </w:p>
        </w:tc>
        <w:tc>
          <w:tcPr>
            <w:tcW w:w="539"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513"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bottom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0,89%</w:t>
            </w:r>
          </w:p>
        </w:tc>
        <w:tc>
          <w:tcPr>
            <w:tcW w:w="826" w:type="pct"/>
            <w:tcBorders>
              <w:top w:val="nil"/>
              <w:left w:val="nil"/>
              <w:bottom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0,00%</w:t>
            </w:r>
          </w:p>
        </w:tc>
      </w:tr>
      <w:tr w:rsidR="00406FF7" w:rsidRPr="00D7722C" w:rsidTr="00575447">
        <w:trPr>
          <w:trHeight w:val="300"/>
          <w:jc w:val="center"/>
        </w:trPr>
        <w:tc>
          <w:tcPr>
            <w:tcW w:w="1464" w:type="pct"/>
            <w:tcBorders>
              <w:top w:val="nil"/>
              <w:left w:val="nil"/>
              <w:right w:val="nil"/>
            </w:tcBorders>
            <w:shd w:val="clear" w:color="000000" w:fill="FFFFFF"/>
            <w:vAlign w:val="center"/>
            <w:hideMark/>
          </w:tcPr>
          <w:p w:rsidR="00406FF7" w:rsidRPr="00D7722C" w:rsidRDefault="00406FF7" w:rsidP="00575447">
            <w:pPr>
              <w:rPr>
                <w:color w:val="212121"/>
                <w:sz w:val="20"/>
                <w:szCs w:val="20"/>
              </w:rPr>
            </w:pPr>
            <w:r w:rsidRPr="00D7722C">
              <w:rPr>
                <w:color w:val="212121"/>
                <w:sz w:val="20"/>
                <w:szCs w:val="20"/>
              </w:rPr>
              <w:t>Otras actividades de servicios</w:t>
            </w:r>
          </w:p>
        </w:tc>
        <w:tc>
          <w:tcPr>
            <w:tcW w:w="380" w:type="pct"/>
            <w:tcBorders>
              <w:top w:val="nil"/>
              <w:left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3</w:t>
            </w:r>
          </w:p>
        </w:tc>
        <w:tc>
          <w:tcPr>
            <w:tcW w:w="539" w:type="pct"/>
            <w:tcBorders>
              <w:top w:val="nil"/>
              <w:left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1</w:t>
            </w:r>
          </w:p>
        </w:tc>
        <w:tc>
          <w:tcPr>
            <w:tcW w:w="513" w:type="pct"/>
            <w:tcBorders>
              <w:top w:val="nil"/>
              <w:left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376" w:type="pct"/>
            <w:tcBorders>
              <w:top w:val="nil"/>
              <w:left w:val="nil"/>
              <w:right w:val="nil"/>
            </w:tcBorders>
            <w:shd w:val="clear" w:color="000000" w:fill="FFFFFF"/>
            <w:vAlign w:val="center"/>
            <w:hideMark/>
          </w:tcPr>
          <w:p w:rsidR="00406FF7" w:rsidRPr="00D7722C" w:rsidRDefault="00406FF7" w:rsidP="00575447">
            <w:pPr>
              <w:jc w:val="center"/>
              <w:rPr>
                <w:color w:val="212121"/>
                <w:sz w:val="20"/>
                <w:szCs w:val="20"/>
              </w:rPr>
            </w:pPr>
            <w:r w:rsidRPr="00D7722C">
              <w:rPr>
                <w:color w:val="212121"/>
                <w:sz w:val="20"/>
                <w:szCs w:val="20"/>
              </w:rPr>
              <w:t>0</w:t>
            </w:r>
          </w:p>
        </w:tc>
        <w:tc>
          <w:tcPr>
            <w:tcW w:w="902" w:type="pct"/>
            <w:tcBorders>
              <w:top w:val="nil"/>
              <w:left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0,67%</w:t>
            </w:r>
          </w:p>
        </w:tc>
        <w:tc>
          <w:tcPr>
            <w:tcW w:w="826" w:type="pct"/>
            <w:tcBorders>
              <w:top w:val="nil"/>
              <w:left w:val="nil"/>
              <w:right w:val="nil"/>
            </w:tcBorders>
            <w:shd w:val="clear" w:color="000000" w:fill="FFFFFF"/>
            <w:vAlign w:val="center"/>
            <w:hideMark/>
          </w:tcPr>
          <w:p w:rsidR="00406FF7" w:rsidRPr="00D7722C" w:rsidRDefault="00406FF7" w:rsidP="00575447">
            <w:pPr>
              <w:jc w:val="center"/>
              <w:rPr>
                <w:color w:val="000000"/>
                <w:sz w:val="20"/>
                <w:szCs w:val="20"/>
              </w:rPr>
            </w:pPr>
            <w:r w:rsidRPr="00D7722C">
              <w:rPr>
                <w:color w:val="000000"/>
                <w:spacing w:val="1"/>
                <w:sz w:val="20"/>
                <w:szCs w:val="20"/>
              </w:rPr>
              <w:t>5,26%</w:t>
            </w:r>
          </w:p>
        </w:tc>
      </w:tr>
      <w:tr w:rsidR="00406FF7" w:rsidRPr="00D7722C" w:rsidTr="00575447">
        <w:trPr>
          <w:trHeight w:val="300"/>
          <w:jc w:val="center"/>
        </w:trPr>
        <w:tc>
          <w:tcPr>
            <w:tcW w:w="1464" w:type="pct"/>
            <w:tcBorders>
              <w:top w:val="nil"/>
              <w:left w:val="nil"/>
              <w:bottom w:val="single" w:sz="4" w:space="0" w:color="auto"/>
              <w:right w:val="nil"/>
            </w:tcBorders>
            <w:shd w:val="clear" w:color="000000" w:fill="FFFFFF"/>
            <w:vAlign w:val="center"/>
            <w:hideMark/>
          </w:tcPr>
          <w:p w:rsidR="00406FF7" w:rsidRPr="00D7722C" w:rsidRDefault="00406FF7" w:rsidP="00575447">
            <w:pPr>
              <w:rPr>
                <w:b/>
                <w:bCs/>
                <w:color w:val="000000"/>
                <w:sz w:val="20"/>
                <w:szCs w:val="20"/>
              </w:rPr>
            </w:pPr>
            <w:r w:rsidRPr="00D7722C">
              <w:rPr>
                <w:b/>
                <w:bCs/>
                <w:color w:val="000000"/>
                <w:spacing w:val="1"/>
                <w:sz w:val="20"/>
                <w:szCs w:val="20"/>
              </w:rPr>
              <w:t>TOTAL</w:t>
            </w:r>
          </w:p>
        </w:tc>
        <w:tc>
          <w:tcPr>
            <w:tcW w:w="380" w:type="pct"/>
            <w:tcBorders>
              <w:top w:val="nil"/>
              <w:left w:val="nil"/>
              <w:bottom w:val="single" w:sz="4" w:space="0" w:color="auto"/>
              <w:right w:val="nil"/>
            </w:tcBorders>
            <w:shd w:val="clear" w:color="000000" w:fill="FFFFFF"/>
            <w:vAlign w:val="center"/>
            <w:hideMark/>
          </w:tcPr>
          <w:p w:rsidR="00406FF7" w:rsidRPr="00D7722C" w:rsidRDefault="00406FF7" w:rsidP="00575447">
            <w:pPr>
              <w:jc w:val="center"/>
              <w:rPr>
                <w:b/>
                <w:bCs/>
                <w:color w:val="000000"/>
                <w:sz w:val="20"/>
                <w:szCs w:val="20"/>
              </w:rPr>
            </w:pPr>
            <w:r w:rsidRPr="00D7722C">
              <w:rPr>
                <w:b/>
                <w:bCs/>
                <w:color w:val="000000"/>
                <w:spacing w:val="1"/>
                <w:sz w:val="20"/>
                <w:szCs w:val="20"/>
              </w:rPr>
              <w:t>448</w:t>
            </w:r>
          </w:p>
        </w:tc>
        <w:tc>
          <w:tcPr>
            <w:tcW w:w="539" w:type="pct"/>
            <w:tcBorders>
              <w:top w:val="nil"/>
              <w:left w:val="nil"/>
              <w:bottom w:val="single" w:sz="4" w:space="0" w:color="auto"/>
              <w:right w:val="nil"/>
            </w:tcBorders>
            <w:shd w:val="clear" w:color="000000" w:fill="FFFFFF"/>
            <w:vAlign w:val="center"/>
            <w:hideMark/>
          </w:tcPr>
          <w:p w:rsidR="00406FF7" w:rsidRPr="00D7722C" w:rsidRDefault="00406FF7" w:rsidP="00575447">
            <w:pPr>
              <w:jc w:val="center"/>
              <w:rPr>
                <w:b/>
                <w:bCs/>
                <w:color w:val="000000"/>
                <w:sz w:val="20"/>
                <w:szCs w:val="20"/>
              </w:rPr>
            </w:pPr>
            <w:r w:rsidRPr="00D7722C">
              <w:rPr>
                <w:b/>
                <w:bCs/>
                <w:color w:val="000000"/>
                <w:spacing w:val="1"/>
                <w:sz w:val="20"/>
                <w:szCs w:val="20"/>
              </w:rPr>
              <w:t>19</w:t>
            </w:r>
          </w:p>
        </w:tc>
        <w:tc>
          <w:tcPr>
            <w:tcW w:w="513" w:type="pct"/>
            <w:tcBorders>
              <w:top w:val="nil"/>
              <w:left w:val="nil"/>
              <w:bottom w:val="single" w:sz="4" w:space="0" w:color="auto"/>
              <w:right w:val="nil"/>
            </w:tcBorders>
            <w:shd w:val="clear" w:color="000000" w:fill="FFFFFF"/>
            <w:vAlign w:val="center"/>
            <w:hideMark/>
          </w:tcPr>
          <w:p w:rsidR="00406FF7" w:rsidRPr="00D7722C" w:rsidRDefault="00406FF7" w:rsidP="00575447">
            <w:pPr>
              <w:jc w:val="center"/>
              <w:rPr>
                <w:b/>
                <w:bCs/>
                <w:color w:val="000000"/>
                <w:sz w:val="20"/>
                <w:szCs w:val="20"/>
              </w:rPr>
            </w:pPr>
            <w:r w:rsidRPr="00D7722C">
              <w:rPr>
                <w:b/>
                <w:bCs/>
                <w:color w:val="000000"/>
                <w:sz w:val="20"/>
                <w:szCs w:val="20"/>
              </w:rPr>
              <w:t>0</w:t>
            </w:r>
          </w:p>
        </w:tc>
        <w:tc>
          <w:tcPr>
            <w:tcW w:w="376" w:type="pct"/>
            <w:tcBorders>
              <w:top w:val="nil"/>
              <w:left w:val="nil"/>
              <w:bottom w:val="single" w:sz="4" w:space="0" w:color="auto"/>
              <w:right w:val="nil"/>
            </w:tcBorders>
            <w:shd w:val="clear" w:color="000000" w:fill="FFFFFF"/>
            <w:vAlign w:val="center"/>
            <w:hideMark/>
          </w:tcPr>
          <w:p w:rsidR="00406FF7" w:rsidRPr="00D7722C" w:rsidRDefault="00406FF7" w:rsidP="00575447">
            <w:pPr>
              <w:jc w:val="center"/>
              <w:rPr>
                <w:b/>
                <w:bCs/>
                <w:color w:val="000000"/>
                <w:sz w:val="20"/>
                <w:szCs w:val="20"/>
              </w:rPr>
            </w:pPr>
            <w:r w:rsidRPr="00D7722C">
              <w:rPr>
                <w:b/>
                <w:bCs/>
                <w:color w:val="000000"/>
                <w:sz w:val="20"/>
                <w:szCs w:val="20"/>
              </w:rPr>
              <w:t>0</w:t>
            </w:r>
          </w:p>
        </w:tc>
        <w:tc>
          <w:tcPr>
            <w:tcW w:w="902" w:type="pct"/>
            <w:tcBorders>
              <w:top w:val="nil"/>
              <w:left w:val="nil"/>
              <w:bottom w:val="single" w:sz="4" w:space="0" w:color="auto"/>
              <w:right w:val="nil"/>
            </w:tcBorders>
            <w:shd w:val="clear" w:color="000000" w:fill="FFFFFF"/>
            <w:vAlign w:val="center"/>
            <w:hideMark/>
          </w:tcPr>
          <w:p w:rsidR="00406FF7" w:rsidRPr="00D7722C" w:rsidRDefault="00406FF7" w:rsidP="00575447">
            <w:pPr>
              <w:jc w:val="center"/>
              <w:rPr>
                <w:b/>
                <w:bCs/>
                <w:color w:val="000000"/>
                <w:sz w:val="20"/>
                <w:szCs w:val="20"/>
              </w:rPr>
            </w:pPr>
            <w:r w:rsidRPr="00D7722C">
              <w:rPr>
                <w:b/>
                <w:bCs/>
                <w:color w:val="000000"/>
                <w:spacing w:val="1"/>
                <w:sz w:val="20"/>
                <w:szCs w:val="20"/>
              </w:rPr>
              <w:t>100,00%</w:t>
            </w:r>
          </w:p>
        </w:tc>
        <w:tc>
          <w:tcPr>
            <w:tcW w:w="826" w:type="pct"/>
            <w:tcBorders>
              <w:top w:val="nil"/>
              <w:left w:val="nil"/>
              <w:bottom w:val="single" w:sz="4" w:space="0" w:color="auto"/>
              <w:right w:val="nil"/>
            </w:tcBorders>
            <w:shd w:val="clear" w:color="000000" w:fill="FFFFFF"/>
            <w:vAlign w:val="center"/>
            <w:hideMark/>
          </w:tcPr>
          <w:p w:rsidR="00406FF7" w:rsidRPr="00D7722C" w:rsidRDefault="00406FF7" w:rsidP="00575447">
            <w:pPr>
              <w:jc w:val="center"/>
              <w:rPr>
                <w:b/>
                <w:bCs/>
                <w:color w:val="000000"/>
                <w:sz w:val="20"/>
                <w:szCs w:val="20"/>
              </w:rPr>
            </w:pPr>
            <w:r w:rsidRPr="00D7722C">
              <w:rPr>
                <w:b/>
                <w:bCs/>
                <w:color w:val="000000"/>
                <w:spacing w:val="1"/>
                <w:sz w:val="20"/>
                <w:szCs w:val="20"/>
              </w:rPr>
              <w:t>100%</w:t>
            </w:r>
          </w:p>
        </w:tc>
      </w:tr>
    </w:tbl>
    <w:p w:rsidR="00406FF7" w:rsidRPr="007330C7" w:rsidRDefault="00406FF7" w:rsidP="00406FF7">
      <w:pPr>
        <w:widowControl w:val="0"/>
        <w:autoSpaceDE w:val="0"/>
        <w:autoSpaceDN w:val="0"/>
        <w:adjustRightInd w:val="0"/>
        <w:spacing w:before="2" w:line="480" w:lineRule="auto"/>
        <w:ind w:right="-33"/>
        <w:jc w:val="both"/>
        <w:rPr>
          <w:color w:val="000000"/>
          <w:sz w:val="18"/>
          <w:szCs w:val="18"/>
        </w:rPr>
      </w:pPr>
      <w:r w:rsidRPr="007330C7">
        <w:rPr>
          <w:color w:val="000000"/>
          <w:sz w:val="18"/>
          <w:szCs w:val="18"/>
        </w:rPr>
        <w:t>Fuente: Cámara de Comercio de Armenia y del Quindío</w:t>
      </w:r>
    </w:p>
    <w:p w:rsidR="00406FF7" w:rsidRPr="00766035" w:rsidRDefault="00406FF7" w:rsidP="00406FF7">
      <w:pPr>
        <w:widowControl w:val="0"/>
        <w:autoSpaceDE w:val="0"/>
        <w:autoSpaceDN w:val="0"/>
        <w:adjustRightInd w:val="0"/>
        <w:spacing w:before="2" w:line="480" w:lineRule="auto"/>
        <w:ind w:left="109" w:right="-33"/>
        <w:jc w:val="both"/>
      </w:pPr>
    </w:p>
    <w:p w:rsidR="00406FF7" w:rsidRDefault="00406FF7" w:rsidP="00FA1EF1">
      <w:pPr>
        <w:spacing w:line="360" w:lineRule="auto"/>
        <w:ind w:firstLine="284"/>
        <w:jc w:val="both"/>
        <w:rPr>
          <w:color w:val="000000"/>
          <w:shd w:val="clear" w:color="auto" w:fill="FFFFFF"/>
        </w:rPr>
      </w:pPr>
      <w:r w:rsidRPr="00766035">
        <w:rPr>
          <w:color w:val="000000"/>
          <w:shd w:val="clear" w:color="auto" w:fill="FFFFFF"/>
        </w:rPr>
        <w:t>De acuerdo con el análisis de la información</w:t>
      </w:r>
      <w:r>
        <w:rPr>
          <w:color w:val="000000"/>
          <w:shd w:val="clear" w:color="auto" w:fill="FFFFFF"/>
        </w:rPr>
        <w:t xml:space="preserve"> </w:t>
      </w:r>
      <w:r w:rsidRPr="00766035">
        <w:rPr>
          <w:color w:val="000000"/>
          <w:shd w:val="clear" w:color="auto" w:fill="FFFFFF"/>
        </w:rPr>
        <w:t>obtenida, es necesario implementar programas de apoyo empresarial</w:t>
      </w:r>
      <w:r>
        <w:rPr>
          <w:color w:val="000000"/>
          <w:shd w:val="clear" w:color="auto" w:fill="FFFFFF"/>
        </w:rPr>
        <w:t xml:space="preserve"> </w:t>
      </w:r>
      <w:r w:rsidRPr="00766035">
        <w:rPr>
          <w:color w:val="000000"/>
          <w:shd w:val="clear" w:color="auto" w:fill="FFFFFF"/>
        </w:rPr>
        <w:t>que</w:t>
      </w:r>
      <w:r>
        <w:rPr>
          <w:color w:val="000000"/>
          <w:shd w:val="clear" w:color="auto" w:fill="FFFFFF"/>
        </w:rPr>
        <w:t xml:space="preserve"> </w:t>
      </w:r>
      <w:r w:rsidRPr="00766035">
        <w:rPr>
          <w:color w:val="000000"/>
          <w:shd w:val="clear" w:color="auto" w:fill="FFFFFF"/>
        </w:rPr>
        <w:t>obedezcan</w:t>
      </w:r>
      <w:r>
        <w:rPr>
          <w:color w:val="000000"/>
          <w:shd w:val="clear" w:color="auto" w:fill="FFFFFF"/>
        </w:rPr>
        <w:t xml:space="preserve"> </w:t>
      </w:r>
      <w:r w:rsidRPr="00766035">
        <w:rPr>
          <w:color w:val="000000"/>
          <w:shd w:val="clear" w:color="auto" w:fill="FFFFFF"/>
        </w:rPr>
        <w:t>a ofertas</w:t>
      </w:r>
      <w:r>
        <w:rPr>
          <w:color w:val="000000"/>
          <w:shd w:val="clear" w:color="auto" w:fill="FFFFFF"/>
        </w:rPr>
        <w:t xml:space="preserve"> </w:t>
      </w:r>
      <w:r w:rsidRPr="00766035">
        <w:rPr>
          <w:color w:val="000000"/>
          <w:shd w:val="clear" w:color="auto" w:fill="FFFFFF"/>
        </w:rPr>
        <w:t>de</w:t>
      </w:r>
      <w:r>
        <w:rPr>
          <w:color w:val="000000"/>
          <w:shd w:val="clear" w:color="auto" w:fill="FFFFFF"/>
        </w:rPr>
        <w:t xml:space="preserve"> </w:t>
      </w:r>
      <w:r w:rsidRPr="00766035">
        <w:rPr>
          <w:color w:val="000000"/>
          <w:shd w:val="clear" w:color="auto" w:fill="FFFFFF"/>
        </w:rPr>
        <w:t>carácter</w:t>
      </w:r>
      <w:r>
        <w:rPr>
          <w:color w:val="000000"/>
          <w:shd w:val="clear" w:color="auto" w:fill="FFFFFF"/>
        </w:rPr>
        <w:t xml:space="preserve"> </w:t>
      </w:r>
      <w:r w:rsidRPr="00766035">
        <w:rPr>
          <w:color w:val="000000"/>
          <w:shd w:val="clear" w:color="auto" w:fill="FFFFFF"/>
        </w:rPr>
        <w:t>estándar</w:t>
      </w:r>
      <w:r>
        <w:rPr>
          <w:color w:val="000000"/>
          <w:shd w:val="clear" w:color="auto" w:fill="FFFFFF"/>
        </w:rPr>
        <w:t xml:space="preserve"> y </w:t>
      </w:r>
      <w:r w:rsidRPr="00766035">
        <w:rPr>
          <w:color w:val="000000"/>
          <w:shd w:val="clear" w:color="auto" w:fill="FFFFFF"/>
        </w:rPr>
        <w:t>acordes</w:t>
      </w:r>
      <w:r>
        <w:rPr>
          <w:color w:val="000000"/>
          <w:shd w:val="clear" w:color="auto" w:fill="FFFFFF"/>
        </w:rPr>
        <w:t xml:space="preserve"> </w:t>
      </w:r>
      <w:r w:rsidRPr="00766035">
        <w:rPr>
          <w:color w:val="000000"/>
          <w:shd w:val="clear" w:color="auto" w:fill="FFFFFF"/>
        </w:rPr>
        <w:t xml:space="preserve">a </w:t>
      </w:r>
      <w:r>
        <w:rPr>
          <w:color w:val="000000"/>
          <w:shd w:val="clear" w:color="auto" w:fill="FFFFFF"/>
        </w:rPr>
        <w:t xml:space="preserve">los </w:t>
      </w:r>
      <w:r w:rsidRPr="00766035">
        <w:rPr>
          <w:color w:val="000000"/>
          <w:shd w:val="clear" w:color="auto" w:fill="FFFFFF"/>
        </w:rPr>
        <w:t>requerimientos específicos demandados por los usuarios</w:t>
      </w:r>
      <w:r>
        <w:rPr>
          <w:color w:val="000000"/>
          <w:shd w:val="clear" w:color="auto" w:fill="FFFFFF"/>
        </w:rPr>
        <w:t>.</w:t>
      </w:r>
      <w:r w:rsidRPr="00766035">
        <w:rPr>
          <w:color w:val="000000"/>
          <w:shd w:val="clear" w:color="auto" w:fill="FFFFFF"/>
        </w:rPr>
        <w:t xml:space="preserve"> Es necesario optimizar la generación, flujo y difusión de la información de ciencia, tecnología e innovación en los diferentes entornos que conforman el sistema como son</w:t>
      </w:r>
      <w:r>
        <w:rPr>
          <w:color w:val="000000"/>
          <w:shd w:val="clear" w:color="auto" w:fill="FFFFFF"/>
        </w:rPr>
        <w:t>:</w:t>
      </w:r>
      <w:r w:rsidRPr="00766035">
        <w:rPr>
          <w:color w:val="000000"/>
          <w:shd w:val="clear" w:color="auto" w:fill="FFFFFF"/>
        </w:rPr>
        <w:t xml:space="preserve"> el productivo, financiero, científico y tecnológico. </w:t>
      </w:r>
    </w:p>
    <w:p w:rsidR="00406FF7" w:rsidRDefault="00406FF7" w:rsidP="00FA1EF1">
      <w:pPr>
        <w:spacing w:line="360" w:lineRule="auto"/>
        <w:ind w:firstLine="284"/>
        <w:jc w:val="both"/>
        <w:rPr>
          <w:color w:val="000000"/>
          <w:shd w:val="clear" w:color="auto" w:fill="FFFFFF"/>
        </w:rPr>
      </w:pPr>
      <w:r w:rsidRPr="00766035">
        <w:rPr>
          <w:color w:val="000000"/>
          <w:shd w:val="clear" w:color="auto" w:fill="FFFFFF"/>
        </w:rPr>
        <w:lastRenderedPageBreak/>
        <w:t>En la medida que se cuente con información precisa de la capacidad de innovación del entorno productivo a través</w:t>
      </w:r>
      <w:r>
        <w:rPr>
          <w:color w:val="000000"/>
          <w:shd w:val="clear" w:color="auto" w:fill="FFFFFF"/>
        </w:rPr>
        <w:t>,</w:t>
      </w:r>
      <w:r w:rsidRPr="00766035">
        <w:rPr>
          <w:color w:val="000000"/>
          <w:shd w:val="clear" w:color="auto" w:fill="FFFFFF"/>
        </w:rPr>
        <w:t xml:space="preserve"> del estudio de sectores económicos estratégicos, se podrán plantear estrategias de articulación y desarrollo tendientes a fortalecer el Sistema Regional de Innovación. </w:t>
      </w:r>
    </w:p>
    <w:p w:rsidR="00406FF7" w:rsidRDefault="00406FF7" w:rsidP="00FA1EF1">
      <w:pPr>
        <w:spacing w:line="360" w:lineRule="auto"/>
        <w:ind w:firstLine="284"/>
        <w:jc w:val="both"/>
        <w:rPr>
          <w:color w:val="000000"/>
          <w:shd w:val="clear" w:color="auto" w:fill="FFFFFF"/>
        </w:rPr>
      </w:pPr>
    </w:p>
    <w:p w:rsidR="00406FF7" w:rsidRDefault="00406FF7" w:rsidP="00FA1EF1">
      <w:pPr>
        <w:spacing w:line="360" w:lineRule="auto"/>
        <w:ind w:firstLine="284"/>
        <w:jc w:val="both"/>
        <w:rPr>
          <w:color w:val="000000"/>
          <w:shd w:val="clear" w:color="auto" w:fill="FFFFFF"/>
        </w:rPr>
      </w:pPr>
      <w:r w:rsidRPr="00766035">
        <w:rPr>
          <w:color w:val="000000"/>
          <w:shd w:val="clear" w:color="auto" w:fill="FFFFFF"/>
        </w:rPr>
        <w:t xml:space="preserve">En el Eje Cafetero se han adelantado algunas acciones tendientes a evidenciar la capacidad productiva y competitiva </w:t>
      </w:r>
      <w:r>
        <w:rPr>
          <w:color w:val="000000"/>
          <w:shd w:val="clear" w:color="auto" w:fill="FFFFFF"/>
        </w:rPr>
        <w:t>de algunos sectores económicos; s</w:t>
      </w:r>
      <w:r w:rsidRPr="00766035">
        <w:rPr>
          <w:color w:val="000000"/>
          <w:shd w:val="clear" w:color="auto" w:fill="FFFFFF"/>
        </w:rPr>
        <w:t>in embargo, existe</w:t>
      </w:r>
      <w:r>
        <w:rPr>
          <w:color w:val="000000"/>
          <w:shd w:val="clear" w:color="auto" w:fill="FFFFFF"/>
        </w:rPr>
        <w:t>n pocos estudios que aborda</w:t>
      </w:r>
      <w:r w:rsidRPr="00766035">
        <w:rPr>
          <w:color w:val="000000"/>
          <w:shd w:val="clear" w:color="auto" w:fill="FFFFFF"/>
        </w:rPr>
        <w:t>n la problemática desde la perspectiva de innovación como elemento diferenciador y pote</w:t>
      </w:r>
      <w:r>
        <w:rPr>
          <w:color w:val="000000"/>
          <w:shd w:val="clear" w:color="auto" w:fill="FFFFFF"/>
        </w:rPr>
        <w:t xml:space="preserve">nciador de la competitividad en </w:t>
      </w:r>
      <w:r w:rsidRPr="00766035">
        <w:rPr>
          <w:color w:val="000000"/>
          <w:shd w:val="clear" w:color="auto" w:fill="FFFFFF"/>
        </w:rPr>
        <w:t>el</w:t>
      </w:r>
      <w:r>
        <w:rPr>
          <w:color w:val="000000"/>
          <w:shd w:val="clear" w:color="auto" w:fill="FFFFFF"/>
        </w:rPr>
        <w:t xml:space="preserve"> </w:t>
      </w:r>
      <w:r w:rsidRPr="00766035">
        <w:rPr>
          <w:color w:val="000000"/>
          <w:shd w:val="clear" w:color="auto" w:fill="FFFFFF"/>
        </w:rPr>
        <w:t>Quindío y sus fuentes de información son de tipo secundario, sin incluir trabajo de campo.  En la región no existe una buena cultura de la información científica, tecnológica y de innovación y, por su puesto, se requiere avanzar para que</w:t>
      </w:r>
      <w:r>
        <w:rPr>
          <w:color w:val="000000"/>
          <w:shd w:val="clear" w:color="auto" w:fill="FFFFFF"/>
        </w:rPr>
        <w:t xml:space="preserve"> esta</w:t>
      </w:r>
      <w:r w:rsidRPr="00766035">
        <w:rPr>
          <w:color w:val="000000"/>
          <w:shd w:val="clear" w:color="auto" w:fill="FFFFFF"/>
        </w:rPr>
        <w:t xml:space="preserve"> se mejore al interior de cada institución, </w:t>
      </w:r>
      <w:r>
        <w:rPr>
          <w:color w:val="000000"/>
          <w:shd w:val="clear" w:color="auto" w:fill="FFFFFF"/>
        </w:rPr>
        <w:t>de manera que se pueda utilizar más eficientemente</w:t>
      </w:r>
      <w:r w:rsidRPr="00766035">
        <w:rPr>
          <w:color w:val="000000"/>
          <w:shd w:val="clear" w:color="auto" w:fill="FFFFFF"/>
        </w:rPr>
        <w:t xml:space="preserve"> en la toma de decisiones. </w:t>
      </w:r>
    </w:p>
    <w:p w:rsidR="00406FF7" w:rsidRDefault="00406FF7" w:rsidP="00FA1EF1">
      <w:pPr>
        <w:spacing w:line="360" w:lineRule="auto"/>
        <w:ind w:firstLine="284"/>
        <w:jc w:val="both"/>
        <w:rPr>
          <w:color w:val="000000"/>
          <w:shd w:val="clear" w:color="auto" w:fill="FFFFFF"/>
        </w:rPr>
      </w:pPr>
    </w:p>
    <w:p w:rsidR="00406FF7" w:rsidRDefault="00406FF7" w:rsidP="00FA1EF1">
      <w:pPr>
        <w:spacing w:line="360" w:lineRule="auto"/>
        <w:ind w:firstLine="284"/>
        <w:jc w:val="both"/>
      </w:pPr>
      <w:r w:rsidRPr="00766035">
        <w:t>Aunque en el gobierno departamental existe clara conciencia sobre la necesidad de una política de desarrollo integral que posicione al Quindío como un territorio con identidad propia,  y potenciar las ventajas de su posición</w:t>
      </w:r>
      <w:r>
        <w:t xml:space="preserve"> </w:t>
      </w:r>
      <w:r w:rsidRPr="00766035">
        <w:t>geopolíti</w:t>
      </w:r>
      <w:r>
        <w:t xml:space="preserve">ca y sus condiciones agrícolas, </w:t>
      </w:r>
      <w:r w:rsidRPr="00766035">
        <w:t xml:space="preserve">turísticas y ambientales en lo que tiene que ver con los lineamientos de política de desarrollo económico se definieron aspectos muy generales como directrices para la asignación de recursos de inversión, los cuales se resumen en:  </w:t>
      </w:r>
    </w:p>
    <w:p w:rsidR="00406FF7" w:rsidRDefault="00406FF7" w:rsidP="00406FF7">
      <w:pPr>
        <w:spacing w:line="360" w:lineRule="auto"/>
        <w:jc w:val="both"/>
      </w:pPr>
    </w:p>
    <w:p w:rsidR="00406FF7" w:rsidRDefault="00406FF7" w:rsidP="009B398C">
      <w:pPr>
        <w:numPr>
          <w:ilvl w:val="0"/>
          <w:numId w:val="4"/>
        </w:numPr>
        <w:spacing w:line="360" w:lineRule="auto"/>
        <w:jc w:val="both"/>
      </w:pPr>
      <w:r>
        <w:t>Mantener por encima de la línea base la tasa de crecimiento anual del valor agregado  departamental.</w:t>
      </w:r>
    </w:p>
    <w:p w:rsidR="00406FF7" w:rsidRDefault="00406FF7" w:rsidP="009B398C">
      <w:pPr>
        <w:numPr>
          <w:ilvl w:val="0"/>
          <w:numId w:val="4"/>
        </w:numPr>
        <w:spacing w:line="360" w:lineRule="auto"/>
        <w:jc w:val="both"/>
      </w:pPr>
      <w:r>
        <w:t>Reducir  la tasa de  informalidad</w:t>
      </w:r>
    </w:p>
    <w:p w:rsidR="00406FF7" w:rsidRDefault="00406FF7" w:rsidP="009B398C">
      <w:pPr>
        <w:numPr>
          <w:ilvl w:val="0"/>
          <w:numId w:val="4"/>
        </w:numPr>
        <w:spacing w:line="360" w:lineRule="auto"/>
        <w:jc w:val="both"/>
      </w:pPr>
      <w:r>
        <w:t>Mejorar la variación anual del valor total de las exportaciones no tradicionales.</w:t>
      </w:r>
      <w:r>
        <w:rPr>
          <w:rStyle w:val="Refdenotaalpie"/>
        </w:rPr>
        <w:footnoteReference w:id="38"/>
      </w:r>
    </w:p>
    <w:p w:rsidR="00FA1EF1" w:rsidRDefault="00FA1EF1" w:rsidP="00FA1EF1">
      <w:pPr>
        <w:spacing w:line="360" w:lineRule="auto"/>
        <w:jc w:val="both"/>
      </w:pPr>
    </w:p>
    <w:p w:rsidR="00FA1EF1" w:rsidRDefault="00FA1EF1" w:rsidP="00FA1EF1">
      <w:pPr>
        <w:spacing w:line="360" w:lineRule="auto"/>
        <w:jc w:val="both"/>
      </w:pPr>
    </w:p>
    <w:p w:rsidR="00FA1EF1" w:rsidRDefault="00FA1EF1" w:rsidP="00FA1EF1">
      <w:pPr>
        <w:spacing w:line="360" w:lineRule="auto"/>
        <w:jc w:val="both"/>
      </w:pPr>
    </w:p>
    <w:p w:rsidR="00FA1EF1" w:rsidRDefault="00DA40D1" w:rsidP="00FA1EF1">
      <w:pPr>
        <w:spacing w:line="360" w:lineRule="auto"/>
        <w:jc w:val="both"/>
      </w:pPr>
      <w:r>
        <w:rPr>
          <w:noProof/>
        </w:rPr>
        <w:lastRenderedPageBreak/>
        <w:drawing>
          <wp:anchor distT="0" distB="0" distL="114300" distR="114300" simplePos="0" relativeHeight="251710464" behindDoc="0" locked="0" layoutInCell="1" allowOverlap="0" wp14:anchorId="27F96DB9" wp14:editId="26F30B61">
            <wp:simplePos x="0" y="0"/>
            <wp:positionH relativeFrom="page">
              <wp:posOffset>21530</wp:posOffset>
            </wp:positionH>
            <wp:positionV relativeFrom="page">
              <wp:posOffset>-38100</wp:posOffset>
            </wp:positionV>
            <wp:extent cx="7829550" cy="10023475"/>
            <wp:effectExtent l="0" t="0" r="0" b="0"/>
            <wp:wrapNone/>
            <wp:docPr id="120"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103"/>
                    <a:stretch>
                      <a:fillRect/>
                    </a:stretch>
                  </pic:blipFill>
                  <pic:spPr>
                    <a:xfrm>
                      <a:off x="0" y="0"/>
                      <a:ext cx="7829550" cy="10023475"/>
                    </a:xfrm>
                    <a:prstGeom prst="rect">
                      <a:avLst/>
                    </a:prstGeom>
                  </pic:spPr>
                </pic:pic>
              </a:graphicData>
            </a:graphic>
            <wp14:sizeRelH relativeFrom="margin">
              <wp14:pctWidth>0</wp14:pctWidth>
            </wp14:sizeRelH>
            <wp14:sizeRelV relativeFrom="margin">
              <wp14:pctHeight>0</wp14:pctHeight>
            </wp14:sizeRelV>
          </wp:anchor>
        </w:drawing>
      </w:r>
    </w:p>
    <w:p w:rsidR="00FA1EF1" w:rsidRDefault="00FA1EF1" w:rsidP="00FA1EF1">
      <w:pPr>
        <w:spacing w:line="360" w:lineRule="auto"/>
        <w:jc w:val="both"/>
      </w:pPr>
    </w:p>
    <w:p w:rsidR="00FA1EF1" w:rsidRDefault="00FA1EF1" w:rsidP="00FA1EF1">
      <w:pPr>
        <w:spacing w:line="360" w:lineRule="auto"/>
        <w:jc w:val="both"/>
      </w:pPr>
    </w:p>
    <w:p w:rsidR="00FA1EF1" w:rsidRDefault="00FA1EF1" w:rsidP="00FA1EF1">
      <w:pPr>
        <w:spacing w:line="360" w:lineRule="auto"/>
        <w:jc w:val="both"/>
      </w:pPr>
    </w:p>
    <w:p w:rsidR="00FA1EF1" w:rsidRDefault="00FA1EF1" w:rsidP="00FA1EF1">
      <w:pPr>
        <w:spacing w:line="360" w:lineRule="auto"/>
        <w:jc w:val="both"/>
      </w:pPr>
    </w:p>
    <w:p w:rsidR="00FA1EF1" w:rsidRDefault="00FA1EF1" w:rsidP="00FA1EF1">
      <w:pPr>
        <w:spacing w:line="360" w:lineRule="auto"/>
        <w:jc w:val="both"/>
      </w:pPr>
    </w:p>
    <w:p w:rsidR="00FA1EF1" w:rsidRDefault="00FA1EF1" w:rsidP="00FA1EF1">
      <w:pPr>
        <w:spacing w:line="360" w:lineRule="auto"/>
        <w:jc w:val="both"/>
      </w:pPr>
    </w:p>
    <w:p w:rsidR="00FA1EF1" w:rsidRDefault="00FA1EF1" w:rsidP="00FA1EF1">
      <w:pPr>
        <w:spacing w:line="360" w:lineRule="auto"/>
        <w:jc w:val="both"/>
      </w:pPr>
    </w:p>
    <w:p w:rsidR="00FA1EF1" w:rsidRDefault="00FA1EF1" w:rsidP="00FA1EF1">
      <w:pPr>
        <w:spacing w:line="360" w:lineRule="auto"/>
        <w:jc w:val="both"/>
      </w:pPr>
    </w:p>
    <w:p w:rsidR="00FA1EF1" w:rsidRDefault="00FA1EF1" w:rsidP="00FA1EF1">
      <w:pPr>
        <w:spacing w:line="360" w:lineRule="auto"/>
        <w:jc w:val="both"/>
      </w:pPr>
    </w:p>
    <w:p w:rsidR="00FA1EF1" w:rsidRDefault="00FA1EF1" w:rsidP="00FA1EF1">
      <w:pPr>
        <w:spacing w:line="360" w:lineRule="auto"/>
        <w:jc w:val="both"/>
      </w:pPr>
    </w:p>
    <w:p w:rsidR="003305CD" w:rsidRDefault="003305CD" w:rsidP="00FA1EF1">
      <w:pPr>
        <w:spacing w:line="360" w:lineRule="auto"/>
        <w:jc w:val="both"/>
      </w:pPr>
    </w:p>
    <w:p w:rsidR="003305CD" w:rsidRDefault="003305CD" w:rsidP="00FA1EF1">
      <w:pPr>
        <w:spacing w:line="360" w:lineRule="auto"/>
        <w:jc w:val="both"/>
      </w:pPr>
    </w:p>
    <w:p w:rsidR="003305CD" w:rsidRDefault="003305CD" w:rsidP="00FA1EF1">
      <w:pPr>
        <w:spacing w:line="360" w:lineRule="auto"/>
        <w:jc w:val="both"/>
      </w:pPr>
    </w:p>
    <w:p w:rsidR="003305CD" w:rsidRPr="003305CD" w:rsidRDefault="003305CD" w:rsidP="003305CD">
      <w:pPr>
        <w:pStyle w:val="Ttulo1"/>
        <w:ind w:left="2124"/>
        <w:rPr>
          <w:rFonts w:ascii="Times New Roman" w:hAnsi="Times New Roman"/>
        </w:rPr>
      </w:pPr>
      <w:bookmarkStart w:id="85" w:name="_Toc406754339"/>
      <w:r w:rsidRPr="003305CD">
        <w:rPr>
          <w:rFonts w:ascii="Times New Roman" w:hAnsi="Times New Roman"/>
        </w:rPr>
        <w:t>11 Empleo y Salarios</w:t>
      </w:r>
      <w:bookmarkEnd w:id="85"/>
    </w:p>
    <w:p w:rsidR="00406FF7" w:rsidRDefault="00406FF7"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3305CD" w:rsidRDefault="003305CD" w:rsidP="00406FF7"/>
    <w:p w:rsidR="00166C7D" w:rsidRPr="00166C7D" w:rsidRDefault="00166C7D" w:rsidP="00166C7D">
      <w:pPr>
        <w:pStyle w:val="Ttulo2"/>
        <w:rPr>
          <w:rFonts w:ascii="Times New Roman" w:hAnsi="Times New Roman" w:cs="Times New Roman"/>
          <w:color w:val="auto"/>
          <w:sz w:val="30"/>
          <w:szCs w:val="30"/>
        </w:rPr>
      </w:pPr>
      <w:bookmarkStart w:id="86" w:name="_Toc406754340"/>
      <w:r w:rsidRPr="00166C7D">
        <w:rPr>
          <w:rFonts w:ascii="Times New Roman" w:hAnsi="Times New Roman" w:cs="Times New Roman"/>
          <w:color w:val="auto"/>
          <w:sz w:val="30"/>
          <w:szCs w:val="30"/>
        </w:rPr>
        <w:lastRenderedPageBreak/>
        <w:t>11.</w:t>
      </w:r>
      <w:r w:rsidR="00414DCB">
        <w:rPr>
          <w:rFonts w:ascii="Times New Roman" w:hAnsi="Times New Roman" w:cs="Times New Roman"/>
          <w:color w:val="auto"/>
          <w:sz w:val="30"/>
          <w:szCs w:val="30"/>
        </w:rPr>
        <w:t>1</w:t>
      </w:r>
      <w:r w:rsidRPr="00166C7D">
        <w:rPr>
          <w:rFonts w:ascii="Times New Roman" w:hAnsi="Times New Roman" w:cs="Times New Roman"/>
          <w:color w:val="auto"/>
          <w:sz w:val="30"/>
          <w:szCs w:val="30"/>
        </w:rPr>
        <w:t xml:space="preserve"> Salario mínimo legal vigente año 1999 - 2013</w:t>
      </w:r>
      <w:bookmarkEnd w:id="86"/>
      <w:r w:rsidRPr="00166C7D">
        <w:rPr>
          <w:rFonts w:ascii="Times New Roman" w:hAnsi="Times New Roman" w:cs="Times New Roman"/>
          <w:color w:val="auto"/>
          <w:sz w:val="30"/>
          <w:szCs w:val="30"/>
        </w:rPr>
        <w:t xml:space="preserve"> </w:t>
      </w:r>
    </w:p>
    <w:p w:rsidR="00166C7D" w:rsidRPr="00696DE7" w:rsidRDefault="00166C7D" w:rsidP="00166C7D">
      <w:pPr>
        <w:spacing w:line="360" w:lineRule="auto"/>
        <w:jc w:val="both"/>
        <w:rPr>
          <w:b/>
        </w:rPr>
      </w:pPr>
    </w:p>
    <w:p w:rsidR="00166C7D" w:rsidRPr="00E71AE2" w:rsidRDefault="00166C7D" w:rsidP="00166C7D">
      <w:pPr>
        <w:ind w:right="301"/>
      </w:pPr>
      <w:r w:rsidRPr="00E71AE2">
        <w:t>Gráfico 11.1</w:t>
      </w:r>
    </w:p>
    <w:p w:rsidR="00166C7D" w:rsidRPr="00E71AE2" w:rsidRDefault="00166C7D" w:rsidP="00166C7D">
      <w:pPr>
        <w:ind w:right="301"/>
      </w:pPr>
      <w:r w:rsidRPr="00E71AE2">
        <w:t>Increm</w:t>
      </w:r>
      <w:r w:rsidR="008174F0">
        <w:t xml:space="preserve">ento del Salario Mínimo (SMLV) </w:t>
      </w:r>
      <w:r w:rsidRPr="00E71AE2">
        <w:t xml:space="preserve">en Colombia </w:t>
      </w:r>
    </w:p>
    <w:p w:rsidR="00166C7D" w:rsidRDefault="00166C7D" w:rsidP="00166C7D">
      <w:pPr>
        <w:ind w:right="301"/>
      </w:pPr>
      <w:r w:rsidRPr="00E71AE2">
        <w:t>1984-2014</w:t>
      </w:r>
    </w:p>
    <w:p w:rsidR="00414DCB" w:rsidRPr="00414DCB" w:rsidRDefault="00414DCB" w:rsidP="00166C7D">
      <w:pPr>
        <w:ind w:right="301"/>
        <w:rPr>
          <w:sz w:val="18"/>
        </w:rPr>
      </w:pPr>
    </w:p>
    <w:p w:rsidR="00166C7D" w:rsidRPr="00696DE7" w:rsidRDefault="00166C7D" w:rsidP="00166C7D">
      <w:pPr>
        <w:spacing w:line="360" w:lineRule="auto"/>
        <w:jc w:val="center"/>
        <w:rPr>
          <w:lang w:val="es-ES"/>
        </w:rPr>
      </w:pPr>
      <w:r w:rsidRPr="00696DE7">
        <w:rPr>
          <w:noProof/>
        </w:rPr>
        <w:drawing>
          <wp:inline distT="0" distB="0" distL="0" distR="0" wp14:anchorId="5F86BB3C" wp14:editId="4EC9E4FB">
            <wp:extent cx="5592726" cy="2775098"/>
            <wp:effectExtent l="0" t="0" r="27305" b="25400"/>
            <wp:docPr id="8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66C7D" w:rsidRPr="00166C7D" w:rsidRDefault="00166C7D" w:rsidP="00166C7D">
      <w:pPr>
        <w:spacing w:line="360" w:lineRule="auto"/>
        <w:rPr>
          <w:sz w:val="16"/>
          <w:szCs w:val="16"/>
        </w:rPr>
      </w:pPr>
      <w:r w:rsidRPr="00166C7D">
        <w:rPr>
          <w:sz w:val="16"/>
          <w:szCs w:val="16"/>
        </w:rPr>
        <w:t>Fuente</w:t>
      </w:r>
      <w:r w:rsidRPr="00166C7D">
        <w:rPr>
          <w:sz w:val="16"/>
          <w:szCs w:val="16"/>
          <w:lang w:val="es-ES"/>
        </w:rPr>
        <w:t>.</w:t>
      </w:r>
      <w:r w:rsidRPr="00166C7D">
        <w:rPr>
          <w:sz w:val="16"/>
          <w:szCs w:val="16"/>
        </w:rPr>
        <w:t xml:space="preserve"> Banco de la República; Ministerio del Trabajo y decretos del Gobierno nacional</w:t>
      </w:r>
    </w:p>
    <w:p w:rsidR="00166C7D" w:rsidRDefault="00166C7D" w:rsidP="00166C7D">
      <w:pPr>
        <w:ind w:right="301"/>
        <w:jc w:val="both"/>
      </w:pPr>
    </w:p>
    <w:p w:rsidR="00166C7D" w:rsidRPr="002320FF" w:rsidRDefault="00166C7D" w:rsidP="00166C7D">
      <w:pPr>
        <w:ind w:right="301"/>
        <w:jc w:val="both"/>
      </w:pPr>
      <w:r w:rsidRPr="002320FF">
        <w:t>Gráfico 11.2</w:t>
      </w:r>
    </w:p>
    <w:p w:rsidR="00166C7D" w:rsidRPr="002320FF" w:rsidRDefault="00166C7D" w:rsidP="00166C7D">
      <w:pPr>
        <w:ind w:right="301"/>
        <w:jc w:val="both"/>
      </w:pPr>
      <w:r w:rsidRPr="002320FF">
        <w:t xml:space="preserve">Variación porcentual Mínimo (SMLV)  en Colombia </w:t>
      </w:r>
    </w:p>
    <w:p w:rsidR="00166C7D" w:rsidRPr="002320FF" w:rsidRDefault="00166C7D" w:rsidP="00166C7D">
      <w:pPr>
        <w:ind w:right="301"/>
        <w:jc w:val="both"/>
      </w:pPr>
      <w:r w:rsidRPr="002320FF">
        <w:t>1984-2014</w:t>
      </w:r>
    </w:p>
    <w:p w:rsidR="00166C7D" w:rsidRPr="00696DE7" w:rsidRDefault="00166C7D" w:rsidP="00166C7D">
      <w:pPr>
        <w:spacing w:line="360" w:lineRule="auto"/>
        <w:rPr>
          <w:b/>
          <w:sz w:val="18"/>
          <w:szCs w:val="18"/>
        </w:rPr>
      </w:pPr>
    </w:p>
    <w:p w:rsidR="00166C7D" w:rsidRPr="00696DE7" w:rsidRDefault="00166C7D" w:rsidP="00166C7D">
      <w:pPr>
        <w:spacing w:line="360" w:lineRule="auto"/>
        <w:jc w:val="center"/>
        <w:rPr>
          <w:lang w:val="es-ES"/>
        </w:rPr>
      </w:pPr>
      <w:r w:rsidRPr="00696DE7">
        <w:rPr>
          <w:noProof/>
        </w:rPr>
        <w:drawing>
          <wp:inline distT="0" distB="0" distL="0" distR="0" wp14:anchorId="32625883" wp14:editId="01EA5F94">
            <wp:extent cx="5237018" cy="2517569"/>
            <wp:effectExtent l="0" t="0" r="20955" b="16510"/>
            <wp:docPr id="8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66C7D" w:rsidRPr="00696DE7" w:rsidRDefault="00166C7D" w:rsidP="00166C7D">
      <w:pPr>
        <w:spacing w:line="360" w:lineRule="auto"/>
        <w:ind w:firstLine="284"/>
        <w:jc w:val="both"/>
        <w:rPr>
          <w:sz w:val="18"/>
          <w:szCs w:val="18"/>
          <w:lang w:val="es-ES"/>
        </w:rPr>
      </w:pPr>
      <w:r w:rsidRPr="00166C7D">
        <w:rPr>
          <w:sz w:val="18"/>
          <w:szCs w:val="18"/>
        </w:rPr>
        <w:t>Fuente</w:t>
      </w:r>
      <w:r w:rsidRPr="00166C7D">
        <w:rPr>
          <w:sz w:val="18"/>
          <w:szCs w:val="18"/>
          <w:lang w:val="es-ES"/>
        </w:rPr>
        <w:t>.</w:t>
      </w:r>
      <w:r w:rsidRPr="00696DE7">
        <w:rPr>
          <w:sz w:val="18"/>
          <w:szCs w:val="18"/>
        </w:rPr>
        <w:t xml:space="preserve"> Banco de la República; Ministerio del Trabajo y decretos del Gobierno nacional</w:t>
      </w:r>
    </w:p>
    <w:p w:rsidR="00166C7D" w:rsidRPr="002320FF" w:rsidRDefault="00166C7D" w:rsidP="00166C7D">
      <w:pPr>
        <w:ind w:right="79"/>
        <w:jc w:val="both"/>
        <w:rPr>
          <w:rFonts w:eastAsia="Arial"/>
        </w:rPr>
      </w:pPr>
      <w:r w:rsidRPr="002320FF">
        <w:rPr>
          <w:rFonts w:eastAsia="Arial"/>
        </w:rPr>
        <w:lastRenderedPageBreak/>
        <w:t>Tabla 11.1</w:t>
      </w:r>
    </w:p>
    <w:p w:rsidR="00166C7D" w:rsidRPr="002320FF" w:rsidRDefault="00166C7D" w:rsidP="00166C7D">
      <w:pPr>
        <w:jc w:val="both"/>
        <w:rPr>
          <w:color w:val="212121"/>
        </w:rPr>
      </w:pPr>
      <w:r w:rsidRPr="002320FF">
        <w:rPr>
          <w:color w:val="212121"/>
        </w:rPr>
        <w:t xml:space="preserve">Incremento y Variación porcentual del salario Mínimo en Colombia  </w:t>
      </w:r>
    </w:p>
    <w:p w:rsidR="00166C7D" w:rsidRPr="002320FF" w:rsidRDefault="00166C7D" w:rsidP="00166C7D">
      <w:pPr>
        <w:jc w:val="both"/>
        <w:rPr>
          <w:rFonts w:eastAsia="Arial"/>
        </w:rPr>
      </w:pPr>
      <w:r w:rsidRPr="002320FF">
        <w:rPr>
          <w:rFonts w:eastAsia="Arial"/>
        </w:rPr>
        <w:t>2002 -2014</w:t>
      </w:r>
    </w:p>
    <w:p w:rsidR="00166C7D" w:rsidRPr="00696DE7" w:rsidRDefault="00166C7D" w:rsidP="00166C7D">
      <w:pPr>
        <w:jc w:val="center"/>
        <w:rPr>
          <w:rFonts w:eastAsia="Arial"/>
        </w:rPr>
      </w:pPr>
    </w:p>
    <w:tbl>
      <w:tblPr>
        <w:tblW w:w="3136" w:type="pct"/>
        <w:tblCellMar>
          <w:left w:w="70" w:type="dxa"/>
          <w:right w:w="70" w:type="dxa"/>
        </w:tblCellMar>
        <w:tblLook w:val="04A0" w:firstRow="1" w:lastRow="0" w:firstColumn="1" w:lastColumn="0" w:noHBand="0" w:noVBand="1"/>
      </w:tblPr>
      <w:tblGrid>
        <w:gridCol w:w="1301"/>
        <w:gridCol w:w="1718"/>
        <w:gridCol w:w="2523"/>
      </w:tblGrid>
      <w:tr w:rsidR="00166C7D" w:rsidRPr="00696DE7" w:rsidTr="00166C7D">
        <w:trPr>
          <w:trHeight w:val="375"/>
          <w:tblHeader/>
        </w:trPr>
        <w:tc>
          <w:tcPr>
            <w:tcW w:w="1174" w:type="pct"/>
            <w:tcBorders>
              <w:top w:val="single" w:sz="4" w:space="0" w:color="auto"/>
              <w:bottom w:val="double" w:sz="4" w:space="0" w:color="auto"/>
            </w:tcBorders>
            <w:shd w:val="clear" w:color="auto" w:fill="auto"/>
            <w:vAlign w:val="center"/>
            <w:hideMark/>
          </w:tcPr>
          <w:p w:rsidR="00166C7D" w:rsidRPr="00166C7D" w:rsidRDefault="00166C7D" w:rsidP="00166C7D">
            <w:pPr>
              <w:jc w:val="center"/>
              <w:rPr>
                <w:b/>
                <w:bCs/>
                <w:lang w:val="es-MX" w:eastAsia="es-MX"/>
              </w:rPr>
            </w:pPr>
            <w:r w:rsidRPr="00166C7D">
              <w:rPr>
                <w:b/>
                <w:bCs/>
                <w:sz w:val="22"/>
                <w:szCs w:val="22"/>
                <w:lang w:val="es-MX" w:eastAsia="es-MX"/>
              </w:rPr>
              <w:t>Año</w:t>
            </w:r>
          </w:p>
        </w:tc>
        <w:tc>
          <w:tcPr>
            <w:tcW w:w="1550" w:type="pct"/>
            <w:tcBorders>
              <w:top w:val="single" w:sz="4" w:space="0" w:color="auto"/>
              <w:bottom w:val="double" w:sz="4" w:space="0" w:color="auto"/>
            </w:tcBorders>
            <w:shd w:val="clear" w:color="auto" w:fill="auto"/>
            <w:vAlign w:val="center"/>
            <w:hideMark/>
          </w:tcPr>
          <w:p w:rsidR="00166C7D" w:rsidRPr="00166C7D" w:rsidRDefault="00166C7D" w:rsidP="00166C7D">
            <w:pPr>
              <w:jc w:val="center"/>
              <w:rPr>
                <w:b/>
                <w:bCs/>
                <w:lang w:val="es-MX" w:eastAsia="es-MX"/>
              </w:rPr>
            </w:pPr>
            <w:r w:rsidRPr="00166C7D">
              <w:rPr>
                <w:b/>
                <w:bCs/>
                <w:sz w:val="22"/>
                <w:szCs w:val="22"/>
                <w:lang w:val="es-MX" w:eastAsia="es-MX"/>
              </w:rPr>
              <w:t>Valor</w:t>
            </w:r>
          </w:p>
        </w:tc>
        <w:tc>
          <w:tcPr>
            <w:tcW w:w="2276" w:type="pct"/>
            <w:tcBorders>
              <w:top w:val="single" w:sz="4" w:space="0" w:color="auto"/>
              <w:bottom w:val="double" w:sz="4" w:space="0" w:color="auto"/>
            </w:tcBorders>
            <w:shd w:val="clear" w:color="auto" w:fill="auto"/>
            <w:vAlign w:val="center"/>
            <w:hideMark/>
          </w:tcPr>
          <w:p w:rsidR="00166C7D" w:rsidRPr="00166C7D" w:rsidRDefault="00166C7D" w:rsidP="00166C7D">
            <w:pPr>
              <w:jc w:val="center"/>
              <w:rPr>
                <w:b/>
                <w:bCs/>
                <w:lang w:val="es-MX" w:eastAsia="es-MX"/>
              </w:rPr>
            </w:pPr>
            <w:r w:rsidRPr="00166C7D">
              <w:rPr>
                <w:b/>
                <w:bCs/>
                <w:sz w:val="22"/>
                <w:szCs w:val="22"/>
                <w:lang w:val="es-MX" w:eastAsia="es-MX"/>
              </w:rPr>
              <w:t>Variación  Porcentual*</w:t>
            </w:r>
          </w:p>
        </w:tc>
      </w:tr>
      <w:tr w:rsidR="00166C7D" w:rsidRPr="00696DE7" w:rsidTr="00575447">
        <w:trPr>
          <w:trHeight w:val="347"/>
        </w:trPr>
        <w:tc>
          <w:tcPr>
            <w:tcW w:w="1174" w:type="pct"/>
            <w:tcBorders>
              <w:top w:val="double" w:sz="4" w:space="0" w:color="auto"/>
            </w:tcBorders>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2002</w:t>
            </w:r>
          </w:p>
        </w:tc>
        <w:tc>
          <w:tcPr>
            <w:tcW w:w="1550" w:type="pct"/>
            <w:tcBorders>
              <w:top w:val="double" w:sz="4" w:space="0" w:color="auto"/>
            </w:tcBorders>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309.000,00</w:t>
            </w:r>
          </w:p>
        </w:tc>
        <w:tc>
          <w:tcPr>
            <w:tcW w:w="2276" w:type="pct"/>
            <w:tcBorders>
              <w:top w:val="double" w:sz="4" w:space="0" w:color="auto"/>
            </w:tcBorders>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8,0</w:t>
            </w:r>
          </w:p>
        </w:tc>
      </w:tr>
      <w:tr w:rsidR="00166C7D" w:rsidRPr="00696DE7" w:rsidTr="00575447">
        <w:trPr>
          <w:trHeight w:val="218"/>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2003</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332.000,00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7,4</w:t>
            </w:r>
          </w:p>
        </w:tc>
      </w:tr>
      <w:tr w:rsidR="00166C7D" w:rsidRPr="00696DE7" w:rsidTr="00575447">
        <w:trPr>
          <w:trHeight w:val="333"/>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2004</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358.000,00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7,8</w:t>
            </w:r>
          </w:p>
        </w:tc>
      </w:tr>
      <w:tr w:rsidR="00166C7D" w:rsidRPr="00696DE7" w:rsidTr="00575447">
        <w:trPr>
          <w:trHeight w:val="226"/>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2005</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381.500,00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6,6</w:t>
            </w:r>
          </w:p>
        </w:tc>
      </w:tr>
      <w:tr w:rsidR="00166C7D" w:rsidRPr="00696DE7" w:rsidTr="00575447">
        <w:trPr>
          <w:trHeight w:val="363"/>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2006</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408.000,00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6,9</w:t>
            </w:r>
          </w:p>
        </w:tc>
      </w:tr>
      <w:tr w:rsidR="00166C7D" w:rsidRPr="00696DE7" w:rsidTr="00575447">
        <w:trPr>
          <w:trHeight w:val="214"/>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2007</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433.700,00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6,3</w:t>
            </w:r>
          </w:p>
        </w:tc>
      </w:tr>
      <w:tr w:rsidR="00166C7D" w:rsidRPr="00696DE7" w:rsidTr="00575447">
        <w:trPr>
          <w:trHeight w:val="329"/>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2008</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461.500,00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6,4</w:t>
            </w:r>
          </w:p>
        </w:tc>
      </w:tr>
      <w:tr w:rsidR="00166C7D" w:rsidRPr="00696DE7" w:rsidTr="00575447">
        <w:trPr>
          <w:trHeight w:val="222"/>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2009</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496.900,00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7,7</w:t>
            </w:r>
          </w:p>
        </w:tc>
      </w:tr>
      <w:tr w:rsidR="00166C7D" w:rsidRPr="00696DE7" w:rsidTr="00575447">
        <w:trPr>
          <w:trHeight w:val="360"/>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2010</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515.000,00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3,6</w:t>
            </w:r>
          </w:p>
        </w:tc>
      </w:tr>
      <w:tr w:rsidR="00166C7D" w:rsidRPr="00696DE7" w:rsidTr="00575447">
        <w:trPr>
          <w:trHeight w:val="211"/>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2011</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535.600,00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4,0</w:t>
            </w:r>
          </w:p>
        </w:tc>
      </w:tr>
      <w:tr w:rsidR="00166C7D" w:rsidRPr="00696DE7" w:rsidTr="00575447">
        <w:trPr>
          <w:trHeight w:val="348"/>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2012</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566.700,00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5,8</w:t>
            </w:r>
          </w:p>
        </w:tc>
      </w:tr>
      <w:tr w:rsidR="00166C7D" w:rsidRPr="00696DE7" w:rsidTr="00575447">
        <w:trPr>
          <w:trHeight w:val="197"/>
        </w:trPr>
        <w:tc>
          <w:tcPr>
            <w:tcW w:w="1174"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2013</w:t>
            </w:r>
          </w:p>
        </w:tc>
        <w:tc>
          <w:tcPr>
            <w:tcW w:w="1550"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589.500,00</w:t>
            </w:r>
          </w:p>
        </w:tc>
        <w:tc>
          <w:tcPr>
            <w:tcW w:w="2276" w:type="pct"/>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4,02</w:t>
            </w:r>
          </w:p>
        </w:tc>
      </w:tr>
      <w:tr w:rsidR="00166C7D" w:rsidRPr="00696DE7" w:rsidTr="00575447">
        <w:trPr>
          <w:trHeight w:val="302"/>
        </w:trPr>
        <w:tc>
          <w:tcPr>
            <w:tcW w:w="1174" w:type="pct"/>
            <w:tcBorders>
              <w:bottom w:val="single" w:sz="4" w:space="0" w:color="auto"/>
            </w:tcBorders>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2014</w:t>
            </w:r>
          </w:p>
        </w:tc>
        <w:tc>
          <w:tcPr>
            <w:tcW w:w="1550" w:type="pct"/>
            <w:tcBorders>
              <w:bottom w:val="single" w:sz="4" w:space="0" w:color="auto"/>
            </w:tcBorders>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616.000,00</w:t>
            </w:r>
          </w:p>
        </w:tc>
        <w:tc>
          <w:tcPr>
            <w:tcW w:w="2276" w:type="pct"/>
            <w:tcBorders>
              <w:bottom w:val="single" w:sz="4" w:space="0" w:color="auto"/>
            </w:tcBorders>
            <w:shd w:val="clear" w:color="auto" w:fill="auto"/>
            <w:vAlign w:val="center"/>
            <w:hideMark/>
          </w:tcPr>
          <w:p w:rsidR="00166C7D" w:rsidRPr="00696DE7" w:rsidRDefault="00166C7D" w:rsidP="00166C7D">
            <w:pPr>
              <w:jc w:val="center"/>
              <w:rPr>
                <w:lang w:val="es-MX" w:eastAsia="es-MX"/>
              </w:rPr>
            </w:pPr>
            <w:r w:rsidRPr="00696DE7">
              <w:rPr>
                <w:sz w:val="22"/>
                <w:szCs w:val="22"/>
                <w:lang w:val="es-MX" w:eastAsia="es-MX"/>
              </w:rPr>
              <w:t>4,5</w:t>
            </w:r>
          </w:p>
        </w:tc>
      </w:tr>
    </w:tbl>
    <w:p w:rsidR="00166C7D" w:rsidRPr="00166C7D" w:rsidRDefault="00166C7D" w:rsidP="00166C7D">
      <w:pPr>
        <w:pStyle w:val="Sinespaciado"/>
        <w:spacing w:line="360" w:lineRule="auto"/>
        <w:jc w:val="left"/>
        <w:rPr>
          <w:rFonts w:ascii="Times New Roman" w:hAnsi="Times New Roman"/>
          <w:sz w:val="16"/>
          <w:szCs w:val="16"/>
        </w:rPr>
      </w:pPr>
      <w:r w:rsidRPr="00166C7D">
        <w:rPr>
          <w:rFonts w:ascii="Times New Roman" w:hAnsi="Times New Roman"/>
          <w:sz w:val="16"/>
          <w:szCs w:val="16"/>
        </w:rPr>
        <w:t>Fuente: Ministerio del Trabajo y decretos del Gobierno nacional.</w:t>
      </w:r>
    </w:p>
    <w:p w:rsidR="00166C7D" w:rsidRPr="00696DE7" w:rsidRDefault="00166C7D" w:rsidP="00166C7D">
      <w:pPr>
        <w:pStyle w:val="Sinespaciado"/>
        <w:spacing w:line="360" w:lineRule="auto"/>
        <w:jc w:val="left"/>
        <w:rPr>
          <w:rFonts w:ascii="Times New Roman" w:hAnsi="Times New Roman"/>
          <w:sz w:val="16"/>
          <w:szCs w:val="16"/>
        </w:rPr>
      </w:pPr>
      <w:r w:rsidRPr="00166C7D">
        <w:rPr>
          <w:rFonts w:ascii="Times New Roman" w:hAnsi="Times New Roman"/>
          <w:sz w:val="16"/>
          <w:szCs w:val="16"/>
        </w:rPr>
        <w:t xml:space="preserve">Nota: </w:t>
      </w:r>
      <w:r w:rsidRPr="00696DE7">
        <w:rPr>
          <w:rFonts w:ascii="Times New Roman" w:hAnsi="Times New Roman"/>
          <w:sz w:val="16"/>
          <w:szCs w:val="16"/>
        </w:rPr>
        <w:t>desde el 1 de julio de 1984 se unificó el salario mínimo para todos los sectores de la economía.</w:t>
      </w:r>
    </w:p>
    <w:p w:rsidR="00166C7D" w:rsidRPr="00696DE7" w:rsidRDefault="00166C7D" w:rsidP="00166C7D">
      <w:pPr>
        <w:pStyle w:val="Sinespaciado"/>
        <w:spacing w:line="360" w:lineRule="auto"/>
        <w:jc w:val="left"/>
        <w:rPr>
          <w:rFonts w:ascii="Times New Roman" w:hAnsi="Times New Roman"/>
          <w:sz w:val="16"/>
          <w:szCs w:val="16"/>
        </w:rPr>
      </w:pPr>
      <w:r w:rsidRPr="00696DE7">
        <w:rPr>
          <w:rFonts w:ascii="Times New Roman" w:hAnsi="Times New Roman"/>
          <w:sz w:val="16"/>
          <w:szCs w:val="16"/>
        </w:rPr>
        <w:t>* Variación porcentual con respecto al dato del año inmediatamente anterior.</w:t>
      </w:r>
    </w:p>
    <w:p w:rsidR="00414DCB" w:rsidRDefault="00414DCB" w:rsidP="00166C7D">
      <w:pPr>
        <w:widowControl w:val="0"/>
        <w:autoSpaceDE w:val="0"/>
        <w:autoSpaceDN w:val="0"/>
        <w:adjustRightInd w:val="0"/>
        <w:spacing w:line="360" w:lineRule="auto"/>
        <w:ind w:firstLine="284"/>
        <w:jc w:val="both"/>
      </w:pPr>
    </w:p>
    <w:p w:rsidR="00166C7D" w:rsidRPr="00696DE7" w:rsidRDefault="00166C7D" w:rsidP="00166C7D">
      <w:pPr>
        <w:widowControl w:val="0"/>
        <w:autoSpaceDE w:val="0"/>
        <w:autoSpaceDN w:val="0"/>
        <w:adjustRightInd w:val="0"/>
        <w:spacing w:line="360" w:lineRule="auto"/>
        <w:ind w:firstLine="284"/>
        <w:jc w:val="both"/>
      </w:pPr>
      <w:r>
        <w:t>E</w:t>
      </w:r>
      <w:r w:rsidRPr="00696DE7">
        <w:t xml:space="preserve">ntre los años 2002 y 2014, los mayores incrementos salariales se otorgaron en las vigencias 2002, 2004 y 2009, lo cuales se ubicaron por encima del 7 %; por tanto, en el año 2002 se registró un incremento del 8 %, reflejado en un salario mínimo legal vigente –SMLV- de $309.000,  para el 2004 se determinó un SMLV de  $ 358.000, lo cual representó un incremento del 7,8 % del nivel salarial de los empleados en el país y en 2009 el incremento del 7,7 % se vio reflejado en un salario mínimo de $ 496.900. Por su parte, las tasas más bajas de crecimiento en el salario mínimo se registraron en 2010, 2011 y 2013 al presentarse porcentajes del 3,6 %, 4,0 % y 4,02 %, respectivamente.  </w:t>
      </w:r>
    </w:p>
    <w:p w:rsidR="00166C7D" w:rsidRPr="00696DE7" w:rsidRDefault="00166C7D" w:rsidP="00166C7D">
      <w:pPr>
        <w:widowControl w:val="0"/>
        <w:autoSpaceDE w:val="0"/>
        <w:autoSpaceDN w:val="0"/>
        <w:adjustRightInd w:val="0"/>
        <w:spacing w:line="360" w:lineRule="auto"/>
        <w:ind w:firstLine="284"/>
        <w:jc w:val="both"/>
      </w:pPr>
    </w:p>
    <w:p w:rsidR="00166C7D" w:rsidRPr="00696DE7" w:rsidRDefault="00166C7D" w:rsidP="00166C7D">
      <w:pPr>
        <w:widowControl w:val="0"/>
        <w:autoSpaceDE w:val="0"/>
        <w:autoSpaceDN w:val="0"/>
        <w:adjustRightInd w:val="0"/>
        <w:spacing w:line="360" w:lineRule="auto"/>
        <w:ind w:firstLine="284"/>
        <w:jc w:val="both"/>
      </w:pPr>
      <w:r w:rsidRPr="00696DE7">
        <w:t>El Salario Mínimo en lo que respecta a 2013, fue de $589.500 pesos colombianos, lo cual implicó un aumento del 4,02% frente al año inmediatamente anterior. Para el 2014, el salario mínimo que anunció la Presidencia de la República denotó un 4,5% de incremento, lo que significa $616.027 pesos Colombianos; a esta suma se añade el incremento p</w:t>
      </w:r>
      <w:r>
        <w:t xml:space="preserve">ara el subsidio de transporte </w:t>
      </w:r>
      <w:r w:rsidRPr="00696DE7">
        <w:t xml:space="preserve"> de 72.000 pesos.</w:t>
      </w:r>
    </w:p>
    <w:p w:rsidR="00166C7D" w:rsidRPr="00696DE7" w:rsidRDefault="00166C7D" w:rsidP="00166C7D">
      <w:pPr>
        <w:widowControl w:val="0"/>
        <w:autoSpaceDE w:val="0"/>
        <w:autoSpaceDN w:val="0"/>
        <w:adjustRightInd w:val="0"/>
        <w:spacing w:line="360" w:lineRule="auto"/>
        <w:ind w:firstLine="284"/>
        <w:jc w:val="both"/>
      </w:pPr>
    </w:p>
    <w:p w:rsidR="00166C7D" w:rsidRPr="00696DE7" w:rsidRDefault="00166C7D" w:rsidP="00166C7D">
      <w:pPr>
        <w:widowControl w:val="0"/>
        <w:autoSpaceDE w:val="0"/>
        <w:autoSpaceDN w:val="0"/>
        <w:adjustRightInd w:val="0"/>
        <w:spacing w:line="360" w:lineRule="auto"/>
        <w:ind w:firstLine="284"/>
        <w:jc w:val="both"/>
        <w:rPr>
          <w:b/>
        </w:rPr>
      </w:pPr>
      <w:r w:rsidRPr="00696DE7">
        <w:t xml:space="preserve">La ley colombiana </w:t>
      </w:r>
      <w:r w:rsidR="00A545B5">
        <w:t>establece</w:t>
      </w:r>
      <w:r w:rsidRPr="00696DE7">
        <w:t xml:space="preserve"> que el salario mínimo debe ser apto para satisfacer las necesidades básicas  de una familia; por lo tanto, es imprescindible su relación con la</w:t>
      </w:r>
      <w:r w:rsidRPr="00696DE7">
        <w:rPr>
          <w:bCs/>
        </w:rPr>
        <w:t xml:space="preserve"> inflación y la canasta familiar; puesto que el  </w:t>
      </w:r>
      <w:r w:rsidRPr="00696DE7">
        <w:t>salario mínimo en Colombia</w:t>
      </w:r>
      <w:r w:rsidR="00A545B5">
        <w:rPr>
          <w:bCs/>
        </w:rPr>
        <w:t xml:space="preserve"> se fija </w:t>
      </w:r>
      <w:r w:rsidRPr="00696DE7">
        <w:rPr>
          <w:bCs/>
        </w:rPr>
        <w:t>en función de la variación del Índice de Precios al Consumidor (IPC),</w:t>
      </w:r>
      <w:r w:rsidR="00A545B5">
        <w:rPr>
          <w:bCs/>
        </w:rPr>
        <w:t xml:space="preserve"> la meta de inflación, el alza </w:t>
      </w:r>
      <w:r w:rsidRPr="00696DE7">
        <w:rPr>
          <w:bCs/>
        </w:rPr>
        <w:t>del Producto Interno Bruto (PIB), entre otras variables.</w:t>
      </w:r>
    </w:p>
    <w:p w:rsidR="00166C7D" w:rsidRPr="00696DE7" w:rsidRDefault="00166C7D" w:rsidP="00166C7D">
      <w:pPr>
        <w:widowControl w:val="0"/>
        <w:autoSpaceDE w:val="0"/>
        <w:autoSpaceDN w:val="0"/>
        <w:adjustRightInd w:val="0"/>
        <w:spacing w:line="360" w:lineRule="auto"/>
        <w:ind w:left="20" w:right="-35"/>
        <w:jc w:val="both"/>
      </w:pPr>
      <w:r w:rsidRPr="00696DE7">
        <w:t xml:space="preserve">     </w:t>
      </w:r>
    </w:p>
    <w:p w:rsidR="00166C7D" w:rsidRPr="00696DE7" w:rsidRDefault="00166C7D" w:rsidP="00166C7D">
      <w:pPr>
        <w:widowControl w:val="0"/>
        <w:autoSpaceDE w:val="0"/>
        <w:autoSpaceDN w:val="0"/>
        <w:adjustRightInd w:val="0"/>
        <w:spacing w:line="360" w:lineRule="auto"/>
        <w:ind w:firstLine="284"/>
        <w:jc w:val="both"/>
      </w:pPr>
      <w:r w:rsidRPr="00696DE7">
        <w:t>El incremento del salario mínimo legal en Colombia no s</w:t>
      </w:r>
      <w:r w:rsidR="00B64AE0">
        <w:t xml:space="preserve">olo presenta un impacto a nivel </w:t>
      </w:r>
      <w:r w:rsidRPr="00696DE7">
        <w:t>de los trabajadores dependientes, sino también a nivel de trabajadores independientes, los</w:t>
      </w:r>
      <w:r>
        <w:t xml:space="preserve"> </w:t>
      </w:r>
      <w:r w:rsidRPr="00696DE7">
        <w:t>gastos diarios de cada familia, sean semanales, mensuales o anuales se ven afectados cuando sus niveles de  ingresos están por debajo del mínimo requerido para cubrir sus necesidades básicas inmediatas. Por otro lado, cuando los incrementos del salario mínimo (SMLV) se realizan por encima de la inflación causada, entre otros; estos encarecen la remuneración de la mano de obra, dificultando  a las Micro y Pequeñas empresas a cubrir los costos del factor productivo;  uno de los aspectos  que influyen en la precarización del empleo; situación que no permite a las micro y pequeñas empresas, el suficiente margen para que sean competitivas y sostenibles, dado que restringe la capacidad de las empresas de ofrecer condiciones salariales competitivas</w:t>
      </w:r>
      <w:r w:rsidR="00BC1A7F">
        <w:t xml:space="preserve"> que beneficien a los empleados;</w:t>
      </w:r>
      <w:r w:rsidRPr="00696DE7">
        <w:t xml:space="preserve"> y a su</w:t>
      </w:r>
      <w:r w:rsidR="00BC1A7F">
        <w:t xml:space="preserve"> </w:t>
      </w:r>
      <w:r w:rsidRPr="00696DE7">
        <w:t>vez</w:t>
      </w:r>
      <w:r w:rsidR="00BC1A7F">
        <w:t>,</w:t>
      </w:r>
      <w:r w:rsidRPr="00696DE7">
        <w:t xml:space="preserve"> se convierte en un inc</w:t>
      </w:r>
      <w:r w:rsidR="00BC1A7F">
        <w:t>entivo de tercerización laboral; n</w:t>
      </w:r>
      <w:r w:rsidRPr="00696DE7">
        <w:t xml:space="preserve">o obstante, es importante tener en cuenta que las políticas y medidas estructurales condicionan el desempeño del mercado laboral a nivel Local, Regional y Nacional. </w:t>
      </w:r>
    </w:p>
    <w:p w:rsidR="00166C7D" w:rsidRDefault="00166C7D" w:rsidP="00166C7D">
      <w:pPr>
        <w:widowControl w:val="0"/>
        <w:autoSpaceDE w:val="0"/>
        <w:autoSpaceDN w:val="0"/>
        <w:adjustRightInd w:val="0"/>
        <w:spacing w:line="360" w:lineRule="auto"/>
        <w:ind w:left="20" w:right="-35"/>
        <w:jc w:val="both"/>
      </w:pPr>
    </w:p>
    <w:p w:rsidR="00181506" w:rsidRDefault="00181506" w:rsidP="00166C7D">
      <w:pPr>
        <w:widowControl w:val="0"/>
        <w:autoSpaceDE w:val="0"/>
        <w:autoSpaceDN w:val="0"/>
        <w:adjustRightInd w:val="0"/>
        <w:spacing w:line="360" w:lineRule="auto"/>
        <w:ind w:left="20" w:right="-35"/>
        <w:jc w:val="both"/>
      </w:pPr>
    </w:p>
    <w:p w:rsidR="00181506" w:rsidRDefault="00181506" w:rsidP="00166C7D">
      <w:pPr>
        <w:widowControl w:val="0"/>
        <w:autoSpaceDE w:val="0"/>
        <w:autoSpaceDN w:val="0"/>
        <w:adjustRightInd w:val="0"/>
        <w:spacing w:line="360" w:lineRule="auto"/>
        <w:ind w:left="20" w:right="-35"/>
        <w:jc w:val="both"/>
      </w:pPr>
    </w:p>
    <w:p w:rsidR="00181506" w:rsidRDefault="00181506" w:rsidP="00166C7D">
      <w:pPr>
        <w:widowControl w:val="0"/>
        <w:autoSpaceDE w:val="0"/>
        <w:autoSpaceDN w:val="0"/>
        <w:adjustRightInd w:val="0"/>
        <w:spacing w:line="360" w:lineRule="auto"/>
        <w:ind w:left="20" w:right="-35"/>
        <w:jc w:val="both"/>
      </w:pPr>
    </w:p>
    <w:p w:rsidR="00181506" w:rsidRDefault="00181506" w:rsidP="00166C7D">
      <w:pPr>
        <w:widowControl w:val="0"/>
        <w:autoSpaceDE w:val="0"/>
        <w:autoSpaceDN w:val="0"/>
        <w:adjustRightInd w:val="0"/>
        <w:spacing w:line="360" w:lineRule="auto"/>
        <w:ind w:left="20" w:right="-35"/>
        <w:jc w:val="both"/>
      </w:pPr>
    </w:p>
    <w:p w:rsidR="00181506" w:rsidRDefault="00181506" w:rsidP="00166C7D">
      <w:pPr>
        <w:widowControl w:val="0"/>
        <w:autoSpaceDE w:val="0"/>
        <w:autoSpaceDN w:val="0"/>
        <w:adjustRightInd w:val="0"/>
        <w:spacing w:line="360" w:lineRule="auto"/>
        <w:ind w:left="20" w:right="-35"/>
        <w:jc w:val="both"/>
      </w:pPr>
    </w:p>
    <w:p w:rsidR="00181506" w:rsidRDefault="00181506" w:rsidP="00166C7D">
      <w:pPr>
        <w:widowControl w:val="0"/>
        <w:autoSpaceDE w:val="0"/>
        <w:autoSpaceDN w:val="0"/>
        <w:adjustRightInd w:val="0"/>
        <w:spacing w:line="360" w:lineRule="auto"/>
        <w:ind w:left="20" w:right="-35"/>
        <w:jc w:val="both"/>
      </w:pPr>
    </w:p>
    <w:p w:rsidR="00181506" w:rsidRPr="00696DE7" w:rsidRDefault="00181506" w:rsidP="00166C7D">
      <w:pPr>
        <w:widowControl w:val="0"/>
        <w:autoSpaceDE w:val="0"/>
        <w:autoSpaceDN w:val="0"/>
        <w:adjustRightInd w:val="0"/>
        <w:spacing w:line="360" w:lineRule="auto"/>
        <w:ind w:left="20" w:right="-35"/>
        <w:jc w:val="both"/>
      </w:pPr>
    </w:p>
    <w:p w:rsidR="00166C7D" w:rsidRPr="00166C7D" w:rsidRDefault="00166C7D" w:rsidP="00166C7D">
      <w:pPr>
        <w:pStyle w:val="Ttulo2"/>
        <w:rPr>
          <w:rFonts w:ascii="Times New Roman" w:hAnsi="Times New Roman" w:cs="Times New Roman"/>
          <w:color w:val="auto"/>
          <w:sz w:val="30"/>
          <w:szCs w:val="30"/>
        </w:rPr>
      </w:pPr>
      <w:bookmarkStart w:id="87" w:name="_Toc406754341"/>
      <w:r w:rsidRPr="00166C7D">
        <w:rPr>
          <w:rFonts w:ascii="Times New Roman" w:hAnsi="Times New Roman" w:cs="Times New Roman"/>
          <w:color w:val="auto"/>
          <w:sz w:val="30"/>
          <w:szCs w:val="30"/>
        </w:rPr>
        <w:lastRenderedPageBreak/>
        <w:t>11.3 Indicadores mercado laboral</w:t>
      </w:r>
      <w:bookmarkEnd w:id="87"/>
    </w:p>
    <w:p w:rsidR="00166C7D" w:rsidRPr="00696DE7" w:rsidRDefault="00166C7D" w:rsidP="00166C7D">
      <w:pPr>
        <w:spacing w:line="360" w:lineRule="auto"/>
        <w:ind w:right="301"/>
        <w:jc w:val="center"/>
      </w:pPr>
    </w:p>
    <w:p w:rsidR="00166C7D" w:rsidRPr="004A6DD8" w:rsidRDefault="00166C7D" w:rsidP="00166C7D">
      <w:pPr>
        <w:ind w:right="-93"/>
        <w:jc w:val="both"/>
      </w:pPr>
      <w:r w:rsidRPr="004A6DD8">
        <w:t>Gráfico 11.3</w:t>
      </w:r>
    </w:p>
    <w:p w:rsidR="00166C7D" w:rsidRPr="004A6DD8" w:rsidRDefault="00166C7D" w:rsidP="00166C7D">
      <w:pPr>
        <w:ind w:right="301"/>
        <w:jc w:val="both"/>
      </w:pPr>
      <w:r w:rsidRPr="004A6DD8">
        <w:t xml:space="preserve">Proyecciones de la población del Departamento del Quindío </w:t>
      </w:r>
    </w:p>
    <w:p w:rsidR="00166C7D" w:rsidRPr="004A6DD8" w:rsidRDefault="00166C7D" w:rsidP="00166C7D">
      <w:pPr>
        <w:ind w:right="301"/>
        <w:jc w:val="both"/>
      </w:pPr>
      <w:r w:rsidRPr="004A6DD8">
        <w:t>2005-2014</w:t>
      </w:r>
    </w:p>
    <w:p w:rsidR="00166C7D" w:rsidRPr="00696DE7" w:rsidRDefault="00166C7D" w:rsidP="00166C7D">
      <w:pPr>
        <w:ind w:right="301"/>
        <w:jc w:val="center"/>
      </w:pPr>
    </w:p>
    <w:p w:rsidR="00166C7D" w:rsidRPr="00696DE7" w:rsidRDefault="00166C7D" w:rsidP="00166C7D">
      <w:pPr>
        <w:spacing w:line="360" w:lineRule="auto"/>
        <w:jc w:val="center"/>
        <w:rPr>
          <w:b/>
          <w:noProof/>
          <w:color w:val="B4580C"/>
        </w:rPr>
      </w:pPr>
      <w:r w:rsidRPr="00696DE7">
        <w:rPr>
          <w:b/>
          <w:noProof/>
          <w:color w:val="B4580C"/>
        </w:rPr>
        <w:drawing>
          <wp:inline distT="0" distB="0" distL="0" distR="0" wp14:anchorId="176156E8" wp14:editId="0C4FC739">
            <wp:extent cx="5218193" cy="2756848"/>
            <wp:effectExtent l="19050" t="0" r="20557" b="5402"/>
            <wp:docPr id="8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66C7D" w:rsidRPr="00696DE7" w:rsidRDefault="00166C7D" w:rsidP="00166C7D">
      <w:pPr>
        <w:spacing w:line="360" w:lineRule="auto"/>
        <w:ind w:left="284"/>
        <w:jc w:val="both"/>
        <w:rPr>
          <w:sz w:val="16"/>
          <w:szCs w:val="16"/>
        </w:rPr>
      </w:pPr>
      <w:r w:rsidRPr="00706F01">
        <w:rPr>
          <w:sz w:val="16"/>
          <w:szCs w:val="16"/>
        </w:rPr>
        <w:t>Fuente:</w:t>
      </w:r>
      <w:r w:rsidRPr="00696DE7">
        <w:rPr>
          <w:sz w:val="16"/>
          <w:szCs w:val="16"/>
        </w:rPr>
        <w:t xml:space="preserve"> </w:t>
      </w:r>
      <w:r w:rsidRPr="00696DE7">
        <w:rPr>
          <w:rFonts w:eastAsia="Calibri"/>
          <w:sz w:val="16"/>
          <w:szCs w:val="16"/>
          <w:lang w:val="es-ES" w:eastAsia="en-US"/>
        </w:rPr>
        <w:t>Departamento Administrativo Nacional de Estadísticas</w:t>
      </w:r>
      <w:r w:rsidRPr="00696DE7">
        <w:rPr>
          <w:sz w:val="16"/>
          <w:szCs w:val="16"/>
        </w:rPr>
        <w:t>.</w:t>
      </w:r>
    </w:p>
    <w:p w:rsidR="00166C7D" w:rsidRDefault="00166C7D" w:rsidP="00166C7D">
      <w:pPr>
        <w:autoSpaceDE w:val="0"/>
        <w:autoSpaceDN w:val="0"/>
        <w:adjustRightInd w:val="0"/>
        <w:spacing w:line="360" w:lineRule="auto"/>
        <w:jc w:val="both"/>
        <w:rPr>
          <w:rFonts w:eastAsia="Calibri"/>
          <w:lang w:val="es-ES" w:eastAsia="en-US"/>
        </w:rPr>
      </w:pPr>
      <w:r w:rsidRPr="00696DE7">
        <w:rPr>
          <w:rFonts w:eastAsia="Calibri"/>
          <w:lang w:val="es-ES" w:eastAsia="en-US"/>
        </w:rPr>
        <w:t xml:space="preserve">  </w:t>
      </w:r>
    </w:p>
    <w:p w:rsidR="00166C7D" w:rsidRPr="002320FF" w:rsidRDefault="00166C7D" w:rsidP="00166C7D">
      <w:pPr>
        <w:widowControl w:val="0"/>
        <w:autoSpaceDE w:val="0"/>
        <w:autoSpaceDN w:val="0"/>
        <w:adjustRightInd w:val="0"/>
        <w:spacing w:line="360" w:lineRule="auto"/>
        <w:ind w:firstLine="284"/>
        <w:jc w:val="both"/>
      </w:pPr>
      <w:r w:rsidRPr="002320FF">
        <w:t>Las proyecciones elaboradas por el Departamento Administrativo Nacional de Estadísticas (</w:t>
      </w:r>
      <w:r w:rsidR="008F5FB2">
        <w:t>DANE</w:t>
      </w:r>
      <w:r w:rsidRPr="002320FF">
        <w:t>),</w:t>
      </w:r>
      <w:r w:rsidRPr="002320FF">
        <w:footnoteReference w:id="39"/>
      </w:r>
      <w:r w:rsidRPr="002320FF">
        <w:t xml:space="preserve"> evidenciaron un incremento de la población en el Departamento del Quindío en un 0.56% para 2013 (3.133 habitantes) frente al año anterior respectivamente.</w:t>
      </w:r>
    </w:p>
    <w:p w:rsidR="00166C7D" w:rsidRPr="002320FF" w:rsidRDefault="00166C7D" w:rsidP="00166C7D">
      <w:pPr>
        <w:widowControl w:val="0"/>
        <w:autoSpaceDE w:val="0"/>
        <w:autoSpaceDN w:val="0"/>
        <w:adjustRightInd w:val="0"/>
        <w:spacing w:line="360" w:lineRule="auto"/>
        <w:ind w:firstLine="284"/>
        <w:jc w:val="both"/>
      </w:pPr>
    </w:p>
    <w:p w:rsidR="00706F01" w:rsidRDefault="00166C7D" w:rsidP="00166C7D">
      <w:pPr>
        <w:widowControl w:val="0"/>
        <w:autoSpaceDE w:val="0"/>
        <w:autoSpaceDN w:val="0"/>
        <w:adjustRightInd w:val="0"/>
        <w:spacing w:line="360" w:lineRule="auto"/>
        <w:ind w:firstLine="284"/>
        <w:jc w:val="both"/>
      </w:pPr>
      <w:r w:rsidRPr="00696DE7">
        <w:t>Dado que el mercado laboral presenta un relación directa con la dinámica poblacional, el incremento del número de habitantes en el Departamento implica un crecimiento de la población en edad de trabajar, este aspecto se tuvo en cuenta dentro de la planificación Departamental, al fijar en el Plan de Desarrollo</w:t>
      </w:r>
      <w:r w:rsidRPr="002320FF">
        <w:t xml:space="preserve"> </w:t>
      </w:r>
      <w:r w:rsidRPr="00696DE7">
        <w:t xml:space="preserve">2012-2015 “GOBIERNO FIRME POR UN QUINDÍO MÁS HUMANO”, una Política pública dirigida a la generación de empleo, denominada: </w:t>
      </w:r>
      <w:r w:rsidRPr="002320FF">
        <w:t xml:space="preserve">“UN AS PARA EL TRABAJO” </w:t>
      </w:r>
      <w:r w:rsidRPr="00696DE7">
        <w:t xml:space="preserve">cuyos retos se centran en: reducir la pobreza,  superar el alto nivel de desempleo, articular el sector productivo </w:t>
      </w:r>
      <w:r w:rsidRPr="00696DE7">
        <w:lastRenderedPageBreak/>
        <w:t>departamental y la academia con visión estratégica y,  aumentar calificación de mano de obra</w:t>
      </w:r>
      <w:r w:rsidRPr="002320FF">
        <w:footnoteReference w:id="40"/>
      </w:r>
      <w:r w:rsidRPr="00696DE7">
        <w:t xml:space="preserve">. Para el cumplimiento de estos objetivos, se creó el Programa: </w:t>
      </w:r>
    </w:p>
    <w:p w:rsidR="00706F01" w:rsidRDefault="00706F01" w:rsidP="00166C7D">
      <w:pPr>
        <w:widowControl w:val="0"/>
        <w:autoSpaceDE w:val="0"/>
        <w:autoSpaceDN w:val="0"/>
        <w:adjustRightInd w:val="0"/>
        <w:spacing w:line="360" w:lineRule="auto"/>
        <w:ind w:firstLine="284"/>
        <w:jc w:val="both"/>
      </w:pPr>
    </w:p>
    <w:p w:rsidR="00166C7D" w:rsidRPr="00696DE7" w:rsidRDefault="00166C7D" w:rsidP="00166C7D">
      <w:pPr>
        <w:widowControl w:val="0"/>
        <w:autoSpaceDE w:val="0"/>
        <w:autoSpaceDN w:val="0"/>
        <w:adjustRightInd w:val="0"/>
        <w:spacing w:line="360" w:lineRule="auto"/>
        <w:ind w:firstLine="284"/>
        <w:jc w:val="both"/>
      </w:pPr>
      <w:r w:rsidRPr="00696DE7">
        <w:t>“</w:t>
      </w:r>
      <w:r w:rsidRPr="002320FF">
        <w:t>EMPLEO Y EMPRENDIMIENTO”</w:t>
      </w:r>
      <w:r w:rsidRPr="00696DE7">
        <w:t xml:space="preserve"> liderado a través de la Secretaria de Turismo, Industria y Comercio Departamental; cuyas metas se concentran en reducir la brecha en la tasa de desempleo hombres – mujeres, implementar el plan de acompañamiento para el empleo en el exterior  en escenarios corresponsables de cooperación internacional y codesarrollo, aumentar la generación de empleo formal y estable al interior de la administración departamental, promover proyectos de vinculación laboral, apoyar las consolidación de unidades productivas, entre otras. </w:t>
      </w:r>
    </w:p>
    <w:p w:rsidR="00166C7D" w:rsidRPr="00696DE7" w:rsidRDefault="00166C7D" w:rsidP="00166C7D">
      <w:pPr>
        <w:widowControl w:val="0"/>
        <w:autoSpaceDE w:val="0"/>
        <w:autoSpaceDN w:val="0"/>
        <w:adjustRightInd w:val="0"/>
        <w:spacing w:line="360" w:lineRule="auto"/>
        <w:ind w:firstLine="284"/>
        <w:jc w:val="both"/>
      </w:pPr>
    </w:p>
    <w:p w:rsidR="00166C7D" w:rsidRPr="00696DE7" w:rsidRDefault="00166C7D" w:rsidP="00166C7D">
      <w:pPr>
        <w:widowControl w:val="0"/>
        <w:autoSpaceDE w:val="0"/>
        <w:autoSpaceDN w:val="0"/>
        <w:adjustRightInd w:val="0"/>
        <w:spacing w:line="360" w:lineRule="auto"/>
        <w:ind w:firstLine="284"/>
        <w:jc w:val="both"/>
      </w:pPr>
      <w:r w:rsidRPr="00696DE7">
        <w:t>Como se indicó anteriormente y entendiendo que el cuatrienio finaliza en el año 2015; se espera un avance positivo del 100% de cumplimiento de las metas planteadas por el Gobierno Departamental.</w:t>
      </w:r>
    </w:p>
    <w:p w:rsidR="00706F01" w:rsidRPr="00696DE7" w:rsidRDefault="00706F01" w:rsidP="00166C7D">
      <w:pPr>
        <w:spacing w:line="360" w:lineRule="auto"/>
        <w:jc w:val="both"/>
        <w:rPr>
          <w:b/>
          <w:lang w:val="es-ES"/>
        </w:rPr>
      </w:pPr>
    </w:p>
    <w:p w:rsidR="00166C7D" w:rsidRPr="009A289A" w:rsidRDefault="00166C7D" w:rsidP="00166C7D">
      <w:pPr>
        <w:ind w:right="301"/>
      </w:pPr>
      <w:r w:rsidRPr="009A289A">
        <w:t>Gráfico 11.4</w:t>
      </w:r>
    </w:p>
    <w:p w:rsidR="00166C7D" w:rsidRPr="009A289A" w:rsidRDefault="00166C7D" w:rsidP="00166C7D">
      <w:pPr>
        <w:ind w:right="301"/>
      </w:pPr>
      <w:r w:rsidRPr="009A289A">
        <w:t xml:space="preserve">Proyecciones de la población por Sexo del Departamento del Quindío </w:t>
      </w:r>
    </w:p>
    <w:p w:rsidR="00166C7D" w:rsidRPr="009A289A" w:rsidRDefault="00166C7D" w:rsidP="00166C7D">
      <w:r w:rsidRPr="009A289A">
        <w:t>2005-2014</w:t>
      </w:r>
    </w:p>
    <w:p w:rsidR="00166C7D" w:rsidRPr="00696DE7" w:rsidRDefault="00166C7D" w:rsidP="00166C7D">
      <w:pPr>
        <w:jc w:val="center"/>
      </w:pPr>
    </w:p>
    <w:p w:rsidR="00166C7D" w:rsidRPr="00696DE7" w:rsidRDefault="00166C7D" w:rsidP="00166C7D">
      <w:pPr>
        <w:spacing w:line="360" w:lineRule="auto"/>
        <w:jc w:val="center"/>
        <w:rPr>
          <w:b/>
        </w:rPr>
      </w:pPr>
      <w:r w:rsidRPr="00696DE7">
        <w:rPr>
          <w:b/>
          <w:noProof/>
        </w:rPr>
        <w:drawing>
          <wp:inline distT="0" distB="0" distL="0" distR="0" wp14:anchorId="6B9A7E04" wp14:editId="20E15505">
            <wp:extent cx="5295900" cy="2514600"/>
            <wp:effectExtent l="0" t="0" r="19050" b="19050"/>
            <wp:docPr id="8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66C7D" w:rsidRPr="00696DE7" w:rsidRDefault="00166C7D" w:rsidP="00166C7D">
      <w:pPr>
        <w:spacing w:line="360" w:lineRule="auto"/>
        <w:ind w:firstLine="708"/>
        <w:jc w:val="both"/>
        <w:rPr>
          <w:sz w:val="16"/>
          <w:szCs w:val="16"/>
        </w:rPr>
      </w:pPr>
      <w:r w:rsidRPr="009B1CA3">
        <w:rPr>
          <w:sz w:val="16"/>
          <w:szCs w:val="16"/>
        </w:rPr>
        <w:t>Fuente:</w:t>
      </w:r>
      <w:r w:rsidRPr="00696DE7">
        <w:rPr>
          <w:sz w:val="16"/>
          <w:szCs w:val="16"/>
        </w:rPr>
        <w:t xml:space="preserve"> </w:t>
      </w:r>
      <w:r w:rsidRPr="00696DE7">
        <w:rPr>
          <w:rFonts w:eastAsia="Calibri"/>
          <w:sz w:val="16"/>
          <w:szCs w:val="16"/>
          <w:lang w:val="es-ES" w:eastAsia="en-US"/>
        </w:rPr>
        <w:t>Departamento Administrativo Nacional de Estadísticas</w:t>
      </w:r>
      <w:r w:rsidRPr="00696DE7">
        <w:rPr>
          <w:sz w:val="16"/>
          <w:szCs w:val="16"/>
        </w:rPr>
        <w:t>.</w:t>
      </w:r>
    </w:p>
    <w:p w:rsidR="00166C7D" w:rsidRPr="00696DE7" w:rsidRDefault="00166C7D" w:rsidP="00166C7D">
      <w:pPr>
        <w:autoSpaceDE w:val="0"/>
        <w:autoSpaceDN w:val="0"/>
        <w:adjustRightInd w:val="0"/>
        <w:spacing w:line="360" w:lineRule="auto"/>
        <w:ind w:firstLine="284"/>
        <w:jc w:val="both"/>
        <w:rPr>
          <w:rFonts w:eastAsia="Calibri"/>
          <w:color w:val="000000"/>
          <w:lang w:val="es-ES" w:eastAsia="en-US"/>
        </w:rPr>
      </w:pPr>
      <w:r>
        <w:rPr>
          <w:rFonts w:eastAsia="Calibri"/>
          <w:color w:val="000000"/>
          <w:lang w:val="es-ES" w:eastAsia="en-US"/>
        </w:rPr>
        <w:lastRenderedPageBreak/>
        <w:t>Teniendo en cuenta la población  total del Departamento del Quindío (558.969) del 2013, la gráfica representa la distribución proyectada hasta el 2014. Cabe mencionar, que al estudiar l</w:t>
      </w:r>
      <w:r w:rsidRPr="00696DE7">
        <w:rPr>
          <w:rFonts w:eastAsia="Calibri"/>
          <w:color w:val="000000"/>
          <w:lang w:val="es-ES" w:eastAsia="en-US"/>
        </w:rPr>
        <w:t xml:space="preserve">a información recopilada durante el periodo comprendido entre los años 2005  al  2014, </w:t>
      </w:r>
      <w:r>
        <w:rPr>
          <w:rFonts w:eastAsia="Calibri"/>
          <w:color w:val="000000"/>
          <w:lang w:val="es-ES" w:eastAsia="en-US"/>
        </w:rPr>
        <w:t>se encuentra</w:t>
      </w:r>
      <w:r w:rsidRPr="00696DE7">
        <w:rPr>
          <w:rFonts w:eastAsia="Calibri"/>
          <w:color w:val="000000"/>
          <w:lang w:val="es-ES" w:eastAsia="en-US"/>
        </w:rPr>
        <w:t xml:space="preserve"> un comportamiento casi homogéneo en la distribución por género para el 2013, en la cual cerca del 51% de la población corresponde al sexo femenino y el 49%  restante al sexo masculino.</w:t>
      </w:r>
    </w:p>
    <w:p w:rsidR="00166C7D" w:rsidRPr="00696DE7" w:rsidRDefault="00166C7D" w:rsidP="00166C7D">
      <w:pPr>
        <w:autoSpaceDE w:val="0"/>
        <w:autoSpaceDN w:val="0"/>
        <w:adjustRightInd w:val="0"/>
        <w:spacing w:line="360" w:lineRule="auto"/>
        <w:jc w:val="both"/>
        <w:rPr>
          <w:b/>
        </w:rPr>
      </w:pPr>
    </w:p>
    <w:p w:rsidR="00166C7D" w:rsidRPr="009A289A" w:rsidRDefault="00166C7D" w:rsidP="00166C7D">
      <w:pPr>
        <w:ind w:right="79"/>
        <w:jc w:val="both"/>
        <w:rPr>
          <w:rFonts w:eastAsia="Arial"/>
        </w:rPr>
      </w:pPr>
      <w:r w:rsidRPr="009A289A">
        <w:rPr>
          <w:rFonts w:eastAsia="Arial"/>
        </w:rPr>
        <w:t>Tabla 11.2</w:t>
      </w:r>
    </w:p>
    <w:p w:rsidR="00166C7D" w:rsidRPr="009A289A" w:rsidRDefault="00166C7D" w:rsidP="00166C7D">
      <w:pPr>
        <w:jc w:val="both"/>
        <w:rPr>
          <w:color w:val="212121"/>
        </w:rPr>
      </w:pPr>
      <w:r w:rsidRPr="009A289A">
        <w:rPr>
          <w:color w:val="212121"/>
        </w:rPr>
        <w:t>Población ocupada según sexo</w:t>
      </w:r>
    </w:p>
    <w:p w:rsidR="00166C7D" w:rsidRPr="009A289A" w:rsidRDefault="00166C7D" w:rsidP="00166C7D">
      <w:pPr>
        <w:jc w:val="both"/>
        <w:rPr>
          <w:sz w:val="18"/>
          <w:szCs w:val="18"/>
        </w:rPr>
      </w:pPr>
      <w:r w:rsidRPr="009A289A">
        <w:rPr>
          <w:rFonts w:eastAsia="Arial"/>
        </w:rPr>
        <w:t>2013</w:t>
      </w:r>
    </w:p>
    <w:p w:rsidR="00166C7D" w:rsidRPr="00696DE7" w:rsidRDefault="00166C7D" w:rsidP="00166C7D">
      <w:pPr>
        <w:autoSpaceDE w:val="0"/>
        <w:autoSpaceDN w:val="0"/>
        <w:adjustRightInd w:val="0"/>
        <w:spacing w:line="360" w:lineRule="auto"/>
        <w:jc w:val="center"/>
        <w:rPr>
          <w:b/>
          <w:sz w:val="18"/>
          <w:szCs w:val="18"/>
        </w:rPr>
      </w:pPr>
    </w:p>
    <w:tbl>
      <w:tblPr>
        <w:tblW w:w="4983" w:type="pct"/>
        <w:tblBorders>
          <w:top w:val="single" w:sz="4" w:space="0" w:color="000000"/>
          <w:bottom w:val="single" w:sz="4" w:space="0" w:color="000000"/>
        </w:tblBorders>
        <w:tblCellMar>
          <w:left w:w="70" w:type="dxa"/>
          <w:right w:w="70" w:type="dxa"/>
        </w:tblCellMar>
        <w:tblLook w:val="04A0" w:firstRow="1" w:lastRow="0" w:firstColumn="1" w:lastColumn="0" w:noHBand="0" w:noVBand="1"/>
      </w:tblPr>
      <w:tblGrid>
        <w:gridCol w:w="3537"/>
        <w:gridCol w:w="1693"/>
        <w:gridCol w:w="1899"/>
        <w:gridCol w:w="1677"/>
      </w:tblGrid>
      <w:tr w:rsidR="00166C7D" w:rsidRPr="00E31D10" w:rsidTr="00575447">
        <w:trPr>
          <w:trHeight w:val="457"/>
        </w:trPr>
        <w:tc>
          <w:tcPr>
            <w:tcW w:w="2009" w:type="pct"/>
            <w:tcBorders>
              <w:top w:val="single" w:sz="4" w:space="0" w:color="000000"/>
              <w:bottom w:val="double" w:sz="4" w:space="0" w:color="auto"/>
            </w:tcBorders>
            <w:shd w:val="clear" w:color="auto" w:fill="auto"/>
            <w:hideMark/>
          </w:tcPr>
          <w:p w:rsidR="00166C7D" w:rsidRPr="00E31D10" w:rsidRDefault="00166C7D" w:rsidP="00575447">
            <w:pPr>
              <w:spacing w:line="360" w:lineRule="auto"/>
              <w:jc w:val="center"/>
              <w:rPr>
                <w:b/>
                <w:bCs/>
                <w:color w:val="000000"/>
                <w:lang w:val="es-ES"/>
              </w:rPr>
            </w:pPr>
            <w:r w:rsidRPr="00E31D10">
              <w:rPr>
                <w:b/>
                <w:bCs/>
                <w:color w:val="000000"/>
                <w:lang w:val="es-ES"/>
              </w:rPr>
              <w:t>Departamento</w:t>
            </w:r>
          </w:p>
        </w:tc>
        <w:tc>
          <w:tcPr>
            <w:tcW w:w="961" w:type="pct"/>
            <w:tcBorders>
              <w:top w:val="single" w:sz="4" w:space="0" w:color="000000"/>
              <w:bottom w:val="double" w:sz="4" w:space="0" w:color="auto"/>
            </w:tcBorders>
            <w:shd w:val="clear" w:color="auto" w:fill="auto"/>
            <w:hideMark/>
          </w:tcPr>
          <w:p w:rsidR="00166C7D" w:rsidRPr="00E31D10" w:rsidRDefault="00166C7D" w:rsidP="00575447">
            <w:pPr>
              <w:spacing w:line="360" w:lineRule="auto"/>
              <w:jc w:val="center"/>
              <w:rPr>
                <w:b/>
                <w:bCs/>
                <w:color w:val="000000"/>
                <w:lang w:val="es-ES"/>
              </w:rPr>
            </w:pPr>
            <w:r w:rsidRPr="00E31D10">
              <w:rPr>
                <w:b/>
                <w:bCs/>
                <w:color w:val="000000"/>
                <w:lang w:val="es-ES"/>
              </w:rPr>
              <w:t>Total</w:t>
            </w:r>
          </w:p>
        </w:tc>
        <w:tc>
          <w:tcPr>
            <w:tcW w:w="1078" w:type="pct"/>
            <w:tcBorders>
              <w:top w:val="single" w:sz="4" w:space="0" w:color="000000"/>
              <w:bottom w:val="double" w:sz="4" w:space="0" w:color="auto"/>
            </w:tcBorders>
            <w:shd w:val="clear" w:color="auto" w:fill="auto"/>
            <w:hideMark/>
          </w:tcPr>
          <w:p w:rsidR="00166C7D" w:rsidRPr="00E31D10" w:rsidRDefault="00166C7D" w:rsidP="00575447">
            <w:pPr>
              <w:spacing w:line="360" w:lineRule="auto"/>
              <w:jc w:val="center"/>
              <w:rPr>
                <w:b/>
                <w:bCs/>
                <w:color w:val="000000"/>
                <w:lang w:val="es-ES"/>
              </w:rPr>
            </w:pPr>
            <w:r w:rsidRPr="00E31D10">
              <w:rPr>
                <w:b/>
                <w:bCs/>
                <w:color w:val="000000"/>
                <w:lang w:val="es-ES"/>
              </w:rPr>
              <w:t>Hombres</w:t>
            </w:r>
          </w:p>
        </w:tc>
        <w:tc>
          <w:tcPr>
            <w:tcW w:w="952" w:type="pct"/>
            <w:tcBorders>
              <w:top w:val="single" w:sz="4" w:space="0" w:color="000000"/>
              <w:bottom w:val="double" w:sz="4" w:space="0" w:color="auto"/>
            </w:tcBorders>
            <w:shd w:val="clear" w:color="auto" w:fill="auto"/>
            <w:hideMark/>
          </w:tcPr>
          <w:p w:rsidR="00166C7D" w:rsidRPr="00E31D10" w:rsidRDefault="00166C7D" w:rsidP="00575447">
            <w:pPr>
              <w:spacing w:line="360" w:lineRule="auto"/>
              <w:jc w:val="center"/>
              <w:rPr>
                <w:b/>
                <w:bCs/>
                <w:color w:val="000000"/>
                <w:lang w:val="es-ES"/>
              </w:rPr>
            </w:pPr>
            <w:r w:rsidRPr="00E31D10">
              <w:rPr>
                <w:b/>
                <w:bCs/>
                <w:color w:val="000000"/>
                <w:lang w:val="es-ES"/>
              </w:rPr>
              <w:t>Mujeres</w:t>
            </w:r>
          </w:p>
        </w:tc>
      </w:tr>
      <w:tr w:rsidR="00166C7D" w:rsidRPr="00E31D10" w:rsidTr="00575447">
        <w:trPr>
          <w:trHeight w:val="622"/>
        </w:trPr>
        <w:tc>
          <w:tcPr>
            <w:tcW w:w="2009" w:type="pct"/>
            <w:tcBorders>
              <w:top w:val="double" w:sz="4" w:space="0" w:color="auto"/>
            </w:tcBorders>
            <w:shd w:val="clear" w:color="auto" w:fill="auto"/>
            <w:vAlign w:val="center"/>
            <w:hideMark/>
          </w:tcPr>
          <w:p w:rsidR="00166C7D" w:rsidRPr="00E31D10" w:rsidRDefault="00166C7D" w:rsidP="00575447">
            <w:pPr>
              <w:spacing w:line="360" w:lineRule="auto"/>
              <w:jc w:val="center"/>
              <w:rPr>
                <w:bCs/>
                <w:color w:val="000000"/>
                <w:lang w:val="es-ES"/>
              </w:rPr>
            </w:pPr>
            <w:r w:rsidRPr="00E31D10">
              <w:rPr>
                <w:bCs/>
                <w:color w:val="000000"/>
                <w:lang w:val="es-ES"/>
              </w:rPr>
              <w:t>Quindío</w:t>
            </w:r>
          </w:p>
        </w:tc>
        <w:tc>
          <w:tcPr>
            <w:tcW w:w="961" w:type="pct"/>
            <w:tcBorders>
              <w:top w:val="double" w:sz="4" w:space="0" w:color="auto"/>
            </w:tcBorders>
            <w:shd w:val="clear" w:color="auto" w:fill="auto"/>
            <w:vAlign w:val="center"/>
            <w:hideMark/>
          </w:tcPr>
          <w:p w:rsidR="00166C7D" w:rsidRPr="00E31D10" w:rsidRDefault="00166C7D" w:rsidP="00575447">
            <w:pPr>
              <w:spacing w:line="360" w:lineRule="auto"/>
              <w:jc w:val="center"/>
              <w:rPr>
                <w:color w:val="000000"/>
                <w:lang w:val="es-ES"/>
              </w:rPr>
            </w:pPr>
            <w:r w:rsidRPr="00E31D10">
              <w:rPr>
                <w:color w:val="000000"/>
                <w:lang w:val="es-ES"/>
              </w:rPr>
              <w:t>238.656</w:t>
            </w:r>
          </w:p>
        </w:tc>
        <w:tc>
          <w:tcPr>
            <w:tcW w:w="1078" w:type="pct"/>
            <w:tcBorders>
              <w:top w:val="double" w:sz="4" w:space="0" w:color="auto"/>
            </w:tcBorders>
            <w:shd w:val="clear" w:color="auto" w:fill="auto"/>
            <w:vAlign w:val="center"/>
            <w:hideMark/>
          </w:tcPr>
          <w:p w:rsidR="00166C7D" w:rsidRPr="00E31D10" w:rsidRDefault="00166C7D" w:rsidP="00575447">
            <w:pPr>
              <w:spacing w:line="360" w:lineRule="auto"/>
              <w:jc w:val="center"/>
              <w:rPr>
                <w:color w:val="000000"/>
                <w:lang w:val="es-ES"/>
              </w:rPr>
            </w:pPr>
            <w:r w:rsidRPr="00E31D10">
              <w:rPr>
                <w:color w:val="000000"/>
                <w:lang w:val="es-ES"/>
              </w:rPr>
              <w:t>142.332</w:t>
            </w:r>
          </w:p>
        </w:tc>
        <w:tc>
          <w:tcPr>
            <w:tcW w:w="952" w:type="pct"/>
            <w:tcBorders>
              <w:top w:val="double" w:sz="4" w:space="0" w:color="auto"/>
            </w:tcBorders>
            <w:shd w:val="clear" w:color="auto" w:fill="auto"/>
            <w:vAlign w:val="center"/>
            <w:hideMark/>
          </w:tcPr>
          <w:p w:rsidR="00166C7D" w:rsidRPr="00E31D10" w:rsidRDefault="00166C7D" w:rsidP="00575447">
            <w:pPr>
              <w:spacing w:line="360" w:lineRule="auto"/>
              <w:jc w:val="center"/>
              <w:rPr>
                <w:color w:val="000000"/>
                <w:lang w:val="es-ES"/>
              </w:rPr>
            </w:pPr>
            <w:r w:rsidRPr="00E31D10">
              <w:rPr>
                <w:color w:val="000000"/>
                <w:lang w:val="es-ES"/>
              </w:rPr>
              <w:t>96.324</w:t>
            </w:r>
          </w:p>
        </w:tc>
      </w:tr>
    </w:tbl>
    <w:p w:rsidR="00166C7D" w:rsidRPr="00696DE7" w:rsidRDefault="00166C7D" w:rsidP="00166C7D">
      <w:pPr>
        <w:pStyle w:val="Sinespaciado"/>
        <w:spacing w:line="360" w:lineRule="auto"/>
        <w:rPr>
          <w:rFonts w:ascii="Times New Roman" w:hAnsi="Times New Roman"/>
          <w:sz w:val="16"/>
          <w:szCs w:val="16"/>
        </w:rPr>
      </w:pPr>
      <w:r w:rsidRPr="00696DE7">
        <w:rPr>
          <w:rFonts w:ascii="Times New Roman" w:hAnsi="Times New Roman"/>
          <w:b/>
          <w:sz w:val="16"/>
          <w:szCs w:val="16"/>
        </w:rPr>
        <w:t>Fuente:</w:t>
      </w:r>
      <w:r w:rsidRPr="00696DE7">
        <w:rPr>
          <w:rFonts w:ascii="Times New Roman" w:hAnsi="Times New Roman"/>
          <w:sz w:val="16"/>
          <w:szCs w:val="16"/>
        </w:rPr>
        <w:t xml:space="preserve"> Departamento Administrativo Nacional de Estadísticas -Datos expandidos con proyecciones demográficas de población por Departamentos Censo 2005</w:t>
      </w:r>
    </w:p>
    <w:p w:rsidR="00166C7D" w:rsidRDefault="00166C7D" w:rsidP="00166C7D">
      <w:pPr>
        <w:spacing w:line="360" w:lineRule="auto"/>
        <w:ind w:right="301"/>
        <w:jc w:val="center"/>
      </w:pPr>
    </w:p>
    <w:p w:rsidR="00446848" w:rsidRDefault="00446848" w:rsidP="00166C7D">
      <w:pPr>
        <w:spacing w:line="360" w:lineRule="auto"/>
        <w:ind w:right="301"/>
        <w:jc w:val="center"/>
      </w:pPr>
    </w:p>
    <w:p w:rsidR="00166C7D" w:rsidRPr="009A289A" w:rsidRDefault="00166C7D" w:rsidP="00166C7D">
      <w:pPr>
        <w:ind w:right="301"/>
      </w:pPr>
      <w:r w:rsidRPr="009A289A">
        <w:t>Gráfico 11.5</w:t>
      </w:r>
    </w:p>
    <w:p w:rsidR="00166C7D" w:rsidRPr="009A289A" w:rsidRDefault="00166C7D" w:rsidP="00166C7D">
      <w:pPr>
        <w:ind w:right="301"/>
      </w:pPr>
      <w:r w:rsidRPr="009A289A">
        <w:t>Población ocupada según sexo</w:t>
      </w:r>
    </w:p>
    <w:p w:rsidR="00166C7D" w:rsidRPr="009A289A" w:rsidRDefault="00166C7D" w:rsidP="00166C7D">
      <w:pPr>
        <w:pStyle w:val="Sinespaciado"/>
        <w:jc w:val="left"/>
        <w:rPr>
          <w:rFonts w:ascii="Times New Roman" w:hAnsi="Times New Roman"/>
        </w:rPr>
      </w:pPr>
      <w:r w:rsidRPr="009A289A">
        <w:rPr>
          <w:rFonts w:ascii="Times New Roman" w:hAnsi="Times New Roman"/>
        </w:rPr>
        <w:t>2013</w:t>
      </w:r>
    </w:p>
    <w:p w:rsidR="00166C7D" w:rsidRPr="00696DE7" w:rsidRDefault="00166C7D" w:rsidP="00166C7D">
      <w:pPr>
        <w:pStyle w:val="Sinespaciado"/>
        <w:jc w:val="center"/>
        <w:rPr>
          <w:rFonts w:ascii="Times New Roman" w:hAnsi="Times New Roman"/>
          <w:b/>
          <w:sz w:val="18"/>
          <w:szCs w:val="18"/>
        </w:rPr>
      </w:pPr>
    </w:p>
    <w:p w:rsidR="00166C7D" w:rsidRPr="00696DE7" w:rsidRDefault="00166C7D" w:rsidP="00166C7D">
      <w:pPr>
        <w:pStyle w:val="Sinespaciado"/>
        <w:spacing w:line="360" w:lineRule="auto"/>
        <w:jc w:val="center"/>
        <w:rPr>
          <w:rFonts w:ascii="Times New Roman" w:hAnsi="Times New Roman"/>
          <w:sz w:val="16"/>
          <w:szCs w:val="16"/>
        </w:rPr>
      </w:pPr>
      <w:r w:rsidRPr="00696DE7">
        <w:rPr>
          <w:rFonts w:ascii="Times New Roman" w:hAnsi="Times New Roman"/>
          <w:noProof/>
          <w:color w:val="000000"/>
          <w:szCs w:val="24"/>
          <w:lang w:val="es-CO" w:eastAsia="es-CO"/>
        </w:rPr>
        <w:drawing>
          <wp:inline distT="0" distB="0" distL="0" distR="0" wp14:anchorId="7F875424" wp14:editId="05B3D32E">
            <wp:extent cx="3989425" cy="1881963"/>
            <wp:effectExtent l="19050" t="0" r="11075" b="3987"/>
            <wp:docPr id="8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66C7D" w:rsidRPr="00696DE7" w:rsidRDefault="00166C7D" w:rsidP="00166C7D">
      <w:pPr>
        <w:autoSpaceDE w:val="0"/>
        <w:autoSpaceDN w:val="0"/>
        <w:adjustRightInd w:val="0"/>
        <w:spacing w:line="360" w:lineRule="auto"/>
        <w:jc w:val="both"/>
        <w:rPr>
          <w:rFonts w:eastAsia="Calibri"/>
          <w:b/>
          <w:color w:val="FF0000"/>
          <w:lang w:val="es-ES" w:eastAsia="en-US"/>
        </w:rPr>
      </w:pPr>
      <w:r w:rsidRPr="00696DE7">
        <w:rPr>
          <w:b/>
          <w:sz w:val="16"/>
          <w:szCs w:val="16"/>
        </w:rPr>
        <w:t xml:space="preserve">             </w:t>
      </w:r>
      <w:r w:rsidRPr="009B1CA3">
        <w:rPr>
          <w:sz w:val="16"/>
          <w:szCs w:val="16"/>
        </w:rPr>
        <w:t>Fuente:</w:t>
      </w:r>
      <w:r w:rsidRPr="00696DE7">
        <w:rPr>
          <w:sz w:val="16"/>
          <w:szCs w:val="16"/>
        </w:rPr>
        <w:t xml:space="preserve"> </w:t>
      </w:r>
      <w:r w:rsidR="008F5FB2">
        <w:rPr>
          <w:rFonts w:eastAsia="Calibri"/>
          <w:sz w:val="16"/>
          <w:szCs w:val="16"/>
          <w:lang w:val="es-ES" w:eastAsia="en-US"/>
        </w:rPr>
        <w:t>DANE</w:t>
      </w:r>
      <w:r w:rsidRPr="00696DE7">
        <w:rPr>
          <w:rFonts w:eastAsia="Calibri"/>
          <w:sz w:val="16"/>
          <w:szCs w:val="16"/>
          <w:lang w:val="es-ES" w:eastAsia="en-US"/>
        </w:rPr>
        <w:t xml:space="preserve"> -Datos expandidos con proyecciones demográficas de población por Departamentos Censo 2005</w:t>
      </w:r>
    </w:p>
    <w:p w:rsidR="00166C7D" w:rsidRPr="00696DE7" w:rsidRDefault="00166C7D" w:rsidP="00166C7D">
      <w:pPr>
        <w:autoSpaceDE w:val="0"/>
        <w:autoSpaceDN w:val="0"/>
        <w:adjustRightInd w:val="0"/>
        <w:spacing w:line="360" w:lineRule="auto"/>
        <w:jc w:val="both"/>
        <w:rPr>
          <w:rFonts w:eastAsia="Calibri"/>
          <w:color w:val="000000"/>
          <w:lang w:val="es-ES" w:eastAsia="en-US"/>
        </w:rPr>
      </w:pPr>
    </w:p>
    <w:p w:rsidR="00446848" w:rsidRDefault="00446848" w:rsidP="00166C7D">
      <w:pPr>
        <w:autoSpaceDE w:val="0"/>
        <w:autoSpaceDN w:val="0"/>
        <w:adjustRightInd w:val="0"/>
        <w:spacing w:line="360" w:lineRule="auto"/>
        <w:ind w:firstLine="284"/>
        <w:jc w:val="both"/>
        <w:rPr>
          <w:rFonts w:eastAsia="Calibri"/>
          <w:color w:val="000000"/>
          <w:lang w:val="es-ES" w:eastAsia="en-US"/>
        </w:rPr>
      </w:pPr>
    </w:p>
    <w:p w:rsidR="00446848" w:rsidRDefault="00446848" w:rsidP="00166C7D">
      <w:pPr>
        <w:autoSpaceDE w:val="0"/>
        <w:autoSpaceDN w:val="0"/>
        <w:adjustRightInd w:val="0"/>
        <w:spacing w:line="360" w:lineRule="auto"/>
        <w:ind w:firstLine="284"/>
        <w:jc w:val="both"/>
        <w:rPr>
          <w:rFonts w:eastAsia="Calibri"/>
          <w:color w:val="000000"/>
          <w:lang w:val="es-ES" w:eastAsia="en-US"/>
        </w:rPr>
      </w:pPr>
    </w:p>
    <w:p w:rsidR="00446848" w:rsidRDefault="00446848" w:rsidP="00166C7D">
      <w:pPr>
        <w:autoSpaceDE w:val="0"/>
        <w:autoSpaceDN w:val="0"/>
        <w:adjustRightInd w:val="0"/>
        <w:spacing w:line="360" w:lineRule="auto"/>
        <w:ind w:firstLine="284"/>
        <w:jc w:val="both"/>
        <w:rPr>
          <w:rFonts w:eastAsia="Calibri"/>
          <w:color w:val="000000"/>
          <w:lang w:val="es-ES" w:eastAsia="en-US"/>
        </w:rPr>
      </w:pPr>
    </w:p>
    <w:p w:rsidR="00166C7D" w:rsidRPr="00696DE7" w:rsidRDefault="00166C7D" w:rsidP="00166C7D">
      <w:pPr>
        <w:autoSpaceDE w:val="0"/>
        <w:autoSpaceDN w:val="0"/>
        <w:adjustRightInd w:val="0"/>
        <w:spacing w:line="360" w:lineRule="auto"/>
        <w:ind w:firstLine="284"/>
        <w:jc w:val="both"/>
        <w:rPr>
          <w:rFonts w:eastAsia="Calibri"/>
          <w:color w:val="000000"/>
          <w:lang w:val="es-ES" w:eastAsia="en-US"/>
        </w:rPr>
      </w:pPr>
      <w:r>
        <w:rPr>
          <w:rFonts w:eastAsia="Calibri"/>
          <w:color w:val="000000"/>
          <w:lang w:val="es-ES" w:eastAsia="en-US"/>
        </w:rPr>
        <w:lastRenderedPageBreak/>
        <w:t>E</w:t>
      </w:r>
      <w:r w:rsidRPr="00696DE7">
        <w:rPr>
          <w:rFonts w:eastAsia="Calibri"/>
          <w:color w:val="000000"/>
          <w:lang w:val="es-ES" w:eastAsia="en-US"/>
        </w:rPr>
        <w:t xml:space="preserve">n el Departamento del Quindío predomina el interés por la demanda de mano de obra masculina, representando el 59.7% para el año 2013. Sin embargo, cabe mencionar que cada año la población femenina está ganando participación en el mercado laboral colombiano. </w:t>
      </w:r>
      <w:r>
        <w:rPr>
          <w:rFonts w:eastAsia="Calibri"/>
          <w:color w:val="000000"/>
          <w:lang w:val="es-ES" w:eastAsia="en-US"/>
        </w:rPr>
        <w:t xml:space="preserve"> </w:t>
      </w:r>
      <w:r w:rsidRPr="00696DE7">
        <w:rPr>
          <w:rFonts w:eastAsia="Calibri"/>
          <w:color w:val="000000"/>
          <w:lang w:val="es-ES" w:eastAsia="en-US"/>
        </w:rPr>
        <w:t>Esto</w:t>
      </w:r>
      <w:r>
        <w:rPr>
          <w:rFonts w:eastAsia="Calibri"/>
          <w:color w:val="000000"/>
          <w:lang w:val="es-ES" w:eastAsia="en-US"/>
        </w:rPr>
        <w:t xml:space="preserve"> se</w:t>
      </w:r>
      <w:r w:rsidRPr="00696DE7">
        <w:rPr>
          <w:rFonts w:eastAsia="Calibri"/>
          <w:color w:val="000000"/>
          <w:lang w:val="es-ES" w:eastAsia="en-US"/>
        </w:rPr>
        <w:t xml:space="preserve"> ve reflejado en el Quindío, especialmente del año 2009 al 2010 donde se presentó un aumento de aproximadamente 14 mil personas ocupadas, dedicadas en su mayoría a actividades del sector comercio, restaurantes y hoteles, servicios comunales, sociales y perso</w:t>
      </w:r>
      <w:r w:rsidR="009B1CA3">
        <w:rPr>
          <w:rFonts w:eastAsia="Calibri"/>
          <w:color w:val="000000"/>
          <w:lang w:val="es-ES" w:eastAsia="en-US"/>
        </w:rPr>
        <w:t>nales, Industria manufacturera.</w:t>
      </w:r>
    </w:p>
    <w:p w:rsidR="00166C7D" w:rsidRPr="00696DE7" w:rsidRDefault="00166C7D" w:rsidP="00166C7D">
      <w:pPr>
        <w:autoSpaceDE w:val="0"/>
        <w:autoSpaceDN w:val="0"/>
        <w:adjustRightInd w:val="0"/>
        <w:spacing w:line="360" w:lineRule="auto"/>
        <w:jc w:val="both"/>
        <w:rPr>
          <w:b/>
          <w:sz w:val="18"/>
          <w:szCs w:val="18"/>
          <w:lang w:val="es-ES"/>
        </w:rPr>
      </w:pPr>
    </w:p>
    <w:p w:rsidR="00166C7D" w:rsidRPr="009A289A" w:rsidRDefault="00166C7D" w:rsidP="00166C7D">
      <w:pPr>
        <w:ind w:right="79"/>
        <w:jc w:val="both"/>
        <w:rPr>
          <w:rFonts w:eastAsia="Arial"/>
        </w:rPr>
      </w:pPr>
      <w:r w:rsidRPr="009A289A">
        <w:rPr>
          <w:rFonts w:eastAsia="Arial"/>
        </w:rPr>
        <w:t>Tabla 11.3</w:t>
      </w:r>
    </w:p>
    <w:p w:rsidR="00166C7D" w:rsidRPr="009A289A" w:rsidRDefault="00166C7D" w:rsidP="00166C7D">
      <w:pPr>
        <w:jc w:val="both"/>
        <w:rPr>
          <w:color w:val="212121"/>
        </w:rPr>
      </w:pPr>
      <w:r w:rsidRPr="009A289A">
        <w:rPr>
          <w:color w:val="212121"/>
        </w:rPr>
        <w:t xml:space="preserve">Población por grupos de edad </w:t>
      </w:r>
    </w:p>
    <w:p w:rsidR="00166C7D" w:rsidRPr="009A289A" w:rsidRDefault="00166C7D" w:rsidP="00166C7D">
      <w:pPr>
        <w:jc w:val="both"/>
        <w:rPr>
          <w:rFonts w:eastAsia="Arial"/>
        </w:rPr>
      </w:pPr>
      <w:r w:rsidRPr="009A289A">
        <w:rPr>
          <w:rFonts w:eastAsia="Arial"/>
        </w:rPr>
        <w:t>2013</w:t>
      </w:r>
    </w:p>
    <w:p w:rsidR="00166C7D" w:rsidRPr="00696DE7" w:rsidRDefault="00166C7D" w:rsidP="00166C7D">
      <w:pPr>
        <w:jc w:val="center"/>
        <w:rPr>
          <w:b/>
          <w:sz w:val="18"/>
          <w:szCs w:val="18"/>
        </w:rPr>
      </w:pPr>
    </w:p>
    <w:tbl>
      <w:tblPr>
        <w:tblW w:w="9493" w:type="dxa"/>
        <w:tblInd w:w="60" w:type="dxa"/>
        <w:tblBorders>
          <w:top w:val="single" w:sz="4" w:space="0" w:color="000000"/>
          <w:bottom w:val="single" w:sz="4" w:space="0" w:color="000000"/>
          <w:insideH w:val="double" w:sz="4" w:space="0" w:color="auto"/>
        </w:tblBorders>
        <w:tblCellMar>
          <w:left w:w="70" w:type="dxa"/>
          <w:right w:w="70" w:type="dxa"/>
        </w:tblCellMar>
        <w:tblLook w:val="04A0" w:firstRow="1" w:lastRow="0" w:firstColumn="1" w:lastColumn="0" w:noHBand="0" w:noVBand="1"/>
      </w:tblPr>
      <w:tblGrid>
        <w:gridCol w:w="2221"/>
        <w:gridCol w:w="1212"/>
        <w:gridCol w:w="1212"/>
        <w:gridCol w:w="1212"/>
        <w:gridCol w:w="1212"/>
        <w:gridCol w:w="1212"/>
        <w:gridCol w:w="1212"/>
      </w:tblGrid>
      <w:tr w:rsidR="00166C7D" w:rsidRPr="00696DE7" w:rsidTr="00446848">
        <w:trPr>
          <w:trHeight w:val="517"/>
        </w:trPr>
        <w:tc>
          <w:tcPr>
            <w:tcW w:w="2221" w:type="dxa"/>
            <w:shd w:val="clear" w:color="auto" w:fill="auto"/>
            <w:vAlign w:val="center"/>
            <w:hideMark/>
          </w:tcPr>
          <w:p w:rsidR="00166C7D" w:rsidRPr="00696DE7" w:rsidRDefault="00166C7D" w:rsidP="005C6AC6">
            <w:pPr>
              <w:jc w:val="center"/>
              <w:rPr>
                <w:b/>
                <w:bCs/>
                <w:color w:val="000000"/>
                <w:sz w:val="20"/>
                <w:lang w:val="es-ES"/>
              </w:rPr>
            </w:pPr>
            <w:r w:rsidRPr="00696DE7">
              <w:rPr>
                <w:b/>
                <w:bCs/>
                <w:color w:val="000000"/>
                <w:sz w:val="20"/>
                <w:lang w:val="es-ES"/>
              </w:rPr>
              <w:t>Departamento</w:t>
            </w:r>
          </w:p>
        </w:tc>
        <w:tc>
          <w:tcPr>
            <w:tcW w:w="1212" w:type="dxa"/>
            <w:shd w:val="clear" w:color="auto" w:fill="auto"/>
            <w:vAlign w:val="center"/>
            <w:hideMark/>
          </w:tcPr>
          <w:p w:rsidR="00166C7D" w:rsidRPr="00696DE7" w:rsidRDefault="00166C7D" w:rsidP="005C6AC6">
            <w:pPr>
              <w:jc w:val="center"/>
              <w:rPr>
                <w:b/>
                <w:bCs/>
                <w:color w:val="000000"/>
                <w:sz w:val="20"/>
                <w:lang w:val="es-ES"/>
              </w:rPr>
            </w:pPr>
            <w:r w:rsidRPr="00696DE7">
              <w:rPr>
                <w:b/>
                <w:bCs/>
                <w:color w:val="000000"/>
                <w:sz w:val="20"/>
                <w:lang w:val="es-ES"/>
              </w:rPr>
              <w:t>Total</w:t>
            </w:r>
          </w:p>
        </w:tc>
        <w:tc>
          <w:tcPr>
            <w:tcW w:w="1212" w:type="dxa"/>
            <w:shd w:val="clear" w:color="auto" w:fill="auto"/>
            <w:vAlign w:val="center"/>
            <w:hideMark/>
          </w:tcPr>
          <w:p w:rsidR="00166C7D" w:rsidRPr="00696DE7" w:rsidRDefault="00166C7D" w:rsidP="005C6AC6">
            <w:pPr>
              <w:jc w:val="center"/>
              <w:rPr>
                <w:b/>
                <w:bCs/>
                <w:color w:val="000000"/>
                <w:sz w:val="20"/>
                <w:lang w:val="es-ES"/>
              </w:rPr>
            </w:pPr>
            <w:r w:rsidRPr="00696DE7">
              <w:rPr>
                <w:b/>
                <w:bCs/>
                <w:color w:val="000000"/>
                <w:sz w:val="20"/>
                <w:lang w:val="es-ES"/>
              </w:rPr>
              <w:t>De 0 a 11</w:t>
            </w:r>
          </w:p>
        </w:tc>
        <w:tc>
          <w:tcPr>
            <w:tcW w:w="1212" w:type="dxa"/>
            <w:shd w:val="clear" w:color="auto" w:fill="auto"/>
            <w:vAlign w:val="center"/>
            <w:hideMark/>
          </w:tcPr>
          <w:p w:rsidR="00166C7D" w:rsidRPr="00696DE7" w:rsidRDefault="00166C7D" w:rsidP="005C6AC6">
            <w:pPr>
              <w:jc w:val="center"/>
              <w:rPr>
                <w:b/>
                <w:bCs/>
                <w:color w:val="000000"/>
                <w:sz w:val="20"/>
                <w:lang w:val="es-ES"/>
              </w:rPr>
            </w:pPr>
            <w:r w:rsidRPr="00696DE7">
              <w:rPr>
                <w:b/>
                <w:bCs/>
                <w:color w:val="000000"/>
                <w:sz w:val="20"/>
                <w:lang w:val="es-ES"/>
              </w:rPr>
              <w:t>De 12 a 17</w:t>
            </w:r>
          </w:p>
        </w:tc>
        <w:tc>
          <w:tcPr>
            <w:tcW w:w="1212" w:type="dxa"/>
            <w:shd w:val="clear" w:color="auto" w:fill="auto"/>
            <w:vAlign w:val="center"/>
            <w:hideMark/>
          </w:tcPr>
          <w:p w:rsidR="00166C7D" w:rsidRPr="00696DE7" w:rsidRDefault="00166C7D" w:rsidP="005C6AC6">
            <w:pPr>
              <w:jc w:val="center"/>
              <w:rPr>
                <w:b/>
                <w:bCs/>
                <w:color w:val="000000"/>
                <w:sz w:val="20"/>
                <w:lang w:val="es-ES"/>
              </w:rPr>
            </w:pPr>
            <w:r w:rsidRPr="00696DE7">
              <w:rPr>
                <w:b/>
                <w:bCs/>
                <w:color w:val="000000"/>
                <w:sz w:val="20"/>
                <w:lang w:val="es-ES"/>
              </w:rPr>
              <w:t>De 18 a 24</w:t>
            </w:r>
          </w:p>
        </w:tc>
        <w:tc>
          <w:tcPr>
            <w:tcW w:w="1212" w:type="dxa"/>
            <w:shd w:val="clear" w:color="auto" w:fill="auto"/>
            <w:vAlign w:val="center"/>
            <w:hideMark/>
          </w:tcPr>
          <w:p w:rsidR="00166C7D" w:rsidRPr="00696DE7" w:rsidRDefault="00166C7D" w:rsidP="005C6AC6">
            <w:pPr>
              <w:jc w:val="center"/>
              <w:rPr>
                <w:b/>
                <w:bCs/>
                <w:color w:val="000000"/>
                <w:sz w:val="20"/>
                <w:lang w:val="es-ES"/>
              </w:rPr>
            </w:pPr>
            <w:r w:rsidRPr="00696DE7">
              <w:rPr>
                <w:b/>
                <w:bCs/>
                <w:color w:val="000000"/>
                <w:sz w:val="20"/>
                <w:lang w:val="es-ES"/>
              </w:rPr>
              <w:t>De 25 a 55</w:t>
            </w:r>
          </w:p>
        </w:tc>
        <w:tc>
          <w:tcPr>
            <w:tcW w:w="1212" w:type="dxa"/>
            <w:shd w:val="clear" w:color="auto" w:fill="auto"/>
            <w:vAlign w:val="center"/>
            <w:hideMark/>
          </w:tcPr>
          <w:p w:rsidR="00166C7D" w:rsidRPr="00696DE7" w:rsidRDefault="00166C7D" w:rsidP="005C6AC6">
            <w:pPr>
              <w:jc w:val="center"/>
              <w:rPr>
                <w:b/>
                <w:bCs/>
                <w:color w:val="000000"/>
                <w:sz w:val="20"/>
                <w:lang w:val="es-ES"/>
              </w:rPr>
            </w:pPr>
            <w:r w:rsidRPr="00696DE7">
              <w:rPr>
                <w:b/>
                <w:bCs/>
                <w:color w:val="000000"/>
                <w:sz w:val="20"/>
                <w:lang w:val="es-ES"/>
              </w:rPr>
              <w:t xml:space="preserve">De 56 y </w:t>
            </w:r>
            <w:r w:rsidR="005C6AC6">
              <w:rPr>
                <w:b/>
                <w:bCs/>
                <w:color w:val="000000"/>
                <w:sz w:val="20"/>
                <w:lang w:val="es-ES"/>
              </w:rPr>
              <w:t>má</w:t>
            </w:r>
            <w:r w:rsidRPr="00696DE7">
              <w:rPr>
                <w:b/>
                <w:bCs/>
                <w:color w:val="000000"/>
                <w:sz w:val="20"/>
                <w:lang w:val="es-ES"/>
              </w:rPr>
              <w:t>s</w:t>
            </w:r>
          </w:p>
        </w:tc>
      </w:tr>
      <w:tr w:rsidR="00166C7D" w:rsidRPr="00696DE7" w:rsidTr="00446848">
        <w:trPr>
          <w:trHeight w:val="624"/>
        </w:trPr>
        <w:tc>
          <w:tcPr>
            <w:tcW w:w="2221" w:type="dxa"/>
            <w:shd w:val="clear" w:color="auto" w:fill="auto"/>
            <w:vAlign w:val="center"/>
            <w:hideMark/>
          </w:tcPr>
          <w:p w:rsidR="00166C7D" w:rsidRPr="00696DE7" w:rsidRDefault="00166C7D" w:rsidP="005C6AC6">
            <w:pPr>
              <w:jc w:val="center"/>
              <w:rPr>
                <w:color w:val="000000"/>
                <w:sz w:val="20"/>
                <w:lang w:val="es-ES"/>
              </w:rPr>
            </w:pPr>
            <w:r w:rsidRPr="00696DE7">
              <w:rPr>
                <w:color w:val="000000"/>
                <w:sz w:val="20"/>
                <w:lang w:val="es-ES"/>
              </w:rPr>
              <w:t>Quindío</w:t>
            </w:r>
          </w:p>
        </w:tc>
        <w:tc>
          <w:tcPr>
            <w:tcW w:w="1212" w:type="dxa"/>
            <w:shd w:val="clear" w:color="auto" w:fill="auto"/>
            <w:vAlign w:val="center"/>
            <w:hideMark/>
          </w:tcPr>
          <w:p w:rsidR="00166C7D" w:rsidRPr="00696DE7" w:rsidRDefault="00AE1BB5" w:rsidP="005C6AC6">
            <w:pPr>
              <w:jc w:val="center"/>
              <w:rPr>
                <w:color w:val="000000"/>
                <w:sz w:val="20"/>
                <w:lang w:val="es-ES"/>
              </w:rPr>
            </w:pPr>
            <w:r>
              <w:rPr>
                <w:color w:val="000000"/>
                <w:sz w:val="20"/>
                <w:lang w:val="es-ES"/>
              </w:rPr>
              <w:t>558.969</w:t>
            </w:r>
          </w:p>
        </w:tc>
        <w:tc>
          <w:tcPr>
            <w:tcW w:w="1212" w:type="dxa"/>
            <w:shd w:val="clear" w:color="auto" w:fill="auto"/>
            <w:vAlign w:val="center"/>
            <w:hideMark/>
          </w:tcPr>
          <w:p w:rsidR="00166C7D" w:rsidRPr="00696DE7" w:rsidRDefault="00166C7D" w:rsidP="00AE1BB5">
            <w:pPr>
              <w:jc w:val="center"/>
              <w:rPr>
                <w:color w:val="000000"/>
                <w:sz w:val="20"/>
                <w:lang w:val="es-ES"/>
              </w:rPr>
            </w:pPr>
            <w:r w:rsidRPr="00696DE7">
              <w:rPr>
                <w:color w:val="000000"/>
                <w:sz w:val="20"/>
                <w:lang w:val="es-ES"/>
              </w:rPr>
              <w:t>109.</w:t>
            </w:r>
            <w:r w:rsidR="00AE1BB5">
              <w:rPr>
                <w:color w:val="000000"/>
                <w:sz w:val="20"/>
                <w:lang w:val="es-ES"/>
              </w:rPr>
              <w:t>769</w:t>
            </w:r>
          </w:p>
        </w:tc>
        <w:tc>
          <w:tcPr>
            <w:tcW w:w="1212" w:type="dxa"/>
            <w:shd w:val="clear" w:color="auto" w:fill="auto"/>
            <w:vAlign w:val="center"/>
            <w:hideMark/>
          </w:tcPr>
          <w:p w:rsidR="00166C7D" w:rsidRPr="00696DE7" w:rsidRDefault="00AE1BB5" w:rsidP="00AE1BB5">
            <w:pPr>
              <w:jc w:val="center"/>
              <w:rPr>
                <w:color w:val="000000"/>
                <w:sz w:val="20"/>
                <w:lang w:val="es-ES"/>
              </w:rPr>
            </w:pPr>
            <w:r>
              <w:rPr>
                <w:color w:val="000000"/>
                <w:sz w:val="20"/>
                <w:lang w:val="es-ES"/>
              </w:rPr>
              <w:t>57.704</w:t>
            </w:r>
          </w:p>
        </w:tc>
        <w:tc>
          <w:tcPr>
            <w:tcW w:w="1212" w:type="dxa"/>
            <w:shd w:val="clear" w:color="auto" w:fill="auto"/>
            <w:vAlign w:val="center"/>
            <w:hideMark/>
          </w:tcPr>
          <w:p w:rsidR="00166C7D" w:rsidRPr="00696DE7" w:rsidRDefault="00166C7D" w:rsidP="00AE1BB5">
            <w:pPr>
              <w:jc w:val="center"/>
              <w:rPr>
                <w:color w:val="000000"/>
                <w:sz w:val="20"/>
                <w:lang w:val="es-ES"/>
              </w:rPr>
            </w:pPr>
            <w:r w:rsidRPr="00696DE7">
              <w:rPr>
                <w:color w:val="000000"/>
                <w:sz w:val="20"/>
                <w:lang w:val="es-ES"/>
              </w:rPr>
              <w:t>65.</w:t>
            </w:r>
            <w:r w:rsidR="00AE1BB5">
              <w:rPr>
                <w:color w:val="000000"/>
                <w:sz w:val="20"/>
                <w:lang w:val="es-ES"/>
              </w:rPr>
              <w:t>550</w:t>
            </w:r>
          </w:p>
        </w:tc>
        <w:tc>
          <w:tcPr>
            <w:tcW w:w="1212" w:type="dxa"/>
            <w:shd w:val="clear" w:color="auto" w:fill="auto"/>
            <w:vAlign w:val="center"/>
            <w:hideMark/>
          </w:tcPr>
          <w:p w:rsidR="00166C7D" w:rsidRPr="00696DE7" w:rsidRDefault="00166C7D" w:rsidP="00AE1BB5">
            <w:pPr>
              <w:jc w:val="center"/>
              <w:rPr>
                <w:color w:val="000000"/>
                <w:sz w:val="20"/>
                <w:lang w:val="es-ES"/>
              </w:rPr>
            </w:pPr>
            <w:r w:rsidRPr="00696DE7">
              <w:rPr>
                <w:color w:val="000000"/>
                <w:sz w:val="20"/>
                <w:lang w:val="es-ES"/>
              </w:rPr>
              <w:t>226.</w:t>
            </w:r>
            <w:r w:rsidR="00AE1BB5">
              <w:rPr>
                <w:color w:val="000000"/>
                <w:sz w:val="20"/>
                <w:lang w:val="es-ES"/>
              </w:rPr>
              <w:t>107</w:t>
            </w:r>
          </w:p>
        </w:tc>
        <w:tc>
          <w:tcPr>
            <w:tcW w:w="1212" w:type="dxa"/>
            <w:shd w:val="clear" w:color="auto" w:fill="auto"/>
            <w:vAlign w:val="center"/>
            <w:hideMark/>
          </w:tcPr>
          <w:p w:rsidR="00166C7D" w:rsidRPr="00696DE7" w:rsidRDefault="00166C7D" w:rsidP="00AE1BB5">
            <w:pPr>
              <w:jc w:val="center"/>
              <w:rPr>
                <w:color w:val="000000"/>
                <w:sz w:val="20"/>
                <w:lang w:val="es-ES"/>
              </w:rPr>
            </w:pPr>
            <w:r w:rsidRPr="00696DE7">
              <w:rPr>
                <w:color w:val="000000"/>
                <w:sz w:val="20"/>
                <w:lang w:val="es-ES"/>
              </w:rPr>
              <w:t>96.</w:t>
            </w:r>
            <w:r w:rsidR="00AE1BB5">
              <w:rPr>
                <w:color w:val="000000"/>
                <w:sz w:val="20"/>
                <w:lang w:val="es-ES"/>
              </w:rPr>
              <w:t>839</w:t>
            </w:r>
          </w:p>
        </w:tc>
      </w:tr>
    </w:tbl>
    <w:p w:rsidR="00166C7D" w:rsidRPr="009B1CA3" w:rsidRDefault="00166C7D" w:rsidP="00166C7D">
      <w:pPr>
        <w:autoSpaceDE w:val="0"/>
        <w:autoSpaceDN w:val="0"/>
        <w:adjustRightInd w:val="0"/>
        <w:spacing w:line="360" w:lineRule="auto"/>
        <w:jc w:val="both"/>
        <w:rPr>
          <w:rFonts w:eastAsia="Calibri"/>
          <w:sz w:val="16"/>
          <w:szCs w:val="16"/>
          <w:lang w:val="es-ES" w:eastAsia="en-US"/>
        </w:rPr>
      </w:pPr>
      <w:r w:rsidRPr="009B1CA3">
        <w:rPr>
          <w:sz w:val="16"/>
          <w:szCs w:val="16"/>
        </w:rPr>
        <w:t xml:space="preserve">Fuente: </w:t>
      </w:r>
      <w:r w:rsidRPr="009B1CA3">
        <w:rPr>
          <w:rFonts w:eastAsia="Calibri"/>
          <w:sz w:val="16"/>
          <w:szCs w:val="16"/>
          <w:lang w:val="es-ES" w:eastAsia="en-US"/>
        </w:rPr>
        <w:t xml:space="preserve">Departamento Administrativo Nacional de Estadísticas </w:t>
      </w:r>
    </w:p>
    <w:p w:rsidR="00166C7D" w:rsidRDefault="00166C7D" w:rsidP="00166C7D">
      <w:pPr>
        <w:autoSpaceDE w:val="0"/>
        <w:autoSpaceDN w:val="0"/>
        <w:adjustRightInd w:val="0"/>
        <w:spacing w:line="360" w:lineRule="auto"/>
        <w:jc w:val="both"/>
        <w:rPr>
          <w:rFonts w:eastAsia="Calibri"/>
          <w:color w:val="000000"/>
          <w:sz w:val="16"/>
          <w:szCs w:val="16"/>
          <w:lang w:val="es-ES" w:eastAsia="en-US"/>
        </w:rPr>
      </w:pPr>
    </w:p>
    <w:p w:rsidR="00446848" w:rsidRPr="009B1CA3" w:rsidRDefault="00446848" w:rsidP="00166C7D">
      <w:pPr>
        <w:autoSpaceDE w:val="0"/>
        <w:autoSpaceDN w:val="0"/>
        <w:adjustRightInd w:val="0"/>
        <w:spacing w:line="360" w:lineRule="auto"/>
        <w:jc w:val="both"/>
        <w:rPr>
          <w:rFonts w:eastAsia="Calibri"/>
          <w:color w:val="000000"/>
          <w:sz w:val="16"/>
          <w:szCs w:val="16"/>
          <w:lang w:val="es-ES" w:eastAsia="en-US"/>
        </w:rPr>
      </w:pPr>
    </w:p>
    <w:p w:rsidR="00166C7D" w:rsidRPr="00696DE7" w:rsidRDefault="00166C7D" w:rsidP="00166C7D">
      <w:pPr>
        <w:autoSpaceDE w:val="0"/>
        <w:autoSpaceDN w:val="0"/>
        <w:adjustRightInd w:val="0"/>
        <w:spacing w:line="360" w:lineRule="auto"/>
        <w:ind w:firstLine="284"/>
        <w:jc w:val="both"/>
        <w:rPr>
          <w:rFonts w:eastAsia="Calibri"/>
          <w:color w:val="000000"/>
          <w:lang w:val="es-ES" w:eastAsia="en-US"/>
        </w:rPr>
      </w:pPr>
      <w:r w:rsidRPr="00696DE7">
        <w:rPr>
          <w:rFonts w:eastAsia="Calibri"/>
          <w:color w:val="000000"/>
          <w:lang w:val="es-ES" w:eastAsia="en-US"/>
        </w:rPr>
        <w:t>De acuerdo con los grupos de edad, se evide</w:t>
      </w:r>
      <w:r w:rsidR="00AE1BB5">
        <w:rPr>
          <w:rFonts w:eastAsia="Calibri"/>
          <w:color w:val="000000"/>
          <w:lang w:val="es-ES" w:eastAsia="en-US"/>
        </w:rPr>
        <w:t>ncia que aproximadamente el 40.5</w:t>
      </w:r>
      <w:r w:rsidRPr="00696DE7">
        <w:rPr>
          <w:rFonts w:eastAsia="Calibri"/>
          <w:color w:val="000000"/>
          <w:lang w:val="es-ES" w:eastAsia="en-US"/>
        </w:rPr>
        <w:t>% de la población total en el 2013, se encuentra entre los 25 y  menores de 55 años; seguidamente el rango de los que está</w:t>
      </w:r>
      <w:r w:rsidR="006853FA">
        <w:rPr>
          <w:rFonts w:eastAsia="Calibri"/>
          <w:color w:val="000000"/>
          <w:lang w:val="es-ES" w:eastAsia="en-US"/>
        </w:rPr>
        <w:t>n entre 0 a 11 años con un 19.6</w:t>
      </w:r>
      <w:r w:rsidRPr="00696DE7">
        <w:rPr>
          <w:rFonts w:eastAsia="Calibri"/>
          <w:color w:val="000000"/>
          <w:lang w:val="es-ES" w:eastAsia="en-US"/>
        </w:rPr>
        <w:t xml:space="preserve">%, los cuales no hacen parte de la población económicamente activa. Por otra parte, es importante mencionar que la población con más de 56 años también hace parte de la </w:t>
      </w:r>
      <w:r w:rsidRPr="00696DE7">
        <w:rPr>
          <w:rFonts w:eastAsia="Calibri"/>
          <w:lang w:val="es-ES" w:eastAsia="en-US"/>
        </w:rPr>
        <w:t>población económicame</w:t>
      </w:r>
      <w:r w:rsidR="006853FA">
        <w:rPr>
          <w:rFonts w:eastAsia="Calibri"/>
          <w:lang w:val="es-ES" w:eastAsia="en-US"/>
        </w:rPr>
        <w:t>nte activa y representa el 17.3</w:t>
      </w:r>
      <w:r w:rsidRPr="00696DE7">
        <w:rPr>
          <w:rFonts w:eastAsia="Calibri"/>
          <w:lang w:val="es-ES" w:eastAsia="en-US"/>
        </w:rPr>
        <w:t>% de la Población total del Departamento.</w:t>
      </w:r>
    </w:p>
    <w:p w:rsidR="00166C7D" w:rsidRPr="00696DE7" w:rsidRDefault="00166C7D" w:rsidP="00166C7D">
      <w:pPr>
        <w:autoSpaceDE w:val="0"/>
        <w:autoSpaceDN w:val="0"/>
        <w:adjustRightInd w:val="0"/>
        <w:jc w:val="both"/>
        <w:rPr>
          <w:b/>
        </w:rPr>
      </w:pPr>
    </w:p>
    <w:p w:rsidR="00166C7D" w:rsidRPr="000823F0" w:rsidRDefault="00166C7D" w:rsidP="00166C7D">
      <w:pPr>
        <w:ind w:right="79"/>
        <w:jc w:val="both"/>
        <w:rPr>
          <w:rFonts w:eastAsia="Arial"/>
        </w:rPr>
      </w:pPr>
      <w:r w:rsidRPr="000823F0">
        <w:rPr>
          <w:rFonts w:eastAsia="Arial"/>
        </w:rPr>
        <w:t>Tabla 11.4</w:t>
      </w:r>
    </w:p>
    <w:p w:rsidR="00166C7D" w:rsidRPr="000823F0" w:rsidRDefault="00166C7D" w:rsidP="00166C7D">
      <w:pPr>
        <w:jc w:val="both"/>
        <w:rPr>
          <w:color w:val="212121"/>
        </w:rPr>
      </w:pPr>
      <w:r w:rsidRPr="000823F0">
        <w:rPr>
          <w:color w:val="212121"/>
        </w:rPr>
        <w:t>Población ocupada según grupos de edad</w:t>
      </w:r>
    </w:p>
    <w:p w:rsidR="00166C7D" w:rsidRPr="000823F0" w:rsidRDefault="00166C7D" w:rsidP="00166C7D">
      <w:pPr>
        <w:jc w:val="both"/>
        <w:rPr>
          <w:sz w:val="18"/>
          <w:szCs w:val="18"/>
        </w:rPr>
      </w:pPr>
      <w:r w:rsidRPr="000823F0">
        <w:rPr>
          <w:rFonts w:eastAsia="Arial"/>
        </w:rPr>
        <w:t>2013</w:t>
      </w:r>
    </w:p>
    <w:p w:rsidR="00166C7D" w:rsidRPr="00696DE7" w:rsidRDefault="00166C7D" w:rsidP="00166C7D">
      <w:pPr>
        <w:autoSpaceDE w:val="0"/>
        <w:autoSpaceDN w:val="0"/>
        <w:adjustRightInd w:val="0"/>
        <w:spacing w:line="360" w:lineRule="auto"/>
        <w:jc w:val="both"/>
        <w:rPr>
          <w:b/>
          <w:sz w:val="18"/>
          <w:szCs w:val="18"/>
        </w:rPr>
      </w:pPr>
    </w:p>
    <w:tbl>
      <w:tblPr>
        <w:tblW w:w="9241" w:type="dxa"/>
        <w:tblInd w:w="60" w:type="dxa"/>
        <w:tblBorders>
          <w:top w:val="single" w:sz="4" w:space="0" w:color="000000"/>
          <w:bottom w:val="single" w:sz="4" w:space="0" w:color="000000"/>
          <w:insideH w:val="double" w:sz="4" w:space="0" w:color="auto"/>
        </w:tblBorders>
        <w:tblCellMar>
          <w:left w:w="70" w:type="dxa"/>
          <w:right w:w="70" w:type="dxa"/>
        </w:tblCellMar>
        <w:tblLook w:val="04A0" w:firstRow="1" w:lastRow="0" w:firstColumn="1" w:lastColumn="0" w:noHBand="0" w:noVBand="1"/>
      </w:tblPr>
      <w:tblGrid>
        <w:gridCol w:w="2049"/>
        <w:gridCol w:w="1203"/>
        <w:gridCol w:w="1193"/>
        <w:gridCol w:w="1197"/>
        <w:gridCol w:w="1199"/>
        <w:gridCol w:w="1201"/>
        <w:gridCol w:w="1199"/>
      </w:tblGrid>
      <w:tr w:rsidR="00166C7D" w:rsidRPr="00696DE7" w:rsidTr="00446848">
        <w:trPr>
          <w:trHeight w:val="591"/>
        </w:trPr>
        <w:tc>
          <w:tcPr>
            <w:tcW w:w="2049" w:type="dxa"/>
            <w:shd w:val="clear" w:color="auto" w:fill="auto"/>
            <w:vAlign w:val="center"/>
            <w:hideMark/>
          </w:tcPr>
          <w:p w:rsidR="00166C7D" w:rsidRPr="00696DE7" w:rsidRDefault="00166C7D" w:rsidP="0024689B">
            <w:pPr>
              <w:jc w:val="center"/>
              <w:rPr>
                <w:b/>
                <w:bCs/>
                <w:color w:val="000000"/>
                <w:sz w:val="20"/>
                <w:lang w:val="es-ES"/>
              </w:rPr>
            </w:pPr>
            <w:r w:rsidRPr="00696DE7">
              <w:rPr>
                <w:b/>
                <w:bCs/>
                <w:color w:val="000000"/>
                <w:sz w:val="20"/>
                <w:szCs w:val="22"/>
                <w:lang w:val="es-ES"/>
              </w:rPr>
              <w:t>Departamento</w:t>
            </w:r>
          </w:p>
        </w:tc>
        <w:tc>
          <w:tcPr>
            <w:tcW w:w="1203" w:type="dxa"/>
            <w:shd w:val="clear" w:color="auto" w:fill="auto"/>
            <w:vAlign w:val="center"/>
            <w:hideMark/>
          </w:tcPr>
          <w:p w:rsidR="00166C7D" w:rsidRPr="00696DE7" w:rsidRDefault="00166C7D" w:rsidP="0024689B">
            <w:pPr>
              <w:jc w:val="center"/>
              <w:rPr>
                <w:b/>
                <w:bCs/>
                <w:color w:val="000000"/>
                <w:sz w:val="20"/>
                <w:lang w:val="es-ES"/>
              </w:rPr>
            </w:pPr>
            <w:r w:rsidRPr="00696DE7">
              <w:rPr>
                <w:b/>
                <w:bCs/>
                <w:color w:val="000000"/>
                <w:sz w:val="20"/>
                <w:szCs w:val="22"/>
                <w:lang w:val="es-ES"/>
              </w:rPr>
              <w:t>Total</w:t>
            </w:r>
          </w:p>
        </w:tc>
        <w:tc>
          <w:tcPr>
            <w:tcW w:w="1193" w:type="dxa"/>
            <w:shd w:val="clear" w:color="auto" w:fill="auto"/>
            <w:vAlign w:val="center"/>
            <w:hideMark/>
          </w:tcPr>
          <w:p w:rsidR="00166C7D" w:rsidRPr="00696DE7" w:rsidRDefault="00166C7D" w:rsidP="0024689B">
            <w:pPr>
              <w:jc w:val="center"/>
              <w:rPr>
                <w:b/>
                <w:bCs/>
                <w:color w:val="000000"/>
                <w:sz w:val="20"/>
                <w:lang w:val="es-ES"/>
              </w:rPr>
            </w:pPr>
            <w:r w:rsidRPr="00696DE7">
              <w:rPr>
                <w:b/>
                <w:bCs/>
                <w:color w:val="000000"/>
                <w:sz w:val="20"/>
                <w:szCs w:val="22"/>
                <w:lang w:val="es-ES"/>
              </w:rPr>
              <w:t>De 0 a 11</w:t>
            </w:r>
          </w:p>
        </w:tc>
        <w:tc>
          <w:tcPr>
            <w:tcW w:w="1197" w:type="dxa"/>
            <w:shd w:val="clear" w:color="auto" w:fill="auto"/>
            <w:vAlign w:val="center"/>
            <w:hideMark/>
          </w:tcPr>
          <w:p w:rsidR="00166C7D" w:rsidRPr="00696DE7" w:rsidRDefault="00166C7D" w:rsidP="0024689B">
            <w:pPr>
              <w:jc w:val="center"/>
              <w:rPr>
                <w:b/>
                <w:bCs/>
                <w:color w:val="000000"/>
                <w:sz w:val="20"/>
                <w:lang w:val="es-ES"/>
              </w:rPr>
            </w:pPr>
            <w:r w:rsidRPr="00696DE7">
              <w:rPr>
                <w:b/>
                <w:bCs/>
                <w:color w:val="000000"/>
                <w:sz w:val="20"/>
                <w:szCs w:val="22"/>
                <w:lang w:val="es-ES"/>
              </w:rPr>
              <w:t>De 12 a 17</w:t>
            </w:r>
          </w:p>
        </w:tc>
        <w:tc>
          <w:tcPr>
            <w:tcW w:w="1199" w:type="dxa"/>
            <w:shd w:val="clear" w:color="auto" w:fill="auto"/>
            <w:vAlign w:val="center"/>
            <w:hideMark/>
          </w:tcPr>
          <w:p w:rsidR="00166C7D" w:rsidRPr="00696DE7" w:rsidRDefault="00166C7D" w:rsidP="0024689B">
            <w:pPr>
              <w:jc w:val="center"/>
              <w:rPr>
                <w:b/>
                <w:bCs/>
                <w:color w:val="000000"/>
                <w:sz w:val="20"/>
                <w:lang w:val="es-ES"/>
              </w:rPr>
            </w:pPr>
            <w:r w:rsidRPr="00696DE7">
              <w:rPr>
                <w:b/>
                <w:bCs/>
                <w:color w:val="000000"/>
                <w:sz w:val="20"/>
                <w:szCs w:val="22"/>
                <w:lang w:val="es-ES"/>
              </w:rPr>
              <w:t>De 18 a 24</w:t>
            </w:r>
          </w:p>
        </w:tc>
        <w:tc>
          <w:tcPr>
            <w:tcW w:w="1201" w:type="dxa"/>
            <w:shd w:val="clear" w:color="auto" w:fill="auto"/>
            <w:vAlign w:val="center"/>
            <w:hideMark/>
          </w:tcPr>
          <w:p w:rsidR="00166C7D" w:rsidRPr="00696DE7" w:rsidRDefault="00166C7D" w:rsidP="0024689B">
            <w:pPr>
              <w:jc w:val="center"/>
              <w:rPr>
                <w:b/>
                <w:bCs/>
                <w:color w:val="000000"/>
                <w:sz w:val="20"/>
                <w:lang w:val="es-ES"/>
              </w:rPr>
            </w:pPr>
            <w:r w:rsidRPr="00696DE7">
              <w:rPr>
                <w:b/>
                <w:bCs/>
                <w:color w:val="000000"/>
                <w:sz w:val="20"/>
                <w:szCs w:val="22"/>
                <w:lang w:val="es-ES"/>
              </w:rPr>
              <w:t>De 25 a 55</w:t>
            </w:r>
          </w:p>
        </w:tc>
        <w:tc>
          <w:tcPr>
            <w:tcW w:w="1199" w:type="dxa"/>
            <w:shd w:val="clear" w:color="auto" w:fill="auto"/>
            <w:vAlign w:val="center"/>
            <w:hideMark/>
          </w:tcPr>
          <w:p w:rsidR="00166C7D" w:rsidRPr="00696DE7" w:rsidRDefault="00166C7D" w:rsidP="0024689B">
            <w:pPr>
              <w:jc w:val="center"/>
              <w:rPr>
                <w:b/>
                <w:bCs/>
                <w:color w:val="000000"/>
                <w:sz w:val="20"/>
                <w:lang w:val="es-ES"/>
              </w:rPr>
            </w:pPr>
            <w:r w:rsidRPr="00696DE7">
              <w:rPr>
                <w:b/>
                <w:bCs/>
                <w:color w:val="000000"/>
                <w:sz w:val="20"/>
                <w:szCs w:val="22"/>
                <w:lang w:val="es-ES"/>
              </w:rPr>
              <w:t>De 56 y mas</w:t>
            </w:r>
          </w:p>
        </w:tc>
      </w:tr>
      <w:tr w:rsidR="00166C7D" w:rsidRPr="00696DE7" w:rsidTr="00446848">
        <w:trPr>
          <w:trHeight w:val="591"/>
        </w:trPr>
        <w:tc>
          <w:tcPr>
            <w:tcW w:w="2049" w:type="dxa"/>
            <w:shd w:val="clear" w:color="auto" w:fill="auto"/>
            <w:vAlign w:val="center"/>
            <w:hideMark/>
          </w:tcPr>
          <w:p w:rsidR="00166C7D" w:rsidRPr="00696DE7" w:rsidRDefault="00166C7D" w:rsidP="0024689B">
            <w:pPr>
              <w:jc w:val="center"/>
              <w:rPr>
                <w:color w:val="000000"/>
                <w:lang w:val="es-ES"/>
              </w:rPr>
            </w:pPr>
            <w:r w:rsidRPr="00696DE7">
              <w:rPr>
                <w:color w:val="000000"/>
                <w:sz w:val="22"/>
                <w:szCs w:val="22"/>
                <w:lang w:val="es-ES"/>
              </w:rPr>
              <w:t>Quindío</w:t>
            </w:r>
          </w:p>
        </w:tc>
        <w:tc>
          <w:tcPr>
            <w:tcW w:w="1203" w:type="dxa"/>
            <w:shd w:val="clear" w:color="auto" w:fill="auto"/>
            <w:vAlign w:val="center"/>
            <w:hideMark/>
          </w:tcPr>
          <w:p w:rsidR="00166C7D" w:rsidRPr="00696DE7" w:rsidRDefault="00166C7D" w:rsidP="0024689B">
            <w:pPr>
              <w:jc w:val="center"/>
              <w:rPr>
                <w:color w:val="000000"/>
                <w:lang w:val="es-ES"/>
              </w:rPr>
            </w:pPr>
            <w:r w:rsidRPr="00696DE7">
              <w:rPr>
                <w:color w:val="000000"/>
                <w:sz w:val="22"/>
                <w:szCs w:val="22"/>
                <w:lang w:val="es-ES"/>
              </w:rPr>
              <w:t>238.656</w:t>
            </w:r>
          </w:p>
        </w:tc>
        <w:tc>
          <w:tcPr>
            <w:tcW w:w="1193" w:type="dxa"/>
            <w:shd w:val="clear" w:color="auto" w:fill="auto"/>
            <w:vAlign w:val="center"/>
            <w:hideMark/>
          </w:tcPr>
          <w:p w:rsidR="00166C7D" w:rsidRPr="00696DE7" w:rsidRDefault="00166C7D" w:rsidP="0024689B">
            <w:pPr>
              <w:jc w:val="center"/>
              <w:rPr>
                <w:color w:val="000000"/>
                <w:lang w:val="es-ES"/>
              </w:rPr>
            </w:pPr>
            <w:r w:rsidRPr="00696DE7">
              <w:rPr>
                <w:color w:val="000000"/>
                <w:sz w:val="22"/>
                <w:szCs w:val="22"/>
                <w:lang w:val="es-ES"/>
              </w:rPr>
              <w:t>50</w:t>
            </w:r>
          </w:p>
        </w:tc>
        <w:tc>
          <w:tcPr>
            <w:tcW w:w="1197" w:type="dxa"/>
            <w:shd w:val="clear" w:color="auto" w:fill="auto"/>
            <w:vAlign w:val="center"/>
            <w:hideMark/>
          </w:tcPr>
          <w:p w:rsidR="00166C7D" w:rsidRPr="00696DE7" w:rsidRDefault="00166C7D" w:rsidP="0024689B">
            <w:pPr>
              <w:jc w:val="center"/>
              <w:rPr>
                <w:color w:val="000000"/>
                <w:lang w:val="es-ES"/>
              </w:rPr>
            </w:pPr>
            <w:r w:rsidRPr="00696DE7">
              <w:rPr>
                <w:color w:val="000000"/>
                <w:sz w:val="22"/>
                <w:szCs w:val="22"/>
                <w:lang w:val="es-ES"/>
              </w:rPr>
              <w:t>6.586</w:t>
            </w:r>
          </w:p>
        </w:tc>
        <w:tc>
          <w:tcPr>
            <w:tcW w:w="1199" w:type="dxa"/>
            <w:shd w:val="clear" w:color="auto" w:fill="auto"/>
            <w:vAlign w:val="center"/>
            <w:hideMark/>
          </w:tcPr>
          <w:p w:rsidR="00166C7D" w:rsidRPr="00696DE7" w:rsidRDefault="00166C7D" w:rsidP="0024689B">
            <w:pPr>
              <w:jc w:val="center"/>
              <w:rPr>
                <w:color w:val="000000"/>
                <w:lang w:val="es-ES"/>
              </w:rPr>
            </w:pPr>
            <w:r w:rsidRPr="00696DE7">
              <w:rPr>
                <w:color w:val="000000"/>
                <w:sz w:val="22"/>
                <w:szCs w:val="22"/>
                <w:lang w:val="es-ES"/>
              </w:rPr>
              <w:t>32.112</w:t>
            </w:r>
          </w:p>
        </w:tc>
        <w:tc>
          <w:tcPr>
            <w:tcW w:w="1201" w:type="dxa"/>
            <w:shd w:val="clear" w:color="auto" w:fill="auto"/>
            <w:vAlign w:val="center"/>
            <w:hideMark/>
          </w:tcPr>
          <w:p w:rsidR="00166C7D" w:rsidRPr="00696DE7" w:rsidRDefault="00166C7D" w:rsidP="0024689B">
            <w:pPr>
              <w:jc w:val="center"/>
              <w:rPr>
                <w:color w:val="000000"/>
                <w:lang w:val="es-ES"/>
              </w:rPr>
            </w:pPr>
            <w:r w:rsidRPr="00696DE7">
              <w:rPr>
                <w:color w:val="000000"/>
                <w:sz w:val="22"/>
                <w:szCs w:val="22"/>
                <w:lang w:val="es-ES"/>
              </w:rPr>
              <w:t>163.054</w:t>
            </w:r>
          </w:p>
        </w:tc>
        <w:tc>
          <w:tcPr>
            <w:tcW w:w="1199" w:type="dxa"/>
            <w:shd w:val="clear" w:color="auto" w:fill="auto"/>
            <w:vAlign w:val="center"/>
            <w:hideMark/>
          </w:tcPr>
          <w:p w:rsidR="00166C7D" w:rsidRPr="00696DE7" w:rsidRDefault="00166C7D" w:rsidP="0024689B">
            <w:pPr>
              <w:jc w:val="center"/>
              <w:rPr>
                <w:color w:val="000000"/>
                <w:lang w:val="es-ES"/>
              </w:rPr>
            </w:pPr>
            <w:r w:rsidRPr="00696DE7">
              <w:rPr>
                <w:color w:val="000000"/>
                <w:sz w:val="22"/>
                <w:szCs w:val="22"/>
                <w:lang w:val="es-ES"/>
              </w:rPr>
              <w:t>36.854</w:t>
            </w:r>
          </w:p>
        </w:tc>
      </w:tr>
    </w:tbl>
    <w:p w:rsidR="00166C7D" w:rsidRPr="009B1CA3" w:rsidRDefault="00166C7D" w:rsidP="00166C7D">
      <w:pPr>
        <w:autoSpaceDE w:val="0"/>
        <w:autoSpaceDN w:val="0"/>
        <w:adjustRightInd w:val="0"/>
        <w:spacing w:line="360" w:lineRule="auto"/>
        <w:jc w:val="both"/>
        <w:rPr>
          <w:sz w:val="16"/>
          <w:szCs w:val="16"/>
        </w:rPr>
      </w:pPr>
      <w:r w:rsidRPr="009B1CA3">
        <w:rPr>
          <w:sz w:val="16"/>
          <w:szCs w:val="16"/>
        </w:rPr>
        <w:t xml:space="preserve">Fuente: </w:t>
      </w:r>
      <w:r w:rsidRPr="009B1CA3">
        <w:rPr>
          <w:rFonts w:eastAsia="Calibri"/>
          <w:sz w:val="16"/>
          <w:szCs w:val="16"/>
          <w:lang w:val="es-ES" w:eastAsia="en-US"/>
        </w:rPr>
        <w:t>Departamento Administrativo Nacional de Estadísticas</w:t>
      </w:r>
    </w:p>
    <w:p w:rsidR="00166C7D" w:rsidRPr="00696DE7" w:rsidRDefault="00166C7D" w:rsidP="00166C7D">
      <w:pPr>
        <w:autoSpaceDE w:val="0"/>
        <w:autoSpaceDN w:val="0"/>
        <w:adjustRightInd w:val="0"/>
        <w:spacing w:line="360" w:lineRule="auto"/>
        <w:jc w:val="both"/>
        <w:rPr>
          <w:b/>
          <w:sz w:val="18"/>
          <w:szCs w:val="18"/>
        </w:rPr>
      </w:pPr>
    </w:p>
    <w:p w:rsidR="00166C7D" w:rsidRDefault="00166C7D" w:rsidP="00166C7D">
      <w:pPr>
        <w:autoSpaceDE w:val="0"/>
        <w:autoSpaceDN w:val="0"/>
        <w:adjustRightInd w:val="0"/>
        <w:spacing w:line="360" w:lineRule="auto"/>
        <w:jc w:val="both"/>
        <w:rPr>
          <w:b/>
          <w:sz w:val="18"/>
          <w:szCs w:val="18"/>
        </w:rPr>
      </w:pPr>
    </w:p>
    <w:p w:rsidR="00166C7D" w:rsidRPr="000823F0" w:rsidRDefault="00166C7D" w:rsidP="00166C7D">
      <w:pPr>
        <w:ind w:right="301"/>
        <w:jc w:val="both"/>
      </w:pPr>
      <w:r w:rsidRPr="000823F0">
        <w:lastRenderedPageBreak/>
        <w:t>Gráfico 11.6</w:t>
      </w:r>
    </w:p>
    <w:p w:rsidR="00166C7D" w:rsidRPr="000823F0" w:rsidRDefault="00166C7D" w:rsidP="00166C7D">
      <w:pPr>
        <w:ind w:right="301"/>
        <w:jc w:val="both"/>
      </w:pPr>
      <w:r w:rsidRPr="000823F0">
        <w:t>Población ocupada según grupos de edad</w:t>
      </w:r>
    </w:p>
    <w:p w:rsidR="00166C7D" w:rsidRPr="000823F0" w:rsidRDefault="00166C7D" w:rsidP="00166C7D">
      <w:pPr>
        <w:autoSpaceDE w:val="0"/>
        <w:autoSpaceDN w:val="0"/>
        <w:adjustRightInd w:val="0"/>
        <w:jc w:val="both"/>
      </w:pPr>
      <w:r w:rsidRPr="000823F0">
        <w:t>2013</w:t>
      </w:r>
    </w:p>
    <w:p w:rsidR="00166C7D" w:rsidRPr="00696DE7" w:rsidRDefault="00166C7D" w:rsidP="00166C7D">
      <w:pPr>
        <w:autoSpaceDE w:val="0"/>
        <w:autoSpaceDN w:val="0"/>
        <w:adjustRightInd w:val="0"/>
        <w:jc w:val="center"/>
        <w:rPr>
          <w:b/>
          <w:sz w:val="18"/>
          <w:szCs w:val="18"/>
        </w:rPr>
      </w:pPr>
    </w:p>
    <w:p w:rsidR="00166C7D" w:rsidRDefault="00166C7D" w:rsidP="00166C7D">
      <w:pPr>
        <w:autoSpaceDE w:val="0"/>
        <w:autoSpaceDN w:val="0"/>
        <w:adjustRightInd w:val="0"/>
        <w:spacing w:line="360" w:lineRule="auto"/>
        <w:jc w:val="both"/>
        <w:rPr>
          <w:b/>
          <w:sz w:val="18"/>
          <w:szCs w:val="18"/>
        </w:rPr>
      </w:pPr>
      <w:r w:rsidRPr="00696DE7">
        <w:rPr>
          <w:b/>
          <w:noProof/>
          <w:sz w:val="18"/>
          <w:szCs w:val="18"/>
        </w:rPr>
        <w:drawing>
          <wp:inline distT="0" distB="0" distL="0" distR="0" wp14:anchorId="5EB946FA" wp14:editId="04E4D8AA">
            <wp:extent cx="5155044" cy="2302661"/>
            <wp:effectExtent l="19050" t="0" r="26556" b="2389"/>
            <wp:docPr id="86"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696DE7">
        <w:rPr>
          <w:b/>
          <w:sz w:val="18"/>
          <w:szCs w:val="18"/>
        </w:rPr>
        <w:tab/>
      </w:r>
    </w:p>
    <w:p w:rsidR="00166C7D" w:rsidRPr="00696DE7" w:rsidRDefault="00166C7D" w:rsidP="00166C7D">
      <w:pPr>
        <w:autoSpaceDE w:val="0"/>
        <w:autoSpaceDN w:val="0"/>
        <w:adjustRightInd w:val="0"/>
        <w:spacing w:line="360" w:lineRule="auto"/>
        <w:jc w:val="both"/>
        <w:rPr>
          <w:b/>
          <w:sz w:val="18"/>
          <w:szCs w:val="18"/>
        </w:rPr>
      </w:pPr>
      <w:r w:rsidRPr="00696DE7">
        <w:rPr>
          <w:b/>
          <w:sz w:val="16"/>
          <w:szCs w:val="16"/>
        </w:rPr>
        <w:t>Fuente:</w:t>
      </w:r>
      <w:r w:rsidRPr="00696DE7">
        <w:rPr>
          <w:sz w:val="16"/>
          <w:szCs w:val="16"/>
        </w:rPr>
        <w:t xml:space="preserve"> </w:t>
      </w:r>
      <w:r w:rsidRPr="00696DE7">
        <w:rPr>
          <w:rFonts w:eastAsia="Calibri"/>
          <w:sz w:val="16"/>
          <w:szCs w:val="16"/>
          <w:lang w:val="es-ES" w:eastAsia="en-US"/>
        </w:rPr>
        <w:t>Departamento Administrativo Nacional de Estadísticas</w:t>
      </w:r>
    </w:p>
    <w:p w:rsidR="00166C7D" w:rsidRPr="00696DE7" w:rsidRDefault="00166C7D" w:rsidP="00166C7D">
      <w:pPr>
        <w:autoSpaceDE w:val="0"/>
        <w:autoSpaceDN w:val="0"/>
        <w:adjustRightInd w:val="0"/>
        <w:spacing w:line="360" w:lineRule="auto"/>
        <w:jc w:val="both"/>
        <w:rPr>
          <w:b/>
          <w:sz w:val="18"/>
          <w:szCs w:val="18"/>
        </w:rPr>
      </w:pPr>
    </w:p>
    <w:p w:rsidR="00166C7D" w:rsidRPr="00696DE7" w:rsidRDefault="00166C7D" w:rsidP="00166C7D">
      <w:pPr>
        <w:autoSpaceDE w:val="0"/>
        <w:autoSpaceDN w:val="0"/>
        <w:adjustRightInd w:val="0"/>
        <w:spacing w:line="360" w:lineRule="auto"/>
        <w:ind w:firstLine="284"/>
        <w:jc w:val="both"/>
        <w:rPr>
          <w:rFonts w:eastAsia="Calibri"/>
          <w:color w:val="000000"/>
          <w:lang w:val="es-ES" w:eastAsia="en-US"/>
        </w:rPr>
      </w:pPr>
      <w:r>
        <w:rPr>
          <w:rFonts w:eastAsia="Calibri"/>
          <w:color w:val="000000"/>
          <w:lang w:val="es-ES" w:eastAsia="en-US"/>
        </w:rPr>
        <w:t xml:space="preserve">En </w:t>
      </w:r>
      <w:r w:rsidRPr="00696DE7">
        <w:rPr>
          <w:rFonts w:eastAsia="Calibri"/>
          <w:color w:val="000000"/>
          <w:lang w:val="es-ES" w:eastAsia="en-US"/>
        </w:rPr>
        <w:t xml:space="preserve">el Departamento del Quindío las personas ocupadas se encuentran principalmente en edades comprendidas entre los 25 y 55 años, </w:t>
      </w:r>
      <w:r w:rsidRPr="00696DE7">
        <w:rPr>
          <w:rFonts w:eastAsia="Calibri"/>
          <w:lang w:val="es-ES" w:eastAsia="en-US"/>
        </w:rPr>
        <w:t xml:space="preserve">representando la mayor parte de la fuerza productiva del Departamento en un 68.32%; </w:t>
      </w:r>
      <w:r w:rsidRPr="00696DE7">
        <w:rPr>
          <w:rFonts w:eastAsia="Calibri"/>
          <w:color w:val="000000"/>
          <w:lang w:val="es-ES" w:eastAsia="en-US"/>
        </w:rPr>
        <w:t xml:space="preserve"> los datos anteriores demuestran que se está cubriendo la demanda laboral con la población económicamente activa, quienes se presume cuentan con la experiencia y conocimiento necesario para desempeñarse laboralmente. Igualmente, el grupo entre 56 años y más representa el 15.44% de la población ocupada del Departamento, cabe resaltar que este segmento de población cuentan con la mayor experiencia y trayectoria laboral; en muchos casos son la memoria histórica de las empresas.</w:t>
      </w:r>
    </w:p>
    <w:p w:rsidR="00166C7D" w:rsidRPr="00696DE7" w:rsidRDefault="00166C7D" w:rsidP="00166C7D">
      <w:pPr>
        <w:autoSpaceDE w:val="0"/>
        <w:autoSpaceDN w:val="0"/>
        <w:adjustRightInd w:val="0"/>
        <w:spacing w:line="360" w:lineRule="auto"/>
        <w:jc w:val="both"/>
        <w:rPr>
          <w:b/>
          <w:sz w:val="18"/>
          <w:szCs w:val="18"/>
          <w:lang w:val="es-ES"/>
        </w:rPr>
      </w:pPr>
    </w:p>
    <w:p w:rsidR="00166C7D" w:rsidRPr="00696DE7" w:rsidRDefault="00166C7D" w:rsidP="00166C7D">
      <w:pPr>
        <w:ind w:right="79"/>
        <w:rPr>
          <w:rFonts w:eastAsia="Arial"/>
        </w:rPr>
      </w:pPr>
      <w:r>
        <w:rPr>
          <w:rFonts w:eastAsia="Arial"/>
        </w:rPr>
        <w:t>Tabla</w:t>
      </w:r>
      <w:r w:rsidRPr="00696DE7">
        <w:rPr>
          <w:rFonts w:eastAsia="Arial"/>
        </w:rPr>
        <w:t xml:space="preserve"> </w:t>
      </w:r>
      <w:r>
        <w:rPr>
          <w:rFonts w:eastAsia="Arial"/>
        </w:rPr>
        <w:t>11</w:t>
      </w:r>
      <w:r w:rsidRPr="00696DE7">
        <w:rPr>
          <w:rFonts w:eastAsia="Arial"/>
        </w:rPr>
        <w:t>.5</w:t>
      </w:r>
    </w:p>
    <w:p w:rsidR="00166C7D" w:rsidRPr="000823F0" w:rsidRDefault="00166C7D" w:rsidP="00166C7D">
      <w:pPr>
        <w:rPr>
          <w:color w:val="212121"/>
        </w:rPr>
      </w:pPr>
      <w:r w:rsidRPr="000823F0">
        <w:rPr>
          <w:color w:val="212121"/>
        </w:rPr>
        <w:t>Población ocupada según grupos de edad</w:t>
      </w:r>
    </w:p>
    <w:p w:rsidR="00166C7D" w:rsidRPr="000823F0" w:rsidRDefault="00166C7D" w:rsidP="00166C7D">
      <w:pPr>
        <w:rPr>
          <w:rFonts w:eastAsia="Arial"/>
        </w:rPr>
      </w:pPr>
      <w:r w:rsidRPr="000823F0">
        <w:rPr>
          <w:rFonts w:eastAsia="Arial"/>
        </w:rPr>
        <w:t>2013</w:t>
      </w:r>
    </w:p>
    <w:p w:rsidR="00166C7D" w:rsidRPr="00696DE7" w:rsidRDefault="00166C7D" w:rsidP="00166C7D">
      <w:pPr>
        <w:jc w:val="center"/>
        <w:rPr>
          <w:b/>
          <w:sz w:val="18"/>
          <w:szCs w:val="18"/>
        </w:rPr>
      </w:pPr>
    </w:p>
    <w:tbl>
      <w:tblPr>
        <w:tblW w:w="9773" w:type="dxa"/>
        <w:tblInd w:w="57" w:type="dxa"/>
        <w:tblBorders>
          <w:top w:val="single" w:sz="4" w:space="0" w:color="auto"/>
          <w:bottom w:val="single" w:sz="4" w:space="0" w:color="auto"/>
          <w:insideH w:val="double" w:sz="4" w:space="0" w:color="auto"/>
        </w:tblBorders>
        <w:tblLayout w:type="fixed"/>
        <w:tblCellMar>
          <w:left w:w="70" w:type="dxa"/>
          <w:right w:w="70" w:type="dxa"/>
        </w:tblCellMar>
        <w:tblLook w:val="04A0" w:firstRow="1" w:lastRow="0" w:firstColumn="1" w:lastColumn="0" w:noHBand="0" w:noVBand="1"/>
      </w:tblPr>
      <w:tblGrid>
        <w:gridCol w:w="1006"/>
        <w:gridCol w:w="851"/>
        <w:gridCol w:w="709"/>
        <w:gridCol w:w="992"/>
        <w:gridCol w:w="992"/>
        <w:gridCol w:w="1134"/>
        <w:gridCol w:w="1133"/>
        <w:gridCol w:w="1116"/>
        <w:gridCol w:w="991"/>
        <w:gridCol w:w="849"/>
      </w:tblGrid>
      <w:tr w:rsidR="00166C7D" w:rsidRPr="0076152F" w:rsidTr="00575447">
        <w:trPr>
          <w:trHeight w:val="639"/>
        </w:trPr>
        <w:tc>
          <w:tcPr>
            <w:tcW w:w="1006"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sz w:val="20"/>
                <w:szCs w:val="20"/>
              </w:rPr>
              <w:t xml:space="preserve"> </w:t>
            </w:r>
            <w:r w:rsidRPr="0076152F">
              <w:rPr>
                <w:b/>
                <w:bCs/>
                <w:color w:val="000000"/>
                <w:sz w:val="20"/>
                <w:szCs w:val="20"/>
                <w:lang w:val="es-ES"/>
              </w:rPr>
              <w:t>DEPTO</w:t>
            </w:r>
          </w:p>
        </w:tc>
        <w:tc>
          <w:tcPr>
            <w:tcW w:w="851"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 xml:space="preserve">Total </w:t>
            </w:r>
          </w:p>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&gt;=5 años</w:t>
            </w:r>
          </w:p>
        </w:tc>
        <w:tc>
          <w:tcPr>
            <w:tcW w:w="709"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Ninguno</w:t>
            </w:r>
          </w:p>
        </w:tc>
        <w:tc>
          <w:tcPr>
            <w:tcW w:w="992"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Primaria incompleta</w:t>
            </w:r>
          </w:p>
        </w:tc>
        <w:tc>
          <w:tcPr>
            <w:tcW w:w="992"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Primaria completa</w:t>
            </w:r>
          </w:p>
        </w:tc>
        <w:tc>
          <w:tcPr>
            <w:tcW w:w="1134"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Secundaria incompleta</w:t>
            </w:r>
          </w:p>
        </w:tc>
        <w:tc>
          <w:tcPr>
            <w:tcW w:w="1133"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Secundaria completa</w:t>
            </w:r>
          </w:p>
        </w:tc>
        <w:tc>
          <w:tcPr>
            <w:tcW w:w="1116"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Superior incompleta</w:t>
            </w:r>
          </w:p>
        </w:tc>
        <w:tc>
          <w:tcPr>
            <w:tcW w:w="991"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Superior completa</w:t>
            </w:r>
          </w:p>
        </w:tc>
        <w:tc>
          <w:tcPr>
            <w:tcW w:w="849"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No informa</w:t>
            </w:r>
          </w:p>
        </w:tc>
      </w:tr>
      <w:tr w:rsidR="00166C7D" w:rsidRPr="0076152F" w:rsidTr="00575447">
        <w:trPr>
          <w:trHeight w:val="433"/>
        </w:trPr>
        <w:tc>
          <w:tcPr>
            <w:tcW w:w="1006" w:type="dxa"/>
            <w:shd w:val="clear" w:color="auto" w:fill="auto"/>
            <w:vAlign w:val="center"/>
            <w:hideMark/>
          </w:tcPr>
          <w:p w:rsidR="00166C7D" w:rsidRPr="0076152F" w:rsidRDefault="00166C7D" w:rsidP="00575447">
            <w:pPr>
              <w:spacing w:line="360" w:lineRule="auto"/>
              <w:jc w:val="center"/>
              <w:rPr>
                <w:b/>
                <w:bCs/>
                <w:color w:val="000000"/>
                <w:sz w:val="20"/>
                <w:szCs w:val="20"/>
                <w:lang w:val="es-ES"/>
              </w:rPr>
            </w:pPr>
            <w:r w:rsidRPr="0076152F">
              <w:rPr>
                <w:b/>
                <w:bCs/>
                <w:color w:val="000000"/>
                <w:sz w:val="20"/>
                <w:szCs w:val="20"/>
                <w:lang w:val="es-ES"/>
              </w:rPr>
              <w:t>Quindío</w:t>
            </w:r>
          </w:p>
        </w:tc>
        <w:tc>
          <w:tcPr>
            <w:tcW w:w="851" w:type="dxa"/>
            <w:shd w:val="clear" w:color="auto" w:fill="auto"/>
            <w:vAlign w:val="center"/>
            <w:hideMark/>
          </w:tcPr>
          <w:p w:rsidR="00166C7D" w:rsidRPr="0076152F" w:rsidRDefault="00166C7D" w:rsidP="0060436C">
            <w:pPr>
              <w:spacing w:line="360" w:lineRule="auto"/>
              <w:jc w:val="center"/>
              <w:rPr>
                <w:color w:val="000000"/>
                <w:sz w:val="20"/>
                <w:szCs w:val="20"/>
                <w:lang w:val="es-ES"/>
              </w:rPr>
            </w:pPr>
            <w:r w:rsidRPr="0076152F">
              <w:rPr>
                <w:color w:val="000000"/>
                <w:sz w:val="20"/>
                <w:szCs w:val="20"/>
                <w:lang w:val="es-ES"/>
              </w:rPr>
              <w:t>518.17</w:t>
            </w:r>
            <w:r w:rsidR="0060436C">
              <w:rPr>
                <w:color w:val="000000"/>
                <w:sz w:val="20"/>
                <w:szCs w:val="20"/>
                <w:lang w:val="es-ES"/>
              </w:rPr>
              <w:t>2</w:t>
            </w:r>
          </w:p>
        </w:tc>
        <w:tc>
          <w:tcPr>
            <w:tcW w:w="709" w:type="dxa"/>
            <w:shd w:val="clear" w:color="auto" w:fill="auto"/>
            <w:vAlign w:val="center"/>
            <w:hideMark/>
          </w:tcPr>
          <w:p w:rsidR="00166C7D" w:rsidRPr="0076152F" w:rsidRDefault="00166C7D" w:rsidP="00575447">
            <w:pPr>
              <w:spacing w:line="360" w:lineRule="auto"/>
              <w:jc w:val="center"/>
              <w:rPr>
                <w:color w:val="000000"/>
                <w:sz w:val="20"/>
                <w:szCs w:val="20"/>
                <w:lang w:val="es-ES"/>
              </w:rPr>
            </w:pPr>
            <w:r w:rsidRPr="0076152F">
              <w:rPr>
                <w:color w:val="000000"/>
                <w:sz w:val="20"/>
                <w:szCs w:val="20"/>
                <w:lang w:val="es-ES"/>
              </w:rPr>
              <w:t>40.465</w:t>
            </w:r>
          </w:p>
        </w:tc>
        <w:tc>
          <w:tcPr>
            <w:tcW w:w="992" w:type="dxa"/>
            <w:shd w:val="clear" w:color="auto" w:fill="auto"/>
            <w:vAlign w:val="center"/>
            <w:hideMark/>
          </w:tcPr>
          <w:p w:rsidR="00166C7D" w:rsidRPr="0076152F" w:rsidRDefault="00166C7D" w:rsidP="00575447">
            <w:pPr>
              <w:spacing w:line="360" w:lineRule="auto"/>
              <w:jc w:val="center"/>
              <w:rPr>
                <w:color w:val="000000"/>
                <w:sz w:val="20"/>
                <w:szCs w:val="20"/>
                <w:lang w:val="es-ES"/>
              </w:rPr>
            </w:pPr>
            <w:r w:rsidRPr="0076152F">
              <w:rPr>
                <w:color w:val="000000"/>
                <w:sz w:val="20"/>
                <w:szCs w:val="20"/>
                <w:lang w:val="es-ES"/>
              </w:rPr>
              <w:t>110.439</w:t>
            </w:r>
          </w:p>
        </w:tc>
        <w:tc>
          <w:tcPr>
            <w:tcW w:w="992" w:type="dxa"/>
            <w:shd w:val="clear" w:color="auto" w:fill="auto"/>
            <w:vAlign w:val="center"/>
            <w:hideMark/>
          </w:tcPr>
          <w:p w:rsidR="00166C7D" w:rsidRPr="0076152F" w:rsidRDefault="00166C7D" w:rsidP="00575447">
            <w:pPr>
              <w:spacing w:line="360" w:lineRule="auto"/>
              <w:jc w:val="center"/>
              <w:rPr>
                <w:color w:val="000000"/>
                <w:sz w:val="20"/>
                <w:szCs w:val="20"/>
                <w:lang w:val="es-ES"/>
              </w:rPr>
            </w:pPr>
            <w:r w:rsidRPr="0076152F">
              <w:rPr>
                <w:color w:val="000000"/>
                <w:sz w:val="20"/>
                <w:szCs w:val="20"/>
                <w:lang w:val="es-ES"/>
              </w:rPr>
              <w:t>65.553</w:t>
            </w:r>
          </w:p>
        </w:tc>
        <w:tc>
          <w:tcPr>
            <w:tcW w:w="1134" w:type="dxa"/>
            <w:shd w:val="clear" w:color="auto" w:fill="auto"/>
            <w:vAlign w:val="center"/>
            <w:hideMark/>
          </w:tcPr>
          <w:p w:rsidR="00166C7D" w:rsidRPr="0076152F" w:rsidRDefault="00166C7D" w:rsidP="00575447">
            <w:pPr>
              <w:spacing w:line="360" w:lineRule="auto"/>
              <w:jc w:val="center"/>
              <w:rPr>
                <w:color w:val="000000"/>
                <w:sz w:val="20"/>
                <w:szCs w:val="20"/>
                <w:lang w:val="es-ES"/>
              </w:rPr>
            </w:pPr>
            <w:r w:rsidRPr="0076152F">
              <w:rPr>
                <w:color w:val="000000"/>
                <w:sz w:val="20"/>
                <w:szCs w:val="20"/>
                <w:lang w:val="es-ES"/>
              </w:rPr>
              <w:t>119.246</w:t>
            </w:r>
          </w:p>
        </w:tc>
        <w:tc>
          <w:tcPr>
            <w:tcW w:w="1133" w:type="dxa"/>
            <w:shd w:val="clear" w:color="auto" w:fill="auto"/>
            <w:vAlign w:val="center"/>
            <w:hideMark/>
          </w:tcPr>
          <w:p w:rsidR="00166C7D" w:rsidRPr="0076152F" w:rsidRDefault="00166C7D" w:rsidP="00575447">
            <w:pPr>
              <w:spacing w:line="360" w:lineRule="auto"/>
              <w:jc w:val="center"/>
              <w:rPr>
                <w:color w:val="000000"/>
                <w:sz w:val="20"/>
                <w:szCs w:val="20"/>
                <w:lang w:val="es-ES"/>
              </w:rPr>
            </w:pPr>
            <w:r w:rsidRPr="0076152F">
              <w:rPr>
                <w:color w:val="000000"/>
                <w:sz w:val="20"/>
                <w:szCs w:val="20"/>
                <w:lang w:val="es-ES"/>
              </w:rPr>
              <w:t>97.344</w:t>
            </w:r>
          </w:p>
        </w:tc>
        <w:tc>
          <w:tcPr>
            <w:tcW w:w="1116" w:type="dxa"/>
            <w:shd w:val="clear" w:color="auto" w:fill="auto"/>
            <w:vAlign w:val="center"/>
            <w:hideMark/>
          </w:tcPr>
          <w:p w:rsidR="00166C7D" w:rsidRPr="0076152F" w:rsidRDefault="00166C7D" w:rsidP="00575447">
            <w:pPr>
              <w:spacing w:line="360" w:lineRule="auto"/>
              <w:jc w:val="center"/>
              <w:rPr>
                <w:color w:val="000000"/>
                <w:sz w:val="20"/>
                <w:szCs w:val="20"/>
                <w:lang w:val="es-ES"/>
              </w:rPr>
            </w:pPr>
            <w:r w:rsidRPr="0076152F">
              <w:rPr>
                <w:color w:val="000000"/>
                <w:sz w:val="20"/>
                <w:szCs w:val="20"/>
                <w:lang w:val="es-ES"/>
              </w:rPr>
              <w:t>51.426</w:t>
            </w:r>
          </w:p>
        </w:tc>
        <w:tc>
          <w:tcPr>
            <w:tcW w:w="991" w:type="dxa"/>
            <w:shd w:val="clear" w:color="auto" w:fill="auto"/>
            <w:vAlign w:val="center"/>
            <w:hideMark/>
          </w:tcPr>
          <w:p w:rsidR="00166C7D" w:rsidRPr="0076152F" w:rsidRDefault="00166C7D" w:rsidP="00575447">
            <w:pPr>
              <w:spacing w:line="360" w:lineRule="auto"/>
              <w:jc w:val="center"/>
              <w:rPr>
                <w:color w:val="000000"/>
                <w:sz w:val="20"/>
                <w:szCs w:val="20"/>
                <w:lang w:val="es-ES"/>
              </w:rPr>
            </w:pPr>
            <w:r w:rsidRPr="0076152F">
              <w:rPr>
                <w:color w:val="000000"/>
                <w:sz w:val="20"/>
                <w:szCs w:val="20"/>
                <w:lang w:val="es-ES"/>
              </w:rPr>
              <w:t>33.612</w:t>
            </w:r>
          </w:p>
        </w:tc>
        <w:tc>
          <w:tcPr>
            <w:tcW w:w="849" w:type="dxa"/>
            <w:shd w:val="clear" w:color="auto" w:fill="auto"/>
            <w:vAlign w:val="center"/>
            <w:hideMark/>
          </w:tcPr>
          <w:p w:rsidR="00166C7D" w:rsidRPr="0076152F" w:rsidRDefault="00166C7D" w:rsidP="00575447">
            <w:pPr>
              <w:spacing w:line="360" w:lineRule="auto"/>
              <w:jc w:val="center"/>
              <w:rPr>
                <w:color w:val="000000"/>
                <w:sz w:val="20"/>
                <w:szCs w:val="20"/>
                <w:lang w:val="es-ES"/>
              </w:rPr>
            </w:pPr>
            <w:r w:rsidRPr="0076152F">
              <w:rPr>
                <w:color w:val="000000"/>
                <w:sz w:val="20"/>
                <w:szCs w:val="20"/>
                <w:lang w:val="es-ES"/>
              </w:rPr>
              <w:t>87</w:t>
            </w:r>
          </w:p>
        </w:tc>
      </w:tr>
    </w:tbl>
    <w:p w:rsidR="00166C7D" w:rsidRPr="009B1CA3" w:rsidRDefault="00166C7D" w:rsidP="00166C7D">
      <w:pPr>
        <w:autoSpaceDE w:val="0"/>
        <w:autoSpaceDN w:val="0"/>
        <w:adjustRightInd w:val="0"/>
        <w:spacing w:line="360" w:lineRule="auto"/>
        <w:jc w:val="both"/>
        <w:rPr>
          <w:rFonts w:eastAsia="Calibri"/>
          <w:sz w:val="16"/>
          <w:szCs w:val="16"/>
          <w:lang w:val="es-ES" w:eastAsia="en-US"/>
        </w:rPr>
      </w:pPr>
      <w:r w:rsidRPr="009B1CA3">
        <w:rPr>
          <w:sz w:val="16"/>
          <w:szCs w:val="16"/>
        </w:rPr>
        <w:t xml:space="preserve">Fuente: </w:t>
      </w:r>
      <w:r w:rsidRPr="009B1CA3">
        <w:rPr>
          <w:rFonts w:eastAsia="Calibri"/>
          <w:sz w:val="16"/>
          <w:szCs w:val="16"/>
          <w:lang w:val="es-ES" w:eastAsia="en-US"/>
        </w:rPr>
        <w:t>Departamento Administrativo Nacional de Estadísticas</w:t>
      </w:r>
    </w:p>
    <w:p w:rsidR="00166C7D" w:rsidRPr="00696DE7" w:rsidRDefault="00166C7D" w:rsidP="00166C7D">
      <w:pPr>
        <w:autoSpaceDE w:val="0"/>
        <w:autoSpaceDN w:val="0"/>
        <w:adjustRightInd w:val="0"/>
        <w:spacing w:line="360" w:lineRule="auto"/>
        <w:jc w:val="both"/>
        <w:rPr>
          <w:rFonts w:eastAsia="Calibri"/>
          <w:sz w:val="16"/>
          <w:szCs w:val="16"/>
          <w:lang w:val="es-ES" w:eastAsia="en-US"/>
        </w:rPr>
      </w:pPr>
    </w:p>
    <w:p w:rsidR="00166C7D" w:rsidRPr="007D317C" w:rsidRDefault="00166C7D" w:rsidP="00166C7D">
      <w:pPr>
        <w:ind w:right="301"/>
      </w:pPr>
      <w:r w:rsidRPr="007D317C">
        <w:lastRenderedPageBreak/>
        <w:t>Gráfico 11.7</w:t>
      </w:r>
    </w:p>
    <w:p w:rsidR="00166C7D" w:rsidRPr="007D317C" w:rsidRDefault="00166C7D" w:rsidP="00166C7D">
      <w:pPr>
        <w:ind w:right="301"/>
      </w:pPr>
      <w:r w:rsidRPr="007D317C">
        <w:t>Población total mayor a igual a 5 años por nivel educativo</w:t>
      </w:r>
    </w:p>
    <w:p w:rsidR="00166C7D" w:rsidRPr="007D317C" w:rsidRDefault="00166C7D" w:rsidP="00166C7D">
      <w:pPr>
        <w:autoSpaceDE w:val="0"/>
        <w:autoSpaceDN w:val="0"/>
        <w:adjustRightInd w:val="0"/>
      </w:pPr>
      <w:r w:rsidRPr="007D317C">
        <w:t>2013</w:t>
      </w:r>
    </w:p>
    <w:p w:rsidR="00166C7D" w:rsidRPr="00696DE7" w:rsidRDefault="00166C7D" w:rsidP="00166C7D">
      <w:pPr>
        <w:autoSpaceDE w:val="0"/>
        <w:autoSpaceDN w:val="0"/>
        <w:adjustRightInd w:val="0"/>
        <w:jc w:val="center"/>
      </w:pPr>
    </w:p>
    <w:p w:rsidR="00166C7D" w:rsidRPr="00696DE7" w:rsidRDefault="00166C7D" w:rsidP="00166C7D">
      <w:pPr>
        <w:autoSpaceDE w:val="0"/>
        <w:autoSpaceDN w:val="0"/>
        <w:adjustRightInd w:val="0"/>
        <w:spacing w:line="360" w:lineRule="auto"/>
        <w:jc w:val="center"/>
        <w:rPr>
          <w:rFonts w:eastAsia="Calibri"/>
          <w:color w:val="000000"/>
          <w:lang w:val="es-ES" w:eastAsia="en-US"/>
        </w:rPr>
      </w:pPr>
      <w:r w:rsidRPr="00696DE7">
        <w:rPr>
          <w:rFonts w:eastAsia="Calibri"/>
          <w:noProof/>
          <w:color w:val="000000"/>
        </w:rPr>
        <w:drawing>
          <wp:inline distT="0" distB="0" distL="0" distR="0" wp14:anchorId="5A589E30" wp14:editId="14B98CA1">
            <wp:extent cx="5153452" cy="3493827"/>
            <wp:effectExtent l="0" t="0" r="9525" b="11430"/>
            <wp:docPr id="87" name="Gráfico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66C7D" w:rsidRPr="009B1CA3" w:rsidRDefault="00166C7D" w:rsidP="00166C7D">
      <w:pPr>
        <w:autoSpaceDE w:val="0"/>
        <w:autoSpaceDN w:val="0"/>
        <w:adjustRightInd w:val="0"/>
        <w:spacing w:line="360" w:lineRule="auto"/>
        <w:jc w:val="both"/>
        <w:rPr>
          <w:sz w:val="16"/>
          <w:szCs w:val="16"/>
        </w:rPr>
      </w:pPr>
      <w:r w:rsidRPr="00696DE7">
        <w:rPr>
          <w:rFonts w:eastAsia="Calibri"/>
          <w:color w:val="000000"/>
          <w:lang w:val="es-ES" w:eastAsia="en-US"/>
        </w:rPr>
        <w:tab/>
      </w:r>
      <w:r w:rsidRPr="009B1CA3">
        <w:rPr>
          <w:sz w:val="16"/>
          <w:szCs w:val="16"/>
        </w:rPr>
        <w:t xml:space="preserve">Fuente: </w:t>
      </w:r>
      <w:r w:rsidRPr="009B1CA3">
        <w:rPr>
          <w:rFonts w:eastAsia="Calibri"/>
          <w:sz w:val="16"/>
          <w:szCs w:val="16"/>
          <w:lang w:val="es-ES" w:eastAsia="en-US"/>
        </w:rPr>
        <w:t>Departamento Administrativo Nacional de Estadísticas</w:t>
      </w:r>
    </w:p>
    <w:p w:rsidR="00166C7D" w:rsidRDefault="00166C7D" w:rsidP="00166C7D">
      <w:pPr>
        <w:spacing w:line="360" w:lineRule="auto"/>
        <w:ind w:left="102" w:right="79"/>
        <w:jc w:val="center"/>
        <w:rPr>
          <w:rFonts w:eastAsia="Arial"/>
        </w:rPr>
      </w:pPr>
    </w:p>
    <w:p w:rsidR="009B1CA3" w:rsidRDefault="009B1CA3" w:rsidP="00166C7D">
      <w:pPr>
        <w:spacing w:line="360" w:lineRule="auto"/>
        <w:ind w:left="102" w:right="79"/>
        <w:jc w:val="center"/>
        <w:rPr>
          <w:rFonts w:eastAsia="Arial"/>
        </w:rPr>
      </w:pPr>
    </w:p>
    <w:p w:rsidR="00166C7D" w:rsidRPr="007D317C" w:rsidRDefault="00166C7D" w:rsidP="00166C7D">
      <w:pPr>
        <w:ind w:right="79"/>
        <w:rPr>
          <w:rFonts w:eastAsia="Arial"/>
        </w:rPr>
      </w:pPr>
      <w:r w:rsidRPr="007D317C">
        <w:rPr>
          <w:rFonts w:eastAsia="Arial"/>
        </w:rPr>
        <w:t>Tabla 11.6</w:t>
      </w:r>
    </w:p>
    <w:p w:rsidR="00166C7D" w:rsidRPr="007D317C" w:rsidRDefault="00166C7D" w:rsidP="00166C7D">
      <w:pPr>
        <w:rPr>
          <w:color w:val="212121"/>
        </w:rPr>
      </w:pPr>
      <w:r w:rsidRPr="007D317C">
        <w:rPr>
          <w:color w:val="212121"/>
        </w:rPr>
        <w:t>Proyecciones de Población Ocupada por Nivel Educativo</w:t>
      </w:r>
    </w:p>
    <w:p w:rsidR="00166C7D" w:rsidRPr="007D317C" w:rsidRDefault="00166C7D" w:rsidP="00166C7D">
      <w:pPr>
        <w:rPr>
          <w:rFonts w:eastAsia="Arial"/>
        </w:rPr>
      </w:pPr>
      <w:r w:rsidRPr="007D317C">
        <w:rPr>
          <w:rFonts w:eastAsia="Arial"/>
        </w:rPr>
        <w:t>2013</w:t>
      </w:r>
    </w:p>
    <w:p w:rsidR="00166C7D" w:rsidRPr="00696DE7" w:rsidRDefault="00166C7D" w:rsidP="00166C7D">
      <w:pPr>
        <w:jc w:val="center"/>
        <w:rPr>
          <w:b/>
          <w:sz w:val="18"/>
          <w:szCs w:val="18"/>
        </w:rPr>
      </w:pPr>
    </w:p>
    <w:tbl>
      <w:tblPr>
        <w:tblW w:w="9257" w:type="dxa"/>
        <w:tblInd w:w="57" w:type="dxa"/>
        <w:tblBorders>
          <w:top w:val="single" w:sz="4" w:space="0" w:color="auto"/>
          <w:bottom w:val="single" w:sz="4" w:space="0" w:color="auto"/>
          <w:insideH w:val="double" w:sz="4" w:space="0" w:color="auto"/>
        </w:tblBorders>
        <w:tblCellMar>
          <w:left w:w="70" w:type="dxa"/>
          <w:right w:w="70" w:type="dxa"/>
        </w:tblCellMar>
        <w:tblLook w:val="04A0" w:firstRow="1" w:lastRow="0" w:firstColumn="1" w:lastColumn="0" w:noHBand="0" w:noVBand="1"/>
      </w:tblPr>
      <w:tblGrid>
        <w:gridCol w:w="867"/>
        <w:gridCol w:w="774"/>
        <w:gridCol w:w="804"/>
        <w:gridCol w:w="993"/>
        <w:gridCol w:w="985"/>
        <w:gridCol w:w="1014"/>
        <w:gridCol w:w="1014"/>
        <w:gridCol w:w="993"/>
        <w:gridCol w:w="995"/>
        <w:gridCol w:w="818"/>
      </w:tblGrid>
      <w:tr w:rsidR="00166C7D" w:rsidRPr="00696DE7" w:rsidTr="00446848">
        <w:trPr>
          <w:trHeight w:val="872"/>
        </w:trPr>
        <w:tc>
          <w:tcPr>
            <w:tcW w:w="867" w:type="dxa"/>
            <w:shd w:val="clear" w:color="auto" w:fill="auto"/>
            <w:vAlign w:val="center"/>
            <w:hideMark/>
          </w:tcPr>
          <w:p w:rsidR="00166C7D" w:rsidRPr="00696DE7" w:rsidRDefault="00166C7D" w:rsidP="00575447">
            <w:pPr>
              <w:spacing w:line="360" w:lineRule="auto"/>
              <w:jc w:val="center"/>
              <w:rPr>
                <w:b/>
                <w:bCs/>
                <w:color w:val="000000"/>
                <w:sz w:val="18"/>
                <w:szCs w:val="18"/>
                <w:lang w:val="es-ES"/>
              </w:rPr>
            </w:pPr>
            <w:r w:rsidRPr="00696DE7">
              <w:rPr>
                <w:b/>
                <w:bCs/>
                <w:color w:val="000000"/>
                <w:sz w:val="18"/>
                <w:szCs w:val="18"/>
                <w:lang w:val="es-ES"/>
              </w:rPr>
              <w:t>DEPTO</w:t>
            </w:r>
          </w:p>
        </w:tc>
        <w:tc>
          <w:tcPr>
            <w:tcW w:w="774" w:type="dxa"/>
            <w:shd w:val="clear" w:color="auto" w:fill="auto"/>
            <w:vAlign w:val="center"/>
            <w:hideMark/>
          </w:tcPr>
          <w:p w:rsidR="00166C7D" w:rsidRPr="00696DE7" w:rsidRDefault="00166C7D" w:rsidP="00575447">
            <w:pPr>
              <w:spacing w:line="360" w:lineRule="auto"/>
              <w:jc w:val="center"/>
              <w:rPr>
                <w:b/>
                <w:bCs/>
                <w:color w:val="000000"/>
                <w:sz w:val="18"/>
                <w:szCs w:val="18"/>
                <w:lang w:val="es-ES"/>
              </w:rPr>
            </w:pPr>
            <w:r w:rsidRPr="00696DE7">
              <w:rPr>
                <w:b/>
                <w:bCs/>
                <w:color w:val="000000"/>
                <w:sz w:val="18"/>
                <w:szCs w:val="18"/>
                <w:lang w:val="es-ES"/>
              </w:rPr>
              <w:t>TOTAL</w:t>
            </w:r>
          </w:p>
        </w:tc>
        <w:tc>
          <w:tcPr>
            <w:tcW w:w="804" w:type="dxa"/>
            <w:shd w:val="clear" w:color="auto" w:fill="auto"/>
            <w:vAlign w:val="center"/>
            <w:hideMark/>
          </w:tcPr>
          <w:p w:rsidR="00166C7D" w:rsidRPr="00696DE7" w:rsidRDefault="00166C7D" w:rsidP="00575447">
            <w:pPr>
              <w:spacing w:line="360" w:lineRule="auto"/>
              <w:jc w:val="center"/>
              <w:rPr>
                <w:b/>
                <w:bCs/>
                <w:color w:val="000000"/>
                <w:sz w:val="18"/>
                <w:szCs w:val="18"/>
                <w:lang w:val="es-ES"/>
              </w:rPr>
            </w:pPr>
            <w:r w:rsidRPr="00696DE7">
              <w:rPr>
                <w:b/>
                <w:bCs/>
                <w:color w:val="000000"/>
                <w:sz w:val="18"/>
                <w:szCs w:val="18"/>
                <w:lang w:val="es-ES"/>
              </w:rPr>
              <w:t>Ninguno</w:t>
            </w:r>
          </w:p>
        </w:tc>
        <w:tc>
          <w:tcPr>
            <w:tcW w:w="993" w:type="dxa"/>
            <w:shd w:val="clear" w:color="auto" w:fill="auto"/>
            <w:vAlign w:val="center"/>
            <w:hideMark/>
          </w:tcPr>
          <w:p w:rsidR="00166C7D" w:rsidRPr="00696DE7" w:rsidRDefault="00166C7D" w:rsidP="00575447">
            <w:pPr>
              <w:spacing w:line="360" w:lineRule="auto"/>
              <w:jc w:val="center"/>
              <w:rPr>
                <w:b/>
                <w:bCs/>
                <w:color w:val="000000"/>
                <w:sz w:val="18"/>
                <w:szCs w:val="18"/>
                <w:lang w:val="es-ES"/>
              </w:rPr>
            </w:pPr>
            <w:r w:rsidRPr="00696DE7">
              <w:rPr>
                <w:b/>
                <w:bCs/>
                <w:color w:val="000000"/>
                <w:sz w:val="18"/>
                <w:szCs w:val="18"/>
                <w:lang w:val="es-ES"/>
              </w:rPr>
              <w:t>Primaria incompleta</w:t>
            </w:r>
          </w:p>
        </w:tc>
        <w:tc>
          <w:tcPr>
            <w:tcW w:w="985" w:type="dxa"/>
            <w:shd w:val="clear" w:color="auto" w:fill="auto"/>
            <w:vAlign w:val="center"/>
            <w:hideMark/>
          </w:tcPr>
          <w:p w:rsidR="00166C7D" w:rsidRPr="00696DE7" w:rsidRDefault="00166C7D" w:rsidP="00575447">
            <w:pPr>
              <w:spacing w:line="360" w:lineRule="auto"/>
              <w:jc w:val="center"/>
              <w:rPr>
                <w:b/>
                <w:bCs/>
                <w:color w:val="000000"/>
                <w:sz w:val="18"/>
                <w:szCs w:val="18"/>
                <w:lang w:val="es-ES"/>
              </w:rPr>
            </w:pPr>
            <w:r w:rsidRPr="00696DE7">
              <w:rPr>
                <w:b/>
                <w:bCs/>
                <w:color w:val="000000"/>
                <w:sz w:val="18"/>
                <w:szCs w:val="18"/>
                <w:lang w:val="es-ES"/>
              </w:rPr>
              <w:t>Primaria completa</w:t>
            </w:r>
          </w:p>
        </w:tc>
        <w:tc>
          <w:tcPr>
            <w:tcW w:w="1014" w:type="dxa"/>
            <w:shd w:val="clear" w:color="auto" w:fill="auto"/>
            <w:vAlign w:val="center"/>
            <w:hideMark/>
          </w:tcPr>
          <w:p w:rsidR="00166C7D" w:rsidRPr="00696DE7" w:rsidRDefault="00166C7D" w:rsidP="00575447">
            <w:pPr>
              <w:spacing w:line="360" w:lineRule="auto"/>
              <w:jc w:val="center"/>
              <w:rPr>
                <w:b/>
                <w:bCs/>
                <w:color w:val="000000"/>
                <w:sz w:val="18"/>
                <w:szCs w:val="18"/>
                <w:lang w:val="es-ES"/>
              </w:rPr>
            </w:pPr>
            <w:r w:rsidRPr="00696DE7">
              <w:rPr>
                <w:b/>
                <w:bCs/>
                <w:color w:val="000000"/>
                <w:sz w:val="18"/>
                <w:szCs w:val="18"/>
                <w:lang w:val="es-ES"/>
              </w:rPr>
              <w:t>Secundaria incompleta</w:t>
            </w:r>
          </w:p>
        </w:tc>
        <w:tc>
          <w:tcPr>
            <w:tcW w:w="1014" w:type="dxa"/>
            <w:shd w:val="clear" w:color="auto" w:fill="auto"/>
            <w:vAlign w:val="center"/>
            <w:hideMark/>
          </w:tcPr>
          <w:p w:rsidR="00166C7D" w:rsidRPr="00696DE7" w:rsidRDefault="00166C7D" w:rsidP="00575447">
            <w:pPr>
              <w:spacing w:line="360" w:lineRule="auto"/>
              <w:jc w:val="center"/>
              <w:rPr>
                <w:b/>
                <w:bCs/>
                <w:color w:val="000000"/>
                <w:sz w:val="18"/>
                <w:szCs w:val="18"/>
                <w:lang w:val="es-ES"/>
              </w:rPr>
            </w:pPr>
            <w:r w:rsidRPr="00696DE7">
              <w:rPr>
                <w:b/>
                <w:bCs/>
                <w:color w:val="000000"/>
                <w:sz w:val="18"/>
                <w:szCs w:val="18"/>
                <w:lang w:val="es-ES"/>
              </w:rPr>
              <w:t>Secundaria completa</w:t>
            </w:r>
          </w:p>
        </w:tc>
        <w:tc>
          <w:tcPr>
            <w:tcW w:w="993" w:type="dxa"/>
            <w:shd w:val="clear" w:color="auto" w:fill="auto"/>
            <w:vAlign w:val="center"/>
            <w:hideMark/>
          </w:tcPr>
          <w:p w:rsidR="00166C7D" w:rsidRPr="00696DE7" w:rsidRDefault="00166C7D" w:rsidP="00575447">
            <w:pPr>
              <w:spacing w:line="360" w:lineRule="auto"/>
              <w:jc w:val="center"/>
              <w:rPr>
                <w:b/>
                <w:bCs/>
                <w:color w:val="000000"/>
                <w:sz w:val="18"/>
                <w:szCs w:val="18"/>
                <w:lang w:val="es-ES"/>
              </w:rPr>
            </w:pPr>
            <w:r w:rsidRPr="00696DE7">
              <w:rPr>
                <w:b/>
                <w:bCs/>
                <w:color w:val="000000"/>
                <w:sz w:val="18"/>
                <w:szCs w:val="18"/>
                <w:lang w:val="es-ES"/>
              </w:rPr>
              <w:t>Superior incompleta</w:t>
            </w:r>
          </w:p>
        </w:tc>
        <w:tc>
          <w:tcPr>
            <w:tcW w:w="995" w:type="dxa"/>
            <w:shd w:val="clear" w:color="auto" w:fill="auto"/>
            <w:vAlign w:val="center"/>
            <w:hideMark/>
          </w:tcPr>
          <w:p w:rsidR="00166C7D" w:rsidRPr="00696DE7" w:rsidRDefault="00166C7D" w:rsidP="00575447">
            <w:pPr>
              <w:spacing w:line="360" w:lineRule="auto"/>
              <w:jc w:val="center"/>
              <w:rPr>
                <w:b/>
                <w:bCs/>
                <w:color w:val="000000"/>
                <w:sz w:val="18"/>
                <w:szCs w:val="18"/>
                <w:lang w:val="es-ES"/>
              </w:rPr>
            </w:pPr>
            <w:r w:rsidRPr="00696DE7">
              <w:rPr>
                <w:b/>
                <w:bCs/>
                <w:color w:val="000000"/>
                <w:sz w:val="18"/>
                <w:szCs w:val="18"/>
                <w:lang w:val="es-ES"/>
              </w:rPr>
              <w:t>Superior completa</w:t>
            </w:r>
          </w:p>
        </w:tc>
        <w:tc>
          <w:tcPr>
            <w:tcW w:w="818" w:type="dxa"/>
            <w:shd w:val="clear" w:color="auto" w:fill="auto"/>
            <w:vAlign w:val="center"/>
            <w:hideMark/>
          </w:tcPr>
          <w:p w:rsidR="00166C7D" w:rsidRPr="00696DE7" w:rsidRDefault="00166C7D" w:rsidP="00575447">
            <w:pPr>
              <w:spacing w:line="360" w:lineRule="auto"/>
              <w:jc w:val="center"/>
              <w:rPr>
                <w:b/>
                <w:bCs/>
                <w:color w:val="000000"/>
                <w:sz w:val="18"/>
                <w:szCs w:val="18"/>
                <w:lang w:val="es-ES"/>
              </w:rPr>
            </w:pPr>
            <w:r w:rsidRPr="00696DE7">
              <w:rPr>
                <w:b/>
                <w:bCs/>
                <w:color w:val="000000"/>
                <w:sz w:val="18"/>
                <w:szCs w:val="18"/>
                <w:lang w:val="es-ES"/>
              </w:rPr>
              <w:t>No informa</w:t>
            </w:r>
          </w:p>
        </w:tc>
      </w:tr>
      <w:tr w:rsidR="00166C7D" w:rsidRPr="00696DE7" w:rsidTr="00446848">
        <w:trPr>
          <w:trHeight w:val="613"/>
        </w:trPr>
        <w:tc>
          <w:tcPr>
            <w:tcW w:w="867" w:type="dxa"/>
            <w:shd w:val="clear" w:color="auto" w:fill="auto"/>
            <w:vAlign w:val="center"/>
            <w:hideMark/>
          </w:tcPr>
          <w:p w:rsidR="00166C7D" w:rsidRPr="00696DE7" w:rsidRDefault="00166C7D" w:rsidP="00DE76DA">
            <w:pPr>
              <w:jc w:val="center"/>
              <w:rPr>
                <w:b/>
                <w:bCs/>
                <w:color w:val="000000"/>
                <w:sz w:val="18"/>
                <w:szCs w:val="18"/>
                <w:lang w:val="es-ES"/>
              </w:rPr>
            </w:pPr>
            <w:r w:rsidRPr="00696DE7">
              <w:rPr>
                <w:b/>
                <w:bCs/>
                <w:color w:val="000000"/>
                <w:sz w:val="18"/>
                <w:szCs w:val="18"/>
                <w:lang w:val="es-ES"/>
              </w:rPr>
              <w:t>Quindío</w:t>
            </w:r>
          </w:p>
        </w:tc>
        <w:tc>
          <w:tcPr>
            <w:tcW w:w="774" w:type="dxa"/>
            <w:shd w:val="clear" w:color="auto" w:fill="auto"/>
            <w:vAlign w:val="center"/>
            <w:hideMark/>
          </w:tcPr>
          <w:p w:rsidR="00166C7D" w:rsidRPr="00696DE7" w:rsidRDefault="00166C7D" w:rsidP="00DE76DA">
            <w:pPr>
              <w:jc w:val="center"/>
              <w:rPr>
                <w:color w:val="000000"/>
                <w:sz w:val="18"/>
                <w:szCs w:val="18"/>
                <w:lang w:val="es-ES"/>
              </w:rPr>
            </w:pPr>
            <w:r w:rsidRPr="00696DE7">
              <w:rPr>
                <w:color w:val="000000"/>
                <w:sz w:val="18"/>
                <w:szCs w:val="18"/>
                <w:lang w:val="es-ES"/>
              </w:rPr>
              <w:t>238.656</w:t>
            </w:r>
          </w:p>
        </w:tc>
        <w:tc>
          <w:tcPr>
            <w:tcW w:w="804" w:type="dxa"/>
            <w:shd w:val="clear" w:color="auto" w:fill="auto"/>
            <w:vAlign w:val="center"/>
            <w:hideMark/>
          </w:tcPr>
          <w:p w:rsidR="00166C7D" w:rsidRPr="00696DE7" w:rsidRDefault="00166C7D" w:rsidP="00DE76DA">
            <w:pPr>
              <w:jc w:val="center"/>
              <w:rPr>
                <w:color w:val="000000"/>
                <w:sz w:val="18"/>
                <w:szCs w:val="18"/>
                <w:lang w:val="es-ES"/>
              </w:rPr>
            </w:pPr>
            <w:r w:rsidRPr="00696DE7">
              <w:rPr>
                <w:color w:val="000000"/>
                <w:sz w:val="18"/>
                <w:szCs w:val="18"/>
                <w:lang w:val="es-ES"/>
              </w:rPr>
              <w:t>9.591</w:t>
            </w:r>
          </w:p>
        </w:tc>
        <w:tc>
          <w:tcPr>
            <w:tcW w:w="993" w:type="dxa"/>
            <w:shd w:val="clear" w:color="auto" w:fill="auto"/>
            <w:vAlign w:val="center"/>
            <w:hideMark/>
          </w:tcPr>
          <w:p w:rsidR="00166C7D" w:rsidRPr="00696DE7" w:rsidRDefault="00166C7D" w:rsidP="00DE76DA">
            <w:pPr>
              <w:jc w:val="center"/>
              <w:rPr>
                <w:color w:val="000000"/>
                <w:sz w:val="18"/>
                <w:szCs w:val="18"/>
                <w:lang w:val="es-ES"/>
              </w:rPr>
            </w:pPr>
            <w:r w:rsidRPr="00696DE7">
              <w:rPr>
                <w:color w:val="000000"/>
                <w:sz w:val="18"/>
                <w:szCs w:val="18"/>
                <w:lang w:val="es-ES"/>
              </w:rPr>
              <w:t>33.538</w:t>
            </w:r>
          </w:p>
        </w:tc>
        <w:tc>
          <w:tcPr>
            <w:tcW w:w="985" w:type="dxa"/>
            <w:shd w:val="clear" w:color="auto" w:fill="auto"/>
            <w:vAlign w:val="center"/>
            <w:hideMark/>
          </w:tcPr>
          <w:p w:rsidR="00166C7D" w:rsidRPr="00696DE7" w:rsidRDefault="00166C7D" w:rsidP="00DE76DA">
            <w:pPr>
              <w:jc w:val="center"/>
              <w:rPr>
                <w:color w:val="000000"/>
                <w:sz w:val="18"/>
                <w:szCs w:val="18"/>
                <w:lang w:val="es-ES"/>
              </w:rPr>
            </w:pPr>
            <w:r w:rsidRPr="00696DE7">
              <w:rPr>
                <w:color w:val="000000"/>
                <w:sz w:val="18"/>
                <w:szCs w:val="18"/>
                <w:lang w:val="es-ES"/>
              </w:rPr>
              <w:t>30.631</w:t>
            </w:r>
          </w:p>
        </w:tc>
        <w:tc>
          <w:tcPr>
            <w:tcW w:w="1014" w:type="dxa"/>
            <w:shd w:val="clear" w:color="auto" w:fill="auto"/>
            <w:vAlign w:val="center"/>
            <w:hideMark/>
          </w:tcPr>
          <w:p w:rsidR="00166C7D" w:rsidRPr="00696DE7" w:rsidRDefault="00166C7D" w:rsidP="00DE76DA">
            <w:pPr>
              <w:jc w:val="center"/>
              <w:rPr>
                <w:color w:val="000000"/>
                <w:sz w:val="18"/>
                <w:szCs w:val="18"/>
                <w:lang w:val="es-ES"/>
              </w:rPr>
            </w:pPr>
            <w:r w:rsidRPr="00696DE7">
              <w:rPr>
                <w:color w:val="000000"/>
                <w:sz w:val="18"/>
                <w:szCs w:val="18"/>
                <w:lang w:val="es-ES"/>
              </w:rPr>
              <w:t>47.167</w:t>
            </w:r>
          </w:p>
        </w:tc>
        <w:tc>
          <w:tcPr>
            <w:tcW w:w="1014" w:type="dxa"/>
            <w:shd w:val="clear" w:color="auto" w:fill="auto"/>
            <w:vAlign w:val="center"/>
            <w:hideMark/>
          </w:tcPr>
          <w:p w:rsidR="00166C7D" w:rsidRPr="00696DE7" w:rsidRDefault="00166C7D" w:rsidP="00DE76DA">
            <w:pPr>
              <w:jc w:val="center"/>
              <w:rPr>
                <w:color w:val="000000"/>
                <w:sz w:val="18"/>
                <w:szCs w:val="18"/>
                <w:lang w:val="es-ES"/>
              </w:rPr>
            </w:pPr>
            <w:r w:rsidRPr="00696DE7">
              <w:rPr>
                <w:color w:val="000000"/>
                <w:sz w:val="18"/>
                <w:szCs w:val="18"/>
                <w:lang w:val="es-ES"/>
              </w:rPr>
              <w:t>60.616</w:t>
            </w:r>
          </w:p>
        </w:tc>
        <w:tc>
          <w:tcPr>
            <w:tcW w:w="993" w:type="dxa"/>
            <w:shd w:val="clear" w:color="auto" w:fill="auto"/>
            <w:vAlign w:val="center"/>
            <w:hideMark/>
          </w:tcPr>
          <w:p w:rsidR="00166C7D" w:rsidRPr="00696DE7" w:rsidRDefault="00166C7D" w:rsidP="00DE76DA">
            <w:pPr>
              <w:jc w:val="center"/>
              <w:rPr>
                <w:color w:val="000000"/>
                <w:sz w:val="18"/>
                <w:szCs w:val="18"/>
                <w:lang w:val="es-ES"/>
              </w:rPr>
            </w:pPr>
            <w:r w:rsidRPr="00696DE7">
              <w:rPr>
                <w:color w:val="000000"/>
                <w:sz w:val="18"/>
                <w:szCs w:val="18"/>
                <w:lang w:val="es-ES"/>
              </w:rPr>
              <w:t>31.417</w:t>
            </w:r>
          </w:p>
        </w:tc>
        <w:tc>
          <w:tcPr>
            <w:tcW w:w="995" w:type="dxa"/>
            <w:shd w:val="clear" w:color="auto" w:fill="auto"/>
            <w:vAlign w:val="center"/>
            <w:hideMark/>
          </w:tcPr>
          <w:p w:rsidR="00166C7D" w:rsidRPr="00696DE7" w:rsidRDefault="00166C7D" w:rsidP="00DE76DA">
            <w:pPr>
              <w:jc w:val="center"/>
              <w:rPr>
                <w:color w:val="000000"/>
                <w:sz w:val="18"/>
                <w:szCs w:val="18"/>
                <w:lang w:val="es-ES"/>
              </w:rPr>
            </w:pPr>
            <w:r w:rsidRPr="00696DE7">
              <w:rPr>
                <w:color w:val="000000"/>
                <w:sz w:val="18"/>
                <w:szCs w:val="18"/>
                <w:lang w:val="es-ES"/>
              </w:rPr>
              <w:t>25.696</w:t>
            </w:r>
          </w:p>
        </w:tc>
        <w:tc>
          <w:tcPr>
            <w:tcW w:w="818" w:type="dxa"/>
            <w:shd w:val="clear" w:color="auto" w:fill="auto"/>
            <w:vAlign w:val="center"/>
            <w:hideMark/>
          </w:tcPr>
          <w:p w:rsidR="00166C7D" w:rsidRPr="00696DE7" w:rsidRDefault="00166C7D" w:rsidP="00DE76DA">
            <w:pPr>
              <w:jc w:val="center"/>
              <w:rPr>
                <w:color w:val="000000"/>
                <w:sz w:val="18"/>
                <w:szCs w:val="18"/>
                <w:lang w:val="es-ES"/>
              </w:rPr>
            </w:pPr>
            <w:r w:rsidRPr="00696DE7">
              <w:rPr>
                <w:color w:val="000000"/>
                <w:sz w:val="18"/>
                <w:szCs w:val="18"/>
                <w:lang w:val="es-ES"/>
              </w:rPr>
              <w:t>-</w:t>
            </w:r>
          </w:p>
        </w:tc>
      </w:tr>
    </w:tbl>
    <w:p w:rsidR="00166C7D" w:rsidRPr="00696DE7" w:rsidRDefault="00166C7D" w:rsidP="00166C7D">
      <w:pPr>
        <w:autoSpaceDE w:val="0"/>
        <w:autoSpaceDN w:val="0"/>
        <w:adjustRightInd w:val="0"/>
        <w:spacing w:line="360" w:lineRule="auto"/>
        <w:jc w:val="both"/>
        <w:rPr>
          <w:rFonts w:eastAsia="Calibri"/>
          <w:sz w:val="16"/>
          <w:szCs w:val="16"/>
          <w:lang w:val="es-ES" w:eastAsia="en-US"/>
        </w:rPr>
      </w:pPr>
      <w:r w:rsidRPr="00284113">
        <w:rPr>
          <w:sz w:val="16"/>
          <w:szCs w:val="16"/>
        </w:rPr>
        <w:t>Fuente:</w:t>
      </w:r>
      <w:r w:rsidRPr="00696DE7">
        <w:rPr>
          <w:sz w:val="16"/>
          <w:szCs w:val="16"/>
        </w:rPr>
        <w:t xml:space="preserve"> </w:t>
      </w:r>
      <w:r w:rsidRPr="00696DE7">
        <w:rPr>
          <w:rFonts w:eastAsia="Calibri"/>
          <w:sz w:val="16"/>
          <w:szCs w:val="16"/>
          <w:lang w:val="es-ES" w:eastAsia="en-US"/>
        </w:rPr>
        <w:t>Departamento Administrativo Nacional de Estadísticas</w:t>
      </w:r>
    </w:p>
    <w:p w:rsidR="00166C7D" w:rsidRPr="00696DE7" w:rsidRDefault="00166C7D" w:rsidP="00166C7D">
      <w:pPr>
        <w:autoSpaceDE w:val="0"/>
        <w:autoSpaceDN w:val="0"/>
        <w:adjustRightInd w:val="0"/>
        <w:spacing w:line="360" w:lineRule="auto"/>
        <w:jc w:val="both"/>
        <w:rPr>
          <w:rFonts w:eastAsia="Calibri"/>
          <w:color w:val="000000"/>
          <w:lang w:val="es-ES" w:eastAsia="en-US"/>
        </w:rPr>
      </w:pPr>
    </w:p>
    <w:p w:rsidR="00166C7D" w:rsidRDefault="00166C7D" w:rsidP="00166C7D">
      <w:pPr>
        <w:autoSpaceDE w:val="0"/>
        <w:autoSpaceDN w:val="0"/>
        <w:adjustRightInd w:val="0"/>
        <w:spacing w:line="360" w:lineRule="auto"/>
        <w:jc w:val="both"/>
        <w:rPr>
          <w:rFonts w:eastAsia="Calibri"/>
          <w:color w:val="000000"/>
          <w:lang w:val="es-ES" w:eastAsia="en-US"/>
        </w:rPr>
      </w:pPr>
    </w:p>
    <w:p w:rsidR="00446848" w:rsidRDefault="00446848" w:rsidP="00166C7D">
      <w:pPr>
        <w:autoSpaceDE w:val="0"/>
        <w:autoSpaceDN w:val="0"/>
        <w:adjustRightInd w:val="0"/>
        <w:spacing w:line="360" w:lineRule="auto"/>
        <w:jc w:val="both"/>
        <w:rPr>
          <w:rFonts w:eastAsia="Calibri"/>
          <w:color w:val="000000"/>
          <w:lang w:val="es-ES" w:eastAsia="en-US"/>
        </w:rPr>
      </w:pPr>
    </w:p>
    <w:p w:rsidR="00446848" w:rsidRDefault="00446848" w:rsidP="00166C7D">
      <w:pPr>
        <w:autoSpaceDE w:val="0"/>
        <w:autoSpaceDN w:val="0"/>
        <w:adjustRightInd w:val="0"/>
        <w:spacing w:line="360" w:lineRule="auto"/>
        <w:jc w:val="both"/>
        <w:rPr>
          <w:rFonts w:eastAsia="Calibri"/>
          <w:color w:val="000000"/>
          <w:lang w:val="es-ES" w:eastAsia="en-US"/>
        </w:rPr>
      </w:pPr>
    </w:p>
    <w:p w:rsidR="00166C7D" w:rsidRPr="008C2668" w:rsidRDefault="00166C7D" w:rsidP="00166C7D">
      <w:pPr>
        <w:ind w:right="301"/>
      </w:pPr>
      <w:r w:rsidRPr="008C2668">
        <w:lastRenderedPageBreak/>
        <w:t>Gráfico 11.8</w:t>
      </w:r>
    </w:p>
    <w:p w:rsidR="00166C7D" w:rsidRPr="008C2668" w:rsidRDefault="00166C7D" w:rsidP="00166C7D">
      <w:pPr>
        <w:autoSpaceDE w:val="0"/>
        <w:autoSpaceDN w:val="0"/>
        <w:adjustRightInd w:val="0"/>
      </w:pPr>
      <w:r w:rsidRPr="008C2668">
        <w:t xml:space="preserve">Población Ocupada por Nivel Educativo </w:t>
      </w:r>
    </w:p>
    <w:p w:rsidR="00166C7D" w:rsidRPr="008C2668" w:rsidRDefault="00166C7D" w:rsidP="00166C7D">
      <w:pPr>
        <w:autoSpaceDE w:val="0"/>
        <w:autoSpaceDN w:val="0"/>
        <w:adjustRightInd w:val="0"/>
      </w:pPr>
      <w:r w:rsidRPr="008C2668">
        <w:t>2013</w:t>
      </w:r>
    </w:p>
    <w:p w:rsidR="00166C7D" w:rsidRPr="00696DE7" w:rsidRDefault="00166C7D" w:rsidP="00166C7D">
      <w:pPr>
        <w:autoSpaceDE w:val="0"/>
        <w:autoSpaceDN w:val="0"/>
        <w:adjustRightInd w:val="0"/>
        <w:spacing w:line="360" w:lineRule="auto"/>
        <w:jc w:val="center"/>
      </w:pPr>
      <w:r w:rsidRPr="00696DE7">
        <w:rPr>
          <w:noProof/>
        </w:rPr>
        <w:drawing>
          <wp:anchor distT="0" distB="0" distL="114300" distR="114300" simplePos="0" relativeHeight="251675648" behindDoc="1" locked="0" layoutInCell="1" allowOverlap="1" wp14:anchorId="2D54B343" wp14:editId="256DE2B7">
            <wp:simplePos x="0" y="0"/>
            <wp:positionH relativeFrom="column">
              <wp:posOffset>-6350</wp:posOffset>
            </wp:positionH>
            <wp:positionV relativeFrom="paragraph">
              <wp:posOffset>178435</wp:posOffset>
            </wp:positionV>
            <wp:extent cx="3132455" cy="1890395"/>
            <wp:effectExtent l="0" t="0" r="10795" b="14605"/>
            <wp:wrapNone/>
            <wp:docPr id="8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r w:rsidRPr="00696DE7">
        <w:rPr>
          <w:noProof/>
        </w:rPr>
        <w:drawing>
          <wp:anchor distT="0" distB="0" distL="114300" distR="114300" simplePos="0" relativeHeight="251676672" behindDoc="1" locked="0" layoutInCell="1" allowOverlap="1" wp14:anchorId="039F4400" wp14:editId="10006C59">
            <wp:simplePos x="0" y="0"/>
            <wp:positionH relativeFrom="column">
              <wp:posOffset>3251835</wp:posOffset>
            </wp:positionH>
            <wp:positionV relativeFrom="paragraph">
              <wp:posOffset>175260</wp:posOffset>
            </wp:positionV>
            <wp:extent cx="2893036" cy="1890620"/>
            <wp:effectExtent l="0" t="0" r="22225" b="14605"/>
            <wp:wrapTight wrapText="bothSides">
              <wp:wrapPolygon edited="0">
                <wp:start x="142" y="0"/>
                <wp:lineTo x="0" y="653"/>
                <wp:lineTo x="0" y="20896"/>
                <wp:lineTo x="142" y="21549"/>
                <wp:lineTo x="21481" y="21549"/>
                <wp:lineTo x="21624" y="21114"/>
                <wp:lineTo x="21624" y="435"/>
                <wp:lineTo x="21339" y="0"/>
                <wp:lineTo x="142" y="0"/>
              </wp:wrapPolygon>
            </wp:wrapTight>
            <wp:docPr id="8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p>
    <w:p w:rsidR="00166C7D" w:rsidRPr="00696DE7" w:rsidRDefault="00166C7D" w:rsidP="00166C7D">
      <w:pPr>
        <w:autoSpaceDE w:val="0"/>
        <w:autoSpaceDN w:val="0"/>
        <w:adjustRightInd w:val="0"/>
        <w:spacing w:line="360" w:lineRule="auto"/>
        <w:rPr>
          <w:rFonts w:eastAsia="Calibri"/>
          <w:color w:val="000000"/>
          <w:lang w:val="es-ES" w:eastAsia="en-US"/>
        </w:rPr>
      </w:pPr>
    </w:p>
    <w:p w:rsidR="00166C7D" w:rsidRPr="00696DE7" w:rsidRDefault="00166C7D" w:rsidP="00166C7D">
      <w:pPr>
        <w:autoSpaceDE w:val="0"/>
        <w:autoSpaceDN w:val="0"/>
        <w:adjustRightInd w:val="0"/>
        <w:spacing w:line="360" w:lineRule="auto"/>
        <w:ind w:firstLine="708"/>
        <w:rPr>
          <w:b/>
          <w:sz w:val="16"/>
          <w:szCs w:val="16"/>
        </w:rPr>
      </w:pPr>
    </w:p>
    <w:p w:rsidR="00166C7D" w:rsidRPr="00696DE7" w:rsidRDefault="00166C7D" w:rsidP="00166C7D">
      <w:pPr>
        <w:autoSpaceDE w:val="0"/>
        <w:autoSpaceDN w:val="0"/>
        <w:adjustRightInd w:val="0"/>
        <w:spacing w:line="360" w:lineRule="auto"/>
        <w:ind w:firstLine="708"/>
        <w:rPr>
          <w:b/>
          <w:sz w:val="16"/>
          <w:szCs w:val="16"/>
        </w:rPr>
      </w:pPr>
    </w:p>
    <w:p w:rsidR="00166C7D" w:rsidRPr="00696DE7" w:rsidRDefault="00166C7D" w:rsidP="00166C7D">
      <w:pPr>
        <w:autoSpaceDE w:val="0"/>
        <w:autoSpaceDN w:val="0"/>
        <w:adjustRightInd w:val="0"/>
        <w:spacing w:line="360" w:lineRule="auto"/>
        <w:ind w:firstLine="708"/>
        <w:rPr>
          <w:b/>
          <w:sz w:val="16"/>
          <w:szCs w:val="16"/>
        </w:rPr>
      </w:pPr>
    </w:p>
    <w:p w:rsidR="00166C7D" w:rsidRPr="00696DE7" w:rsidRDefault="00166C7D" w:rsidP="00166C7D">
      <w:pPr>
        <w:autoSpaceDE w:val="0"/>
        <w:autoSpaceDN w:val="0"/>
        <w:adjustRightInd w:val="0"/>
        <w:spacing w:line="360" w:lineRule="auto"/>
        <w:ind w:firstLine="708"/>
        <w:rPr>
          <w:b/>
          <w:sz w:val="16"/>
          <w:szCs w:val="16"/>
        </w:rPr>
      </w:pPr>
    </w:p>
    <w:p w:rsidR="00166C7D" w:rsidRPr="00696DE7" w:rsidRDefault="00166C7D" w:rsidP="00166C7D">
      <w:pPr>
        <w:autoSpaceDE w:val="0"/>
        <w:autoSpaceDN w:val="0"/>
        <w:adjustRightInd w:val="0"/>
        <w:spacing w:line="360" w:lineRule="auto"/>
        <w:ind w:firstLine="708"/>
        <w:rPr>
          <w:b/>
          <w:sz w:val="16"/>
          <w:szCs w:val="16"/>
        </w:rPr>
      </w:pPr>
    </w:p>
    <w:p w:rsidR="00166C7D" w:rsidRPr="00696DE7" w:rsidRDefault="00166C7D" w:rsidP="00166C7D">
      <w:pPr>
        <w:autoSpaceDE w:val="0"/>
        <w:autoSpaceDN w:val="0"/>
        <w:adjustRightInd w:val="0"/>
        <w:spacing w:line="360" w:lineRule="auto"/>
        <w:ind w:firstLine="708"/>
        <w:rPr>
          <w:b/>
          <w:sz w:val="16"/>
          <w:szCs w:val="16"/>
        </w:rPr>
      </w:pPr>
    </w:p>
    <w:p w:rsidR="00166C7D" w:rsidRPr="00696DE7" w:rsidRDefault="00166C7D" w:rsidP="00166C7D">
      <w:pPr>
        <w:autoSpaceDE w:val="0"/>
        <w:autoSpaceDN w:val="0"/>
        <w:adjustRightInd w:val="0"/>
        <w:spacing w:line="360" w:lineRule="auto"/>
        <w:ind w:firstLine="708"/>
        <w:rPr>
          <w:b/>
          <w:sz w:val="16"/>
          <w:szCs w:val="16"/>
        </w:rPr>
      </w:pPr>
    </w:p>
    <w:p w:rsidR="00166C7D" w:rsidRPr="00696DE7" w:rsidRDefault="00166C7D" w:rsidP="00166C7D">
      <w:pPr>
        <w:autoSpaceDE w:val="0"/>
        <w:autoSpaceDN w:val="0"/>
        <w:adjustRightInd w:val="0"/>
        <w:spacing w:line="360" w:lineRule="auto"/>
        <w:ind w:firstLine="708"/>
        <w:rPr>
          <w:b/>
          <w:sz w:val="16"/>
          <w:szCs w:val="16"/>
        </w:rPr>
      </w:pPr>
    </w:p>
    <w:p w:rsidR="00166C7D" w:rsidRPr="00696DE7" w:rsidRDefault="00166C7D" w:rsidP="00166C7D">
      <w:pPr>
        <w:autoSpaceDE w:val="0"/>
        <w:autoSpaceDN w:val="0"/>
        <w:adjustRightInd w:val="0"/>
        <w:spacing w:line="360" w:lineRule="auto"/>
        <w:ind w:firstLine="708"/>
        <w:rPr>
          <w:b/>
          <w:sz w:val="16"/>
          <w:szCs w:val="16"/>
        </w:rPr>
      </w:pPr>
    </w:p>
    <w:p w:rsidR="00166C7D" w:rsidRPr="00696DE7" w:rsidRDefault="00166C7D" w:rsidP="00166C7D">
      <w:pPr>
        <w:autoSpaceDE w:val="0"/>
        <w:autoSpaceDN w:val="0"/>
        <w:adjustRightInd w:val="0"/>
        <w:spacing w:line="360" w:lineRule="auto"/>
        <w:ind w:firstLine="708"/>
        <w:rPr>
          <w:rFonts w:eastAsia="Calibri"/>
          <w:sz w:val="16"/>
          <w:szCs w:val="16"/>
          <w:lang w:val="es-ES" w:eastAsia="en-US"/>
        </w:rPr>
      </w:pPr>
      <w:r w:rsidRPr="00284113">
        <w:rPr>
          <w:sz w:val="16"/>
          <w:szCs w:val="16"/>
        </w:rPr>
        <w:t>Fuente:</w:t>
      </w:r>
      <w:r w:rsidRPr="00696DE7">
        <w:rPr>
          <w:sz w:val="16"/>
          <w:szCs w:val="16"/>
        </w:rPr>
        <w:t xml:space="preserve"> </w:t>
      </w:r>
      <w:r w:rsidRPr="00696DE7">
        <w:rPr>
          <w:rFonts w:eastAsia="Calibri"/>
          <w:sz w:val="16"/>
          <w:szCs w:val="16"/>
          <w:lang w:val="es-ES" w:eastAsia="en-US"/>
        </w:rPr>
        <w:t>Departamento Administrativo Nacional de Estadísticas</w:t>
      </w:r>
    </w:p>
    <w:p w:rsidR="00166C7D" w:rsidRPr="00696DE7" w:rsidRDefault="00166C7D" w:rsidP="00166C7D">
      <w:pPr>
        <w:autoSpaceDE w:val="0"/>
        <w:autoSpaceDN w:val="0"/>
        <w:adjustRightInd w:val="0"/>
        <w:spacing w:line="360" w:lineRule="auto"/>
        <w:jc w:val="center"/>
        <w:rPr>
          <w:rFonts w:eastAsia="Calibri"/>
          <w:color w:val="000000"/>
          <w:lang w:val="es-ES" w:eastAsia="en-US"/>
        </w:rPr>
      </w:pPr>
    </w:p>
    <w:p w:rsidR="00166C7D" w:rsidRDefault="00166C7D" w:rsidP="00166C7D">
      <w:pPr>
        <w:autoSpaceDE w:val="0"/>
        <w:autoSpaceDN w:val="0"/>
        <w:adjustRightInd w:val="0"/>
        <w:spacing w:line="360" w:lineRule="auto"/>
        <w:jc w:val="both"/>
        <w:rPr>
          <w:b/>
          <w:sz w:val="18"/>
          <w:szCs w:val="18"/>
          <w:lang w:val="es-ES"/>
        </w:rPr>
      </w:pPr>
    </w:p>
    <w:p w:rsidR="00CD3D65" w:rsidRDefault="00C5369D" w:rsidP="00166C7D">
      <w:pPr>
        <w:autoSpaceDE w:val="0"/>
        <w:autoSpaceDN w:val="0"/>
        <w:adjustRightInd w:val="0"/>
        <w:spacing w:line="360" w:lineRule="auto"/>
        <w:ind w:firstLine="284"/>
        <w:jc w:val="both"/>
        <w:rPr>
          <w:rFonts w:eastAsia="Calibri"/>
          <w:lang w:val="es-ES" w:eastAsia="en-US"/>
        </w:rPr>
      </w:pPr>
      <w:r>
        <w:rPr>
          <w:rFonts w:eastAsia="Calibri"/>
          <w:lang w:val="es-ES" w:eastAsia="en-US"/>
        </w:rPr>
        <w:t>Los ocupados en el</w:t>
      </w:r>
      <w:r w:rsidR="00480C3E">
        <w:rPr>
          <w:rFonts w:eastAsia="Calibri"/>
          <w:lang w:val="es-ES" w:eastAsia="en-US"/>
        </w:rPr>
        <w:t xml:space="preserve"> Departamento del</w:t>
      </w:r>
      <w:r>
        <w:rPr>
          <w:rFonts w:eastAsia="Calibri"/>
          <w:lang w:val="es-ES" w:eastAsia="en-US"/>
        </w:rPr>
        <w:t xml:space="preserve"> Quindío</w:t>
      </w:r>
      <w:r w:rsidR="00480C3E">
        <w:rPr>
          <w:rFonts w:eastAsia="Calibri"/>
          <w:lang w:val="es-ES" w:eastAsia="en-US"/>
        </w:rPr>
        <w:t>,</w:t>
      </w:r>
      <w:r>
        <w:rPr>
          <w:rFonts w:eastAsia="Calibri"/>
          <w:lang w:val="es-ES" w:eastAsia="en-US"/>
        </w:rPr>
        <w:t xml:space="preserve"> en su mayoría cuentan con </w:t>
      </w:r>
      <w:r w:rsidR="00166C7D" w:rsidRPr="00696DE7">
        <w:rPr>
          <w:rFonts w:eastAsia="Calibri"/>
          <w:lang w:val="es-ES" w:eastAsia="en-US"/>
        </w:rPr>
        <w:t>un nivel de formación media; es decir, que se trata de aquella</w:t>
      </w:r>
      <w:r w:rsidR="00480C3E">
        <w:rPr>
          <w:rFonts w:eastAsia="Calibri"/>
          <w:lang w:val="es-ES" w:eastAsia="en-US"/>
        </w:rPr>
        <w:t>s</w:t>
      </w:r>
      <w:r w:rsidR="00166C7D" w:rsidRPr="00696DE7">
        <w:rPr>
          <w:rFonts w:eastAsia="Calibri"/>
          <w:lang w:val="es-ES" w:eastAsia="en-US"/>
        </w:rPr>
        <w:t xml:space="preserve"> </w:t>
      </w:r>
      <w:r w:rsidR="00480C3E">
        <w:rPr>
          <w:rFonts w:eastAsia="Calibri"/>
          <w:lang w:val="es-ES" w:eastAsia="en-US"/>
        </w:rPr>
        <w:t>personas</w:t>
      </w:r>
      <w:r w:rsidR="00166C7D" w:rsidRPr="00696DE7">
        <w:rPr>
          <w:rFonts w:eastAsia="Calibri"/>
          <w:lang w:val="es-ES" w:eastAsia="en-US"/>
        </w:rPr>
        <w:t xml:space="preserve"> que ha</w:t>
      </w:r>
      <w:r w:rsidR="00C057F1">
        <w:rPr>
          <w:rFonts w:eastAsia="Calibri"/>
          <w:lang w:val="es-ES" w:eastAsia="en-US"/>
        </w:rPr>
        <w:t>n</w:t>
      </w:r>
      <w:r w:rsidR="00166C7D" w:rsidRPr="00696DE7">
        <w:rPr>
          <w:rFonts w:eastAsia="Calibri"/>
          <w:lang w:val="es-ES" w:eastAsia="en-US"/>
        </w:rPr>
        <w:t xml:space="preserve"> alcanzado un nivel educativo de secundaria completa</w:t>
      </w:r>
      <w:r w:rsidR="00166C7D" w:rsidRPr="00696DE7">
        <w:rPr>
          <w:rFonts w:eastAsia="Calibri"/>
          <w:color w:val="FF0000"/>
          <w:lang w:val="es-ES" w:eastAsia="en-US"/>
        </w:rPr>
        <w:t xml:space="preserve"> </w:t>
      </w:r>
      <w:r w:rsidR="00166C7D">
        <w:rPr>
          <w:rFonts w:eastAsia="Calibri"/>
          <w:lang w:val="es-ES" w:eastAsia="en-US"/>
        </w:rPr>
        <w:t>(60.616 personas equivalente al</w:t>
      </w:r>
      <w:r w:rsidR="00166C7D" w:rsidRPr="00696DE7">
        <w:rPr>
          <w:rFonts w:eastAsia="Calibri"/>
          <w:lang w:val="es-ES" w:eastAsia="en-US"/>
        </w:rPr>
        <w:t xml:space="preserve"> 25.4%), Este comportamiento</w:t>
      </w:r>
      <w:r w:rsidR="00496863">
        <w:rPr>
          <w:rFonts w:eastAsia="Calibri"/>
          <w:lang w:val="es-ES" w:eastAsia="en-US"/>
        </w:rPr>
        <w:t>,</w:t>
      </w:r>
      <w:r w:rsidR="00166C7D" w:rsidRPr="00696DE7">
        <w:rPr>
          <w:rFonts w:eastAsia="Calibri"/>
          <w:lang w:val="es-ES" w:eastAsia="en-US"/>
        </w:rPr>
        <w:t xml:space="preserve"> indica una baja calificac</w:t>
      </w:r>
      <w:r w:rsidR="004048E7">
        <w:rPr>
          <w:rFonts w:eastAsia="Calibri"/>
          <w:lang w:val="es-ES" w:eastAsia="en-US"/>
        </w:rPr>
        <w:t xml:space="preserve">ión de la fuerza laboral activa, ya que del total de los 238.656 ocupados en el Departamento, solo el 11% tiene un nivel </w:t>
      </w:r>
      <w:r w:rsidR="00DA6250">
        <w:rPr>
          <w:rFonts w:eastAsia="Calibri"/>
          <w:lang w:val="es-ES" w:eastAsia="en-US"/>
        </w:rPr>
        <w:t>educativo</w:t>
      </w:r>
      <w:r w:rsidR="004048E7">
        <w:rPr>
          <w:rFonts w:eastAsia="Calibri"/>
          <w:lang w:val="es-ES" w:eastAsia="en-US"/>
        </w:rPr>
        <w:t xml:space="preserve"> profesional con </w:t>
      </w:r>
      <w:r w:rsidR="00DA6250">
        <w:rPr>
          <w:rFonts w:eastAsia="Calibri"/>
          <w:lang w:val="es-ES" w:eastAsia="en-US"/>
        </w:rPr>
        <w:t xml:space="preserve">formación superior completa. Adicionalmente, un 13% </w:t>
      </w:r>
      <w:r w:rsidR="00AE161E">
        <w:rPr>
          <w:rFonts w:eastAsia="Calibri"/>
          <w:lang w:val="es-ES" w:eastAsia="en-US"/>
        </w:rPr>
        <w:t>de los empleados</w:t>
      </w:r>
      <w:r w:rsidR="00DA6250">
        <w:rPr>
          <w:rFonts w:eastAsia="Calibri"/>
          <w:lang w:val="es-ES" w:eastAsia="en-US"/>
        </w:rPr>
        <w:t xml:space="preserve"> cuenta con un nivel de formación superior incompleta.</w:t>
      </w:r>
    </w:p>
    <w:p w:rsidR="00CD3D65" w:rsidRDefault="00CD3D65" w:rsidP="00166C7D">
      <w:pPr>
        <w:autoSpaceDE w:val="0"/>
        <w:autoSpaceDN w:val="0"/>
        <w:adjustRightInd w:val="0"/>
        <w:spacing w:line="360" w:lineRule="auto"/>
        <w:ind w:firstLine="284"/>
        <w:jc w:val="both"/>
        <w:rPr>
          <w:rFonts w:eastAsia="Calibri"/>
          <w:lang w:val="es-ES" w:eastAsia="en-US"/>
        </w:rPr>
      </w:pPr>
    </w:p>
    <w:p w:rsidR="00C057F1" w:rsidRDefault="00C057F1" w:rsidP="00166C7D">
      <w:pPr>
        <w:autoSpaceDE w:val="0"/>
        <w:autoSpaceDN w:val="0"/>
        <w:adjustRightInd w:val="0"/>
        <w:spacing w:line="360" w:lineRule="auto"/>
        <w:ind w:firstLine="284"/>
        <w:jc w:val="both"/>
        <w:rPr>
          <w:rFonts w:eastAsia="Calibri"/>
          <w:lang w:val="es-ES" w:eastAsia="en-US"/>
        </w:rPr>
      </w:pPr>
    </w:p>
    <w:p w:rsidR="00166C7D" w:rsidRPr="00696DE7" w:rsidRDefault="00C057F1" w:rsidP="00166C7D">
      <w:pPr>
        <w:autoSpaceDE w:val="0"/>
        <w:autoSpaceDN w:val="0"/>
        <w:adjustRightInd w:val="0"/>
        <w:spacing w:line="360" w:lineRule="auto"/>
        <w:ind w:firstLine="284"/>
        <w:jc w:val="both"/>
        <w:rPr>
          <w:rFonts w:eastAsia="Calibri"/>
          <w:lang w:val="es-ES" w:eastAsia="en-US"/>
        </w:rPr>
      </w:pPr>
      <w:r>
        <w:rPr>
          <w:rFonts w:eastAsia="Calibri"/>
          <w:lang w:val="es-ES" w:eastAsia="en-US"/>
        </w:rPr>
        <w:t>Dentro de la teoría de Capital Humano</w:t>
      </w:r>
      <w:r w:rsidR="000B07BB">
        <w:rPr>
          <w:rFonts w:eastAsia="Calibri"/>
          <w:lang w:val="es-ES" w:eastAsia="en-US"/>
        </w:rPr>
        <w:t>,</w:t>
      </w:r>
      <w:r w:rsidR="00CE3114">
        <w:rPr>
          <w:rStyle w:val="Refdenotaalpie"/>
          <w:rFonts w:eastAsia="Calibri"/>
          <w:lang w:val="es-ES" w:eastAsia="en-US"/>
        </w:rPr>
        <w:footnoteReference w:id="41"/>
      </w:r>
      <w:r w:rsidR="000B07BB">
        <w:rPr>
          <w:rFonts w:eastAsia="Calibri"/>
          <w:lang w:val="es-ES" w:eastAsia="en-US"/>
        </w:rPr>
        <w:t xml:space="preserve"> </w:t>
      </w:r>
      <w:r w:rsidR="00D146A6">
        <w:rPr>
          <w:rFonts w:eastAsia="Calibri"/>
          <w:lang w:val="es-ES" w:eastAsia="en-US"/>
        </w:rPr>
        <w:t>a partir</w:t>
      </w:r>
      <w:r w:rsidR="0017617C">
        <w:rPr>
          <w:rFonts w:eastAsia="Calibri"/>
          <w:lang w:val="es-ES" w:eastAsia="en-US"/>
        </w:rPr>
        <w:t xml:space="preserve"> de</w:t>
      </w:r>
      <w:r w:rsidR="00DD41AF">
        <w:rPr>
          <w:rFonts w:eastAsia="Calibri"/>
          <w:lang w:val="es-ES" w:eastAsia="en-US"/>
        </w:rPr>
        <w:t xml:space="preserve"> la hipótesis de la señalización, </w:t>
      </w:r>
      <w:r w:rsidR="00902D71">
        <w:rPr>
          <w:rFonts w:eastAsia="Calibri"/>
          <w:lang w:val="es-ES" w:eastAsia="en-US"/>
        </w:rPr>
        <w:t xml:space="preserve">se ha analizado </w:t>
      </w:r>
      <w:r>
        <w:rPr>
          <w:rFonts w:eastAsia="Calibri"/>
          <w:lang w:val="es-ES" w:eastAsia="en-US"/>
        </w:rPr>
        <w:t xml:space="preserve">que </w:t>
      </w:r>
      <w:r w:rsidR="007C3D56">
        <w:rPr>
          <w:rFonts w:eastAsia="Calibri"/>
          <w:lang w:val="es-ES" w:eastAsia="en-US"/>
        </w:rPr>
        <w:t>cuando la fuerza de trabajo presenta</w:t>
      </w:r>
      <w:r w:rsidR="00230334">
        <w:rPr>
          <w:rFonts w:eastAsia="Calibri"/>
          <w:lang w:val="es-ES" w:eastAsia="en-US"/>
        </w:rPr>
        <w:t xml:space="preserve"> </w:t>
      </w:r>
      <w:r>
        <w:rPr>
          <w:rFonts w:eastAsia="Calibri"/>
          <w:lang w:val="es-ES" w:eastAsia="en-US"/>
        </w:rPr>
        <w:t>un nivel educativo bajo,</w:t>
      </w:r>
      <w:r w:rsidR="00166C7D" w:rsidRPr="00696DE7">
        <w:rPr>
          <w:rFonts w:eastAsia="Calibri"/>
          <w:lang w:val="es-ES" w:eastAsia="en-US"/>
        </w:rPr>
        <w:t xml:space="preserve"> </w:t>
      </w:r>
      <w:r>
        <w:rPr>
          <w:rFonts w:eastAsia="Calibri"/>
          <w:lang w:val="es-ES" w:eastAsia="en-US"/>
        </w:rPr>
        <w:t xml:space="preserve">enfrenta </w:t>
      </w:r>
      <w:r w:rsidR="00166C7D" w:rsidRPr="00696DE7">
        <w:rPr>
          <w:rFonts w:eastAsia="Calibri"/>
          <w:lang w:val="es-ES" w:eastAsia="en-US"/>
        </w:rPr>
        <w:t>mayores barreras de acceso al mercado laboral</w:t>
      </w:r>
      <w:r w:rsidR="0017617C">
        <w:rPr>
          <w:rFonts w:eastAsia="Calibri"/>
          <w:lang w:val="es-ES" w:eastAsia="en-US"/>
        </w:rPr>
        <w:t>;</w:t>
      </w:r>
      <w:r w:rsidR="00166C7D" w:rsidRPr="00696DE7">
        <w:rPr>
          <w:rFonts w:eastAsia="Calibri"/>
          <w:lang w:val="es-ES" w:eastAsia="en-US"/>
        </w:rPr>
        <w:t xml:space="preserve"> ya que </w:t>
      </w:r>
      <w:r w:rsidR="0017617C">
        <w:rPr>
          <w:rFonts w:eastAsia="Calibri"/>
          <w:lang w:val="es-ES" w:eastAsia="en-US"/>
        </w:rPr>
        <w:t>la educación</w:t>
      </w:r>
      <w:r w:rsidR="00166C7D" w:rsidRPr="00696DE7">
        <w:rPr>
          <w:rFonts w:eastAsia="Calibri"/>
          <w:lang w:val="es-ES" w:eastAsia="en-US"/>
        </w:rPr>
        <w:t xml:space="preserve"> constituye una señal que toman los empresarios a la hora de seleccionar los perfiles </w:t>
      </w:r>
      <w:r w:rsidR="0017617C">
        <w:rPr>
          <w:rFonts w:eastAsia="Calibri"/>
          <w:lang w:val="es-ES" w:eastAsia="en-US"/>
        </w:rPr>
        <w:t xml:space="preserve">idóneos </w:t>
      </w:r>
      <w:r w:rsidR="00166C7D" w:rsidRPr="00696DE7">
        <w:rPr>
          <w:rFonts w:eastAsia="Calibri"/>
          <w:lang w:val="es-ES" w:eastAsia="en-US"/>
        </w:rPr>
        <w:t xml:space="preserve">para ocupar las vacantes; </w:t>
      </w:r>
      <w:r w:rsidR="00F701C1">
        <w:rPr>
          <w:rFonts w:eastAsia="Calibri"/>
          <w:lang w:val="es-ES" w:eastAsia="en-US"/>
        </w:rPr>
        <w:t xml:space="preserve">no obstante, también deben </w:t>
      </w:r>
      <w:r w:rsidR="00EB43E7">
        <w:rPr>
          <w:rFonts w:eastAsia="Calibri"/>
          <w:lang w:val="es-ES" w:eastAsia="en-US"/>
        </w:rPr>
        <w:t xml:space="preserve">tenerse </w:t>
      </w:r>
      <w:r w:rsidR="0017617C">
        <w:rPr>
          <w:rFonts w:eastAsia="Calibri"/>
          <w:lang w:val="es-ES" w:eastAsia="en-US"/>
        </w:rPr>
        <w:t xml:space="preserve">en cuenta otros aspectos como la experiencia y el entrenamiento laboral. </w:t>
      </w:r>
    </w:p>
    <w:p w:rsidR="00166C7D" w:rsidRPr="00696DE7" w:rsidRDefault="00166C7D" w:rsidP="00166C7D">
      <w:pPr>
        <w:autoSpaceDE w:val="0"/>
        <w:autoSpaceDN w:val="0"/>
        <w:adjustRightInd w:val="0"/>
        <w:spacing w:line="360" w:lineRule="auto"/>
        <w:jc w:val="both"/>
        <w:rPr>
          <w:rFonts w:eastAsia="Calibri"/>
          <w:lang w:val="es-ES" w:eastAsia="en-US"/>
        </w:rPr>
      </w:pPr>
    </w:p>
    <w:p w:rsidR="00166C7D" w:rsidRPr="008C2668" w:rsidRDefault="00166C7D" w:rsidP="00166C7D">
      <w:pPr>
        <w:ind w:right="301"/>
      </w:pPr>
      <w:r w:rsidRPr="008C2668">
        <w:t>Gráfico 11.9</w:t>
      </w:r>
    </w:p>
    <w:p w:rsidR="00166C7D" w:rsidRPr="008C2668" w:rsidRDefault="00166C7D" w:rsidP="00166C7D">
      <w:pPr>
        <w:autoSpaceDE w:val="0"/>
        <w:autoSpaceDN w:val="0"/>
        <w:adjustRightInd w:val="0"/>
      </w:pPr>
      <w:r w:rsidRPr="008C2668">
        <w:t xml:space="preserve">Tasa global de participación, ocupación y desempleo Quindío </w:t>
      </w:r>
    </w:p>
    <w:p w:rsidR="00166C7D" w:rsidRPr="008C2668" w:rsidRDefault="00166C7D" w:rsidP="00166C7D">
      <w:pPr>
        <w:autoSpaceDE w:val="0"/>
        <w:autoSpaceDN w:val="0"/>
        <w:adjustRightInd w:val="0"/>
      </w:pPr>
      <w:r w:rsidRPr="008C2668">
        <w:t>2013</w:t>
      </w:r>
    </w:p>
    <w:p w:rsidR="00166C7D" w:rsidRPr="0029206D" w:rsidRDefault="00166C7D" w:rsidP="00166C7D">
      <w:pPr>
        <w:autoSpaceDE w:val="0"/>
        <w:autoSpaceDN w:val="0"/>
        <w:adjustRightInd w:val="0"/>
        <w:jc w:val="center"/>
      </w:pPr>
      <w:r>
        <w:rPr>
          <w:noProof/>
        </w:rPr>
        <w:drawing>
          <wp:anchor distT="0" distB="0" distL="114300" distR="114300" simplePos="0" relativeHeight="251673600" behindDoc="0" locked="0" layoutInCell="1" allowOverlap="1" wp14:anchorId="7B495C95" wp14:editId="4871C08E">
            <wp:simplePos x="0" y="0"/>
            <wp:positionH relativeFrom="column">
              <wp:posOffset>15240</wp:posOffset>
            </wp:positionH>
            <wp:positionV relativeFrom="paragraph">
              <wp:posOffset>211455</wp:posOffset>
            </wp:positionV>
            <wp:extent cx="5293360" cy="3148330"/>
            <wp:effectExtent l="19050" t="19050" r="21590" b="13970"/>
            <wp:wrapSquare wrapText="bothSides"/>
            <wp:docPr id="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3" cstate="print"/>
                    <a:srcRect/>
                    <a:stretch>
                      <a:fillRect/>
                    </a:stretch>
                  </pic:blipFill>
                  <pic:spPr bwMode="auto">
                    <a:xfrm>
                      <a:off x="0" y="0"/>
                      <a:ext cx="5293360" cy="3148330"/>
                    </a:xfrm>
                    <a:prstGeom prst="rect">
                      <a:avLst/>
                    </a:prstGeom>
                    <a:noFill/>
                    <a:ln w="952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r w:rsidRPr="00696DE7">
        <w:rPr>
          <w:b/>
          <w:sz w:val="16"/>
          <w:szCs w:val="16"/>
        </w:rPr>
        <w:t xml:space="preserve">               </w:t>
      </w:r>
    </w:p>
    <w:p w:rsidR="00166C7D" w:rsidRPr="00696DE7" w:rsidRDefault="001C727C" w:rsidP="00166C7D">
      <w:pPr>
        <w:autoSpaceDE w:val="0"/>
        <w:autoSpaceDN w:val="0"/>
        <w:adjustRightInd w:val="0"/>
        <w:spacing w:line="360" w:lineRule="auto"/>
        <w:ind w:firstLine="708"/>
        <w:rPr>
          <w:rFonts w:eastAsia="Calibri"/>
          <w:sz w:val="16"/>
          <w:szCs w:val="16"/>
          <w:lang w:val="es-ES" w:eastAsia="en-US"/>
        </w:rPr>
      </w:pPr>
      <w:r>
        <w:rPr>
          <w:b/>
          <w:sz w:val="16"/>
          <w:szCs w:val="16"/>
        </w:rPr>
        <w:t xml:space="preserve">  </w:t>
      </w:r>
      <w:r w:rsidR="00166C7D" w:rsidRPr="00284113">
        <w:rPr>
          <w:sz w:val="16"/>
          <w:szCs w:val="16"/>
        </w:rPr>
        <w:t>Fuente:</w:t>
      </w:r>
      <w:r w:rsidR="00166C7D" w:rsidRPr="00696DE7">
        <w:rPr>
          <w:sz w:val="16"/>
          <w:szCs w:val="16"/>
        </w:rPr>
        <w:t xml:space="preserve"> Imagen tomada del </w:t>
      </w:r>
      <w:r w:rsidR="00166C7D" w:rsidRPr="00696DE7">
        <w:rPr>
          <w:rFonts w:eastAsia="Calibri"/>
          <w:sz w:val="16"/>
          <w:szCs w:val="16"/>
          <w:lang w:val="es-ES" w:eastAsia="en-US"/>
        </w:rPr>
        <w:t>Departamento Administrativo Nacional de Estadísticas</w:t>
      </w:r>
    </w:p>
    <w:p w:rsidR="00166C7D" w:rsidRPr="00696DE7" w:rsidRDefault="00166C7D" w:rsidP="00166C7D">
      <w:pPr>
        <w:autoSpaceDE w:val="0"/>
        <w:autoSpaceDN w:val="0"/>
        <w:adjustRightInd w:val="0"/>
        <w:spacing w:line="360" w:lineRule="auto"/>
        <w:jc w:val="both"/>
        <w:rPr>
          <w:lang w:val="es-ES"/>
        </w:rPr>
      </w:pPr>
    </w:p>
    <w:p w:rsidR="00166C7D" w:rsidRPr="00696DE7" w:rsidRDefault="00166C7D" w:rsidP="006A1F5A">
      <w:pPr>
        <w:autoSpaceDE w:val="0"/>
        <w:autoSpaceDN w:val="0"/>
        <w:adjustRightInd w:val="0"/>
        <w:spacing w:line="360" w:lineRule="auto"/>
        <w:jc w:val="both"/>
      </w:pPr>
      <w:r w:rsidRPr="00696DE7">
        <w:t xml:space="preserve">   En 2013 para el Quindío la tasa global de participación </w:t>
      </w:r>
      <w:r>
        <w:t xml:space="preserve">a nivel departamental fue 62,7%;  </w:t>
      </w:r>
      <w:r w:rsidR="001540C2">
        <w:t>es decir,</w:t>
      </w:r>
      <w:r>
        <w:t xml:space="preserve"> </w:t>
      </w:r>
      <w:r w:rsidRPr="00696DE7">
        <w:t xml:space="preserve"> 1,1 puntos porcentuales por encima a la registrada el año 2012 (61,6%). La tasa de ocupación se situó en 52,8% y la tasa de desempleo fue 15,8</w:t>
      </w:r>
      <w:r w:rsidR="00FE0835">
        <w:t>%.</w:t>
      </w:r>
      <w:r w:rsidRPr="00696DE7">
        <w:t xml:space="preserve"> Ambos indicadores han venido en aumento año a año, de manera muy leve.</w:t>
      </w:r>
    </w:p>
    <w:p w:rsidR="00166C7D" w:rsidRPr="00696DE7" w:rsidRDefault="00166C7D" w:rsidP="00166C7D">
      <w:pPr>
        <w:autoSpaceDE w:val="0"/>
        <w:autoSpaceDN w:val="0"/>
        <w:adjustRightInd w:val="0"/>
        <w:spacing w:line="360" w:lineRule="auto"/>
        <w:ind w:firstLine="284"/>
        <w:jc w:val="both"/>
        <w:rPr>
          <w:b/>
        </w:rPr>
      </w:pPr>
      <w:r w:rsidRPr="00696DE7">
        <w:t>La tasa global de participación, es la relación porcentual entre la población económicamente activa y la población en edad de trabajar. Este indicador refleja la presión de la población en edad de trabajar sobre el mercado laboral.</w:t>
      </w:r>
      <w:r w:rsidRPr="00696DE7">
        <w:rPr>
          <w:rStyle w:val="Refdenotaalpie"/>
          <w:b/>
        </w:rPr>
        <w:footnoteReference w:id="42"/>
      </w:r>
      <w:r w:rsidRPr="00696DE7">
        <w:rPr>
          <w:b/>
        </w:rPr>
        <w:t xml:space="preserve"> </w:t>
      </w:r>
      <w:r w:rsidR="00C365D4">
        <w:t>Para el D</w:t>
      </w:r>
      <w:r w:rsidRPr="00696DE7">
        <w:t>epartamento</w:t>
      </w:r>
      <w:r w:rsidR="00CA4A61">
        <w:t>,</w:t>
      </w:r>
      <w:r w:rsidRPr="00696DE7">
        <w:t xml:space="preserve"> se evidencia que la oferta laboral ha presentado una tendencia creciente moderada en los últimos años.</w:t>
      </w:r>
      <w:r w:rsidRPr="00696DE7">
        <w:rPr>
          <w:color w:val="454545"/>
          <w:sz w:val="20"/>
          <w:shd w:val="clear" w:color="auto" w:fill="FFFFFF"/>
        </w:rPr>
        <w:t xml:space="preserve">  </w:t>
      </w:r>
    </w:p>
    <w:p w:rsidR="00166C7D" w:rsidRPr="00696DE7" w:rsidRDefault="00166C7D" w:rsidP="00166C7D">
      <w:pPr>
        <w:autoSpaceDE w:val="0"/>
        <w:autoSpaceDN w:val="0"/>
        <w:adjustRightInd w:val="0"/>
        <w:spacing w:line="360" w:lineRule="auto"/>
        <w:jc w:val="both"/>
      </w:pPr>
    </w:p>
    <w:p w:rsidR="00166C7D" w:rsidRPr="00696DE7" w:rsidRDefault="00166C7D" w:rsidP="00166C7D">
      <w:pPr>
        <w:autoSpaceDE w:val="0"/>
        <w:autoSpaceDN w:val="0"/>
        <w:adjustRightInd w:val="0"/>
        <w:spacing w:line="360" w:lineRule="auto"/>
        <w:ind w:firstLine="284"/>
        <w:jc w:val="both"/>
      </w:pPr>
      <w:r w:rsidRPr="0029206D">
        <w:lastRenderedPageBreak/>
        <w:t>A nivel Nacional, los  departamentos con mayor tasa de desempleo en el año 2013 fueron: Quindío (15,8</w:t>
      </w:r>
      <w:r w:rsidRPr="00696DE7">
        <w:t xml:space="preserve">%), Norte de Santander (13,0%) y Valle del Cauca (12,9%) y  los departamentos que registraron las menores tasas de desempleo fueron: La Guajira (7,1%), Bolívar (7,3%) y Santander (7,3%). </w:t>
      </w:r>
    </w:p>
    <w:p w:rsidR="00166C7D" w:rsidRPr="00696DE7" w:rsidRDefault="00166C7D" w:rsidP="00166C7D">
      <w:pPr>
        <w:autoSpaceDE w:val="0"/>
        <w:autoSpaceDN w:val="0"/>
        <w:adjustRightInd w:val="0"/>
        <w:spacing w:line="360" w:lineRule="auto"/>
        <w:jc w:val="center"/>
      </w:pPr>
    </w:p>
    <w:p w:rsidR="00166C7D" w:rsidRPr="0029206D" w:rsidRDefault="00166C7D" w:rsidP="00166C7D">
      <w:pPr>
        <w:autoSpaceDE w:val="0"/>
        <w:autoSpaceDN w:val="0"/>
        <w:adjustRightInd w:val="0"/>
      </w:pPr>
      <w:r w:rsidRPr="0029206D">
        <w:t>Gráfico 11.10</w:t>
      </w:r>
    </w:p>
    <w:p w:rsidR="00166C7D" w:rsidRPr="0029206D" w:rsidRDefault="00166C7D" w:rsidP="00166C7D">
      <w:pPr>
        <w:autoSpaceDE w:val="0"/>
        <w:autoSpaceDN w:val="0"/>
        <w:adjustRightInd w:val="0"/>
      </w:pPr>
      <w:r w:rsidRPr="0029206D">
        <w:t>Tasa de subempleo subjetivo Quindío</w:t>
      </w:r>
    </w:p>
    <w:p w:rsidR="00166C7D" w:rsidRPr="0029206D" w:rsidRDefault="00166C7D" w:rsidP="00166C7D">
      <w:pPr>
        <w:autoSpaceDE w:val="0"/>
        <w:autoSpaceDN w:val="0"/>
        <w:adjustRightInd w:val="0"/>
      </w:pPr>
      <w:r w:rsidRPr="0029206D">
        <w:t>2013</w:t>
      </w:r>
    </w:p>
    <w:p w:rsidR="00166C7D" w:rsidRPr="00696DE7" w:rsidRDefault="00166C7D" w:rsidP="00166C7D">
      <w:pPr>
        <w:autoSpaceDE w:val="0"/>
        <w:autoSpaceDN w:val="0"/>
        <w:adjustRightInd w:val="0"/>
        <w:jc w:val="center"/>
      </w:pPr>
      <w:r w:rsidRPr="0029206D">
        <w:rPr>
          <w:noProof/>
        </w:rPr>
        <w:drawing>
          <wp:anchor distT="0" distB="0" distL="114300" distR="114300" simplePos="0" relativeHeight="251674624" behindDoc="1" locked="0" layoutInCell="1" allowOverlap="1" wp14:anchorId="4EF4EE2A" wp14:editId="25618E49">
            <wp:simplePos x="0" y="0"/>
            <wp:positionH relativeFrom="column">
              <wp:posOffset>-14605</wp:posOffset>
            </wp:positionH>
            <wp:positionV relativeFrom="paragraph">
              <wp:posOffset>88900</wp:posOffset>
            </wp:positionV>
            <wp:extent cx="4209415" cy="2286000"/>
            <wp:effectExtent l="19050" t="19050" r="19685" b="19050"/>
            <wp:wrapTight wrapText="bothSides">
              <wp:wrapPolygon edited="0">
                <wp:start x="-98" y="-180"/>
                <wp:lineTo x="-98" y="21600"/>
                <wp:lineTo x="21603" y="21600"/>
                <wp:lineTo x="21603" y="-180"/>
                <wp:lineTo x="-98" y="-180"/>
              </wp:wrapPolygon>
            </wp:wrapTight>
            <wp:docPr id="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4" cstate="print"/>
                    <a:srcRect/>
                    <a:stretch>
                      <a:fillRect/>
                    </a:stretch>
                  </pic:blipFill>
                  <pic:spPr bwMode="auto">
                    <a:xfrm>
                      <a:off x="0" y="0"/>
                      <a:ext cx="4209415" cy="2286000"/>
                    </a:xfrm>
                    <a:prstGeom prst="rect">
                      <a:avLst/>
                    </a:prstGeom>
                    <a:noFill/>
                    <a:ln w="9525">
                      <a:solidFill>
                        <a:srgbClr val="7F7F7F"/>
                      </a:solidFill>
                      <a:miter lim="800000"/>
                      <a:headEnd/>
                      <a:tailEnd/>
                    </a:ln>
                  </pic:spPr>
                </pic:pic>
              </a:graphicData>
            </a:graphic>
            <wp14:sizeRelV relativeFrom="margin">
              <wp14:pctHeight>0</wp14:pctHeight>
            </wp14:sizeRelV>
          </wp:anchor>
        </w:drawing>
      </w:r>
    </w:p>
    <w:p w:rsidR="00166C7D" w:rsidRPr="0029206D" w:rsidRDefault="00166C7D" w:rsidP="00166C7D">
      <w:pPr>
        <w:pStyle w:val="rtejustify"/>
        <w:spacing w:before="125" w:after="125" w:line="360" w:lineRule="auto"/>
        <w:jc w:val="center"/>
        <w:rPr>
          <w:lang w:val="es-CO" w:eastAsia="es-CO"/>
        </w:rPr>
      </w:pPr>
    </w:p>
    <w:p w:rsidR="00166C7D" w:rsidRPr="0029206D" w:rsidRDefault="00166C7D" w:rsidP="00166C7D">
      <w:pPr>
        <w:pStyle w:val="rtejustify"/>
        <w:spacing w:before="125" w:after="125" w:line="360" w:lineRule="auto"/>
        <w:jc w:val="center"/>
        <w:rPr>
          <w:lang w:val="es-CO" w:eastAsia="es-CO"/>
        </w:rPr>
      </w:pPr>
    </w:p>
    <w:p w:rsidR="00166C7D" w:rsidRPr="0029206D" w:rsidRDefault="00166C7D" w:rsidP="00166C7D">
      <w:pPr>
        <w:pStyle w:val="rtejustify"/>
        <w:spacing w:before="125" w:after="125" w:line="360" w:lineRule="auto"/>
        <w:jc w:val="center"/>
        <w:rPr>
          <w:lang w:val="es-CO" w:eastAsia="es-CO"/>
        </w:rPr>
      </w:pPr>
    </w:p>
    <w:p w:rsidR="00166C7D" w:rsidRPr="0029206D" w:rsidRDefault="00166C7D" w:rsidP="00166C7D">
      <w:pPr>
        <w:pStyle w:val="rtejustify"/>
        <w:spacing w:before="125" w:after="125" w:line="360" w:lineRule="auto"/>
        <w:jc w:val="center"/>
        <w:rPr>
          <w:lang w:val="es-CO" w:eastAsia="es-CO"/>
        </w:rPr>
      </w:pPr>
    </w:p>
    <w:p w:rsidR="00E15D6A" w:rsidRDefault="00E15D6A" w:rsidP="00166C7D">
      <w:pPr>
        <w:autoSpaceDE w:val="0"/>
        <w:autoSpaceDN w:val="0"/>
        <w:adjustRightInd w:val="0"/>
        <w:spacing w:line="360" w:lineRule="auto"/>
        <w:jc w:val="both"/>
      </w:pPr>
    </w:p>
    <w:p w:rsidR="00166C7D" w:rsidRPr="001F2187" w:rsidRDefault="00166C7D" w:rsidP="00166C7D">
      <w:pPr>
        <w:autoSpaceDE w:val="0"/>
        <w:autoSpaceDN w:val="0"/>
        <w:adjustRightInd w:val="0"/>
        <w:spacing w:line="360" w:lineRule="auto"/>
        <w:jc w:val="both"/>
        <w:rPr>
          <w:sz w:val="16"/>
          <w:szCs w:val="16"/>
        </w:rPr>
      </w:pPr>
      <w:r w:rsidRPr="0029206D">
        <w:t xml:space="preserve"> </w:t>
      </w:r>
      <w:r w:rsidR="00E15D6A">
        <w:tab/>
      </w:r>
      <w:r w:rsidRPr="001F2187">
        <w:rPr>
          <w:sz w:val="16"/>
          <w:szCs w:val="16"/>
        </w:rPr>
        <w:t>Fuente: Departamento Administrativo Nacional de Estadísticas</w:t>
      </w:r>
    </w:p>
    <w:p w:rsidR="00166C7D" w:rsidRPr="0029206D" w:rsidRDefault="00166C7D" w:rsidP="00166C7D">
      <w:pPr>
        <w:autoSpaceDE w:val="0"/>
        <w:autoSpaceDN w:val="0"/>
        <w:adjustRightInd w:val="0"/>
        <w:spacing w:line="360" w:lineRule="auto"/>
        <w:jc w:val="both"/>
      </w:pPr>
    </w:p>
    <w:p w:rsidR="00166C7D" w:rsidRDefault="00166C7D" w:rsidP="00166C7D">
      <w:pPr>
        <w:autoSpaceDE w:val="0"/>
        <w:autoSpaceDN w:val="0"/>
        <w:adjustRightInd w:val="0"/>
        <w:spacing w:line="360" w:lineRule="auto"/>
        <w:ind w:firstLine="284"/>
        <w:jc w:val="both"/>
      </w:pPr>
      <w:r w:rsidRPr="00696DE7">
        <w:t>En 2013, la tasa de subempleo subjetivo</w:t>
      </w:r>
      <w:r w:rsidRPr="00155BD4">
        <w:rPr>
          <w:vertAlign w:val="superscript"/>
        </w:rPr>
        <w:footnoteReference w:id="43"/>
      </w:r>
      <w:r w:rsidRPr="00155BD4">
        <w:rPr>
          <w:vertAlign w:val="superscript"/>
        </w:rPr>
        <w:t xml:space="preserve"> </w:t>
      </w:r>
      <w:r w:rsidRPr="00696DE7">
        <w:t>de</w:t>
      </w:r>
      <w:r w:rsidR="00FA2977">
        <w:t>l</w:t>
      </w:r>
      <w:r w:rsidRPr="00696DE7">
        <w:t xml:space="preserve"> Quindío fue </w:t>
      </w:r>
      <w:r w:rsidR="00FA2977">
        <w:t xml:space="preserve">de </w:t>
      </w:r>
      <w:r w:rsidRPr="00696DE7">
        <w:t>32,3%, superior en 1,3 puntos porcentuales frente a la registrada en el año 2012 (31,0%).</w:t>
      </w:r>
      <w:r w:rsidRPr="0029206D">
        <w:footnoteReference w:id="44"/>
      </w:r>
      <w:r w:rsidRPr="00696DE7">
        <w:t xml:space="preserve"> De acuerdo a los datos estadísticos del </w:t>
      </w:r>
      <w:r w:rsidR="008F5FB2">
        <w:t>DANE</w:t>
      </w:r>
      <w:r w:rsidRPr="00696DE7">
        <w:t>, n</w:t>
      </w:r>
      <w:r w:rsidRPr="0029206D">
        <w:t xml:space="preserve">i la tasa de subempleo ni la de informalidad disminuyeron. </w:t>
      </w:r>
    </w:p>
    <w:p w:rsidR="00166C7D" w:rsidRPr="00696DE7" w:rsidRDefault="00166C7D" w:rsidP="00166C7D">
      <w:pPr>
        <w:autoSpaceDE w:val="0"/>
        <w:autoSpaceDN w:val="0"/>
        <w:adjustRightInd w:val="0"/>
        <w:spacing w:line="360" w:lineRule="auto"/>
        <w:ind w:firstLine="284"/>
        <w:jc w:val="both"/>
        <w:rPr>
          <w:rFonts w:eastAsia="Calibri"/>
          <w:lang w:val="es-ES" w:eastAsia="en-US"/>
        </w:rPr>
      </w:pPr>
      <w:r w:rsidRPr="00696DE7">
        <w:rPr>
          <w:rFonts w:eastAsia="Calibri"/>
          <w:lang w:val="es-ES" w:eastAsia="en-US"/>
        </w:rPr>
        <w:t xml:space="preserve">Los resultados estadísticos </w:t>
      </w:r>
      <w:r w:rsidR="008E6E5C">
        <w:rPr>
          <w:rFonts w:eastAsia="Calibri"/>
          <w:lang w:val="es-ES" w:eastAsia="en-US"/>
        </w:rPr>
        <w:t>evidencian el</w:t>
      </w:r>
      <w:r w:rsidR="00B375C6">
        <w:rPr>
          <w:rFonts w:eastAsia="Calibri"/>
          <w:lang w:val="es-ES" w:eastAsia="en-US"/>
        </w:rPr>
        <w:t xml:space="preserve"> desfase</w:t>
      </w:r>
      <w:r w:rsidR="008E6E5C">
        <w:rPr>
          <w:rFonts w:eastAsia="Calibri"/>
          <w:lang w:val="es-ES" w:eastAsia="en-US"/>
        </w:rPr>
        <w:t xml:space="preserve"> existente</w:t>
      </w:r>
      <w:r w:rsidR="00B375C6">
        <w:rPr>
          <w:rFonts w:eastAsia="Calibri"/>
          <w:lang w:val="es-ES" w:eastAsia="en-US"/>
        </w:rPr>
        <w:t xml:space="preserve"> entre la oferta y la demanda</w:t>
      </w:r>
      <w:r w:rsidRPr="00696DE7">
        <w:rPr>
          <w:rFonts w:eastAsia="Calibri"/>
          <w:lang w:val="es-ES" w:eastAsia="en-US"/>
        </w:rPr>
        <w:t xml:space="preserve"> </w:t>
      </w:r>
      <w:r w:rsidR="00B375C6">
        <w:rPr>
          <w:rFonts w:eastAsia="Calibri"/>
          <w:lang w:val="es-ES" w:eastAsia="en-US"/>
        </w:rPr>
        <w:t xml:space="preserve">laboral </w:t>
      </w:r>
      <w:r w:rsidR="008E6E5C">
        <w:rPr>
          <w:rFonts w:eastAsia="Calibri"/>
          <w:lang w:val="es-ES" w:eastAsia="en-US"/>
        </w:rPr>
        <w:t>de</w:t>
      </w:r>
      <w:r w:rsidR="00B375C6">
        <w:rPr>
          <w:rFonts w:eastAsia="Calibri"/>
          <w:lang w:val="es-ES" w:eastAsia="en-US"/>
        </w:rPr>
        <w:t xml:space="preserve">l Departamento, </w:t>
      </w:r>
      <w:r w:rsidRPr="00696DE7">
        <w:rPr>
          <w:rFonts w:eastAsia="Calibri"/>
          <w:lang w:val="es-ES" w:eastAsia="en-US"/>
        </w:rPr>
        <w:t>motivo por el cual, persisten las elevadas tasas de desempleo</w:t>
      </w:r>
      <w:r w:rsidR="00B375C6">
        <w:rPr>
          <w:rFonts w:eastAsia="Calibri"/>
          <w:lang w:val="es-ES" w:eastAsia="en-US"/>
        </w:rPr>
        <w:t xml:space="preserve"> dentro del</w:t>
      </w:r>
      <w:r w:rsidRPr="00696DE7">
        <w:rPr>
          <w:rFonts w:eastAsia="Calibri"/>
          <w:lang w:val="es-ES" w:eastAsia="en-US"/>
        </w:rPr>
        <w:t xml:space="preserve"> </w:t>
      </w:r>
      <w:r w:rsidR="00B375C6">
        <w:rPr>
          <w:rFonts w:eastAsia="Calibri"/>
          <w:lang w:val="es-ES" w:eastAsia="en-US"/>
        </w:rPr>
        <w:t>comparativo</w:t>
      </w:r>
      <w:r w:rsidRPr="00696DE7">
        <w:rPr>
          <w:rFonts w:eastAsia="Calibri"/>
          <w:lang w:val="es-ES" w:eastAsia="en-US"/>
        </w:rPr>
        <w:t xml:space="preserve"> nacional; no obstante, no se debe desconocer que la realidad del departamento corresponde a una particularidad que requiere un tratamiento diferente y que por tanto</w:t>
      </w:r>
      <w:r w:rsidR="00EC14CC">
        <w:rPr>
          <w:rFonts w:eastAsia="Calibri"/>
          <w:lang w:val="es-ES" w:eastAsia="en-US"/>
        </w:rPr>
        <w:t>,</w:t>
      </w:r>
      <w:r w:rsidRPr="00696DE7">
        <w:rPr>
          <w:rFonts w:eastAsia="Calibri"/>
          <w:lang w:val="es-ES" w:eastAsia="en-US"/>
        </w:rPr>
        <w:t xml:space="preserve"> no es directamente comparable con las otras regiones.</w:t>
      </w:r>
    </w:p>
    <w:p w:rsidR="00166C7D" w:rsidRPr="00696DE7" w:rsidRDefault="00166C7D" w:rsidP="00166C7D">
      <w:pPr>
        <w:autoSpaceDE w:val="0"/>
        <w:autoSpaceDN w:val="0"/>
        <w:adjustRightInd w:val="0"/>
        <w:spacing w:line="360" w:lineRule="auto"/>
        <w:ind w:firstLine="284"/>
        <w:jc w:val="both"/>
        <w:rPr>
          <w:rFonts w:eastAsia="Calibri"/>
          <w:lang w:val="es-ES" w:eastAsia="en-US"/>
        </w:rPr>
      </w:pPr>
    </w:p>
    <w:p w:rsidR="00166C7D" w:rsidRPr="00696DE7" w:rsidRDefault="00166C7D" w:rsidP="00166C7D">
      <w:pPr>
        <w:autoSpaceDE w:val="0"/>
        <w:autoSpaceDN w:val="0"/>
        <w:adjustRightInd w:val="0"/>
        <w:spacing w:line="360" w:lineRule="auto"/>
        <w:ind w:firstLine="284"/>
        <w:jc w:val="both"/>
        <w:rPr>
          <w:rFonts w:eastAsia="Calibri"/>
          <w:lang w:val="es-ES" w:eastAsia="en-US"/>
        </w:rPr>
      </w:pPr>
      <w:r w:rsidRPr="00696DE7">
        <w:rPr>
          <w:rFonts w:eastAsia="Calibri"/>
          <w:lang w:val="es-ES" w:eastAsia="en-US"/>
        </w:rPr>
        <w:lastRenderedPageBreak/>
        <w:t>En la actualidad</w:t>
      </w:r>
      <w:r w:rsidR="00971DA3">
        <w:rPr>
          <w:rFonts w:eastAsia="Calibri"/>
          <w:lang w:val="es-ES" w:eastAsia="en-US"/>
        </w:rPr>
        <w:t>,</w:t>
      </w:r>
      <w:r w:rsidRPr="00696DE7">
        <w:rPr>
          <w:rFonts w:eastAsia="Calibri"/>
          <w:lang w:val="es-ES" w:eastAsia="en-US"/>
        </w:rPr>
        <w:t xml:space="preserve"> las políticas y la planeación local se encuentran encaminadas a mejorar la calidad del mercado laboral, motivo por el cual ha sido aprobada la “Política de trabajo decente</w:t>
      </w:r>
      <w:r w:rsidR="00971DA3">
        <w:rPr>
          <w:rFonts w:eastAsia="Calibri"/>
          <w:lang w:val="es-ES" w:eastAsia="en-US"/>
        </w:rPr>
        <w:t xml:space="preserve"> y digno</w:t>
      </w:r>
      <w:r w:rsidRPr="00696DE7">
        <w:rPr>
          <w:rFonts w:eastAsia="Calibri"/>
          <w:lang w:val="es-ES" w:eastAsia="en-US"/>
        </w:rPr>
        <w:t>”</w:t>
      </w:r>
      <w:r w:rsidR="00971DA3">
        <w:rPr>
          <w:rStyle w:val="Refdenotaalpie"/>
          <w:rFonts w:eastAsia="Calibri"/>
          <w:lang w:val="es-ES" w:eastAsia="en-US"/>
        </w:rPr>
        <w:footnoteReference w:id="45"/>
      </w:r>
      <w:r w:rsidRPr="00696DE7">
        <w:rPr>
          <w:rFonts w:eastAsia="Calibri"/>
          <w:lang w:val="es-ES" w:eastAsia="en-US"/>
        </w:rPr>
        <w:t xml:space="preserve"> y se encuentra en marcha la planificación de la política de ingresos y del Plan Departamental del Empleo.</w:t>
      </w:r>
    </w:p>
    <w:p w:rsidR="00166C7D" w:rsidRPr="00696DE7" w:rsidRDefault="00166C7D" w:rsidP="00166C7D">
      <w:pPr>
        <w:autoSpaceDE w:val="0"/>
        <w:autoSpaceDN w:val="0"/>
        <w:adjustRightInd w:val="0"/>
        <w:spacing w:line="360" w:lineRule="auto"/>
        <w:jc w:val="both"/>
        <w:rPr>
          <w:rFonts w:eastAsia="Calibri"/>
          <w:lang w:val="es-ES" w:eastAsia="en-US"/>
        </w:rPr>
      </w:pPr>
    </w:p>
    <w:p w:rsidR="00166C7D" w:rsidRPr="001F2187" w:rsidRDefault="00166C7D" w:rsidP="00487F4C">
      <w:r w:rsidRPr="001F2187">
        <w:t>Gráfico 11.11</w:t>
      </w:r>
    </w:p>
    <w:p w:rsidR="00166C7D" w:rsidRPr="001F2187" w:rsidRDefault="00166C7D" w:rsidP="00487F4C">
      <w:pPr>
        <w:autoSpaceDE w:val="0"/>
        <w:autoSpaceDN w:val="0"/>
        <w:adjustRightInd w:val="0"/>
      </w:pPr>
      <w:r w:rsidRPr="001F2187">
        <w:t xml:space="preserve">Distribución porcentual  de la población ocupada, según ramas de actividad </w:t>
      </w:r>
    </w:p>
    <w:p w:rsidR="00166C7D" w:rsidRPr="001F2187" w:rsidRDefault="00166C7D" w:rsidP="00487F4C">
      <w:pPr>
        <w:autoSpaceDE w:val="0"/>
        <w:autoSpaceDN w:val="0"/>
        <w:adjustRightInd w:val="0"/>
      </w:pPr>
      <w:r w:rsidRPr="001F2187">
        <w:t>Trimestre móvil noviembre 2013 a enero 2014</w:t>
      </w:r>
    </w:p>
    <w:p w:rsidR="00166C7D" w:rsidRPr="00696DE7" w:rsidRDefault="00166C7D" w:rsidP="00166C7D">
      <w:pPr>
        <w:autoSpaceDE w:val="0"/>
        <w:autoSpaceDN w:val="0"/>
        <w:adjustRightInd w:val="0"/>
        <w:spacing w:line="360" w:lineRule="auto"/>
        <w:jc w:val="center"/>
      </w:pPr>
    </w:p>
    <w:p w:rsidR="00166C7D" w:rsidRPr="00696DE7" w:rsidRDefault="00166C7D" w:rsidP="00166C7D">
      <w:pPr>
        <w:spacing w:line="360" w:lineRule="auto"/>
        <w:rPr>
          <w:lang w:val="es-MX"/>
        </w:rPr>
      </w:pPr>
      <w:r w:rsidRPr="00696DE7">
        <w:rPr>
          <w:noProof/>
        </w:rPr>
        <w:drawing>
          <wp:inline distT="0" distB="0" distL="0" distR="0" wp14:anchorId="2A9C55DF" wp14:editId="4A970D33">
            <wp:extent cx="4839419" cy="3355675"/>
            <wp:effectExtent l="0" t="0" r="18415" b="16510"/>
            <wp:docPr id="92"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66C7D" w:rsidRPr="00696DE7" w:rsidRDefault="00166C7D" w:rsidP="00487F4C">
      <w:pPr>
        <w:autoSpaceDE w:val="0"/>
        <w:autoSpaceDN w:val="0"/>
        <w:adjustRightInd w:val="0"/>
        <w:spacing w:line="360" w:lineRule="auto"/>
        <w:ind w:firstLine="284"/>
        <w:rPr>
          <w:rFonts w:eastAsia="Calibri"/>
          <w:sz w:val="16"/>
          <w:szCs w:val="16"/>
          <w:lang w:val="es-ES" w:eastAsia="en-US"/>
        </w:rPr>
      </w:pPr>
      <w:r w:rsidRPr="00487F4C">
        <w:rPr>
          <w:sz w:val="16"/>
          <w:szCs w:val="16"/>
        </w:rPr>
        <w:t>Fuente:</w:t>
      </w:r>
      <w:r w:rsidRPr="00696DE7">
        <w:rPr>
          <w:sz w:val="16"/>
          <w:szCs w:val="16"/>
        </w:rPr>
        <w:t xml:space="preserve"> </w:t>
      </w:r>
      <w:r w:rsidRPr="00696DE7">
        <w:rPr>
          <w:rFonts w:eastAsia="Calibri"/>
          <w:sz w:val="16"/>
          <w:szCs w:val="16"/>
          <w:lang w:val="es-ES" w:eastAsia="en-US"/>
        </w:rPr>
        <w:t>Departamento Administrativo Nacional de Estadísticas</w:t>
      </w:r>
    </w:p>
    <w:p w:rsidR="00446848" w:rsidRDefault="00446848" w:rsidP="00166C7D">
      <w:pPr>
        <w:spacing w:line="360" w:lineRule="auto"/>
        <w:ind w:firstLine="284"/>
        <w:jc w:val="both"/>
        <w:rPr>
          <w:lang w:val="es-ES"/>
        </w:rPr>
      </w:pPr>
    </w:p>
    <w:p w:rsidR="00166C7D" w:rsidRPr="00696DE7" w:rsidRDefault="00794FB6" w:rsidP="00166C7D">
      <w:pPr>
        <w:spacing w:line="360" w:lineRule="auto"/>
        <w:ind w:firstLine="284"/>
        <w:jc w:val="both"/>
        <w:rPr>
          <w:b/>
          <w:bCs/>
        </w:rPr>
      </w:pPr>
      <w:r>
        <w:rPr>
          <w:lang w:val="es-ES"/>
        </w:rPr>
        <w:t>El Sector c</w:t>
      </w:r>
      <w:r w:rsidR="00166C7D" w:rsidRPr="00696DE7">
        <w:rPr>
          <w:lang w:val="es-ES"/>
        </w:rPr>
        <w:t>omercio, restaurantes y hoteles</w:t>
      </w:r>
      <w:r>
        <w:rPr>
          <w:lang w:val="es-ES"/>
        </w:rPr>
        <w:t>,</w:t>
      </w:r>
      <w:r w:rsidR="00166C7D" w:rsidRPr="00696DE7">
        <w:rPr>
          <w:lang w:val="es-ES"/>
        </w:rPr>
        <w:t xml:space="preserve"> </w:t>
      </w:r>
      <w:r w:rsidR="00487F4C">
        <w:rPr>
          <w:lang w:val="es-ES"/>
        </w:rPr>
        <w:t>genera el</w:t>
      </w:r>
      <w:r w:rsidR="00166C7D" w:rsidRPr="00696DE7">
        <w:rPr>
          <w:lang w:val="es-ES"/>
        </w:rPr>
        <w:t xml:space="preserve"> mayor porcentaje de </w:t>
      </w:r>
      <w:r w:rsidR="00166C7D" w:rsidRPr="00696DE7">
        <w:t>empleos directos e indirectos en toda la cadena de valor</w:t>
      </w:r>
      <w:r w:rsidR="00166C7D" w:rsidRPr="00696DE7">
        <w:rPr>
          <w:lang w:val="es-ES"/>
        </w:rPr>
        <w:t xml:space="preserve"> en la ciudad de Armenia, participando con un 35,9% </w:t>
      </w:r>
      <w:r w:rsidR="00166C7D" w:rsidRPr="00696DE7">
        <w:rPr>
          <w:position w:val="1"/>
        </w:rPr>
        <w:t>de</w:t>
      </w:r>
      <w:r w:rsidR="00166C7D" w:rsidRPr="00696DE7">
        <w:rPr>
          <w:spacing w:val="43"/>
          <w:position w:val="1"/>
        </w:rPr>
        <w:t xml:space="preserve"> </w:t>
      </w:r>
      <w:r w:rsidR="00166C7D" w:rsidRPr="00696DE7">
        <w:rPr>
          <w:position w:val="1"/>
        </w:rPr>
        <w:t>la</w:t>
      </w:r>
      <w:r w:rsidR="00CD0558">
        <w:rPr>
          <w:spacing w:val="43"/>
          <w:position w:val="1"/>
        </w:rPr>
        <w:t xml:space="preserve"> </w:t>
      </w:r>
      <w:r w:rsidR="00166C7D" w:rsidRPr="00696DE7">
        <w:rPr>
          <w:spacing w:val="-2"/>
          <w:position w:val="1"/>
        </w:rPr>
        <w:t>distribución</w:t>
      </w:r>
      <w:r w:rsidR="00166C7D" w:rsidRPr="00696DE7">
        <w:rPr>
          <w:spacing w:val="39"/>
          <w:position w:val="1"/>
        </w:rPr>
        <w:t xml:space="preserve"> </w:t>
      </w:r>
      <w:r w:rsidR="00166C7D" w:rsidRPr="00696DE7">
        <w:rPr>
          <w:position w:val="1"/>
        </w:rPr>
        <w:t>del</w:t>
      </w:r>
      <w:r w:rsidR="00166C7D" w:rsidRPr="00696DE7">
        <w:rPr>
          <w:spacing w:val="43"/>
          <w:position w:val="1"/>
        </w:rPr>
        <w:t xml:space="preserve"> </w:t>
      </w:r>
      <w:r w:rsidR="00166C7D" w:rsidRPr="00696DE7">
        <w:rPr>
          <w:position w:val="1"/>
        </w:rPr>
        <w:t>e</w:t>
      </w:r>
      <w:r w:rsidR="00166C7D" w:rsidRPr="00696DE7">
        <w:rPr>
          <w:spacing w:val="-2"/>
          <w:position w:val="1"/>
        </w:rPr>
        <w:t>nt</w:t>
      </w:r>
      <w:r w:rsidR="00166C7D" w:rsidRPr="00696DE7">
        <w:rPr>
          <w:position w:val="1"/>
        </w:rPr>
        <w:t>orno</w:t>
      </w:r>
      <w:r w:rsidR="00166C7D" w:rsidRPr="00696DE7">
        <w:rPr>
          <w:spacing w:val="43"/>
          <w:position w:val="1"/>
        </w:rPr>
        <w:t xml:space="preserve"> </w:t>
      </w:r>
      <w:r w:rsidR="00166C7D" w:rsidRPr="00696DE7">
        <w:rPr>
          <w:position w:val="1"/>
        </w:rPr>
        <w:t>emp</w:t>
      </w:r>
      <w:r w:rsidR="00166C7D" w:rsidRPr="00696DE7">
        <w:rPr>
          <w:spacing w:val="-3"/>
          <w:position w:val="1"/>
        </w:rPr>
        <w:t>r</w:t>
      </w:r>
      <w:r w:rsidR="00166C7D" w:rsidRPr="00696DE7">
        <w:rPr>
          <w:position w:val="1"/>
        </w:rPr>
        <w:t xml:space="preserve">esarial </w:t>
      </w:r>
      <w:r>
        <w:rPr>
          <w:position w:val="1"/>
        </w:rPr>
        <w:t>e industrial del Departamento y seguidamente se encuentra el sector de s</w:t>
      </w:r>
      <w:r w:rsidR="00166C7D" w:rsidRPr="00696DE7">
        <w:rPr>
          <w:position w:val="1"/>
        </w:rPr>
        <w:t>ervicios comunales, sociales y personal</w:t>
      </w:r>
      <w:r w:rsidR="00CD0558">
        <w:rPr>
          <w:position w:val="1"/>
        </w:rPr>
        <w:t>es con una participación del 23,</w:t>
      </w:r>
      <w:r w:rsidR="00166C7D" w:rsidRPr="00696DE7">
        <w:rPr>
          <w:position w:val="1"/>
        </w:rPr>
        <w:t xml:space="preserve">2%. </w:t>
      </w:r>
      <w:r>
        <w:rPr>
          <w:lang w:val="es-ES"/>
        </w:rPr>
        <w:t>Por su</w:t>
      </w:r>
      <w:r w:rsidR="00166C7D" w:rsidRPr="00696DE7">
        <w:rPr>
          <w:lang w:val="es-ES"/>
        </w:rPr>
        <w:t xml:space="preserve"> parte, la industria manufacture</w:t>
      </w:r>
      <w:r w:rsidR="00CD0558">
        <w:rPr>
          <w:lang w:val="es-ES"/>
        </w:rPr>
        <w:t xml:space="preserve">ra participó tan solo con un </w:t>
      </w:r>
      <w:r w:rsidR="00CD0558">
        <w:rPr>
          <w:lang w:val="es-ES"/>
        </w:rPr>
        <w:lastRenderedPageBreak/>
        <w:t>10,</w:t>
      </w:r>
      <w:r w:rsidR="00166C7D" w:rsidRPr="00696DE7">
        <w:rPr>
          <w:lang w:val="es-ES"/>
        </w:rPr>
        <w:t xml:space="preserve">1%, teniendo en cuenta que éste sector, no presenta mayor predominio en la composición del sistema empresarial </w:t>
      </w:r>
      <w:proofErr w:type="spellStart"/>
      <w:r w:rsidR="00166C7D" w:rsidRPr="00696DE7">
        <w:rPr>
          <w:lang w:val="es-ES"/>
        </w:rPr>
        <w:t>Quindiano</w:t>
      </w:r>
      <w:proofErr w:type="spellEnd"/>
      <w:r w:rsidR="00166C7D" w:rsidRPr="00696DE7">
        <w:rPr>
          <w:lang w:val="es-ES"/>
        </w:rPr>
        <w:t xml:space="preserve">.  </w:t>
      </w:r>
    </w:p>
    <w:p w:rsidR="00166C7D" w:rsidRPr="00696DE7" w:rsidRDefault="00166C7D" w:rsidP="00166C7D">
      <w:pPr>
        <w:autoSpaceDE w:val="0"/>
        <w:autoSpaceDN w:val="0"/>
        <w:adjustRightInd w:val="0"/>
        <w:spacing w:line="360" w:lineRule="auto"/>
        <w:rPr>
          <w:rFonts w:eastAsia="Calibri"/>
          <w:lang w:val="es-ES" w:eastAsia="en-US"/>
        </w:rPr>
      </w:pPr>
    </w:p>
    <w:p w:rsidR="00166C7D" w:rsidRPr="009B1CA3" w:rsidRDefault="00166C7D" w:rsidP="009B1CA3">
      <w:pPr>
        <w:ind w:right="79"/>
        <w:jc w:val="both"/>
        <w:rPr>
          <w:rFonts w:eastAsia="Arial"/>
        </w:rPr>
      </w:pPr>
      <w:r w:rsidRPr="009B1CA3">
        <w:rPr>
          <w:rFonts w:eastAsia="Arial"/>
        </w:rPr>
        <w:t>Tabla 11.7</w:t>
      </w:r>
    </w:p>
    <w:p w:rsidR="00166C7D" w:rsidRPr="009B1CA3" w:rsidRDefault="00166C7D" w:rsidP="009B1CA3">
      <w:pPr>
        <w:jc w:val="both"/>
        <w:rPr>
          <w:color w:val="212121"/>
        </w:rPr>
      </w:pPr>
      <w:r w:rsidRPr="009B1CA3">
        <w:rPr>
          <w:color w:val="212121"/>
        </w:rPr>
        <w:t>Comportamiento variables administradas por el CIE</w:t>
      </w:r>
    </w:p>
    <w:p w:rsidR="00166C7D" w:rsidRDefault="00166C7D" w:rsidP="009B1CA3">
      <w:pPr>
        <w:jc w:val="both"/>
        <w:rPr>
          <w:rFonts w:eastAsia="Arial"/>
        </w:rPr>
      </w:pPr>
      <w:r w:rsidRPr="009B1CA3">
        <w:rPr>
          <w:rFonts w:eastAsia="Arial"/>
        </w:rPr>
        <w:t>2012-2013</w:t>
      </w:r>
    </w:p>
    <w:p w:rsidR="009B1CA3" w:rsidRPr="009B1CA3" w:rsidRDefault="009B1CA3" w:rsidP="009B1CA3">
      <w:pPr>
        <w:jc w:val="both"/>
        <w:rPr>
          <w:rFonts w:eastAsia="Arial"/>
        </w:rPr>
      </w:pPr>
    </w:p>
    <w:tbl>
      <w:tblPr>
        <w:tblW w:w="450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047"/>
        <w:gridCol w:w="1228"/>
        <w:gridCol w:w="1228"/>
      </w:tblGrid>
      <w:tr w:rsidR="00166C7D" w:rsidRPr="00696DE7" w:rsidTr="009B1CA3">
        <w:trPr>
          <w:trHeight w:val="327"/>
        </w:trPr>
        <w:tc>
          <w:tcPr>
            <w:tcW w:w="2047" w:type="dxa"/>
            <w:tcBorders>
              <w:bottom w:val="double" w:sz="4" w:space="0" w:color="auto"/>
            </w:tcBorders>
            <w:shd w:val="clear" w:color="auto" w:fill="auto"/>
            <w:vAlign w:val="center"/>
            <w:hideMark/>
          </w:tcPr>
          <w:p w:rsidR="00166C7D" w:rsidRPr="00696DE7" w:rsidRDefault="00166C7D" w:rsidP="009B1CA3">
            <w:pPr>
              <w:jc w:val="center"/>
              <w:rPr>
                <w:b/>
                <w:bCs/>
                <w:color w:val="000000"/>
                <w:lang w:val="es-ES"/>
              </w:rPr>
            </w:pPr>
            <w:r w:rsidRPr="00696DE7">
              <w:rPr>
                <w:sz w:val="22"/>
              </w:rPr>
              <w:br w:type="page"/>
            </w:r>
            <w:r w:rsidRPr="00696DE7">
              <w:rPr>
                <w:b/>
                <w:bCs/>
                <w:color w:val="000000"/>
                <w:sz w:val="22"/>
              </w:rPr>
              <w:t>Variables</w:t>
            </w:r>
          </w:p>
        </w:tc>
        <w:tc>
          <w:tcPr>
            <w:tcW w:w="1228" w:type="dxa"/>
            <w:tcBorders>
              <w:bottom w:val="double" w:sz="4" w:space="0" w:color="auto"/>
            </w:tcBorders>
            <w:shd w:val="clear" w:color="auto" w:fill="auto"/>
            <w:vAlign w:val="center"/>
            <w:hideMark/>
          </w:tcPr>
          <w:p w:rsidR="00166C7D" w:rsidRPr="00696DE7" w:rsidRDefault="00166C7D" w:rsidP="009B1CA3">
            <w:pPr>
              <w:jc w:val="center"/>
              <w:rPr>
                <w:b/>
                <w:bCs/>
                <w:color w:val="000000"/>
                <w:lang w:val="es-ES"/>
              </w:rPr>
            </w:pPr>
            <w:r w:rsidRPr="00696DE7">
              <w:rPr>
                <w:b/>
                <w:bCs/>
                <w:color w:val="000000"/>
                <w:sz w:val="22"/>
              </w:rPr>
              <w:t>2012</w:t>
            </w:r>
          </w:p>
        </w:tc>
        <w:tc>
          <w:tcPr>
            <w:tcW w:w="1228" w:type="dxa"/>
            <w:tcBorders>
              <w:bottom w:val="double" w:sz="4" w:space="0" w:color="auto"/>
            </w:tcBorders>
            <w:shd w:val="clear" w:color="auto" w:fill="auto"/>
            <w:vAlign w:val="center"/>
            <w:hideMark/>
          </w:tcPr>
          <w:p w:rsidR="00166C7D" w:rsidRPr="00696DE7" w:rsidRDefault="00166C7D" w:rsidP="009B1CA3">
            <w:pPr>
              <w:jc w:val="center"/>
              <w:rPr>
                <w:b/>
                <w:bCs/>
                <w:color w:val="000000"/>
                <w:lang w:val="es-ES"/>
              </w:rPr>
            </w:pPr>
            <w:r w:rsidRPr="00696DE7">
              <w:rPr>
                <w:b/>
                <w:bCs/>
                <w:color w:val="000000"/>
                <w:sz w:val="22"/>
              </w:rPr>
              <w:t>2013</w:t>
            </w:r>
          </w:p>
        </w:tc>
      </w:tr>
      <w:tr w:rsidR="00166C7D" w:rsidRPr="00696DE7" w:rsidTr="00575447">
        <w:trPr>
          <w:trHeight w:val="327"/>
        </w:trPr>
        <w:tc>
          <w:tcPr>
            <w:tcW w:w="2047" w:type="dxa"/>
            <w:tcBorders>
              <w:top w:val="double" w:sz="4" w:space="0" w:color="auto"/>
              <w:bottom w:val="nil"/>
            </w:tcBorders>
            <w:shd w:val="clear" w:color="auto" w:fill="auto"/>
            <w:vAlign w:val="center"/>
            <w:hideMark/>
          </w:tcPr>
          <w:p w:rsidR="00166C7D" w:rsidRPr="00696DE7" w:rsidRDefault="00166C7D" w:rsidP="00575447">
            <w:pPr>
              <w:spacing w:line="360" w:lineRule="auto"/>
              <w:jc w:val="both"/>
              <w:rPr>
                <w:color w:val="000000"/>
                <w:lang w:val="es-ES"/>
              </w:rPr>
            </w:pPr>
            <w:r w:rsidRPr="00696DE7">
              <w:rPr>
                <w:color w:val="000000"/>
                <w:sz w:val="22"/>
              </w:rPr>
              <w:t>Inscritos</w:t>
            </w:r>
          </w:p>
        </w:tc>
        <w:tc>
          <w:tcPr>
            <w:tcW w:w="1228" w:type="dxa"/>
            <w:tcBorders>
              <w:top w:val="double" w:sz="4" w:space="0" w:color="auto"/>
              <w:bottom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16.063</w:t>
            </w:r>
          </w:p>
        </w:tc>
        <w:tc>
          <w:tcPr>
            <w:tcW w:w="1228" w:type="dxa"/>
            <w:tcBorders>
              <w:top w:val="double" w:sz="4" w:space="0" w:color="auto"/>
              <w:bottom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19.214</w:t>
            </w:r>
          </w:p>
        </w:tc>
      </w:tr>
      <w:tr w:rsidR="00166C7D" w:rsidRPr="00696DE7" w:rsidTr="00575447">
        <w:trPr>
          <w:trHeight w:val="327"/>
        </w:trPr>
        <w:tc>
          <w:tcPr>
            <w:tcW w:w="2047" w:type="dxa"/>
            <w:tcBorders>
              <w:top w:val="nil"/>
              <w:bottom w:val="nil"/>
            </w:tcBorders>
            <w:shd w:val="clear" w:color="auto" w:fill="auto"/>
            <w:vAlign w:val="center"/>
            <w:hideMark/>
          </w:tcPr>
          <w:p w:rsidR="00166C7D" w:rsidRPr="00696DE7" w:rsidRDefault="00166C7D" w:rsidP="00575447">
            <w:pPr>
              <w:spacing w:line="360" w:lineRule="auto"/>
              <w:jc w:val="both"/>
              <w:rPr>
                <w:color w:val="000000"/>
                <w:lang w:val="es-ES"/>
              </w:rPr>
            </w:pPr>
            <w:r w:rsidRPr="00696DE7">
              <w:rPr>
                <w:color w:val="000000"/>
                <w:sz w:val="22"/>
              </w:rPr>
              <w:t>Vacantes</w:t>
            </w:r>
          </w:p>
        </w:tc>
        <w:tc>
          <w:tcPr>
            <w:tcW w:w="1228" w:type="dxa"/>
            <w:tcBorders>
              <w:top w:val="nil"/>
              <w:bottom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3.475</w:t>
            </w:r>
          </w:p>
        </w:tc>
        <w:tc>
          <w:tcPr>
            <w:tcW w:w="1228" w:type="dxa"/>
            <w:tcBorders>
              <w:top w:val="nil"/>
              <w:bottom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3.639</w:t>
            </w:r>
          </w:p>
        </w:tc>
      </w:tr>
      <w:tr w:rsidR="00166C7D" w:rsidRPr="00696DE7" w:rsidTr="00575447">
        <w:trPr>
          <w:trHeight w:val="327"/>
        </w:trPr>
        <w:tc>
          <w:tcPr>
            <w:tcW w:w="2047" w:type="dxa"/>
            <w:tcBorders>
              <w:top w:val="nil"/>
              <w:bottom w:val="nil"/>
            </w:tcBorders>
            <w:shd w:val="clear" w:color="auto" w:fill="auto"/>
            <w:vAlign w:val="center"/>
            <w:hideMark/>
          </w:tcPr>
          <w:p w:rsidR="00166C7D" w:rsidRPr="00696DE7" w:rsidRDefault="00166C7D" w:rsidP="00575447">
            <w:pPr>
              <w:spacing w:line="360" w:lineRule="auto"/>
              <w:jc w:val="both"/>
              <w:rPr>
                <w:color w:val="000000"/>
                <w:lang w:val="es-ES"/>
              </w:rPr>
            </w:pPr>
            <w:r w:rsidRPr="00696DE7">
              <w:rPr>
                <w:color w:val="000000"/>
                <w:sz w:val="22"/>
              </w:rPr>
              <w:t>Colocados Directos</w:t>
            </w:r>
          </w:p>
        </w:tc>
        <w:tc>
          <w:tcPr>
            <w:tcW w:w="1228" w:type="dxa"/>
            <w:tcBorders>
              <w:top w:val="nil"/>
              <w:bottom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2.189</w:t>
            </w:r>
          </w:p>
        </w:tc>
        <w:tc>
          <w:tcPr>
            <w:tcW w:w="1228" w:type="dxa"/>
            <w:tcBorders>
              <w:top w:val="nil"/>
              <w:bottom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2.409</w:t>
            </w:r>
          </w:p>
        </w:tc>
      </w:tr>
      <w:tr w:rsidR="00166C7D" w:rsidRPr="00696DE7" w:rsidTr="00575447">
        <w:trPr>
          <w:trHeight w:val="327"/>
        </w:trPr>
        <w:tc>
          <w:tcPr>
            <w:tcW w:w="2047" w:type="dxa"/>
            <w:tcBorders>
              <w:top w:val="nil"/>
              <w:bottom w:val="nil"/>
            </w:tcBorders>
            <w:shd w:val="clear" w:color="auto" w:fill="auto"/>
            <w:vAlign w:val="center"/>
            <w:hideMark/>
          </w:tcPr>
          <w:p w:rsidR="00166C7D" w:rsidRPr="00696DE7" w:rsidRDefault="00166C7D" w:rsidP="00575447">
            <w:pPr>
              <w:spacing w:line="360" w:lineRule="auto"/>
              <w:jc w:val="both"/>
              <w:rPr>
                <w:color w:val="000000"/>
                <w:lang w:val="es-ES"/>
              </w:rPr>
            </w:pPr>
            <w:r w:rsidRPr="00696DE7">
              <w:rPr>
                <w:color w:val="000000"/>
                <w:sz w:val="22"/>
              </w:rPr>
              <w:t>Orientados</w:t>
            </w:r>
          </w:p>
        </w:tc>
        <w:tc>
          <w:tcPr>
            <w:tcW w:w="1228" w:type="dxa"/>
            <w:tcBorders>
              <w:top w:val="nil"/>
              <w:bottom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10.444</w:t>
            </w:r>
          </w:p>
        </w:tc>
        <w:tc>
          <w:tcPr>
            <w:tcW w:w="1228" w:type="dxa"/>
            <w:tcBorders>
              <w:top w:val="nil"/>
              <w:bottom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12.232</w:t>
            </w:r>
          </w:p>
        </w:tc>
      </w:tr>
      <w:tr w:rsidR="00166C7D" w:rsidRPr="00696DE7" w:rsidTr="00575447">
        <w:trPr>
          <w:trHeight w:val="327"/>
        </w:trPr>
        <w:tc>
          <w:tcPr>
            <w:tcW w:w="2047" w:type="dxa"/>
            <w:tcBorders>
              <w:top w:val="nil"/>
              <w:bottom w:val="nil"/>
            </w:tcBorders>
            <w:shd w:val="clear" w:color="auto" w:fill="auto"/>
            <w:vAlign w:val="center"/>
            <w:hideMark/>
          </w:tcPr>
          <w:p w:rsidR="00166C7D" w:rsidRPr="00696DE7" w:rsidRDefault="00166C7D" w:rsidP="00575447">
            <w:pPr>
              <w:spacing w:line="360" w:lineRule="auto"/>
              <w:jc w:val="both"/>
              <w:rPr>
                <w:color w:val="000000"/>
                <w:lang w:val="es-ES"/>
              </w:rPr>
            </w:pPr>
            <w:r w:rsidRPr="00696DE7">
              <w:rPr>
                <w:color w:val="000000"/>
                <w:sz w:val="22"/>
              </w:rPr>
              <w:t>Nuevas Empresas</w:t>
            </w:r>
          </w:p>
        </w:tc>
        <w:tc>
          <w:tcPr>
            <w:tcW w:w="1228" w:type="dxa"/>
            <w:tcBorders>
              <w:top w:val="nil"/>
              <w:bottom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341</w:t>
            </w:r>
          </w:p>
        </w:tc>
        <w:tc>
          <w:tcPr>
            <w:tcW w:w="1228" w:type="dxa"/>
            <w:tcBorders>
              <w:top w:val="nil"/>
              <w:bottom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338</w:t>
            </w:r>
          </w:p>
        </w:tc>
      </w:tr>
      <w:tr w:rsidR="00166C7D" w:rsidRPr="00696DE7" w:rsidTr="00575447">
        <w:trPr>
          <w:trHeight w:val="327"/>
        </w:trPr>
        <w:tc>
          <w:tcPr>
            <w:tcW w:w="2047" w:type="dxa"/>
            <w:tcBorders>
              <w:top w:val="nil"/>
            </w:tcBorders>
            <w:shd w:val="clear" w:color="auto" w:fill="auto"/>
            <w:vAlign w:val="center"/>
            <w:hideMark/>
          </w:tcPr>
          <w:p w:rsidR="00166C7D" w:rsidRPr="00696DE7" w:rsidRDefault="00166C7D" w:rsidP="00575447">
            <w:pPr>
              <w:spacing w:line="360" w:lineRule="auto"/>
              <w:jc w:val="both"/>
              <w:rPr>
                <w:color w:val="000000"/>
                <w:lang w:val="es-ES"/>
              </w:rPr>
            </w:pPr>
            <w:r w:rsidRPr="00696DE7">
              <w:rPr>
                <w:color w:val="000000"/>
                <w:sz w:val="22"/>
              </w:rPr>
              <w:t>Profesionales</w:t>
            </w:r>
          </w:p>
        </w:tc>
        <w:tc>
          <w:tcPr>
            <w:tcW w:w="1228" w:type="dxa"/>
            <w:tcBorders>
              <w:top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5.654</w:t>
            </w:r>
          </w:p>
        </w:tc>
        <w:tc>
          <w:tcPr>
            <w:tcW w:w="1228" w:type="dxa"/>
            <w:tcBorders>
              <w:top w:val="nil"/>
            </w:tcBorders>
            <w:shd w:val="clear" w:color="auto" w:fill="auto"/>
            <w:vAlign w:val="bottom"/>
            <w:hideMark/>
          </w:tcPr>
          <w:p w:rsidR="00166C7D" w:rsidRPr="00696DE7" w:rsidRDefault="00166C7D" w:rsidP="00575447">
            <w:pPr>
              <w:spacing w:line="360" w:lineRule="auto"/>
              <w:jc w:val="center"/>
              <w:rPr>
                <w:color w:val="000000"/>
                <w:lang w:val="es-ES"/>
              </w:rPr>
            </w:pPr>
            <w:r w:rsidRPr="00696DE7">
              <w:rPr>
                <w:color w:val="000000"/>
                <w:sz w:val="22"/>
              </w:rPr>
              <w:t>4.435</w:t>
            </w:r>
          </w:p>
        </w:tc>
      </w:tr>
    </w:tbl>
    <w:p w:rsidR="00166C7D" w:rsidRPr="00696DE7" w:rsidRDefault="00166C7D" w:rsidP="00166C7D">
      <w:pPr>
        <w:spacing w:line="360" w:lineRule="auto"/>
        <w:jc w:val="both"/>
        <w:rPr>
          <w:rFonts w:eastAsia="Calibri"/>
          <w:sz w:val="16"/>
          <w:szCs w:val="16"/>
          <w:lang w:val="es-ES" w:eastAsia="en-US"/>
        </w:rPr>
      </w:pPr>
      <w:r w:rsidRPr="00696DE7">
        <w:rPr>
          <w:b/>
          <w:sz w:val="16"/>
          <w:szCs w:val="16"/>
        </w:rPr>
        <w:t>Fuente:</w:t>
      </w:r>
      <w:r w:rsidRPr="00696DE7">
        <w:rPr>
          <w:sz w:val="16"/>
          <w:szCs w:val="16"/>
        </w:rPr>
        <w:t xml:space="preserve"> </w:t>
      </w:r>
      <w:r w:rsidRPr="00696DE7">
        <w:rPr>
          <w:rFonts w:eastAsia="Calibri"/>
          <w:sz w:val="16"/>
          <w:szCs w:val="16"/>
          <w:lang w:val="es-ES" w:eastAsia="en-US"/>
        </w:rPr>
        <w:t>Servicio Nacional de Aprendizaje SENA – Regional Quindío</w:t>
      </w:r>
    </w:p>
    <w:p w:rsidR="00166C7D" w:rsidRPr="00696DE7" w:rsidRDefault="00166C7D" w:rsidP="00166C7D">
      <w:pPr>
        <w:spacing w:line="360" w:lineRule="auto"/>
        <w:jc w:val="both"/>
        <w:rPr>
          <w:i/>
        </w:rPr>
      </w:pPr>
      <w:r w:rsidRPr="00696DE7">
        <w:rPr>
          <w:rFonts w:eastAsia="Calibri"/>
          <w:sz w:val="16"/>
          <w:szCs w:val="16"/>
          <w:lang w:val="es-ES" w:eastAsia="en-US"/>
        </w:rPr>
        <w:t>SNRH – Sistema Nacional de Recurso Humano</w:t>
      </w:r>
    </w:p>
    <w:p w:rsidR="00166C7D" w:rsidRDefault="00166C7D" w:rsidP="00166C7D">
      <w:pPr>
        <w:spacing w:line="360" w:lineRule="auto"/>
        <w:jc w:val="both"/>
      </w:pPr>
    </w:p>
    <w:p w:rsidR="00166C7D" w:rsidRPr="00696DE7" w:rsidRDefault="00166C7D" w:rsidP="00166C7D">
      <w:pPr>
        <w:autoSpaceDE w:val="0"/>
        <w:autoSpaceDN w:val="0"/>
        <w:adjustRightInd w:val="0"/>
        <w:spacing w:line="360" w:lineRule="auto"/>
        <w:ind w:firstLine="284"/>
        <w:jc w:val="both"/>
        <w:rPr>
          <w:lang w:val="es-ES"/>
        </w:rPr>
      </w:pPr>
      <w:r w:rsidRPr="00696DE7">
        <w:rPr>
          <w:lang w:val="es-ES"/>
        </w:rPr>
        <w:t>La institucionalidad tecnológica</w:t>
      </w:r>
      <w:r w:rsidR="001C087D">
        <w:rPr>
          <w:lang w:val="es-ES"/>
        </w:rPr>
        <w:t>,</w:t>
      </w:r>
      <w:r w:rsidRPr="00696DE7">
        <w:rPr>
          <w:lang w:val="es-ES"/>
        </w:rPr>
        <w:t xml:space="preserve"> está representada por el Servicio Nacional de Aprendizaje SENA. Cuenta con tres sedes en el municipio de Armenia, en las cuales están distribuidos los programas académicos de acuerdo al sector ocupacional: agroindustrial, comercial y de turismo, y el Centro para el Desarrollo Tecnológico de la Construcción y la Industria. </w:t>
      </w:r>
    </w:p>
    <w:p w:rsidR="001F4A89" w:rsidRDefault="001F4A89" w:rsidP="00166C7D">
      <w:pPr>
        <w:autoSpaceDE w:val="0"/>
        <w:autoSpaceDN w:val="0"/>
        <w:adjustRightInd w:val="0"/>
        <w:spacing w:line="360" w:lineRule="auto"/>
        <w:ind w:firstLine="284"/>
        <w:jc w:val="both"/>
        <w:rPr>
          <w:lang w:val="es-ES"/>
        </w:rPr>
      </w:pPr>
    </w:p>
    <w:p w:rsidR="00166C7D" w:rsidRPr="00696DE7" w:rsidRDefault="00166C7D" w:rsidP="00166C7D">
      <w:pPr>
        <w:autoSpaceDE w:val="0"/>
        <w:autoSpaceDN w:val="0"/>
        <w:adjustRightInd w:val="0"/>
        <w:spacing w:line="360" w:lineRule="auto"/>
        <w:ind w:firstLine="284"/>
        <w:jc w:val="both"/>
        <w:rPr>
          <w:lang w:val="es-ES"/>
        </w:rPr>
      </w:pPr>
      <w:r w:rsidRPr="00696DE7">
        <w:rPr>
          <w:lang w:val="es-ES"/>
        </w:rPr>
        <w:t>El SENA, orienta y capacita para el empleo</w:t>
      </w:r>
      <w:r w:rsidR="001C087D">
        <w:rPr>
          <w:lang w:val="es-ES"/>
        </w:rPr>
        <w:t>,</w:t>
      </w:r>
      <w:r w:rsidRPr="00696DE7">
        <w:rPr>
          <w:lang w:val="es-ES"/>
        </w:rPr>
        <w:t xml:space="preserve"> </w:t>
      </w:r>
      <w:r w:rsidR="001C087D">
        <w:rPr>
          <w:lang w:val="es-ES"/>
        </w:rPr>
        <w:t>apoya el desarrollo empresarial,</w:t>
      </w:r>
      <w:r w:rsidRPr="00696DE7">
        <w:rPr>
          <w:lang w:val="es-ES"/>
        </w:rPr>
        <w:t xml:space="preserve"> brinda servicios tecnológicos para el sector productivo, y apoya proyectos de innovación, desarrollo tecnológico y competitividad.</w:t>
      </w:r>
      <w:r>
        <w:rPr>
          <w:lang w:val="es-ES"/>
        </w:rPr>
        <w:t xml:space="preserve"> (SENA, 2013)</w:t>
      </w:r>
      <w:r w:rsidRPr="00696DE7">
        <w:rPr>
          <w:rStyle w:val="Refdenotaalpie"/>
          <w:b/>
          <w:lang w:val="es-ES"/>
        </w:rPr>
        <w:footnoteReference w:id="46"/>
      </w:r>
    </w:p>
    <w:p w:rsidR="00166C7D" w:rsidRPr="00696DE7" w:rsidRDefault="00166C7D" w:rsidP="00166C7D">
      <w:pPr>
        <w:autoSpaceDE w:val="0"/>
        <w:autoSpaceDN w:val="0"/>
        <w:adjustRightInd w:val="0"/>
        <w:spacing w:line="360" w:lineRule="auto"/>
        <w:ind w:firstLine="284"/>
        <w:jc w:val="both"/>
        <w:rPr>
          <w:rFonts w:eastAsia="Calibri"/>
          <w:lang w:val="es-ES" w:eastAsia="en-US"/>
        </w:rPr>
      </w:pPr>
      <w:r>
        <w:rPr>
          <w:rFonts w:eastAsia="Calibri"/>
          <w:lang w:val="es-ES" w:eastAsia="en-US"/>
        </w:rPr>
        <w:t>E</w:t>
      </w:r>
      <w:r w:rsidRPr="00696DE7">
        <w:rPr>
          <w:rFonts w:eastAsia="Calibri"/>
          <w:lang w:val="es-ES" w:eastAsia="en-US"/>
        </w:rPr>
        <w:t>ntre el año 2012 y 2013</w:t>
      </w:r>
      <w:r w:rsidR="00BB59B7">
        <w:rPr>
          <w:rFonts w:eastAsia="Calibri"/>
          <w:lang w:val="es-ES" w:eastAsia="en-US"/>
        </w:rPr>
        <w:t>,</w:t>
      </w:r>
      <w:r w:rsidRPr="00696DE7">
        <w:rPr>
          <w:rFonts w:eastAsia="Calibri"/>
          <w:lang w:val="es-ES" w:eastAsia="en-US"/>
        </w:rPr>
        <w:t xml:space="preserve"> se registró una disminución del número de profesionales y nuevas empresas en el</w:t>
      </w:r>
      <w:r>
        <w:rPr>
          <w:rFonts w:eastAsia="Calibri"/>
          <w:lang w:val="es-ES" w:eastAsia="en-US"/>
        </w:rPr>
        <w:t xml:space="preserve"> CIE. </w:t>
      </w:r>
      <w:r w:rsidR="00BB59B7">
        <w:rPr>
          <w:rFonts w:eastAsia="Calibri"/>
          <w:lang w:val="es-ES" w:eastAsia="en-US"/>
        </w:rPr>
        <w:t>Así mismo, se presentó</w:t>
      </w:r>
      <w:r w:rsidRPr="00696DE7">
        <w:rPr>
          <w:rFonts w:eastAsia="Calibri"/>
          <w:lang w:val="es-ES" w:eastAsia="en-US"/>
        </w:rPr>
        <w:t xml:space="preserve"> un aumento de l</w:t>
      </w:r>
      <w:r w:rsidR="00BB59B7">
        <w:rPr>
          <w:rFonts w:eastAsia="Calibri"/>
          <w:lang w:val="es-ES" w:eastAsia="en-US"/>
        </w:rPr>
        <w:t>a población colocada de manera d</w:t>
      </w:r>
      <w:r w:rsidRPr="00696DE7">
        <w:rPr>
          <w:rFonts w:eastAsia="Calibri"/>
          <w:lang w:val="es-ES" w:eastAsia="en-US"/>
        </w:rPr>
        <w:t>irecta no muy significativo</w:t>
      </w:r>
      <w:r w:rsidR="00153840">
        <w:rPr>
          <w:rFonts w:eastAsia="Calibri"/>
          <w:lang w:val="es-ES" w:eastAsia="en-US"/>
        </w:rPr>
        <w:t>,</w:t>
      </w:r>
      <w:r w:rsidRPr="00696DE7">
        <w:rPr>
          <w:rFonts w:eastAsia="Calibri"/>
          <w:lang w:val="es-ES" w:eastAsia="en-US"/>
        </w:rPr>
        <w:t xml:space="preserve"> si se compara</w:t>
      </w:r>
      <w:r w:rsidR="00153840">
        <w:rPr>
          <w:rFonts w:eastAsia="Calibri"/>
          <w:lang w:val="es-ES" w:eastAsia="en-US"/>
        </w:rPr>
        <w:t xml:space="preserve"> con el incremento de personas inscritas en la b</w:t>
      </w:r>
      <w:r w:rsidRPr="00696DE7">
        <w:rPr>
          <w:rFonts w:eastAsia="Calibri"/>
          <w:lang w:val="es-ES" w:eastAsia="en-US"/>
        </w:rPr>
        <w:t>ase de dato</w:t>
      </w:r>
      <w:r>
        <w:rPr>
          <w:rFonts w:eastAsia="Calibri"/>
          <w:lang w:val="es-ES" w:eastAsia="en-US"/>
        </w:rPr>
        <w:t>s de personas que buscan empleo;</w:t>
      </w:r>
      <w:r w:rsidRPr="00696DE7">
        <w:rPr>
          <w:rFonts w:eastAsia="Calibri"/>
          <w:lang w:val="es-ES" w:eastAsia="en-US"/>
        </w:rPr>
        <w:t xml:space="preserve"> lo anterior, denota que </w:t>
      </w:r>
      <w:r w:rsidR="00153840">
        <w:rPr>
          <w:rFonts w:eastAsia="Calibri"/>
          <w:lang w:val="es-ES" w:eastAsia="en-US"/>
        </w:rPr>
        <w:t xml:space="preserve">en </w:t>
      </w:r>
      <w:r w:rsidRPr="00696DE7">
        <w:rPr>
          <w:rFonts w:eastAsia="Calibri"/>
          <w:lang w:val="es-ES" w:eastAsia="en-US"/>
        </w:rPr>
        <w:t xml:space="preserve">el </w:t>
      </w:r>
      <w:r w:rsidRPr="00696DE7">
        <w:rPr>
          <w:rFonts w:eastAsia="Calibri"/>
          <w:lang w:val="es-ES" w:eastAsia="en-US"/>
        </w:rPr>
        <w:lastRenderedPageBreak/>
        <w:t xml:space="preserve">Departamento </w:t>
      </w:r>
      <w:r w:rsidR="00153840">
        <w:rPr>
          <w:rFonts w:eastAsia="Calibri"/>
          <w:lang w:val="es-ES" w:eastAsia="en-US"/>
        </w:rPr>
        <w:t>no se genera</w:t>
      </w:r>
      <w:r w:rsidRPr="00696DE7">
        <w:rPr>
          <w:rFonts w:eastAsia="Calibri"/>
          <w:lang w:val="es-ES" w:eastAsia="en-US"/>
        </w:rPr>
        <w:t xml:space="preserve"> una demanda </w:t>
      </w:r>
      <w:r w:rsidR="00153840" w:rsidRPr="00696DE7">
        <w:rPr>
          <w:rFonts w:eastAsia="Calibri"/>
          <w:lang w:val="es-ES" w:eastAsia="en-US"/>
        </w:rPr>
        <w:t xml:space="preserve">suficiente </w:t>
      </w:r>
      <w:r w:rsidRPr="00696DE7">
        <w:rPr>
          <w:rFonts w:eastAsia="Calibri"/>
          <w:lang w:val="es-ES" w:eastAsia="en-US"/>
        </w:rPr>
        <w:t xml:space="preserve">de </w:t>
      </w:r>
      <w:r w:rsidR="00092E2C">
        <w:rPr>
          <w:rFonts w:eastAsia="Calibri"/>
          <w:lang w:val="es-ES" w:eastAsia="en-US"/>
        </w:rPr>
        <w:t>fuerza laboral</w:t>
      </w:r>
      <w:r w:rsidRPr="00696DE7">
        <w:rPr>
          <w:rFonts w:eastAsia="Calibri"/>
          <w:lang w:val="es-ES" w:eastAsia="en-US"/>
        </w:rPr>
        <w:t xml:space="preserve"> con un nivel de formación superior.</w:t>
      </w:r>
    </w:p>
    <w:p w:rsidR="00166C7D" w:rsidRPr="00696DE7" w:rsidRDefault="00166C7D" w:rsidP="00166C7D">
      <w:pPr>
        <w:autoSpaceDE w:val="0"/>
        <w:autoSpaceDN w:val="0"/>
        <w:adjustRightInd w:val="0"/>
        <w:spacing w:line="360" w:lineRule="auto"/>
        <w:ind w:firstLine="284"/>
        <w:jc w:val="both"/>
        <w:rPr>
          <w:rFonts w:eastAsia="Calibri"/>
          <w:lang w:val="es-ES" w:eastAsia="en-US"/>
        </w:rPr>
      </w:pPr>
      <w:r w:rsidRPr="00696DE7">
        <w:rPr>
          <w:rFonts w:eastAsia="Calibri"/>
          <w:lang w:val="es-ES" w:eastAsia="en-US"/>
        </w:rPr>
        <w:t xml:space="preserve"> </w:t>
      </w:r>
    </w:p>
    <w:p w:rsidR="00166C7D" w:rsidRPr="00DE7AA9" w:rsidRDefault="00166C7D" w:rsidP="00166C7D">
      <w:pPr>
        <w:ind w:right="301"/>
      </w:pPr>
      <w:r w:rsidRPr="00DE7AA9">
        <w:t>Gráfico 11.12</w:t>
      </w:r>
    </w:p>
    <w:p w:rsidR="00166C7D" w:rsidRPr="00DE7AA9" w:rsidRDefault="00166C7D" w:rsidP="00166C7D">
      <w:pPr>
        <w:autoSpaceDE w:val="0"/>
        <w:autoSpaceDN w:val="0"/>
        <w:adjustRightInd w:val="0"/>
      </w:pPr>
      <w:r w:rsidRPr="00DE7AA9">
        <w:t>Comportamiento variables administradas por el CIE</w:t>
      </w:r>
    </w:p>
    <w:p w:rsidR="00166C7D" w:rsidRPr="00DE7AA9" w:rsidRDefault="00166C7D" w:rsidP="00166C7D">
      <w:pPr>
        <w:autoSpaceDE w:val="0"/>
        <w:autoSpaceDN w:val="0"/>
        <w:adjustRightInd w:val="0"/>
      </w:pPr>
      <w:r w:rsidRPr="00DE7AA9">
        <w:t>2012-2013</w:t>
      </w:r>
    </w:p>
    <w:p w:rsidR="00166C7D" w:rsidRPr="00696DE7" w:rsidRDefault="00166C7D" w:rsidP="00166C7D">
      <w:pPr>
        <w:autoSpaceDE w:val="0"/>
        <w:autoSpaceDN w:val="0"/>
        <w:adjustRightInd w:val="0"/>
        <w:jc w:val="center"/>
      </w:pPr>
    </w:p>
    <w:p w:rsidR="00166C7D" w:rsidRPr="00696DE7" w:rsidRDefault="00166C7D" w:rsidP="00166C7D">
      <w:pPr>
        <w:spacing w:line="360" w:lineRule="auto"/>
        <w:jc w:val="both"/>
      </w:pPr>
      <w:r w:rsidRPr="00696DE7">
        <w:rPr>
          <w:noProof/>
        </w:rPr>
        <w:drawing>
          <wp:inline distT="0" distB="0" distL="0" distR="0" wp14:anchorId="1FE2386B" wp14:editId="449B2102">
            <wp:extent cx="4925089" cy="2591169"/>
            <wp:effectExtent l="19050" t="0" r="27911" b="0"/>
            <wp:docPr id="9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66C7D" w:rsidRDefault="00166C7D" w:rsidP="00166C7D">
      <w:pPr>
        <w:autoSpaceDE w:val="0"/>
        <w:autoSpaceDN w:val="0"/>
        <w:adjustRightInd w:val="0"/>
        <w:spacing w:line="360" w:lineRule="auto"/>
        <w:rPr>
          <w:rFonts w:eastAsia="Calibri"/>
          <w:sz w:val="16"/>
          <w:szCs w:val="16"/>
          <w:lang w:val="es-ES" w:eastAsia="en-US"/>
        </w:rPr>
      </w:pPr>
      <w:r w:rsidRPr="00696DE7">
        <w:rPr>
          <w:b/>
          <w:sz w:val="16"/>
          <w:szCs w:val="16"/>
        </w:rPr>
        <w:t>Fuente:</w:t>
      </w:r>
      <w:r w:rsidRPr="00696DE7">
        <w:rPr>
          <w:sz w:val="16"/>
          <w:szCs w:val="16"/>
        </w:rPr>
        <w:t xml:space="preserve"> </w:t>
      </w:r>
      <w:r w:rsidRPr="00696DE7">
        <w:rPr>
          <w:rFonts w:eastAsia="Calibri"/>
          <w:sz w:val="16"/>
          <w:szCs w:val="16"/>
          <w:lang w:val="es-ES" w:eastAsia="en-US"/>
        </w:rPr>
        <w:t>SENA</w:t>
      </w:r>
    </w:p>
    <w:p w:rsidR="00417FD7" w:rsidRDefault="00417FD7" w:rsidP="00166C7D">
      <w:pPr>
        <w:autoSpaceDE w:val="0"/>
        <w:autoSpaceDN w:val="0"/>
        <w:adjustRightInd w:val="0"/>
        <w:spacing w:line="360" w:lineRule="auto"/>
        <w:rPr>
          <w:rFonts w:eastAsia="Calibri"/>
          <w:sz w:val="16"/>
          <w:szCs w:val="16"/>
          <w:lang w:val="es-ES" w:eastAsia="en-US"/>
        </w:rPr>
      </w:pPr>
    </w:p>
    <w:p w:rsidR="00166C7D" w:rsidRPr="009B1CA3" w:rsidRDefault="009B1CA3" w:rsidP="009B1CA3">
      <w:pPr>
        <w:pStyle w:val="Ttulo2"/>
        <w:rPr>
          <w:rFonts w:ascii="Times New Roman" w:eastAsia="Calibri" w:hAnsi="Times New Roman" w:cs="Times New Roman"/>
          <w:color w:val="auto"/>
          <w:sz w:val="30"/>
          <w:szCs w:val="30"/>
          <w:lang w:val="es-ES" w:eastAsia="en-US"/>
        </w:rPr>
      </w:pPr>
      <w:bookmarkStart w:id="88" w:name="_Toc406754342"/>
      <w:r w:rsidRPr="009B1CA3">
        <w:rPr>
          <w:rFonts w:ascii="Times New Roman" w:eastAsia="Calibri" w:hAnsi="Times New Roman" w:cs="Times New Roman"/>
          <w:color w:val="auto"/>
          <w:sz w:val="30"/>
          <w:szCs w:val="30"/>
          <w:lang w:val="es-ES" w:eastAsia="en-US"/>
        </w:rPr>
        <w:t xml:space="preserve">11.5 </w:t>
      </w:r>
      <w:r w:rsidR="00166C7D" w:rsidRPr="009B1CA3">
        <w:rPr>
          <w:rFonts w:ascii="Times New Roman" w:eastAsia="Calibri" w:hAnsi="Times New Roman" w:cs="Times New Roman"/>
          <w:color w:val="auto"/>
          <w:sz w:val="30"/>
          <w:szCs w:val="30"/>
          <w:lang w:val="es-ES" w:eastAsia="en-US"/>
        </w:rPr>
        <w:t>Sindicalismo en el  departamento del Quindío</w:t>
      </w:r>
      <w:bookmarkEnd w:id="88"/>
      <w:r w:rsidR="00166C7D" w:rsidRPr="009B1CA3">
        <w:rPr>
          <w:rFonts w:ascii="Times New Roman" w:eastAsia="Calibri" w:hAnsi="Times New Roman" w:cs="Times New Roman"/>
          <w:color w:val="auto"/>
          <w:sz w:val="30"/>
          <w:szCs w:val="30"/>
          <w:lang w:val="es-ES" w:eastAsia="en-US"/>
        </w:rPr>
        <w:t xml:space="preserve"> </w:t>
      </w:r>
    </w:p>
    <w:p w:rsidR="00166C7D" w:rsidRPr="00696DE7" w:rsidRDefault="00166C7D" w:rsidP="00166C7D">
      <w:pPr>
        <w:autoSpaceDE w:val="0"/>
        <w:autoSpaceDN w:val="0"/>
        <w:adjustRightInd w:val="0"/>
        <w:spacing w:line="360" w:lineRule="auto"/>
        <w:jc w:val="both"/>
        <w:rPr>
          <w:rFonts w:eastAsia="Calibri"/>
          <w:b/>
          <w:lang w:val="es-ES" w:eastAsia="en-US"/>
        </w:rPr>
      </w:pPr>
    </w:p>
    <w:p w:rsidR="00166C7D" w:rsidRPr="00696DE7" w:rsidRDefault="00166C7D" w:rsidP="00166C7D">
      <w:pPr>
        <w:autoSpaceDE w:val="0"/>
        <w:autoSpaceDN w:val="0"/>
        <w:adjustRightInd w:val="0"/>
        <w:spacing w:line="360" w:lineRule="auto"/>
        <w:ind w:firstLine="284"/>
        <w:jc w:val="both"/>
        <w:rPr>
          <w:rFonts w:eastAsia="Calibri"/>
          <w:bCs/>
          <w:lang w:val="es-ES" w:eastAsia="en-US"/>
        </w:rPr>
      </w:pPr>
      <w:r w:rsidRPr="00696DE7">
        <w:rPr>
          <w:rFonts w:eastAsia="Calibri"/>
          <w:lang w:val="es-ES" w:eastAsia="en-US"/>
        </w:rPr>
        <w:t>Según la información suministrada por</w:t>
      </w:r>
      <w:r w:rsidRPr="00696DE7">
        <w:rPr>
          <w:rFonts w:eastAsia="Calibri"/>
          <w:bCs/>
          <w:lang w:val="es-ES" w:eastAsia="en-US"/>
        </w:rPr>
        <w:t xml:space="preserve">  la Escuela Nacional  Sindical (ENS); a través</w:t>
      </w:r>
      <w:r w:rsidR="00424F96">
        <w:rPr>
          <w:rFonts w:eastAsia="Calibri"/>
          <w:bCs/>
          <w:lang w:val="es-ES" w:eastAsia="en-US"/>
        </w:rPr>
        <w:t>,</w:t>
      </w:r>
      <w:r w:rsidRPr="00696DE7">
        <w:rPr>
          <w:rFonts w:eastAsia="Calibri"/>
          <w:bCs/>
          <w:lang w:val="es-ES" w:eastAsia="en-US"/>
        </w:rPr>
        <w:t xml:space="preserve"> del Sistema de Información Laboral y Sindical (SISLAB),  en su reporte con corte a Junio de 2013, presentado en el mes de Febrero de 2014, el Departamento del Quindío, cuenta con un número de 48 Sindicatos activos, conformados con 7.110 afiliados </w:t>
      </w:r>
      <w:r w:rsidRPr="00696DE7">
        <w:rPr>
          <w:rStyle w:val="Refdenotaalpie"/>
          <w:rFonts w:eastAsia="Calibri"/>
          <w:b/>
          <w:lang w:val="es-ES" w:eastAsia="en-US"/>
        </w:rPr>
        <w:footnoteReference w:id="47"/>
      </w:r>
      <w:r w:rsidRPr="00696DE7">
        <w:rPr>
          <w:rFonts w:eastAsia="Calibri"/>
          <w:bCs/>
          <w:lang w:val="es-ES" w:eastAsia="en-US"/>
        </w:rPr>
        <w:t>.</w:t>
      </w:r>
    </w:p>
    <w:p w:rsidR="00166C7D" w:rsidRPr="00696DE7" w:rsidRDefault="004861E3" w:rsidP="00166C7D">
      <w:pPr>
        <w:autoSpaceDE w:val="0"/>
        <w:autoSpaceDN w:val="0"/>
        <w:adjustRightInd w:val="0"/>
        <w:spacing w:line="360" w:lineRule="auto"/>
        <w:ind w:firstLine="284"/>
        <w:jc w:val="both"/>
        <w:rPr>
          <w:rFonts w:eastAsia="Calibri"/>
          <w:bCs/>
          <w:lang w:val="es-ES" w:eastAsia="en-US"/>
        </w:rPr>
      </w:pPr>
      <w:r>
        <w:rPr>
          <w:rFonts w:eastAsia="Calibri"/>
          <w:bCs/>
          <w:lang w:val="es-ES" w:eastAsia="en-US"/>
        </w:rPr>
        <w:t>De acuerdo con datos recientes,</w:t>
      </w:r>
      <w:r w:rsidR="00166C7D" w:rsidRPr="00696DE7">
        <w:rPr>
          <w:rStyle w:val="Refdenotaalpie"/>
          <w:rFonts w:eastAsia="Calibri"/>
          <w:b/>
          <w:bCs/>
          <w:lang w:val="es-ES" w:eastAsia="en-US"/>
        </w:rPr>
        <w:footnoteReference w:id="48"/>
      </w:r>
      <w:r>
        <w:rPr>
          <w:rFonts w:eastAsia="Calibri"/>
          <w:bCs/>
          <w:lang w:val="es-ES" w:eastAsia="en-US"/>
        </w:rPr>
        <w:t xml:space="preserve"> </w:t>
      </w:r>
      <w:r w:rsidR="00166C7D" w:rsidRPr="00696DE7">
        <w:rPr>
          <w:rFonts w:eastAsia="Calibri"/>
          <w:bCs/>
          <w:lang w:val="es-ES" w:eastAsia="en-US"/>
        </w:rPr>
        <w:t xml:space="preserve">en el Quindío </w:t>
      </w:r>
      <w:r w:rsidR="005B0A5F">
        <w:rPr>
          <w:rFonts w:eastAsia="Calibri"/>
          <w:bCs/>
          <w:lang w:val="es-ES" w:eastAsia="en-US"/>
        </w:rPr>
        <w:t>funcionan</w:t>
      </w:r>
      <w:r w:rsidR="00166C7D" w:rsidRPr="00696DE7">
        <w:rPr>
          <w:rFonts w:eastAsia="Calibri"/>
          <w:bCs/>
          <w:lang w:val="es-ES" w:eastAsia="en-US"/>
        </w:rPr>
        <w:t xml:space="preserve"> dos centrales obreras conformadas por  30 Sindicatos registrados ante el Ministerio de Trabajo, de los cuales 16 pertenecen a la Confederación </w:t>
      </w:r>
      <w:r w:rsidR="00161EDA">
        <w:rPr>
          <w:rFonts w:eastAsia="Calibri"/>
          <w:bCs/>
          <w:lang w:val="es-ES" w:eastAsia="en-US"/>
        </w:rPr>
        <w:t>General</w:t>
      </w:r>
      <w:r w:rsidR="00166C7D" w:rsidRPr="00696DE7">
        <w:rPr>
          <w:rFonts w:eastAsia="Calibri"/>
          <w:bCs/>
          <w:lang w:val="es-ES" w:eastAsia="en-US"/>
        </w:rPr>
        <w:t xml:space="preserve"> de Trabajo (CGT) y los 14 restantes a la Central </w:t>
      </w:r>
      <w:r w:rsidR="00166C7D" w:rsidRPr="00696DE7">
        <w:rPr>
          <w:rFonts w:eastAsia="Calibri"/>
          <w:bCs/>
          <w:lang w:val="es-ES" w:eastAsia="en-US"/>
        </w:rPr>
        <w:lastRenderedPageBreak/>
        <w:t xml:space="preserve">Unitaria de trabajadores (CUT); cabe aclarar, que la cifra expuesta  por el SISLAB con corte a </w:t>
      </w:r>
      <w:r w:rsidR="00161EDA">
        <w:rPr>
          <w:rFonts w:eastAsia="Calibri"/>
          <w:bCs/>
          <w:lang w:val="es-ES" w:eastAsia="en-US"/>
        </w:rPr>
        <w:t>junio de 2013 el cual relaciona</w:t>
      </w:r>
      <w:r w:rsidR="00166C7D" w:rsidRPr="00696DE7">
        <w:rPr>
          <w:rFonts w:eastAsia="Calibri"/>
          <w:bCs/>
          <w:lang w:val="es-ES" w:eastAsia="en-US"/>
        </w:rPr>
        <w:t xml:space="preserve"> 48 sindicatos, incluye Asociaciones y Comités de trabajadores.</w:t>
      </w:r>
    </w:p>
    <w:p w:rsidR="00166C7D" w:rsidRPr="00696DE7" w:rsidRDefault="00166C7D" w:rsidP="00166C7D">
      <w:pPr>
        <w:autoSpaceDE w:val="0"/>
        <w:autoSpaceDN w:val="0"/>
        <w:adjustRightInd w:val="0"/>
        <w:spacing w:line="360" w:lineRule="auto"/>
        <w:ind w:firstLine="284"/>
        <w:jc w:val="both"/>
        <w:rPr>
          <w:rFonts w:eastAsia="Calibri"/>
          <w:bCs/>
          <w:lang w:val="es-ES" w:eastAsia="en-US"/>
        </w:rPr>
      </w:pPr>
    </w:p>
    <w:p w:rsidR="00166C7D" w:rsidRPr="00696DE7" w:rsidRDefault="00166C7D" w:rsidP="00166C7D">
      <w:pPr>
        <w:autoSpaceDE w:val="0"/>
        <w:autoSpaceDN w:val="0"/>
        <w:adjustRightInd w:val="0"/>
        <w:spacing w:line="360" w:lineRule="auto"/>
        <w:ind w:firstLine="284"/>
        <w:jc w:val="both"/>
        <w:rPr>
          <w:rFonts w:eastAsia="Calibri"/>
          <w:bCs/>
          <w:lang w:val="es-ES" w:eastAsia="en-US"/>
        </w:rPr>
      </w:pPr>
      <w:r w:rsidRPr="00696DE7">
        <w:rPr>
          <w:rFonts w:eastAsia="Calibri"/>
          <w:bCs/>
          <w:lang w:val="es-ES" w:eastAsia="en-US"/>
        </w:rPr>
        <w:t xml:space="preserve">A nivel nacional, Colombia cuenta con 3.459 Sindicatos activos y 830.732 afiliados; esto significa que el Quindío, participa con un  1,39% del total nacional; </w:t>
      </w:r>
      <w:r w:rsidR="005B0A5F">
        <w:rPr>
          <w:rFonts w:eastAsia="Calibri"/>
          <w:bCs/>
          <w:lang w:val="es-ES" w:eastAsia="en-US"/>
        </w:rPr>
        <w:t>ubicándose en el puesto 19; el D</w:t>
      </w:r>
      <w:r w:rsidRPr="00696DE7">
        <w:rPr>
          <w:rFonts w:eastAsia="Calibri"/>
          <w:bCs/>
          <w:lang w:val="es-ES" w:eastAsia="en-US"/>
        </w:rPr>
        <w:t>e</w:t>
      </w:r>
      <w:r w:rsidR="005B0A5F">
        <w:rPr>
          <w:rFonts w:eastAsia="Calibri"/>
          <w:bCs/>
          <w:lang w:val="es-ES" w:eastAsia="en-US"/>
        </w:rPr>
        <w:t>partamento con mayor número de s</w:t>
      </w:r>
      <w:r w:rsidRPr="00696DE7">
        <w:rPr>
          <w:rFonts w:eastAsia="Calibri"/>
          <w:bCs/>
          <w:lang w:val="es-ES" w:eastAsia="en-US"/>
        </w:rPr>
        <w:t>indicatos activos es Bogotá D.C, seguido por Atlántico, Anti</w:t>
      </w:r>
      <w:r>
        <w:rPr>
          <w:rFonts w:eastAsia="Calibri"/>
          <w:bCs/>
          <w:lang w:val="es-ES" w:eastAsia="en-US"/>
        </w:rPr>
        <w:t>oquia y Valle</w:t>
      </w:r>
      <w:r w:rsidRPr="00696DE7">
        <w:rPr>
          <w:rFonts w:eastAsia="Calibri"/>
          <w:bCs/>
          <w:lang w:val="es-ES" w:eastAsia="en-US"/>
        </w:rPr>
        <w:t>.</w:t>
      </w:r>
    </w:p>
    <w:p w:rsidR="00166C7D" w:rsidRDefault="00166C7D" w:rsidP="00166C7D">
      <w:pPr>
        <w:autoSpaceDE w:val="0"/>
        <w:autoSpaceDN w:val="0"/>
        <w:adjustRightInd w:val="0"/>
        <w:spacing w:line="360" w:lineRule="auto"/>
        <w:jc w:val="both"/>
        <w:rPr>
          <w:rFonts w:eastAsia="Calibri"/>
          <w:bCs/>
          <w:lang w:val="es-ES" w:eastAsia="en-US"/>
        </w:rPr>
      </w:pPr>
    </w:p>
    <w:p w:rsidR="006A35E7" w:rsidRPr="00696DE7" w:rsidRDefault="006A35E7" w:rsidP="00166C7D">
      <w:pPr>
        <w:autoSpaceDE w:val="0"/>
        <w:autoSpaceDN w:val="0"/>
        <w:adjustRightInd w:val="0"/>
        <w:spacing w:line="360" w:lineRule="auto"/>
        <w:jc w:val="both"/>
        <w:rPr>
          <w:rFonts w:eastAsia="Calibri"/>
          <w:bCs/>
          <w:lang w:val="es-ES" w:eastAsia="en-US"/>
        </w:rPr>
      </w:pPr>
    </w:p>
    <w:p w:rsidR="00166C7D" w:rsidRPr="00DE7AA9" w:rsidRDefault="00166C7D" w:rsidP="00166C7D">
      <w:pPr>
        <w:autoSpaceDE w:val="0"/>
        <w:autoSpaceDN w:val="0"/>
        <w:adjustRightInd w:val="0"/>
        <w:jc w:val="both"/>
        <w:rPr>
          <w:rFonts w:eastAsia="Calibri"/>
          <w:bCs/>
          <w:lang w:val="es-ES" w:eastAsia="en-US"/>
        </w:rPr>
      </w:pPr>
      <w:r w:rsidRPr="00DE7AA9">
        <w:rPr>
          <w:rFonts w:eastAsia="Calibri"/>
          <w:bCs/>
          <w:lang w:val="es-ES" w:eastAsia="en-US"/>
        </w:rPr>
        <w:t>Tabla 11.8</w:t>
      </w:r>
    </w:p>
    <w:p w:rsidR="00166C7D" w:rsidRPr="00DE7AA9" w:rsidRDefault="00166C7D" w:rsidP="00166C7D">
      <w:pPr>
        <w:autoSpaceDE w:val="0"/>
        <w:autoSpaceDN w:val="0"/>
        <w:adjustRightInd w:val="0"/>
        <w:jc w:val="both"/>
        <w:rPr>
          <w:rFonts w:eastAsiaTheme="minorHAnsi"/>
          <w:bCs/>
          <w:lang w:val="es-MX" w:eastAsia="en-US"/>
        </w:rPr>
      </w:pPr>
      <w:r w:rsidRPr="00DE7AA9">
        <w:rPr>
          <w:rFonts w:eastAsiaTheme="minorHAnsi"/>
          <w:bCs/>
          <w:lang w:val="es-MX" w:eastAsia="en-US"/>
        </w:rPr>
        <w:t>Número de sindicatos activos y afiliados</w:t>
      </w:r>
    </w:p>
    <w:p w:rsidR="00166C7D" w:rsidRPr="00DE7AA9" w:rsidRDefault="00166C7D" w:rsidP="00166C7D">
      <w:pPr>
        <w:autoSpaceDE w:val="0"/>
        <w:autoSpaceDN w:val="0"/>
        <w:adjustRightInd w:val="0"/>
        <w:jc w:val="both"/>
        <w:rPr>
          <w:rFonts w:eastAsiaTheme="minorHAnsi"/>
          <w:bCs/>
          <w:lang w:val="es-MX" w:eastAsia="en-US"/>
        </w:rPr>
      </w:pPr>
      <w:r w:rsidRPr="00DE7AA9">
        <w:rPr>
          <w:rFonts w:eastAsiaTheme="minorHAnsi"/>
          <w:bCs/>
          <w:lang w:val="es-MX" w:eastAsia="en-US"/>
        </w:rPr>
        <w:t>2011</w:t>
      </w:r>
    </w:p>
    <w:p w:rsidR="00166C7D" w:rsidRPr="00696DE7" w:rsidRDefault="00166C7D" w:rsidP="00166C7D">
      <w:pPr>
        <w:autoSpaceDE w:val="0"/>
        <w:autoSpaceDN w:val="0"/>
        <w:adjustRightInd w:val="0"/>
        <w:jc w:val="center"/>
        <w:rPr>
          <w:rFonts w:eastAsiaTheme="minorHAnsi"/>
          <w:bCs/>
          <w:lang w:val="es-MX" w:eastAsia="en-US"/>
        </w:rPr>
      </w:pPr>
    </w:p>
    <w:tbl>
      <w:tblPr>
        <w:tblW w:w="8988" w:type="dxa"/>
        <w:tblInd w:w="53" w:type="dxa"/>
        <w:tblCellMar>
          <w:left w:w="70" w:type="dxa"/>
          <w:right w:w="70" w:type="dxa"/>
        </w:tblCellMar>
        <w:tblLook w:val="04A0" w:firstRow="1" w:lastRow="0" w:firstColumn="1" w:lastColumn="0" w:noHBand="0" w:noVBand="1"/>
      </w:tblPr>
      <w:tblGrid>
        <w:gridCol w:w="1747"/>
        <w:gridCol w:w="1153"/>
        <w:gridCol w:w="711"/>
        <w:gridCol w:w="1164"/>
        <w:gridCol w:w="712"/>
        <w:gridCol w:w="1018"/>
        <w:gridCol w:w="773"/>
        <w:gridCol w:w="957"/>
        <w:gridCol w:w="753"/>
      </w:tblGrid>
      <w:tr w:rsidR="00166C7D" w:rsidRPr="00696DE7" w:rsidTr="00575447">
        <w:trPr>
          <w:trHeight w:val="512"/>
          <w:tblHeader/>
        </w:trPr>
        <w:tc>
          <w:tcPr>
            <w:tcW w:w="1747" w:type="dxa"/>
            <w:tcBorders>
              <w:top w:val="single" w:sz="4" w:space="0" w:color="auto"/>
              <w:left w:val="nil"/>
              <w:bottom w:val="double" w:sz="6" w:space="0" w:color="auto"/>
              <w:right w:val="nil"/>
            </w:tcBorders>
            <w:shd w:val="clear" w:color="auto" w:fill="auto"/>
            <w:noWrap/>
            <w:vAlign w:val="center"/>
            <w:hideMark/>
          </w:tcPr>
          <w:p w:rsidR="00166C7D" w:rsidRPr="00696DE7" w:rsidRDefault="00166C7D" w:rsidP="00575447">
            <w:pPr>
              <w:rPr>
                <w:b/>
                <w:bCs/>
                <w:color w:val="000000"/>
                <w:sz w:val="20"/>
                <w:szCs w:val="20"/>
                <w:lang w:val="es-MX" w:eastAsia="es-MX"/>
              </w:rPr>
            </w:pPr>
            <w:r w:rsidRPr="00696DE7">
              <w:rPr>
                <w:b/>
                <w:bCs/>
                <w:color w:val="000000"/>
                <w:sz w:val="20"/>
                <w:szCs w:val="20"/>
                <w:lang w:val="es-MX" w:eastAsia="es-MX"/>
              </w:rPr>
              <w:t>Departamento Nº</w:t>
            </w:r>
          </w:p>
        </w:tc>
        <w:tc>
          <w:tcPr>
            <w:tcW w:w="1153" w:type="dxa"/>
            <w:tcBorders>
              <w:top w:val="single" w:sz="4" w:space="0" w:color="auto"/>
              <w:left w:val="nil"/>
              <w:bottom w:val="double" w:sz="6" w:space="0" w:color="auto"/>
              <w:right w:val="nil"/>
            </w:tcBorders>
            <w:shd w:val="clear" w:color="auto" w:fill="auto"/>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No. sindicatos</w:t>
            </w:r>
          </w:p>
        </w:tc>
        <w:tc>
          <w:tcPr>
            <w:tcW w:w="711" w:type="dxa"/>
            <w:tcBorders>
              <w:top w:val="single" w:sz="4" w:space="0" w:color="auto"/>
              <w:left w:val="nil"/>
              <w:bottom w:val="double" w:sz="6" w:space="0" w:color="auto"/>
              <w:right w:val="nil"/>
            </w:tcBorders>
            <w:shd w:val="clear" w:color="auto" w:fill="auto"/>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w:t>
            </w:r>
          </w:p>
        </w:tc>
        <w:tc>
          <w:tcPr>
            <w:tcW w:w="1164" w:type="dxa"/>
            <w:tcBorders>
              <w:top w:val="single" w:sz="4" w:space="0" w:color="auto"/>
              <w:left w:val="nil"/>
              <w:bottom w:val="double" w:sz="6" w:space="0" w:color="auto"/>
              <w:right w:val="nil"/>
            </w:tcBorders>
            <w:shd w:val="clear" w:color="auto" w:fill="auto"/>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Número de afiliados</w:t>
            </w:r>
          </w:p>
        </w:tc>
        <w:tc>
          <w:tcPr>
            <w:tcW w:w="712" w:type="dxa"/>
            <w:tcBorders>
              <w:top w:val="single" w:sz="4" w:space="0" w:color="auto"/>
              <w:left w:val="nil"/>
              <w:bottom w:val="double" w:sz="6" w:space="0" w:color="auto"/>
              <w:right w:val="nil"/>
            </w:tcBorders>
            <w:shd w:val="clear" w:color="auto" w:fill="auto"/>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w:t>
            </w:r>
          </w:p>
        </w:tc>
        <w:tc>
          <w:tcPr>
            <w:tcW w:w="1018" w:type="dxa"/>
            <w:tcBorders>
              <w:top w:val="single" w:sz="4" w:space="0" w:color="auto"/>
              <w:left w:val="nil"/>
              <w:bottom w:val="double" w:sz="6" w:space="0" w:color="auto"/>
              <w:right w:val="nil"/>
            </w:tcBorders>
            <w:shd w:val="clear" w:color="auto" w:fill="auto"/>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Afiliados hombres</w:t>
            </w:r>
          </w:p>
        </w:tc>
        <w:tc>
          <w:tcPr>
            <w:tcW w:w="773" w:type="dxa"/>
            <w:tcBorders>
              <w:top w:val="single" w:sz="4" w:space="0" w:color="auto"/>
              <w:left w:val="nil"/>
              <w:bottom w:val="double" w:sz="6" w:space="0" w:color="auto"/>
              <w:right w:val="nil"/>
            </w:tcBorders>
            <w:shd w:val="clear" w:color="auto" w:fill="auto"/>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w:t>
            </w:r>
          </w:p>
        </w:tc>
        <w:tc>
          <w:tcPr>
            <w:tcW w:w="957" w:type="dxa"/>
            <w:tcBorders>
              <w:top w:val="single" w:sz="4" w:space="0" w:color="auto"/>
              <w:left w:val="nil"/>
              <w:bottom w:val="double" w:sz="6" w:space="0" w:color="auto"/>
              <w:right w:val="nil"/>
            </w:tcBorders>
            <w:shd w:val="clear" w:color="auto" w:fill="auto"/>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 xml:space="preserve"> Afiliados mujeres</w:t>
            </w:r>
          </w:p>
        </w:tc>
        <w:tc>
          <w:tcPr>
            <w:tcW w:w="753" w:type="dxa"/>
            <w:tcBorders>
              <w:top w:val="single" w:sz="4" w:space="0" w:color="auto"/>
              <w:left w:val="nil"/>
              <w:bottom w:val="double" w:sz="6" w:space="0" w:color="auto"/>
              <w:right w:val="nil"/>
            </w:tcBorders>
            <w:shd w:val="clear" w:color="auto" w:fill="auto"/>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 xml:space="preserve"> %</w:t>
            </w:r>
          </w:p>
        </w:tc>
      </w:tr>
      <w:tr w:rsidR="00166C7D" w:rsidRPr="00696DE7" w:rsidTr="00575447">
        <w:trPr>
          <w:trHeight w:val="335"/>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Bogotá D.E.</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891</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25,76</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298.586</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35,94</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179.873</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34,33</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118.713</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38,71</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Atlántico</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315</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9,11</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43.407</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5,23</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30.644</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5,85</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12.763</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4,16</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Antioquia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263</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7,6</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104.162</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12,54</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6.6671</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12,72</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37.491</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12,22</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Valle</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262</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7,57</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73.296</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8,82</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55.971</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10,68</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17.325</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5,65</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Cundinamarca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166</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4,8</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21.209</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2,55</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16.46</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3,14</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4.749</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1,55</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Tolima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155</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4,48</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30.187</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3,63</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19.083</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3,64</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11.104</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3,62</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Bolívar</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154</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4,45</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22.409</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2,7</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15.577</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2,97</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6.832</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2,23</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Santander</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146</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4,22</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31.674</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3,81</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22.034</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4,2</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9.64</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3,14</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Nariño</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145</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4,19</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18.724</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2,25</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10.218</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1,95</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8.506</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2,77</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Norte de Santander</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104</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3,01</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18.525</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2,23</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8.879</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1,69</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9.646</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3,15</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Cauca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89</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2,57</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16.92</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2,04</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10.511</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2,01</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6.409</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2,09</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Boyacá</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75</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2,17</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14.488</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1,74</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8.409</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1,6</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6.079</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1,98</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Meta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74</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2,14</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10.418</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1,25</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6.328</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1,21</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4.09</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1,33</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Caldas</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68</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1,97</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9.98</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5.888</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1,12</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4.092</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1,33</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Huila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66</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1,91</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16.419</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1,98</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11.49</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2,19</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4.929</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1,61</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Magdalena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66</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1,91</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12.161</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1,46</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6.124</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1,17</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6.037</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1,97</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Risaralda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66</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1,91</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9.645</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1,16</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5.191</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0,99</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4.454</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1,45</w:t>
            </w:r>
          </w:p>
        </w:tc>
      </w:tr>
      <w:tr w:rsidR="00166C7D" w:rsidRPr="00696DE7" w:rsidTr="00575447">
        <w:trPr>
          <w:trHeight w:val="319"/>
        </w:trPr>
        <w:tc>
          <w:tcPr>
            <w:tcW w:w="1747" w:type="dxa"/>
            <w:tcBorders>
              <w:top w:val="nil"/>
              <w:left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Cesar</w:t>
            </w:r>
          </w:p>
        </w:tc>
        <w:tc>
          <w:tcPr>
            <w:tcW w:w="1153" w:type="dxa"/>
            <w:tcBorders>
              <w:top w:val="nil"/>
              <w:left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52</w:t>
            </w:r>
          </w:p>
        </w:tc>
        <w:tc>
          <w:tcPr>
            <w:tcW w:w="711" w:type="dxa"/>
            <w:tcBorders>
              <w:top w:val="nil"/>
              <w:left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1,5</w:t>
            </w:r>
          </w:p>
        </w:tc>
        <w:tc>
          <w:tcPr>
            <w:tcW w:w="1164" w:type="dxa"/>
            <w:tcBorders>
              <w:top w:val="nil"/>
              <w:left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10.784</w:t>
            </w:r>
          </w:p>
        </w:tc>
        <w:tc>
          <w:tcPr>
            <w:tcW w:w="712" w:type="dxa"/>
            <w:tcBorders>
              <w:top w:val="nil"/>
              <w:left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1,3</w:t>
            </w:r>
          </w:p>
        </w:tc>
        <w:tc>
          <w:tcPr>
            <w:tcW w:w="1018" w:type="dxa"/>
            <w:tcBorders>
              <w:top w:val="nil"/>
              <w:left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5.728</w:t>
            </w:r>
          </w:p>
        </w:tc>
        <w:tc>
          <w:tcPr>
            <w:tcW w:w="773" w:type="dxa"/>
            <w:tcBorders>
              <w:top w:val="nil"/>
              <w:left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1,09</w:t>
            </w:r>
          </w:p>
        </w:tc>
        <w:tc>
          <w:tcPr>
            <w:tcW w:w="957" w:type="dxa"/>
            <w:tcBorders>
              <w:top w:val="nil"/>
              <w:left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5.056</w:t>
            </w:r>
          </w:p>
        </w:tc>
        <w:tc>
          <w:tcPr>
            <w:tcW w:w="753" w:type="dxa"/>
            <w:tcBorders>
              <w:top w:val="nil"/>
              <w:left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1,65</w:t>
            </w:r>
          </w:p>
        </w:tc>
      </w:tr>
      <w:tr w:rsidR="00166C7D" w:rsidRPr="00696DE7" w:rsidTr="00575447">
        <w:trPr>
          <w:trHeight w:val="319"/>
        </w:trPr>
        <w:tc>
          <w:tcPr>
            <w:tcW w:w="1747" w:type="dxa"/>
            <w:tcBorders>
              <w:top w:val="nil"/>
              <w:left w:val="nil"/>
              <w:bottom w:val="nil"/>
              <w:right w:val="nil"/>
            </w:tcBorders>
            <w:shd w:val="pct5" w:color="auto" w:fill="auto"/>
            <w:noWrap/>
            <w:vAlign w:val="center"/>
            <w:hideMark/>
          </w:tcPr>
          <w:p w:rsidR="00166C7D" w:rsidRPr="00696DE7" w:rsidRDefault="00166C7D" w:rsidP="00575447">
            <w:pPr>
              <w:rPr>
                <w:b/>
                <w:i/>
                <w:color w:val="000000"/>
                <w:sz w:val="20"/>
                <w:szCs w:val="20"/>
                <w:lang w:val="es-MX" w:eastAsia="es-MX"/>
              </w:rPr>
            </w:pPr>
            <w:r w:rsidRPr="00696DE7">
              <w:rPr>
                <w:b/>
                <w:i/>
                <w:color w:val="000000"/>
                <w:sz w:val="20"/>
                <w:szCs w:val="20"/>
                <w:lang w:val="es-MX" w:eastAsia="es-MX"/>
              </w:rPr>
              <w:t>Quindío</w:t>
            </w:r>
          </w:p>
        </w:tc>
        <w:tc>
          <w:tcPr>
            <w:tcW w:w="1153" w:type="dxa"/>
            <w:tcBorders>
              <w:top w:val="nil"/>
              <w:left w:val="nil"/>
              <w:bottom w:val="nil"/>
              <w:right w:val="nil"/>
            </w:tcBorders>
            <w:shd w:val="pct5" w:color="auto" w:fill="auto"/>
            <w:noWrap/>
            <w:vAlign w:val="center"/>
            <w:hideMark/>
          </w:tcPr>
          <w:p w:rsidR="00166C7D" w:rsidRPr="00696DE7" w:rsidRDefault="00166C7D" w:rsidP="00575447">
            <w:pPr>
              <w:jc w:val="center"/>
              <w:rPr>
                <w:b/>
                <w:i/>
                <w:color w:val="000000"/>
                <w:sz w:val="20"/>
                <w:szCs w:val="20"/>
                <w:lang w:val="es-MX" w:eastAsia="es-MX"/>
              </w:rPr>
            </w:pPr>
            <w:r w:rsidRPr="00696DE7">
              <w:rPr>
                <w:b/>
                <w:i/>
                <w:color w:val="000000"/>
                <w:sz w:val="20"/>
                <w:szCs w:val="20"/>
                <w:lang w:val="es-MX" w:eastAsia="es-MX"/>
              </w:rPr>
              <w:t>48</w:t>
            </w:r>
          </w:p>
        </w:tc>
        <w:tc>
          <w:tcPr>
            <w:tcW w:w="711" w:type="dxa"/>
            <w:tcBorders>
              <w:top w:val="nil"/>
              <w:left w:val="nil"/>
              <w:bottom w:val="nil"/>
              <w:right w:val="nil"/>
            </w:tcBorders>
            <w:shd w:val="pct5" w:color="auto" w:fill="auto"/>
            <w:noWrap/>
            <w:vAlign w:val="center"/>
            <w:hideMark/>
          </w:tcPr>
          <w:p w:rsidR="00166C7D" w:rsidRPr="00696DE7" w:rsidRDefault="00166C7D" w:rsidP="00575447">
            <w:pPr>
              <w:jc w:val="center"/>
              <w:rPr>
                <w:b/>
                <w:i/>
                <w:color w:val="000000"/>
                <w:sz w:val="20"/>
                <w:szCs w:val="20"/>
                <w:lang w:val="es-MX" w:eastAsia="es-MX"/>
              </w:rPr>
            </w:pPr>
            <w:r w:rsidRPr="00696DE7">
              <w:rPr>
                <w:b/>
                <w:i/>
                <w:color w:val="000000"/>
                <w:sz w:val="20"/>
                <w:szCs w:val="20"/>
                <w:lang w:val="es-MX" w:eastAsia="es-MX"/>
              </w:rPr>
              <w:t>1,39</w:t>
            </w:r>
          </w:p>
        </w:tc>
        <w:tc>
          <w:tcPr>
            <w:tcW w:w="1164" w:type="dxa"/>
            <w:tcBorders>
              <w:top w:val="nil"/>
              <w:left w:val="nil"/>
              <w:bottom w:val="nil"/>
              <w:right w:val="nil"/>
            </w:tcBorders>
            <w:shd w:val="pct5" w:color="auto" w:fill="auto"/>
            <w:noWrap/>
            <w:vAlign w:val="center"/>
            <w:hideMark/>
          </w:tcPr>
          <w:p w:rsidR="00166C7D" w:rsidRPr="00696DE7" w:rsidRDefault="00166C7D" w:rsidP="00575447">
            <w:pPr>
              <w:jc w:val="center"/>
              <w:rPr>
                <w:b/>
                <w:i/>
                <w:color w:val="000000"/>
                <w:sz w:val="20"/>
                <w:szCs w:val="20"/>
                <w:lang w:val="es-MX" w:eastAsia="es-MX"/>
              </w:rPr>
            </w:pPr>
            <w:r w:rsidRPr="00696DE7">
              <w:rPr>
                <w:b/>
                <w:i/>
                <w:color w:val="000000"/>
                <w:sz w:val="20"/>
                <w:szCs w:val="20"/>
                <w:lang w:val="es-MX" w:eastAsia="es-MX"/>
              </w:rPr>
              <w:t>7.110</w:t>
            </w:r>
          </w:p>
        </w:tc>
        <w:tc>
          <w:tcPr>
            <w:tcW w:w="712" w:type="dxa"/>
            <w:tcBorders>
              <w:top w:val="nil"/>
              <w:left w:val="nil"/>
              <w:bottom w:val="nil"/>
              <w:right w:val="nil"/>
            </w:tcBorders>
            <w:shd w:val="pct5" w:color="auto" w:fill="auto"/>
            <w:noWrap/>
            <w:vAlign w:val="center"/>
            <w:hideMark/>
          </w:tcPr>
          <w:p w:rsidR="00166C7D" w:rsidRPr="00696DE7" w:rsidRDefault="00166C7D" w:rsidP="00575447">
            <w:pPr>
              <w:jc w:val="center"/>
              <w:rPr>
                <w:b/>
                <w:i/>
                <w:color w:val="000000"/>
                <w:sz w:val="20"/>
                <w:szCs w:val="20"/>
                <w:lang w:val="es-MX" w:eastAsia="es-MX"/>
              </w:rPr>
            </w:pPr>
            <w:r w:rsidRPr="00696DE7">
              <w:rPr>
                <w:b/>
                <w:i/>
                <w:color w:val="000000"/>
                <w:sz w:val="20"/>
                <w:szCs w:val="20"/>
                <w:lang w:val="es-MX" w:eastAsia="es-MX"/>
              </w:rPr>
              <w:t>0,86</w:t>
            </w:r>
          </w:p>
        </w:tc>
        <w:tc>
          <w:tcPr>
            <w:tcW w:w="1018" w:type="dxa"/>
            <w:tcBorders>
              <w:top w:val="nil"/>
              <w:left w:val="nil"/>
              <w:bottom w:val="nil"/>
              <w:right w:val="nil"/>
            </w:tcBorders>
            <w:shd w:val="pct5" w:color="auto" w:fill="auto"/>
            <w:noWrap/>
            <w:vAlign w:val="center"/>
            <w:hideMark/>
          </w:tcPr>
          <w:p w:rsidR="00166C7D" w:rsidRPr="00696DE7" w:rsidRDefault="00166C7D" w:rsidP="00575447">
            <w:pPr>
              <w:jc w:val="center"/>
              <w:rPr>
                <w:b/>
                <w:i/>
                <w:color w:val="000000"/>
                <w:sz w:val="20"/>
                <w:szCs w:val="20"/>
                <w:lang w:val="es-MX" w:eastAsia="es-MX"/>
              </w:rPr>
            </w:pPr>
            <w:r w:rsidRPr="00696DE7">
              <w:rPr>
                <w:b/>
                <w:i/>
                <w:color w:val="000000"/>
                <w:sz w:val="20"/>
                <w:szCs w:val="20"/>
                <w:lang w:val="es-MX" w:eastAsia="es-MX"/>
              </w:rPr>
              <w:t>4.802</w:t>
            </w:r>
          </w:p>
        </w:tc>
        <w:tc>
          <w:tcPr>
            <w:tcW w:w="773" w:type="dxa"/>
            <w:tcBorders>
              <w:top w:val="nil"/>
              <w:left w:val="nil"/>
              <w:bottom w:val="nil"/>
              <w:right w:val="nil"/>
            </w:tcBorders>
            <w:shd w:val="pct5" w:color="auto" w:fill="auto"/>
            <w:noWrap/>
            <w:vAlign w:val="center"/>
            <w:hideMark/>
          </w:tcPr>
          <w:p w:rsidR="00166C7D" w:rsidRPr="00696DE7" w:rsidRDefault="00166C7D" w:rsidP="00575447">
            <w:pPr>
              <w:jc w:val="center"/>
              <w:rPr>
                <w:b/>
                <w:i/>
                <w:color w:val="000000"/>
                <w:sz w:val="20"/>
                <w:szCs w:val="20"/>
                <w:lang w:val="es-MX" w:eastAsia="es-MX"/>
              </w:rPr>
            </w:pPr>
            <w:r w:rsidRPr="00696DE7">
              <w:rPr>
                <w:b/>
                <w:i/>
                <w:color w:val="000000"/>
                <w:sz w:val="20"/>
                <w:szCs w:val="20"/>
                <w:lang w:val="es-MX" w:eastAsia="es-MX"/>
              </w:rPr>
              <w:t>0,92</w:t>
            </w:r>
          </w:p>
        </w:tc>
        <w:tc>
          <w:tcPr>
            <w:tcW w:w="957" w:type="dxa"/>
            <w:tcBorders>
              <w:top w:val="nil"/>
              <w:left w:val="nil"/>
              <w:bottom w:val="nil"/>
              <w:right w:val="nil"/>
            </w:tcBorders>
            <w:shd w:val="pct5" w:color="auto" w:fill="auto"/>
            <w:noWrap/>
            <w:vAlign w:val="center"/>
            <w:hideMark/>
          </w:tcPr>
          <w:p w:rsidR="00166C7D" w:rsidRPr="00696DE7" w:rsidRDefault="00166C7D" w:rsidP="00575447">
            <w:pPr>
              <w:jc w:val="center"/>
              <w:rPr>
                <w:b/>
                <w:i/>
                <w:color w:val="000000"/>
                <w:sz w:val="20"/>
                <w:szCs w:val="20"/>
                <w:lang w:val="es-MX" w:eastAsia="es-MX"/>
              </w:rPr>
            </w:pPr>
            <w:r w:rsidRPr="00696DE7">
              <w:rPr>
                <w:b/>
                <w:i/>
                <w:color w:val="000000"/>
                <w:sz w:val="20"/>
                <w:szCs w:val="20"/>
                <w:lang w:val="es-MX" w:eastAsia="es-MX"/>
              </w:rPr>
              <w:t>2.308</w:t>
            </w:r>
          </w:p>
        </w:tc>
        <w:tc>
          <w:tcPr>
            <w:tcW w:w="753" w:type="dxa"/>
            <w:tcBorders>
              <w:top w:val="nil"/>
              <w:left w:val="nil"/>
              <w:bottom w:val="nil"/>
              <w:right w:val="nil"/>
            </w:tcBorders>
            <w:shd w:val="pct5" w:color="auto" w:fill="auto"/>
            <w:noWrap/>
            <w:vAlign w:val="center"/>
            <w:hideMark/>
          </w:tcPr>
          <w:p w:rsidR="00166C7D" w:rsidRPr="00696DE7" w:rsidRDefault="00166C7D" w:rsidP="00575447">
            <w:pPr>
              <w:jc w:val="center"/>
              <w:rPr>
                <w:b/>
                <w:i/>
                <w:color w:val="000000"/>
                <w:sz w:val="20"/>
                <w:szCs w:val="20"/>
                <w:lang w:val="es-MX" w:eastAsia="es-MX"/>
              </w:rPr>
            </w:pPr>
            <w:r w:rsidRPr="00696DE7">
              <w:rPr>
                <w:b/>
                <w:i/>
                <w:color w:val="000000"/>
                <w:sz w:val="20"/>
                <w:szCs w:val="20"/>
                <w:lang w:val="es-MX" w:eastAsia="es-MX"/>
              </w:rPr>
              <w:t>0,75</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Sucre</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47</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1,36</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8.27</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4.507</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0,86</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3.763</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1,23</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lastRenderedPageBreak/>
              <w:t>Córdoba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35</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1,01</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14.828</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1,78</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7.325</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1,4</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7.503</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2,45</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Caquetá</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30</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0,87</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5.408</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0,65</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3.064</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0,58</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2.344</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0,76</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Guajira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29</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0,84</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9.479</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1,14</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6.546</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1,25</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2.933</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0,96</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Putumayo</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23</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0,66</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4.595</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0,55</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2.707</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0,52</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1.888</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0,62</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Chocó</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18</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0,52</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5368</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0,65</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2.387</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0,46</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2.981</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0,97</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Arauca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18</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0,52</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3.676</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0,44</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1.982</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0,38</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1.694</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0,55</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San Andrés y Providencia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15</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0,43</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1.593</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0,19</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843</w:t>
            </w:r>
          </w:p>
        </w:tc>
        <w:tc>
          <w:tcPr>
            <w:tcW w:w="773" w:type="dxa"/>
            <w:tcBorders>
              <w:top w:val="nil"/>
              <w:left w:val="nil"/>
              <w:bottom w:val="nil"/>
              <w:right w:val="nil"/>
            </w:tcBorders>
            <w:shd w:val="clear" w:color="auto" w:fill="auto"/>
            <w:noWrap/>
            <w:vAlign w:val="bottom"/>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0,16</w:t>
            </w:r>
          </w:p>
        </w:tc>
        <w:tc>
          <w:tcPr>
            <w:tcW w:w="957" w:type="dxa"/>
            <w:tcBorders>
              <w:top w:val="nil"/>
              <w:left w:val="nil"/>
              <w:bottom w:val="nil"/>
              <w:right w:val="nil"/>
            </w:tcBorders>
            <w:shd w:val="clear" w:color="auto" w:fill="auto"/>
            <w:noWrap/>
            <w:vAlign w:val="bottom"/>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750</w:t>
            </w:r>
          </w:p>
        </w:tc>
        <w:tc>
          <w:tcPr>
            <w:tcW w:w="753" w:type="dxa"/>
            <w:tcBorders>
              <w:top w:val="nil"/>
              <w:left w:val="nil"/>
              <w:bottom w:val="nil"/>
              <w:right w:val="nil"/>
            </w:tcBorders>
            <w:shd w:val="clear" w:color="auto" w:fill="auto"/>
            <w:noWrap/>
            <w:vAlign w:val="bottom"/>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0,24</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Casanare</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0,35</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2.761</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0,33</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1.473</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0,28</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1.288</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0,42</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Guaviare</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11</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0,32</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3.195</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0,38</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2.419</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0,46</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776</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0,25</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Amazonas</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0,2</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283</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0,03</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224</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0,04</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59</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0,02</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Guainía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0,14</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479</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0,06</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275</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0,05</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204</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0,07</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Vaupés</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0,06</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312</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0,04</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154</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0,03</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158</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0,05</w:t>
            </w:r>
          </w:p>
        </w:tc>
      </w:tr>
      <w:tr w:rsidR="00166C7D" w:rsidRPr="00696DE7" w:rsidTr="00575447">
        <w:trPr>
          <w:trHeight w:val="319"/>
        </w:trPr>
        <w:tc>
          <w:tcPr>
            <w:tcW w:w="1747" w:type="dxa"/>
            <w:tcBorders>
              <w:top w:val="nil"/>
              <w:left w:val="nil"/>
              <w:bottom w:val="nil"/>
              <w:right w:val="nil"/>
            </w:tcBorders>
            <w:shd w:val="clear" w:color="auto" w:fill="auto"/>
            <w:noWrap/>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Vichada</w:t>
            </w:r>
          </w:p>
        </w:tc>
        <w:tc>
          <w:tcPr>
            <w:tcW w:w="11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w:t>
            </w:r>
          </w:p>
        </w:tc>
        <w:tc>
          <w:tcPr>
            <w:tcW w:w="71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0,06</w:t>
            </w:r>
          </w:p>
        </w:tc>
        <w:tc>
          <w:tcPr>
            <w:tcW w:w="116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381</w:t>
            </w:r>
          </w:p>
        </w:tc>
        <w:tc>
          <w:tcPr>
            <w:tcW w:w="712"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0,05</w:t>
            </w:r>
          </w:p>
        </w:tc>
        <w:tc>
          <w:tcPr>
            <w:tcW w:w="1018"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238</w:t>
            </w:r>
          </w:p>
        </w:tc>
        <w:tc>
          <w:tcPr>
            <w:tcW w:w="77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0,05</w:t>
            </w:r>
          </w:p>
        </w:tc>
        <w:tc>
          <w:tcPr>
            <w:tcW w:w="9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143</w:t>
            </w:r>
          </w:p>
        </w:tc>
        <w:tc>
          <w:tcPr>
            <w:tcW w:w="753"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0,05</w:t>
            </w:r>
          </w:p>
        </w:tc>
      </w:tr>
      <w:tr w:rsidR="00166C7D" w:rsidRPr="00696DE7" w:rsidTr="00575447">
        <w:trPr>
          <w:trHeight w:val="319"/>
        </w:trPr>
        <w:tc>
          <w:tcPr>
            <w:tcW w:w="1747" w:type="dxa"/>
            <w:tcBorders>
              <w:top w:val="nil"/>
              <w:left w:val="nil"/>
              <w:bottom w:val="single" w:sz="4" w:space="0" w:color="auto"/>
              <w:right w:val="nil"/>
            </w:tcBorders>
            <w:shd w:val="clear" w:color="auto" w:fill="auto"/>
            <w:noWrap/>
            <w:vAlign w:val="center"/>
            <w:hideMark/>
          </w:tcPr>
          <w:p w:rsidR="00166C7D" w:rsidRPr="00696DE7" w:rsidRDefault="00166C7D" w:rsidP="00575447">
            <w:pPr>
              <w:rPr>
                <w:b/>
                <w:bCs/>
                <w:color w:val="000000"/>
                <w:sz w:val="20"/>
                <w:szCs w:val="20"/>
                <w:lang w:val="es-MX" w:eastAsia="es-MX"/>
              </w:rPr>
            </w:pPr>
            <w:r w:rsidRPr="00696DE7">
              <w:rPr>
                <w:b/>
                <w:bCs/>
                <w:color w:val="000000"/>
                <w:sz w:val="20"/>
                <w:szCs w:val="20"/>
                <w:lang w:val="es-MX" w:eastAsia="es-MX"/>
              </w:rPr>
              <w:t>Total</w:t>
            </w:r>
          </w:p>
        </w:tc>
        <w:tc>
          <w:tcPr>
            <w:tcW w:w="1153"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3.459</w:t>
            </w:r>
          </w:p>
        </w:tc>
        <w:tc>
          <w:tcPr>
            <w:tcW w:w="711"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100,00</w:t>
            </w:r>
          </w:p>
        </w:tc>
        <w:tc>
          <w:tcPr>
            <w:tcW w:w="1164"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830.732</w:t>
            </w:r>
          </w:p>
        </w:tc>
        <w:tc>
          <w:tcPr>
            <w:tcW w:w="712"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100,00</w:t>
            </w:r>
          </w:p>
        </w:tc>
        <w:tc>
          <w:tcPr>
            <w:tcW w:w="1018"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524.025</w:t>
            </w:r>
          </w:p>
        </w:tc>
        <w:tc>
          <w:tcPr>
            <w:tcW w:w="773"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100,00</w:t>
            </w:r>
          </w:p>
        </w:tc>
        <w:tc>
          <w:tcPr>
            <w:tcW w:w="957"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306.707</w:t>
            </w:r>
          </w:p>
        </w:tc>
        <w:tc>
          <w:tcPr>
            <w:tcW w:w="753"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100,00</w:t>
            </w:r>
          </w:p>
        </w:tc>
      </w:tr>
    </w:tbl>
    <w:p w:rsidR="00166C7D" w:rsidRPr="009B1CA3" w:rsidRDefault="009B1CA3" w:rsidP="00166C7D">
      <w:pPr>
        <w:autoSpaceDE w:val="0"/>
        <w:autoSpaceDN w:val="0"/>
        <w:adjustRightInd w:val="0"/>
        <w:spacing w:line="360" w:lineRule="auto"/>
        <w:jc w:val="both"/>
        <w:rPr>
          <w:rFonts w:eastAsiaTheme="minorHAnsi"/>
          <w:bCs/>
          <w:sz w:val="16"/>
          <w:lang w:val="es-MX" w:eastAsia="en-US"/>
        </w:rPr>
      </w:pPr>
      <w:r w:rsidRPr="009B1CA3">
        <w:rPr>
          <w:rFonts w:eastAsiaTheme="minorHAnsi"/>
          <w:bCs/>
          <w:sz w:val="16"/>
          <w:lang w:val="es-MX" w:eastAsia="en-US"/>
        </w:rPr>
        <w:t>Fuente:</w:t>
      </w:r>
      <w:r w:rsidRPr="009B1CA3">
        <w:t xml:space="preserve"> </w:t>
      </w:r>
      <w:r w:rsidRPr="009B1CA3">
        <w:rPr>
          <w:rFonts w:eastAsiaTheme="minorHAnsi"/>
          <w:bCs/>
          <w:sz w:val="16"/>
          <w:lang w:val="es-MX" w:eastAsia="en-US"/>
        </w:rPr>
        <w:t>Sistema de información Sindical y Laboral (SISLAB), subsistema Censo Sindical, alimentado con información suministrada por Ministerio de la Protección Social, CUT y sindicatos</w:t>
      </w:r>
    </w:p>
    <w:p w:rsidR="00166C7D" w:rsidRPr="00696DE7" w:rsidRDefault="00166C7D" w:rsidP="00166C7D">
      <w:pPr>
        <w:autoSpaceDE w:val="0"/>
        <w:autoSpaceDN w:val="0"/>
        <w:adjustRightInd w:val="0"/>
        <w:spacing w:line="360" w:lineRule="auto"/>
        <w:jc w:val="both"/>
        <w:rPr>
          <w:rFonts w:eastAsia="Calibri"/>
          <w:b/>
          <w:bCs/>
          <w:sz w:val="30"/>
          <w:szCs w:val="30"/>
          <w:lang w:val="es-ES" w:eastAsia="en-US"/>
        </w:rPr>
      </w:pPr>
    </w:p>
    <w:p w:rsidR="00166C7D" w:rsidRPr="009B1CA3" w:rsidRDefault="009B1CA3" w:rsidP="009B1CA3">
      <w:pPr>
        <w:pStyle w:val="Ttulo2"/>
        <w:jc w:val="both"/>
        <w:rPr>
          <w:rFonts w:ascii="Times New Roman" w:eastAsia="Calibri" w:hAnsi="Times New Roman" w:cs="Times New Roman"/>
          <w:color w:val="auto"/>
          <w:sz w:val="30"/>
          <w:szCs w:val="30"/>
          <w:lang w:val="es-ES" w:eastAsia="en-US"/>
        </w:rPr>
      </w:pPr>
      <w:bookmarkStart w:id="89" w:name="_Toc406754343"/>
      <w:r w:rsidRPr="009B1CA3">
        <w:rPr>
          <w:rFonts w:ascii="Times New Roman" w:eastAsia="Calibri" w:hAnsi="Times New Roman" w:cs="Times New Roman"/>
          <w:color w:val="auto"/>
          <w:sz w:val="30"/>
          <w:szCs w:val="30"/>
          <w:lang w:val="es-ES" w:eastAsia="en-US"/>
        </w:rPr>
        <w:t xml:space="preserve">11.5.1 </w:t>
      </w:r>
      <w:r w:rsidR="00166C7D" w:rsidRPr="009B1CA3">
        <w:rPr>
          <w:rFonts w:ascii="Times New Roman" w:eastAsia="Calibri" w:hAnsi="Times New Roman" w:cs="Times New Roman"/>
          <w:color w:val="auto"/>
          <w:sz w:val="30"/>
          <w:szCs w:val="30"/>
          <w:lang w:val="es-ES" w:eastAsia="en-US"/>
        </w:rPr>
        <w:t>Panorama del Sindicalismo en el  departamento del Quindío</w:t>
      </w:r>
      <w:bookmarkEnd w:id="89"/>
      <w:r w:rsidR="00166C7D" w:rsidRPr="009B1CA3">
        <w:rPr>
          <w:rFonts w:ascii="Times New Roman" w:eastAsia="Calibri" w:hAnsi="Times New Roman" w:cs="Times New Roman"/>
          <w:color w:val="auto"/>
          <w:sz w:val="30"/>
          <w:szCs w:val="30"/>
          <w:lang w:val="es-ES" w:eastAsia="en-US"/>
        </w:rPr>
        <w:t xml:space="preserve"> </w:t>
      </w:r>
    </w:p>
    <w:p w:rsidR="00166C7D" w:rsidRPr="00696DE7" w:rsidRDefault="00166C7D" w:rsidP="00166C7D">
      <w:pPr>
        <w:autoSpaceDE w:val="0"/>
        <w:autoSpaceDN w:val="0"/>
        <w:adjustRightInd w:val="0"/>
        <w:spacing w:line="360" w:lineRule="auto"/>
        <w:jc w:val="both"/>
        <w:rPr>
          <w:rFonts w:eastAsia="Calibri"/>
          <w:bCs/>
          <w:lang w:val="es-ES" w:eastAsia="en-US"/>
        </w:rPr>
      </w:pPr>
    </w:p>
    <w:p w:rsidR="006A35E7" w:rsidRDefault="00166C7D" w:rsidP="00166C7D">
      <w:pPr>
        <w:autoSpaceDE w:val="0"/>
        <w:autoSpaceDN w:val="0"/>
        <w:adjustRightInd w:val="0"/>
        <w:spacing w:line="360" w:lineRule="auto"/>
        <w:ind w:firstLine="284"/>
        <w:jc w:val="both"/>
      </w:pPr>
      <w:r w:rsidRPr="00696DE7">
        <w:t xml:space="preserve">De acuerdo a la información suministrada por el Sistema de Información de Derechos Humanos SINDERTH, de la Escuela Nacional Sindical, durante el periodo de 1986 al 2013 se han presentado en el país alrededor de 13.300 violaciones de los derechos humanos de los trabajadores sindicalizados, del total  nacional corresponde al Departamento del Quindío 52 hechos violentos, ocupando el tercer lugar a nivel del eje cafetero precedido por el departamento de Caldas con 295 casos y Risaralda con 238 casos.  </w:t>
      </w:r>
    </w:p>
    <w:p w:rsidR="006A35E7" w:rsidRDefault="006A35E7" w:rsidP="00166C7D">
      <w:pPr>
        <w:autoSpaceDE w:val="0"/>
        <w:autoSpaceDN w:val="0"/>
        <w:adjustRightInd w:val="0"/>
        <w:spacing w:line="360" w:lineRule="auto"/>
        <w:ind w:firstLine="284"/>
        <w:jc w:val="both"/>
      </w:pPr>
    </w:p>
    <w:p w:rsidR="00166C7D" w:rsidRPr="00696DE7" w:rsidRDefault="00166C7D" w:rsidP="00166C7D">
      <w:pPr>
        <w:autoSpaceDE w:val="0"/>
        <w:autoSpaceDN w:val="0"/>
        <w:adjustRightInd w:val="0"/>
        <w:spacing w:line="360" w:lineRule="auto"/>
        <w:ind w:firstLine="284"/>
        <w:jc w:val="both"/>
      </w:pPr>
      <w:r w:rsidRPr="00696DE7">
        <w:t xml:space="preserve"> L</w:t>
      </w:r>
      <w:r w:rsidRPr="00696DE7">
        <w:rPr>
          <w:rFonts w:eastAsia="Calibri"/>
          <w:bCs/>
          <w:lang w:val="es-ES" w:eastAsia="en-US"/>
        </w:rPr>
        <w:t xml:space="preserve">a mayoría de estos acontecimientos en contra de los sindicalistas en Colombia, están ligadas a problemas laborales tales como huelgas, negociaciones y paros, entre otras. En general,  el sindicalismo en Colombia presenta </w:t>
      </w:r>
      <w:r w:rsidRPr="00696DE7">
        <w:t xml:space="preserve">una crisis debido a las violaciones  de los </w:t>
      </w:r>
      <w:r w:rsidRPr="00696DE7">
        <w:lastRenderedPageBreak/>
        <w:t xml:space="preserve">derechos humanos que se </w:t>
      </w:r>
      <w:r w:rsidR="003551B7">
        <w:t xml:space="preserve">presentan de manera permanente </w:t>
      </w:r>
      <w:r w:rsidRPr="00696DE7">
        <w:t xml:space="preserve">y con altos índices de impunidad.  </w:t>
      </w:r>
    </w:p>
    <w:p w:rsidR="00166C7D" w:rsidRDefault="00166C7D" w:rsidP="00166C7D">
      <w:pPr>
        <w:autoSpaceDE w:val="0"/>
        <w:autoSpaceDN w:val="0"/>
        <w:adjustRightInd w:val="0"/>
        <w:spacing w:line="360" w:lineRule="auto"/>
        <w:jc w:val="both"/>
        <w:rPr>
          <w:rFonts w:eastAsia="Calibri"/>
          <w:bCs/>
          <w:lang w:val="es-ES" w:eastAsia="en-US"/>
        </w:rPr>
      </w:pPr>
      <w:r w:rsidRPr="00696DE7">
        <w:rPr>
          <w:rFonts w:eastAsia="Calibri"/>
          <w:bCs/>
          <w:lang w:val="es-ES" w:eastAsia="en-US"/>
        </w:rPr>
        <w:t xml:space="preserve">   </w:t>
      </w:r>
    </w:p>
    <w:p w:rsidR="00166C7D" w:rsidRPr="00DE7AA9" w:rsidRDefault="00166C7D" w:rsidP="00166C7D">
      <w:pPr>
        <w:autoSpaceDE w:val="0"/>
        <w:autoSpaceDN w:val="0"/>
        <w:adjustRightInd w:val="0"/>
        <w:rPr>
          <w:rFonts w:eastAsia="Calibri"/>
          <w:bCs/>
          <w:lang w:val="es-ES" w:eastAsia="en-US"/>
        </w:rPr>
      </w:pPr>
      <w:r w:rsidRPr="00DE7AA9">
        <w:rPr>
          <w:rFonts w:eastAsia="Calibri"/>
          <w:bCs/>
          <w:lang w:val="es-ES" w:eastAsia="en-US"/>
        </w:rPr>
        <w:t>Tabla 11.9</w:t>
      </w:r>
    </w:p>
    <w:p w:rsidR="00166C7D" w:rsidRPr="00DE7AA9" w:rsidRDefault="00166C7D" w:rsidP="00166C7D">
      <w:pPr>
        <w:autoSpaceDE w:val="0"/>
        <w:autoSpaceDN w:val="0"/>
        <w:adjustRightInd w:val="0"/>
        <w:rPr>
          <w:rFonts w:eastAsiaTheme="minorHAnsi"/>
          <w:bCs/>
          <w:lang w:val="es-MX" w:eastAsia="en-US"/>
        </w:rPr>
      </w:pPr>
      <w:r w:rsidRPr="00DE7AA9">
        <w:rPr>
          <w:rFonts w:eastAsiaTheme="minorHAnsi"/>
          <w:bCs/>
          <w:lang w:val="es-MX" w:eastAsia="en-US"/>
        </w:rPr>
        <w:t>Comparativo violaciones a la vida, la libertad y la integridad cometidas contra sindicalistas en Colombia, Caldas, Risaralda y Quindío</w:t>
      </w:r>
    </w:p>
    <w:p w:rsidR="00166C7D" w:rsidRPr="00DE7AA9" w:rsidRDefault="00166C7D" w:rsidP="00166C7D">
      <w:pPr>
        <w:autoSpaceDE w:val="0"/>
        <w:autoSpaceDN w:val="0"/>
        <w:adjustRightInd w:val="0"/>
        <w:rPr>
          <w:rFonts w:eastAsiaTheme="minorHAnsi"/>
          <w:bCs/>
          <w:lang w:val="es-MX" w:eastAsia="en-US"/>
        </w:rPr>
      </w:pPr>
      <w:r w:rsidRPr="00DE7AA9">
        <w:rPr>
          <w:rFonts w:eastAsiaTheme="minorHAnsi"/>
          <w:bCs/>
          <w:lang w:val="es-MX" w:eastAsia="en-US"/>
        </w:rPr>
        <w:t>1986 – 2013</w:t>
      </w:r>
    </w:p>
    <w:p w:rsidR="00166C7D" w:rsidRPr="00696DE7" w:rsidRDefault="00166C7D" w:rsidP="00166C7D">
      <w:pPr>
        <w:autoSpaceDE w:val="0"/>
        <w:autoSpaceDN w:val="0"/>
        <w:adjustRightInd w:val="0"/>
        <w:spacing w:line="360" w:lineRule="auto"/>
        <w:jc w:val="center"/>
        <w:rPr>
          <w:rFonts w:eastAsiaTheme="minorHAnsi"/>
          <w:bCs/>
          <w:lang w:val="es-MX" w:eastAsia="en-US"/>
        </w:rPr>
      </w:pPr>
    </w:p>
    <w:tbl>
      <w:tblPr>
        <w:tblW w:w="8354" w:type="dxa"/>
        <w:jc w:val="center"/>
        <w:tblCellMar>
          <w:left w:w="70" w:type="dxa"/>
          <w:right w:w="70" w:type="dxa"/>
        </w:tblCellMar>
        <w:tblLook w:val="04A0" w:firstRow="1" w:lastRow="0" w:firstColumn="1" w:lastColumn="0" w:noHBand="0" w:noVBand="1"/>
      </w:tblPr>
      <w:tblGrid>
        <w:gridCol w:w="3423"/>
        <w:gridCol w:w="1284"/>
        <w:gridCol w:w="1141"/>
        <w:gridCol w:w="1457"/>
        <w:gridCol w:w="1049"/>
      </w:tblGrid>
      <w:tr w:rsidR="00166C7D" w:rsidRPr="00696DE7" w:rsidTr="00575447">
        <w:trPr>
          <w:trHeight w:val="424"/>
          <w:tblHeader/>
          <w:jc w:val="center"/>
        </w:trPr>
        <w:tc>
          <w:tcPr>
            <w:tcW w:w="3423" w:type="dxa"/>
            <w:tcBorders>
              <w:top w:val="single" w:sz="4" w:space="0" w:color="auto"/>
              <w:left w:val="nil"/>
              <w:bottom w:val="nil"/>
              <w:right w:val="nil"/>
            </w:tcBorders>
            <w:shd w:val="clear" w:color="auto" w:fill="auto"/>
            <w:noWrap/>
            <w:vAlign w:val="center"/>
            <w:hideMark/>
          </w:tcPr>
          <w:p w:rsidR="00166C7D" w:rsidRPr="00696DE7" w:rsidRDefault="00166C7D" w:rsidP="00575447">
            <w:pPr>
              <w:rPr>
                <w:b/>
                <w:bCs/>
                <w:color w:val="000000"/>
                <w:sz w:val="20"/>
                <w:szCs w:val="20"/>
                <w:lang w:val="es-MX" w:eastAsia="es-MX"/>
              </w:rPr>
            </w:pPr>
            <w:r w:rsidRPr="00696DE7">
              <w:rPr>
                <w:b/>
                <w:bCs/>
                <w:color w:val="000000"/>
                <w:sz w:val="20"/>
                <w:szCs w:val="20"/>
                <w:lang w:val="es-MX" w:eastAsia="es-MX"/>
              </w:rPr>
              <w:t>Departamento</w:t>
            </w:r>
          </w:p>
        </w:tc>
        <w:tc>
          <w:tcPr>
            <w:tcW w:w="1284" w:type="dxa"/>
            <w:tcBorders>
              <w:top w:val="single" w:sz="4" w:space="0" w:color="auto"/>
              <w:left w:val="nil"/>
              <w:bottom w:val="nil"/>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COLOMBIA</w:t>
            </w:r>
          </w:p>
        </w:tc>
        <w:tc>
          <w:tcPr>
            <w:tcW w:w="1141" w:type="dxa"/>
            <w:tcBorders>
              <w:top w:val="single" w:sz="4" w:space="0" w:color="auto"/>
              <w:left w:val="nil"/>
              <w:bottom w:val="nil"/>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CALDAS</w:t>
            </w:r>
          </w:p>
        </w:tc>
        <w:tc>
          <w:tcPr>
            <w:tcW w:w="1457" w:type="dxa"/>
            <w:tcBorders>
              <w:top w:val="single" w:sz="4" w:space="0" w:color="auto"/>
              <w:left w:val="nil"/>
              <w:bottom w:val="nil"/>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RISARALDA</w:t>
            </w:r>
          </w:p>
        </w:tc>
        <w:tc>
          <w:tcPr>
            <w:tcW w:w="1049" w:type="dxa"/>
            <w:tcBorders>
              <w:top w:val="single" w:sz="4" w:space="0" w:color="auto"/>
              <w:left w:val="nil"/>
              <w:bottom w:val="nil"/>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QUINDÍO</w:t>
            </w:r>
          </w:p>
        </w:tc>
      </w:tr>
      <w:tr w:rsidR="00166C7D" w:rsidRPr="00696DE7" w:rsidTr="00575447">
        <w:trPr>
          <w:trHeight w:val="581"/>
          <w:tblHeader/>
          <w:jc w:val="center"/>
        </w:trPr>
        <w:tc>
          <w:tcPr>
            <w:tcW w:w="3423" w:type="dxa"/>
            <w:tcBorders>
              <w:top w:val="nil"/>
              <w:left w:val="nil"/>
              <w:bottom w:val="double" w:sz="6" w:space="0" w:color="auto"/>
              <w:right w:val="nil"/>
            </w:tcBorders>
            <w:shd w:val="clear" w:color="auto" w:fill="auto"/>
            <w:noWrap/>
            <w:vAlign w:val="center"/>
            <w:hideMark/>
          </w:tcPr>
          <w:p w:rsidR="00166C7D" w:rsidRPr="00696DE7" w:rsidRDefault="00166C7D" w:rsidP="00575447">
            <w:pPr>
              <w:rPr>
                <w:b/>
                <w:bCs/>
                <w:color w:val="000000"/>
                <w:sz w:val="20"/>
                <w:szCs w:val="20"/>
                <w:lang w:val="es-MX" w:eastAsia="es-MX"/>
              </w:rPr>
            </w:pPr>
            <w:r w:rsidRPr="00696DE7">
              <w:rPr>
                <w:b/>
                <w:bCs/>
                <w:color w:val="000000"/>
                <w:sz w:val="20"/>
                <w:szCs w:val="20"/>
                <w:lang w:val="es-MX" w:eastAsia="es-MX"/>
              </w:rPr>
              <w:t>Tipo de Violación</w:t>
            </w:r>
          </w:p>
        </w:tc>
        <w:tc>
          <w:tcPr>
            <w:tcW w:w="1284" w:type="dxa"/>
            <w:tcBorders>
              <w:top w:val="nil"/>
              <w:left w:val="nil"/>
              <w:bottom w:val="double" w:sz="6"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No.  Casos</w:t>
            </w:r>
          </w:p>
        </w:tc>
        <w:tc>
          <w:tcPr>
            <w:tcW w:w="1141" w:type="dxa"/>
            <w:tcBorders>
              <w:top w:val="nil"/>
              <w:left w:val="nil"/>
              <w:bottom w:val="double" w:sz="6"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No.  Casos</w:t>
            </w:r>
          </w:p>
        </w:tc>
        <w:tc>
          <w:tcPr>
            <w:tcW w:w="1457" w:type="dxa"/>
            <w:tcBorders>
              <w:top w:val="nil"/>
              <w:left w:val="nil"/>
              <w:bottom w:val="double" w:sz="6"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No.  Casos</w:t>
            </w:r>
          </w:p>
        </w:tc>
        <w:tc>
          <w:tcPr>
            <w:tcW w:w="1049" w:type="dxa"/>
            <w:tcBorders>
              <w:top w:val="nil"/>
              <w:left w:val="nil"/>
              <w:bottom w:val="double" w:sz="6"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No.  Casos</w:t>
            </w: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AMENAZAS</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6360</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229</w:t>
            </w: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219</w:t>
            </w: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30</w:t>
            </w: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HOMICIDIOS</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2984</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42</w:t>
            </w: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55</w:t>
            </w: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8</w:t>
            </w: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DESPLAZAMIENTO FORZADO</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1889</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58</w:t>
            </w: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w:t>
            </w: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w:t>
            </w: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DETENCIÓN ARBITRARIA</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705</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w:t>
            </w: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w:t>
            </w: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w:t>
            </w: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HOSTIGAMIENTO</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492</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15</w:t>
            </w: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8</w:t>
            </w: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w:t>
            </w: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ATENTADO CON O SIN LESIONES</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321</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9</w:t>
            </w: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w:t>
            </w: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DESAPARICIÓN FORZADA</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227</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7</w:t>
            </w: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SECUESTRO</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171</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w:t>
            </w: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w:t>
            </w: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1</w:t>
            </w: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TORTURA</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92</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2</w:t>
            </w: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w:t>
            </w: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ALLANAMIENTO ILEGA</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56</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4</w:t>
            </w:r>
          </w:p>
        </w:tc>
      </w:tr>
      <w:tr w:rsidR="00166C7D" w:rsidRPr="00696DE7" w:rsidTr="00575447">
        <w:trPr>
          <w:trHeight w:val="424"/>
          <w:jc w:val="center"/>
        </w:trPr>
        <w:tc>
          <w:tcPr>
            <w:tcW w:w="3423" w:type="dxa"/>
            <w:tcBorders>
              <w:top w:val="nil"/>
              <w:left w:val="nil"/>
              <w:bottom w:val="nil"/>
              <w:right w:val="nil"/>
            </w:tcBorders>
            <w:shd w:val="clear" w:color="auto" w:fill="auto"/>
            <w:vAlign w:val="center"/>
            <w:hideMark/>
          </w:tcPr>
          <w:p w:rsidR="00166C7D" w:rsidRPr="00696DE7" w:rsidRDefault="00166C7D" w:rsidP="00575447">
            <w:pPr>
              <w:rPr>
                <w:color w:val="000000"/>
                <w:sz w:val="20"/>
                <w:szCs w:val="20"/>
                <w:lang w:val="es-MX" w:eastAsia="es-MX"/>
              </w:rPr>
            </w:pPr>
            <w:r w:rsidRPr="00696DE7">
              <w:rPr>
                <w:color w:val="000000"/>
                <w:sz w:val="20"/>
                <w:szCs w:val="20"/>
                <w:lang w:val="es-MX" w:eastAsia="es-MX"/>
              </w:rPr>
              <w:t>HOMICIDIO DE FAMILIAR</w:t>
            </w:r>
          </w:p>
        </w:tc>
        <w:tc>
          <w:tcPr>
            <w:tcW w:w="1284"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r w:rsidRPr="00696DE7">
              <w:rPr>
                <w:color w:val="000000"/>
                <w:sz w:val="20"/>
                <w:szCs w:val="20"/>
                <w:lang w:val="es-MX" w:eastAsia="es-MX"/>
              </w:rPr>
              <w:t>3</w:t>
            </w:r>
          </w:p>
        </w:tc>
        <w:tc>
          <w:tcPr>
            <w:tcW w:w="1141"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p>
        </w:tc>
        <w:tc>
          <w:tcPr>
            <w:tcW w:w="1457"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p>
        </w:tc>
        <w:tc>
          <w:tcPr>
            <w:tcW w:w="1049" w:type="dxa"/>
            <w:tcBorders>
              <w:top w:val="nil"/>
              <w:left w:val="nil"/>
              <w:bottom w:val="nil"/>
              <w:right w:val="nil"/>
            </w:tcBorders>
            <w:shd w:val="clear" w:color="auto" w:fill="auto"/>
            <w:noWrap/>
            <w:vAlign w:val="center"/>
            <w:hideMark/>
          </w:tcPr>
          <w:p w:rsidR="00166C7D" w:rsidRPr="00696DE7" w:rsidRDefault="00166C7D" w:rsidP="00575447">
            <w:pPr>
              <w:jc w:val="center"/>
              <w:rPr>
                <w:color w:val="000000"/>
                <w:sz w:val="20"/>
                <w:szCs w:val="20"/>
                <w:lang w:val="es-MX" w:eastAsia="es-MX"/>
              </w:rPr>
            </w:pPr>
          </w:p>
        </w:tc>
      </w:tr>
      <w:tr w:rsidR="00166C7D" w:rsidRPr="00696DE7" w:rsidTr="00575447">
        <w:trPr>
          <w:trHeight w:val="424"/>
          <w:jc w:val="center"/>
        </w:trPr>
        <w:tc>
          <w:tcPr>
            <w:tcW w:w="3423" w:type="dxa"/>
            <w:tcBorders>
              <w:top w:val="nil"/>
              <w:left w:val="nil"/>
              <w:bottom w:val="single" w:sz="4" w:space="0" w:color="auto"/>
              <w:right w:val="nil"/>
            </w:tcBorders>
            <w:shd w:val="clear" w:color="auto" w:fill="auto"/>
            <w:vAlign w:val="center"/>
            <w:hideMark/>
          </w:tcPr>
          <w:p w:rsidR="00166C7D" w:rsidRPr="00696DE7" w:rsidRDefault="00166C7D" w:rsidP="00575447">
            <w:pPr>
              <w:rPr>
                <w:b/>
                <w:bCs/>
                <w:color w:val="000000"/>
                <w:sz w:val="20"/>
                <w:szCs w:val="20"/>
                <w:lang w:val="es-MX" w:eastAsia="es-MX"/>
              </w:rPr>
            </w:pPr>
            <w:r w:rsidRPr="00696DE7">
              <w:rPr>
                <w:b/>
                <w:bCs/>
                <w:color w:val="000000"/>
                <w:sz w:val="20"/>
                <w:szCs w:val="20"/>
                <w:lang w:val="es-MX" w:eastAsia="es-MX"/>
              </w:rPr>
              <w:t>Total General</w:t>
            </w:r>
          </w:p>
        </w:tc>
        <w:tc>
          <w:tcPr>
            <w:tcW w:w="1284"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13300</w:t>
            </w:r>
          </w:p>
        </w:tc>
        <w:tc>
          <w:tcPr>
            <w:tcW w:w="1141"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373</w:t>
            </w:r>
          </w:p>
        </w:tc>
        <w:tc>
          <w:tcPr>
            <w:tcW w:w="1457"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295</w:t>
            </w:r>
          </w:p>
        </w:tc>
        <w:tc>
          <w:tcPr>
            <w:tcW w:w="1049" w:type="dxa"/>
            <w:tcBorders>
              <w:top w:val="nil"/>
              <w:left w:val="nil"/>
              <w:bottom w:val="single" w:sz="4" w:space="0" w:color="auto"/>
              <w:right w:val="nil"/>
            </w:tcBorders>
            <w:shd w:val="clear" w:color="auto" w:fill="auto"/>
            <w:noWrap/>
            <w:vAlign w:val="center"/>
            <w:hideMark/>
          </w:tcPr>
          <w:p w:rsidR="00166C7D" w:rsidRPr="00696DE7" w:rsidRDefault="00166C7D" w:rsidP="00575447">
            <w:pPr>
              <w:jc w:val="center"/>
              <w:rPr>
                <w:b/>
                <w:bCs/>
                <w:color w:val="000000"/>
                <w:sz w:val="20"/>
                <w:szCs w:val="20"/>
                <w:lang w:val="es-MX" w:eastAsia="es-MX"/>
              </w:rPr>
            </w:pPr>
            <w:r w:rsidRPr="00696DE7">
              <w:rPr>
                <w:b/>
                <w:bCs/>
                <w:color w:val="000000"/>
                <w:sz w:val="20"/>
                <w:szCs w:val="20"/>
                <w:lang w:val="es-MX" w:eastAsia="es-MX"/>
              </w:rPr>
              <w:t>52</w:t>
            </w:r>
          </w:p>
        </w:tc>
      </w:tr>
    </w:tbl>
    <w:p w:rsidR="00166C7D" w:rsidRPr="00696DE7" w:rsidRDefault="00166C7D" w:rsidP="009B1CA3">
      <w:pPr>
        <w:autoSpaceDE w:val="0"/>
        <w:autoSpaceDN w:val="0"/>
        <w:adjustRightInd w:val="0"/>
        <w:spacing w:line="360" w:lineRule="auto"/>
        <w:jc w:val="both"/>
        <w:rPr>
          <w:rFonts w:eastAsia="Calibri"/>
          <w:bCs/>
          <w:lang w:val="es-ES" w:eastAsia="en-US"/>
        </w:rPr>
      </w:pPr>
      <w:r w:rsidRPr="00696DE7">
        <w:rPr>
          <w:rFonts w:eastAsia="Calibri"/>
          <w:sz w:val="16"/>
          <w:szCs w:val="16"/>
          <w:lang w:val="es-ES" w:eastAsia="en-US"/>
        </w:rPr>
        <w:t xml:space="preserve">      </w:t>
      </w:r>
      <w:r w:rsidRPr="009B1CA3">
        <w:rPr>
          <w:rFonts w:eastAsia="Calibri"/>
          <w:sz w:val="16"/>
          <w:szCs w:val="16"/>
          <w:lang w:val="es-ES" w:eastAsia="en-US"/>
        </w:rPr>
        <w:t xml:space="preserve">Fuente: </w:t>
      </w:r>
      <w:r w:rsidRPr="00696DE7">
        <w:rPr>
          <w:rFonts w:eastAsia="Calibri"/>
          <w:sz w:val="16"/>
          <w:szCs w:val="16"/>
          <w:lang w:val="es-ES" w:eastAsia="en-US"/>
        </w:rPr>
        <w:t>Sistema de Información de Derechos Humanos SIDERTH – Escuela Nacional Sindical (Reporte SISLAB corte Junio 2013)</w:t>
      </w:r>
    </w:p>
    <w:p w:rsidR="00166C7D" w:rsidRPr="00696DE7" w:rsidRDefault="00166C7D" w:rsidP="00166C7D">
      <w:pPr>
        <w:autoSpaceDE w:val="0"/>
        <w:autoSpaceDN w:val="0"/>
        <w:adjustRightInd w:val="0"/>
        <w:spacing w:line="360" w:lineRule="auto"/>
        <w:jc w:val="center"/>
        <w:rPr>
          <w:rFonts w:eastAsia="Calibri"/>
          <w:b/>
          <w:bCs/>
          <w:sz w:val="26"/>
          <w:szCs w:val="26"/>
          <w:lang w:val="es-ES" w:eastAsia="en-US"/>
        </w:rPr>
      </w:pPr>
    </w:p>
    <w:p w:rsidR="00166C7D" w:rsidRDefault="00166C7D" w:rsidP="00166C7D">
      <w:pPr>
        <w:autoSpaceDE w:val="0"/>
        <w:autoSpaceDN w:val="0"/>
        <w:adjustRightInd w:val="0"/>
        <w:spacing w:line="360" w:lineRule="auto"/>
        <w:jc w:val="center"/>
        <w:rPr>
          <w:rFonts w:eastAsia="Calibri"/>
          <w:bCs/>
          <w:lang w:val="es-ES" w:eastAsia="en-US"/>
        </w:rPr>
      </w:pPr>
    </w:p>
    <w:p w:rsidR="003551B7" w:rsidRDefault="003551B7" w:rsidP="00166C7D">
      <w:pPr>
        <w:autoSpaceDE w:val="0"/>
        <w:autoSpaceDN w:val="0"/>
        <w:adjustRightInd w:val="0"/>
        <w:spacing w:line="360" w:lineRule="auto"/>
        <w:jc w:val="center"/>
        <w:rPr>
          <w:rFonts w:eastAsia="Calibri"/>
          <w:bCs/>
          <w:lang w:val="es-ES" w:eastAsia="en-US"/>
        </w:rPr>
      </w:pPr>
    </w:p>
    <w:p w:rsidR="003551B7" w:rsidRDefault="003551B7" w:rsidP="00166C7D">
      <w:pPr>
        <w:autoSpaceDE w:val="0"/>
        <w:autoSpaceDN w:val="0"/>
        <w:adjustRightInd w:val="0"/>
        <w:spacing w:line="360" w:lineRule="auto"/>
        <w:jc w:val="center"/>
        <w:rPr>
          <w:rFonts w:eastAsia="Calibri"/>
          <w:bCs/>
          <w:lang w:val="es-ES" w:eastAsia="en-US"/>
        </w:rPr>
      </w:pPr>
    </w:p>
    <w:p w:rsidR="003551B7" w:rsidRDefault="003551B7" w:rsidP="00166C7D">
      <w:pPr>
        <w:autoSpaceDE w:val="0"/>
        <w:autoSpaceDN w:val="0"/>
        <w:adjustRightInd w:val="0"/>
        <w:spacing w:line="360" w:lineRule="auto"/>
        <w:jc w:val="center"/>
        <w:rPr>
          <w:rFonts w:eastAsia="Calibri"/>
          <w:bCs/>
          <w:lang w:val="es-ES" w:eastAsia="en-US"/>
        </w:rPr>
      </w:pPr>
    </w:p>
    <w:p w:rsidR="003551B7" w:rsidRDefault="003551B7" w:rsidP="00166C7D">
      <w:pPr>
        <w:autoSpaceDE w:val="0"/>
        <w:autoSpaceDN w:val="0"/>
        <w:adjustRightInd w:val="0"/>
        <w:spacing w:line="360" w:lineRule="auto"/>
        <w:jc w:val="center"/>
        <w:rPr>
          <w:rFonts w:eastAsia="Calibri"/>
          <w:bCs/>
          <w:lang w:val="es-ES" w:eastAsia="en-US"/>
        </w:rPr>
      </w:pPr>
    </w:p>
    <w:p w:rsidR="003551B7" w:rsidRDefault="003551B7" w:rsidP="00166C7D">
      <w:pPr>
        <w:autoSpaceDE w:val="0"/>
        <w:autoSpaceDN w:val="0"/>
        <w:adjustRightInd w:val="0"/>
        <w:spacing w:line="360" w:lineRule="auto"/>
        <w:jc w:val="center"/>
        <w:rPr>
          <w:rFonts w:eastAsia="Calibri"/>
          <w:bCs/>
          <w:lang w:val="es-ES" w:eastAsia="en-US"/>
        </w:rPr>
      </w:pPr>
    </w:p>
    <w:p w:rsidR="00446848" w:rsidRDefault="00446848" w:rsidP="00166C7D">
      <w:pPr>
        <w:autoSpaceDE w:val="0"/>
        <w:autoSpaceDN w:val="0"/>
        <w:adjustRightInd w:val="0"/>
        <w:spacing w:line="360" w:lineRule="auto"/>
        <w:jc w:val="center"/>
        <w:rPr>
          <w:rFonts w:eastAsia="Calibri"/>
          <w:bCs/>
          <w:lang w:val="es-ES" w:eastAsia="en-US"/>
        </w:rPr>
      </w:pPr>
    </w:p>
    <w:p w:rsidR="00166C7D" w:rsidRPr="009B1CA3" w:rsidRDefault="00166C7D" w:rsidP="009B1CA3">
      <w:pPr>
        <w:autoSpaceDE w:val="0"/>
        <w:autoSpaceDN w:val="0"/>
        <w:adjustRightInd w:val="0"/>
        <w:rPr>
          <w:rFonts w:eastAsia="Calibri"/>
          <w:bCs/>
          <w:lang w:val="es-ES" w:eastAsia="en-US"/>
        </w:rPr>
      </w:pPr>
      <w:r w:rsidRPr="009B1CA3">
        <w:rPr>
          <w:rFonts w:eastAsia="Calibri"/>
          <w:bCs/>
          <w:lang w:val="es-ES" w:eastAsia="en-US"/>
        </w:rPr>
        <w:lastRenderedPageBreak/>
        <w:t>Gráfico 11.13</w:t>
      </w:r>
    </w:p>
    <w:p w:rsidR="00166C7D" w:rsidRPr="009B1CA3" w:rsidRDefault="00166C7D" w:rsidP="009B1CA3">
      <w:pPr>
        <w:autoSpaceDE w:val="0"/>
        <w:autoSpaceDN w:val="0"/>
        <w:adjustRightInd w:val="0"/>
        <w:rPr>
          <w:rFonts w:eastAsiaTheme="minorHAnsi"/>
          <w:bCs/>
          <w:lang w:val="es-MX" w:eastAsia="en-US"/>
        </w:rPr>
      </w:pPr>
      <w:r w:rsidRPr="009B1CA3">
        <w:rPr>
          <w:rFonts w:eastAsiaTheme="minorHAnsi"/>
          <w:bCs/>
          <w:lang w:val="es-MX" w:eastAsia="en-US"/>
        </w:rPr>
        <w:t>Comparativo violaciones a la vida, la libertad y la integridad cometidas contra sindicalistas en el departamento del Quindío</w:t>
      </w:r>
    </w:p>
    <w:p w:rsidR="00166C7D" w:rsidRPr="009B1CA3" w:rsidRDefault="00166C7D" w:rsidP="009B1CA3">
      <w:pPr>
        <w:autoSpaceDE w:val="0"/>
        <w:autoSpaceDN w:val="0"/>
        <w:adjustRightInd w:val="0"/>
        <w:rPr>
          <w:rFonts w:eastAsiaTheme="minorHAnsi"/>
          <w:bCs/>
          <w:lang w:val="es-MX" w:eastAsia="en-US"/>
        </w:rPr>
      </w:pPr>
      <w:r w:rsidRPr="009B1CA3">
        <w:rPr>
          <w:rFonts w:eastAsiaTheme="minorHAnsi"/>
          <w:bCs/>
          <w:lang w:val="es-MX" w:eastAsia="en-US"/>
        </w:rPr>
        <w:t>1986 – 2013</w:t>
      </w:r>
    </w:p>
    <w:p w:rsidR="00166C7D" w:rsidRPr="00696DE7" w:rsidRDefault="00166C7D" w:rsidP="00166C7D">
      <w:pPr>
        <w:autoSpaceDE w:val="0"/>
        <w:autoSpaceDN w:val="0"/>
        <w:adjustRightInd w:val="0"/>
        <w:spacing w:line="360" w:lineRule="auto"/>
        <w:jc w:val="center"/>
        <w:rPr>
          <w:rFonts w:eastAsia="Calibri"/>
          <w:b/>
          <w:bCs/>
          <w:sz w:val="26"/>
          <w:szCs w:val="26"/>
          <w:lang w:val="es-ES" w:eastAsia="en-US"/>
        </w:rPr>
      </w:pPr>
      <w:r w:rsidRPr="00696DE7">
        <w:rPr>
          <w:rFonts w:eastAsia="Calibri"/>
          <w:b/>
          <w:bCs/>
          <w:noProof/>
          <w:sz w:val="26"/>
          <w:szCs w:val="26"/>
        </w:rPr>
        <w:drawing>
          <wp:inline distT="0" distB="0" distL="0" distR="0" wp14:anchorId="3F17DBEB" wp14:editId="115C8B02">
            <wp:extent cx="5218981" cy="2389516"/>
            <wp:effectExtent l="38100" t="0" r="20320" b="10795"/>
            <wp:docPr id="9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166C7D" w:rsidRPr="00696DE7" w:rsidRDefault="00166C7D" w:rsidP="00166C7D">
      <w:pPr>
        <w:autoSpaceDE w:val="0"/>
        <w:autoSpaceDN w:val="0"/>
        <w:adjustRightInd w:val="0"/>
        <w:spacing w:line="360" w:lineRule="auto"/>
        <w:ind w:left="567" w:hanging="567"/>
        <w:jc w:val="both"/>
        <w:rPr>
          <w:rFonts w:eastAsia="Calibri"/>
          <w:bCs/>
          <w:lang w:val="es-ES" w:eastAsia="en-US"/>
        </w:rPr>
      </w:pPr>
      <w:r w:rsidRPr="009B1CA3">
        <w:rPr>
          <w:rFonts w:eastAsia="Calibri"/>
          <w:sz w:val="16"/>
          <w:szCs w:val="16"/>
          <w:lang w:val="es-ES" w:eastAsia="en-US"/>
        </w:rPr>
        <w:t xml:space="preserve">      Fuente</w:t>
      </w:r>
      <w:r w:rsidRPr="00696DE7">
        <w:rPr>
          <w:rFonts w:eastAsia="Calibri"/>
          <w:b/>
          <w:sz w:val="16"/>
          <w:szCs w:val="16"/>
          <w:lang w:val="es-ES" w:eastAsia="en-US"/>
        </w:rPr>
        <w:t>:</w:t>
      </w:r>
      <w:r w:rsidRPr="00696DE7">
        <w:rPr>
          <w:rFonts w:eastAsia="Calibri"/>
          <w:sz w:val="16"/>
          <w:szCs w:val="16"/>
          <w:lang w:val="es-ES" w:eastAsia="en-US"/>
        </w:rPr>
        <w:t xml:space="preserve"> Sistema de Información de Derechos Humanos SIDERTH – Escuela Nacional Sindical</w:t>
      </w:r>
      <w:r w:rsidR="003551B7">
        <w:rPr>
          <w:rFonts w:eastAsia="Calibri"/>
          <w:sz w:val="16"/>
          <w:szCs w:val="16"/>
          <w:lang w:val="es-ES" w:eastAsia="en-US"/>
        </w:rPr>
        <w:t xml:space="preserve"> </w:t>
      </w:r>
      <w:r w:rsidRPr="00696DE7">
        <w:rPr>
          <w:rFonts w:eastAsia="Calibri"/>
          <w:sz w:val="16"/>
          <w:szCs w:val="16"/>
          <w:lang w:val="es-ES" w:eastAsia="en-US"/>
        </w:rPr>
        <w:t>(Reporte SISLAB corte Junio 2013)</w:t>
      </w:r>
    </w:p>
    <w:p w:rsidR="00166C7D" w:rsidRPr="00696DE7" w:rsidRDefault="00166C7D" w:rsidP="00166C7D">
      <w:pPr>
        <w:autoSpaceDE w:val="0"/>
        <w:autoSpaceDN w:val="0"/>
        <w:adjustRightInd w:val="0"/>
        <w:spacing w:line="360" w:lineRule="auto"/>
        <w:jc w:val="both"/>
        <w:rPr>
          <w:rFonts w:eastAsia="Calibri"/>
          <w:bCs/>
          <w:lang w:val="es-ES" w:eastAsia="en-US"/>
        </w:rPr>
      </w:pPr>
      <w:r w:rsidRPr="00696DE7">
        <w:rPr>
          <w:rFonts w:eastAsia="Calibri"/>
          <w:bCs/>
          <w:lang w:val="es-ES" w:eastAsia="en-US"/>
        </w:rPr>
        <w:t xml:space="preserve">     </w:t>
      </w:r>
    </w:p>
    <w:p w:rsidR="00BE1A47" w:rsidRDefault="00166C7D" w:rsidP="00166C7D">
      <w:pPr>
        <w:autoSpaceDE w:val="0"/>
        <w:autoSpaceDN w:val="0"/>
        <w:adjustRightInd w:val="0"/>
        <w:spacing w:line="360" w:lineRule="auto"/>
        <w:ind w:firstLine="284"/>
        <w:jc w:val="both"/>
        <w:rPr>
          <w:rFonts w:eastAsia="Calibri"/>
          <w:bCs/>
          <w:lang w:val="es-ES" w:eastAsia="en-US"/>
        </w:rPr>
      </w:pPr>
      <w:r>
        <w:rPr>
          <w:rFonts w:eastAsia="Calibri"/>
          <w:bCs/>
          <w:lang w:val="es-ES" w:eastAsia="en-US"/>
        </w:rPr>
        <w:t xml:space="preserve"> L</w:t>
      </w:r>
      <w:r w:rsidR="003551B7">
        <w:rPr>
          <w:rFonts w:eastAsia="Calibri"/>
          <w:bCs/>
          <w:lang w:val="es-ES" w:eastAsia="en-US"/>
        </w:rPr>
        <w:t>as a</w:t>
      </w:r>
      <w:r w:rsidRPr="00696DE7">
        <w:rPr>
          <w:rFonts w:eastAsia="Calibri"/>
          <w:bCs/>
          <w:lang w:val="es-ES" w:eastAsia="en-US"/>
        </w:rPr>
        <w:t>menazas contra sindicalistas</w:t>
      </w:r>
      <w:r w:rsidR="003551B7">
        <w:rPr>
          <w:rFonts w:eastAsia="Calibri"/>
          <w:bCs/>
          <w:lang w:val="es-ES" w:eastAsia="en-US"/>
        </w:rPr>
        <w:t>,</w:t>
      </w:r>
      <w:r w:rsidRPr="00696DE7">
        <w:rPr>
          <w:rFonts w:eastAsia="Calibri"/>
          <w:bCs/>
          <w:lang w:val="es-ES" w:eastAsia="en-US"/>
        </w:rPr>
        <w:t xml:space="preserve"> desde el año 1986 al 2013 en el Quindío son el mayor delito que se  ha presentado en el departamento con una par</w:t>
      </w:r>
      <w:r w:rsidR="003551B7">
        <w:rPr>
          <w:rFonts w:eastAsia="Calibri"/>
          <w:bCs/>
          <w:lang w:val="es-ES" w:eastAsia="en-US"/>
        </w:rPr>
        <w:t>ticipación del 58%, seguido de homicidios con un 15% y d</w:t>
      </w:r>
      <w:r w:rsidRPr="00696DE7">
        <w:rPr>
          <w:rFonts w:eastAsia="Calibri"/>
          <w:bCs/>
          <w:lang w:val="es-ES" w:eastAsia="en-US"/>
        </w:rPr>
        <w:t>etención arbitraria con un 13%.  Aunque los casos i</w:t>
      </w:r>
      <w:r w:rsidR="00610A18">
        <w:rPr>
          <w:rFonts w:eastAsia="Calibri"/>
          <w:bCs/>
          <w:lang w:val="es-ES" w:eastAsia="en-US"/>
        </w:rPr>
        <w:t xml:space="preserve">nformados en el Quindío acerca </w:t>
      </w:r>
      <w:r w:rsidRPr="00696DE7">
        <w:rPr>
          <w:rFonts w:eastAsia="Calibri"/>
          <w:bCs/>
          <w:lang w:val="es-ES" w:eastAsia="en-US"/>
        </w:rPr>
        <w:t>de actos d</w:t>
      </w:r>
      <w:r w:rsidR="004B2F96">
        <w:rPr>
          <w:rFonts w:eastAsia="Calibri"/>
          <w:bCs/>
          <w:lang w:val="es-ES" w:eastAsia="en-US"/>
        </w:rPr>
        <w:t xml:space="preserve">elictivos contra sindicalistas </w:t>
      </w:r>
      <w:r w:rsidR="00610A18">
        <w:rPr>
          <w:rFonts w:eastAsia="Calibri"/>
          <w:bCs/>
          <w:lang w:val="es-ES" w:eastAsia="en-US"/>
        </w:rPr>
        <w:t>son bajos dentro del comparativo nacional</w:t>
      </w:r>
      <w:r w:rsidRPr="00696DE7">
        <w:rPr>
          <w:rFonts w:eastAsia="Calibri"/>
          <w:bCs/>
          <w:lang w:val="es-ES" w:eastAsia="en-US"/>
        </w:rPr>
        <w:t xml:space="preserve">, </w:t>
      </w:r>
      <w:r w:rsidR="00BE1A47">
        <w:rPr>
          <w:rFonts w:eastAsia="Calibri"/>
          <w:bCs/>
          <w:lang w:val="es-ES" w:eastAsia="en-US"/>
        </w:rPr>
        <w:t>en relación a la libertad sindical a</w:t>
      </w:r>
      <w:r w:rsidR="004B2F96">
        <w:rPr>
          <w:rFonts w:eastAsia="Calibri"/>
          <w:bCs/>
          <w:lang w:val="es-ES" w:eastAsia="en-US"/>
        </w:rPr>
        <w:t xml:space="preserve">ún existen marcadas debilidades que denotan la importancia de estimular el dialogo social, la concertación y la conciliación. </w:t>
      </w:r>
      <w:r w:rsidR="004B2F96">
        <w:rPr>
          <w:rFonts w:eastAsia="Calibri"/>
          <w:bCs/>
          <w:lang w:val="es-ES" w:eastAsia="en-US"/>
        </w:rPr>
        <w:tab/>
      </w:r>
    </w:p>
    <w:p w:rsidR="00166C7D" w:rsidRPr="00CC0866" w:rsidRDefault="00166C7D" w:rsidP="00166C7D">
      <w:pPr>
        <w:autoSpaceDE w:val="0"/>
        <w:autoSpaceDN w:val="0"/>
        <w:adjustRightInd w:val="0"/>
        <w:spacing w:line="360" w:lineRule="auto"/>
        <w:jc w:val="both"/>
        <w:rPr>
          <w:rFonts w:eastAsia="Calibri"/>
          <w:bCs/>
          <w:sz w:val="20"/>
          <w:lang w:val="es-ES" w:eastAsia="en-US"/>
        </w:rPr>
      </w:pPr>
    </w:p>
    <w:p w:rsidR="00166C7D" w:rsidRPr="00696DE7" w:rsidRDefault="00166C7D" w:rsidP="009B1CA3">
      <w:pPr>
        <w:spacing w:line="360" w:lineRule="auto"/>
        <w:ind w:firstLine="284"/>
        <w:jc w:val="both"/>
        <w:rPr>
          <w:rFonts w:eastAsia="Calibri"/>
          <w:b/>
          <w:lang w:val="es-ES" w:eastAsia="en-US"/>
        </w:rPr>
      </w:pPr>
      <w:r w:rsidRPr="00696DE7">
        <w:rPr>
          <w:rFonts w:eastAsia="Calibri"/>
          <w:lang w:val="es-ES" w:eastAsia="en-US"/>
        </w:rPr>
        <w:t>Ante el trabajo del Gobierno Nacional por  reposicionar y reconstruir al sindicalismo en Colombia y  en búsqueda de la recuperación de espacios que los violentos han dejado durante lo</w:t>
      </w:r>
      <w:r w:rsidR="00B241D0">
        <w:rPr>
          <w:rFonts w:eastAsia="Calibri"/>
          <w:lang w:val="es-ES" w:eastAsia="en-US"/>
        </w:rPr>
        <w:t>s últimos 27 años, el Gobierno D</w:t>
      </w:r>
      <w:r w:rsidRPr="00696DE7">
        <w:rPr>
          <w:rFonts w:eastAsia="Calibri"/>
          <w:lang w:val="es-ES" w:eastAsia="en-US"/>
        </w:rPr>
        <w:t>epartamental  mediante Ordenanza Número 013 del 30 de Abril de 2014 puso en marcha la Política</w:t>
      </w:r>
      <w:r w:rsidR="00B241D0">
        <w:rPr>
          <w:rFonts w:eastAsia="Calibri"/>
          <w:lang w:val="es-ES" w:eastAsia="en-US"/>
        </w:rPr>
        <w:t xml:space="preserve"> Pública</w:t>
      </w:r>
      <w:r w:rsidRPr="00696DE7">
        <w:rPr>
          <w:rFonts w:eastAsia="Calibri"/>
          <w:lang w:val="es-ES" w:eastAsia="en-US"/>
        </w:rPr>
        <w:t xml:space="preserve"> </w:t>
      </w:r>
      <w:r w:rsidR="00B241D0">
        <w:rPr>
          <w:rFonts w:eastAsia="Calibri"/>
          <w:lang w:val="es-ES" w:eastAsia="en-US"/>
        </w:rPr>
        <w:t xml:space="preserve">Trabajo decente </w:t>
      </w:r>
      <w:r w:rsidRPr="00696DE7">
        <w:rPr>
          <w:rFonts w:eastAsia="Calibri"/>
          <w:lang w:val="es-ES" w:eastAsia="en-US"/>
        </w:rPr>
        <w:t>y digno para el Departamento del Quindío”, el cual busca  velar por el reconocimiento y respeto</w:t>
      </w:r>
      <w:r w:rsidR="00CC0866">
        <w:rPr>
          <w:rFonts w:eastAsia="Calibri"/>
          <w:lang w:val="es-ES" w:eastAsia="en-US"/>
        </w:rPr>
        <w:t xml:space="preserve"> </w:t>
      </w:r>
      <w:r w:rsidRPr="00696DE7">
        <w:rPr>
          <w:rFonts w:eastAsia="Calibri"/>
          <w:lang w:val="es-ES" w:eastAsia="en-US"/>
        </w:rPr>
        <w:t xml:space="preserve">de los derechos de los trabajadores, la libertad sindical, Igualdad en el trabajo, abolir el trabajo forzoso, promover la protección de los trabajadores, entre otras </w:t>
      </w:r>
      <w:r w:rsidRPr="00696DE7">
        <w:rPr>
          <w:rStyle w:val="Refdenotaalpie"/>
          <w:rFonts w:eastAsia="Calibri"/>
          <w:lang w:val="es-ES" w:eastAsia="en-US"/>
        </w:rPr>
        <w:footnoteReference w:id="49"/>
      </w:r>
      <w:r w:rsidRPr="00696DE7">
        <w:rPr>
          <w:rFonts w:eastAsia="Calibri"/>
          <w:lang w:val="es-ES" w:eastAsia="en-US"/>
        </w:rPr>
        <w:t xml:space="preserve">. </w:t>
      </w:r>
    </w:p>
    <w:p w:rsidR="00166C7D" w:rsidRPr="00696DE7" w:rsidRDefault="006A35E7" w:rsidP="00166C7D">
      <w:pPr>
        <w:pStyle w:val="Ttulo2"/>
        <w:spacing w:line="360" w:lineRule="auto"/>
        <w:jc w:val="both"/>
        <w:rPr>
          <w:rFonts w:eastAsia="Calibri"/>
          <w:b w:val="0"/>
          <w:sz w:val="24"/>
          <w:szCs w:val="24"/>
          <w:lang w:val="es-ES" w:eastAsia="en-US"/>
        </w:rPr>
      </w:pPr>
      <w:r>
        <w:rPr>
          <w:noProof/>
        </w:rPr>
        <w:lastRenderedPageBreak/>
        <w:drawing>
          <wp:anchor distT="0" distB="0" distL="114300" distR="114300" simplePos="0" relativeHeight="251711488" behindDoc="0" locked="0" layoutInCell="1" allowOverlap="1" wp14:anchorId="36DB1CAA" wp14:editId="0EE78405">
            <wp:simplePos x="0" y="0"/>
            <wp:positionH relativeFrom="column">
              <wp:posOffset>-1170305</wp:posOffset>
            </wp:positionH>
            <wp:positionV relativeFrom="paragraph">
              <wp:posOffset>-1127760</wp:posOffset>
            </wp:positionV>
            <wp:extent cx="7772400" cy="10339070"/>
            <wp:effectExtent l="0" t="0" r="0" b="5080"/>
            <wp:wrapNone/>
            <wp:docPr id="127"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772400" cy="10339070"/>
                    </a:xfrm>
                    <a:prstGeom prst="rect">
                      <a:avLst/>
                    </a:prstGeom>
                  </pic:spPr>
                </pic:pic>
              </a:graphicData>
            </a:graphic>
            <wp14:sizeRelH relativeFrom="page">
              <wp14:pctWidth>0</wp14:pctWidth>
            </wp14:sizeRelH>
            <wp14:sizeRelV relativeFrom="page">
              <wp14:pctHeight>0</wp14:pctHeight>
            </wp14:sizeRelV>
          </wp:anchor>
        </w:drawing>
      </w:r>
    </w:p>
    <w:p w:rsidR="00166C7D" w:rsidRDefault="00166C7D" w:rsidP="00166C7D">
      <w:pPr>
        <w:autoSpaceDE w:val="0"/>
        <w:autoSpaceDN w:val="0"/>
        <w:adjustRightInd w:val="0"/>
        <w:spacing w:line="360" w:lineRule="auto"/>
        <w:jc w:val="both"/>
        <w:rPr>
          <w:rFonts w:eastAsia="Calibri"/>
          <w:b/>
          <w:lang w:val="es-ES" w:eastAsia="en-US"/>
        </w:rPr>
      </w:pPr>
      <w:r w:rsidRPr="00696DE7">
        <w:rPr>
          <w:rFonts w:eastAsia="Calibri"/>
          <w:b/>
          <w:lang w:val="es-ES" w:eastAsia="en-US"/>
        </w:rPr>
        <w:t xml:space="preserve">     </w:t>
      </w:r>
    </w:p>
    <w:p w:rsidR="00166C7D" w:rsidRDefault="00166C7D" w:rsidP="00166C7D">
      <w:pPr>
        <w:autoSpaceDE w:val="0"/>
        <w:autoSpaceDN w:val="0"/>
        <w:adjustRightInd w:val="0"/>
        <w:spacing w:line="360" w:lineRule="auto"/>
        <w:jc w:val="both"/>
        <w:rPr>
          <w:rFonts w:eastAsia="Calibri"/>
          <w:b/>
          <w:lang w:val="es-ES" w:eastAsia="en-US"/>
        </w:rPr>
      </w:pPr>
    </w:p>
    <w:p w:rsidR="00166C7D" w:rsidRDefault="00166C7D" w:rsidP="00166C7D">
      <w:pPr>
        <w:autoSpaceDE w:val="0"/>
        <w:autoSpaceDN w:val="0"/>
        <w:adjustRightInd w:val="0"/>
        <w:spacing w:line="360" w:lineRule="auto"/>
        <w:jc w:val="both"/>
        <w:rPr>
          <w:rFonts w:eastAsia="Calibri"/>
          <w:b/>
          <w:lang w:val="es-ES" w:eastAsia="en-US"/>
        </w:rPr>
      </w:pPr>
    </w:p>
    <w:p w:rsidR="00166C7D" w:rsidRDefault="00166C7D" w:rsidP="00166C7D">
      <w:pPr>
        <w:autoSpaceDE w:val="0"/>
        <w:autoSpaceDN w:val="0"/>
        <w:adjustRightInd w:val="0"/>
        <w:spacing w:line="360" w:lineRule="auto"/>
        <w:jc w:val="both"/>
        <w:rPr>
          <w:rFonts w:eastAsia="Calibri"/>
          <w:b/>
          <w:lang w:val="es-ES" w:eastAsia="en-US"/>
        </w:rPr>
      </w:pPr>
    </w:p>
    <w:p w:rsidR="00166C7D" w:rsidRDefault="00166C7D" w:rsidP="00166C7D">
      <w:pPr>
        <w:autoSpaceDE w:val="0"/>
        <w:autoSpaceDN w:val="0"/>
        <w:adjustRightInd w:val="0"/>
        <w:spacing w:line="360" w:lineRule="auto"/>
        <w:jc w:val="both"/>
        <w:rPr>
          <w:rFonts w:eastAsia="Calibri"/>
          <w:b/>
          <w:lang w:val="es-ES" w:eastAsia="en-US"/>
        </w:rPr>
      </w:pPr>
    </w:p>
    <w:p w:rsidR="00166C7D" w:rsidRDefault="00166C7D" w:rsidP="00166C7D">
      <w:pPr>
        <w:autoSpaceDE w:val="0"/>
        <w:autoSpaceDN w:val="0"/>
        <w:adjustRightInd w:val="0"/>
        <w:spacing w:line="360" w:lineRule="auto"/>
        <w:jc w:val="both"/>
        <w:rPr>
          <w:rFonts w:eastAsia="Calibri"/>
          <w:b/>
          <w:lang w:val="es-ES" w:eastAsia="en-US"/>
        </w:rPr>
      </w:pPr>
    </w:p>
    <w:p w:rsidR="00166C7D" w:rsidRPr="00696DE7" w:rsidRDefault="00166C7D" w:rsidP="00166C7D">
      <w:pPr>
        <w:autoSpaceDE w:val="0"/>
        <w:autoSpaceDN w:val="0"/>
        <w:adjustRightInd w:val="0"/>
        <w:spacing w:line="360" w:lineRule="auto"/>
        <w:jc w:val="both"/>
        <w:rPr>
          <w:rFonts w:eastAsia="Calibri"/>
          <w:bCs/>
          <w:lang w:val="es-ES" w:eastAsia="en-US"/>
        </w:rPr>
      </w:pPr>
    </w:p>
    <w:p w:rsidR="00166C7D" w:rsidRPr="00696DE7" w:rsidRDefault="00166C7D" w:rsidP="00166C7D">
      <w:pPr>
        <w:autoSpaceDE w:val="0"/>
        <w:autoSpaceDN w:val="0"/>
        <w:adjustRightInd w:val="0"/>
        <w:spacing w:line="360" w:lineRule="auto"/>
        <w:jc w:val="both"/>
        <w:rPr>
          <w:rFonts w:eastAsia="Calibri"/>
          <w:bCs/>
          <w:lang w:val="es-ES" w:eastAsia="en-US"/>
        </w:rPr>
      </w:pPr>
    </w:p>
    <w:p w:rsidR="001E71CF" w:rsidRDefault="001E71CF" w:rsidP="00166C7D">
      <w:pPr>
        <w:autoSpaceDE w:val="0"/>
        <w:autoSpaceDN w:val="0"/>
        <w:adjustRightInd w:val="0"/>
        <w:spacing w:line="360" w:lineRule="auto"/>
        <w:jc w:val="both"/>
        <w:rPr>
          <w:rFonts w:eastAsia="Calibri"/>
          <w:b/>
          <w:bCs/>
          <w:sz w:val="30"/>
          <w:szCs w:val="30"/>
          <w:lang w:val="es-ES" w:eastAsia="en-US"/>
        </w:rPr>
      </w:pPr>
    </w:p>
    <w:p w:rsidR="006A35E7" w:rsidRDefault="006A35E7" w:rsidP="00166C7D">
      <w:pPr>
        <w:autoSpaceDE w:val="0"/>
        <w:autoSpaceDN w:val="0"/>
        <w:adjustRightInd w:val="0"/>
        <w:spacing w:line="360" w:lineRule="auto"/>
        <w:jc w:val="both"/>
        <w:rPr>
          <w:rFonts w:eastAsia="Calibri"/>
          <w:b/>
          <w:bCs/>
          <w:sz w:val="30"/>
          <w:szCs w:val="30"/>
          <w:lang w:val="es-ES" w:eastAsia="en-US"/>
        </w:rPr>
      </w:pPr>
    </w:p>
    <w:p w:rsidR="001E71CF" w:rsidRDefault="001E71CF" w:rsidP="00166C7D">
      <w:pPr>
        <w:autoSpaceDE w:val="0"/>
        <w:autoSpaceDN w:val="0"/>
        <w:adjustRightInd w:val="0"/>
        <w:spacing w:line="360" w:lineRule="auto"/>
        <w:jc w:val="both"/>
        <w:rPr>
          <w:rFonts w:eastAsia="Calibri"/>
          <w:b/>
          <w:bCs/>
          <w:sz w:val="30"/>
          <w:szCs w:val="30"/>
          <w:lang w:val="es-ES" w:eastAsia="en-US"/>
        </w:rPr>
      </w:pPr>
    </w:p>
    <w:p w:rsidR="001E71CF" w:rsidRDefault="001E71CF" w:rsidP="001E71CF">
      <w:pPr>
        <w:pStyle w:val="Ttulo1"/>
        <w:ind w:left="3540"/>
        <w:rPr>
          <w:rFonts w:ascii="Times New Roman" w:hAnsi="Times New Roman"/>
          <w:lang w:eastAsia="en-US"/>
        </w:rPr>
      </w:pPr>
      <w:bookmarkStart w:id="90" w:name="_Toc406754344"/>
      <w:r w:rsidRPr="001E71CF">
        <w:rPr>
          <w:rFonts w:ascii="Times New Roman" w:hAnsi="Times New Roman"/>
          <w:lang w:eastAsia="en-US"/>
        </w:rPr>
        <w:t>12 Turismo</w:t>
      </w:r>
      <w:bookmarkEnd w:id="90"/>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732EC0" w:rsidRDefault="00732EC0" w:rsidP="001E71CF">
      <w:pPr>
        <w:rPr>
          <w:rFonts w:eastAsia="Calibri"/>
          <w:lang w:val="es-ES" w:eastAsia="en-US"/>
        </w:rPr>
      </w:pPr>
    </w:p>
    <w:p w:rsidR="00732EC0" w:rsidRDefault="00732EC0" w:rsidP="001E71CF">
      <w:pPr>
        <w:rPr>
          <w:rFonts w:eastAsia="Calibri"/>
          <w:lang w:val="es-ES" w:eastAsia="en-US"/>
        </w:rPr>
      </w:pPr>
    </w:p>
    <w:p w:rsidR="00732EC0" w:rsidRDefault="00732EC0"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CC0866" w:rsidRDefault="00CC0866" w:rsidP="001E71CF">
      <w:pPr>
        <w:rPr>
          <w:rFonts w:eastAsia="Calibri"/>
          <w:lang w:val="es-ES" w:eastAsia="en-US"/>
        </w:rPr>
      </w:pPr>
    </w:p>
    <w:p w:rsidR="00CC0866" w:rsidRDefault="00CC0866"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rPr>
          <w:rFonts w:eastAsia="Calibri"/>
          <w:lang w:val="es-ES" w:eastAsia="en-US"/>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lastRenderedPageBreak/>
        <w:t xml:space="preserve">El turismo ha sido durante muchos años, un sector atractivo para la población  a  nivel  mundial, obedeciendo al interés de conocer varios lugares, sus atracciones, el aspecto típico de cada región y el comportamiento de las diferentes culturas,  lo que   ha creado la necesidad de ofrecer servicios que complazcan a los  viajero y que cumplan con las expectativas que tienen al visitar cada lugar. </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 xml:space="preserve">Este es un sector que ha tenido un considerable crecimiento  y  desarrollo   en los últimos años,  generando  beneficios    para  el  avance    de  las  regiones  a  nivel  social,  cultural  y  económico;  ya  que  las actividades que se realizan en este sector contribuyen al desarrollo de las sociedades puesto que entre más interés haya por una región, más esfuerzos se tendrán por mantenerla en buen estado, lo que conlleva a la creación de nuevos empleos, al incremento en el nivel en la educación, de cultura, de amabilidad y de conciencia.  </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Pr="00812B6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Este  sector  es  hoy  por  hoy   uno  de  los  principales  actores  en  el  comercio    internacional  y  así  mismo  es  una  de  las  principales  fuentes  de  ingreso  a  nivel  mundial   y  más  precisamente  en  los  países  en  desarrollo.</w:t>
      </w:r>
      <w:r w:rsidRPr="00812B6F">
        <w:rPr>
          <w:rStyle w:val="Refdenotaalpie"/>
          <w:rFonts w:ascii="Times New Roman" w:hAnsi="Times New Roman"/>
          <w:sz w:val="24"/>
          <w:szCs w:val="24"/>
        </w:rPr>
        <w:footnoteReference w:id="50"/>
      </w:r>
    </w:p>
    <w:p w:rsidR="001E71CF" w:rsidRPr="00812B6F" w:rsidRDefault="001E71CF" w:rsidP="001E71CF">
      <w:pPr>
        <w:pStyle w:val="Sinespaciado"/>
        <w:spacing w:line="360" w:lineRule="auto"/>
        <w:rPr>
          <w:rFonts w:ascii="Times New Roman" w:hAnsi="Times New Roman"/>
          <w:sz w:val="24"/>
          <w:szCs w:val="24"/>
        </w:rPr>
      </w:pPr>
    </w:p>
    <w:p w:rsidR="001E71CF" w:rsidRPr="00B33AFD" w:rsidRDefault="001E71CF" w:rsidP="001E71CF">
      <w:pPr>
        <w:pStyle w:val="Sinespaciado"/>
        <w:spacing w:line="360" w:lineRule="auto"/>
        <w:rPr>
          <w:rFonts w:ascii="Times New Roman" w:hAnsi="Times New Roman"/>
          <w:b/>
          <w:sz w:val="30"/>
          <w:szCs w:val="30"/>
        </w:rPr>
      </w:pPr>
      <w:bookmarkStart w:id="91" w:name="_Toc406754345"/>
      <w:r w:rsidRPr="001E71CF">
        <w:rPr>
          <w:rStyle w:val="Ttulo2Car"/>
          <w:rFonts w:ascii="Times New Roman" w:hAnsi="Times New Roman" w:cs="Times New Roman"/>
          <w:color w:val="auto"/>
          <w:sz w:val="30"/>
          <w:szCs w:val="30"/>
        </w:rPr>
        <w:t>12.1 El  Turismo a Nivel Internacional</w:t>
      </w:r>
      <w:bookmarkEnd w:id="91"/>
      <w:r w:rsidRPr="00B33AFD">
        <w:rPr>
          <w:rStyle w:val="Refdenotaalpie"/>
          <w:rFonts w:ascii="Times New Roman" w:hAnsi="Times New Roman"/>
          <w:b/>
          <w:sz w:val="30"/>
          <w:szCs w:val="30"/>
        </w:rPr>
        <w:footnoteReference w:id="51"/>
      </w:r>
    </w:p>
    <w:p w:rsidR="00EB053B" w:rsidRDefault="00EB053B"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Desde hace varios años el turismo internacional ha crecido debido a que múltiples destinos se han preocupado por tener programas y políticas que les permitan contar con las cualidades que los viajeros buscan, por lo que han invertido en infraestructura, educación y empleos entre otros factores. Cada día la calidad de lo anteriormente mencionado aumenta ya que la llegada de turistas contribuye al crecimiento sostenible de las regiones razón por la cual tanto gobiernos como particulares se esmeran por mejorar la calidad de sus servicios, de sus bienes y de sus atractivos.</w:t>
      </w: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lastRenderedPageBreak/>
        <w:t>Tan importante ha llegado a ser este sector en el comercio mundial que ocupa actualmente el cuarto lugar en los sectores de mayor importancia después de los combustibles, productos químicos y productos alimenticios.  No solamente es importante para los países desarrollados sino que por el contrario, el turismo representa en los países en desarrollo una de las principales fuentes de ingreso y economía, según el “Panorama OMT del turismo internacional, edición 2012”</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Pr="00812B6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 xml:space="preserve">Para poder medir la importancia económica de este sector, se cuenta con la Cuenta Satélite que permite “ampliar el conocimiento sobre las actividades turísticas según las recomendaciones de la Organización Mundial del Turismo (OMT) constituyendo una herramienta básica de análisis que permita la formulación de políticas para la promoción y comercialización del sector” </w:t>
      </w:r>
      <w:r w:rsidRPr="00812B6F">
        <w:rPr>
          <w:rStyle w:val="Refdenotaalpie"/>
          <w:rFonts w:ascii="Times New Roman" w:hAnsi="Times New Roman"/>
          <w:sz w:val="24"/>
          <w:szCs w:val="24"/>
        </w:rPr>
        <w:footnoteReference w:id="52"/>
      </w:r>
      <w:r w:rsidRPr="00812B6F">
        <w:rPr>
          <w:rFonts w:ascii="Times New Roman" w:hAnsi="Times New Roman"/>
          <w:sz w:val="24"/>
          <w:szCs w:val="24"/>
        </w:rPr>
        <w:t xml:space="preserve"> sin embargo no todos los países cuentan con datos completos y precisos lo cual afecta el entendimiento del papel que este sector juega en la economía global.</w:t>
      </w:r>
    </w:p>
    <w:p w:rsidR="001E71CF" w:rsidRPr="00812B6F" w:rsidRDefault="001E71CF" w:rsidP="001E71CF">
      <w:pPr>
        <w:pStyle w:val="Sinespaciado"/>
        <w:spacing w:line="360" w:lineRule="auto"/>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Con la información actualizada de los países que tienen los datos completos, se ha estimado que el turismo contribuye a cerca del 5% del PIB mundial y cerca del 7% de la totalidad  de los empleos.</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 xml:space="preserve">Lo anterior se entiende como una de las razones por las que el turismo ha venido creciendo año tras año y es un sector tan atractivo para las economías grandes y pequeñas, sin embargo es indudable la diferencia que existe entre unos países y otros evidenciando que no todas las regiones aprovechan sus recursos y lugares tanto como podrían, dejando a un lado la oportunidad de crecimiento que este sector ofrece. </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 xml:space="preserve">Acontecimientos como la crisis internacional enfrentada entre el año 2008 y 2009, los grandes cambios políticos en Oriente Medio y el Norte de África y el desastre natural de Japón causaron que el turismo internacional sufriera una caída en sus ingresos, ganancias </w:t>
      </w:r>
      <w:r w:rsidRPr="00812B6F">
        <w:rPr>
          <w:rFonts w:ascii="Times New Roman" w:hAnsi="Times New Roman"/>
          <w:sz w:val="24"/>
          <w:szCs w:val="24"/>
        </w:rPr>
        <w:lastRenderedPageBreak/>
        <w:t>y participación en la economía mundial, sin embargo desde el año 2010 las llegadas internacionales crecieron más rápido de lo esperado, en el 2011 este aumento no perdió la fuerza alcanzando los 983 millones de viajeros en todo el mundo respecto a los 940 millones del año inmediatamente anterior.</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Este incremento se vio reflejado en el 2012 ya que según los datos presentes en el Barómetro</w:t>
      </w:r>
      <w:r w:rsidRPr="00812B6F">
        <w:rPr>
          <w:rFonts w:ascii="Times New Roman" w:hAnsi="Times New Roman"/>
          <w:sz w:val="24"/>
          <w:szCs w:val="24"/>
        </w:rPr>
        <w:footnoteReference w:id="53"/>
      </w:r>
      <w:r w:rsidRPr="00812B6F">
        <w:rPr>
          <w:rFonts w:ascii="Times New Roman" w:hAnsi="Times New Roman"/>
          <w:sz w:val="24"/>
          <w:szCs w:val="24"/>
        </w:rPr>
        <w:t xml:space="preserve"> de la OMT las llegadas internacionales crecieron un 5% en los primeros cuatro meses lo que demuestra que el turismo internacional tiene una tendencia al alza convirtiéndose en una actividad fuerte para la economía mundial.</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A continuación se presentan los 10 países con mayores ingresos por turismo internacional:</w:t>
      </w:r>
    </w:p>
    <w:p w:rsidR="00B44A00" w:rsidRPr="00B44A00" w:rsidRDefault="00B44A00" w:rsidP="001E71CF">
      <w:pPr>
        <w:pStyle w:val="Sinespaciado"/>
        <w:spacing w:line="360" w:lineRule="auto"/>
        <w:ind w:firstLine="284"/>
        <w:rPr>
          <w:rFonts w:ascii="Times New Roman" w:hAnsi="Times New Roman"/>
          <w:sz w:val="16"/>
          <w:szCs w:val="24"/>
        </w:rPr>
      </w:pPr>
    </w:p>
    <w:p w:rsidR="001E71CF" w:rsidRPr="007C5D31" w:rsidRDefault="001E71CF" w:rsidP="001E71CF">
      <w:pPr>
        <w:pStyle w:val="Sinespaciado"/>
        <w:spacing w:line="360" w:lineRule="auto"/>
        <w:rPr>
          <w:rFonts w:ascii="Times New Roman" w:hAnsi="Times New Roman"/>
          <w:sz w:val="2"/>
          <w:szCs w:val="24"/>
        </w:rPr>
      </w:pPr>
    </w:p>
    <w:p w:rsidR="001E71CF" w:rsidRPr="00812B6F" w:rsidRDefault="001E71CF" w:rsidP="001E71CF">
      <w:pPr>
        <w:pStyle w:val="Sinespaciado"/>
        <w:rPr>
          <w:rFonts w:ascii="Times New Roman" w:hAnsi="Times New Roman"/>
          <w:sz w:val="24"/>
          <w:szCs w:val="24"/>
        </w:rPr>
      </w:pPr>
      <w:r>
        <w:rPr>
          <w:rFonts w:ascii="Times New Roman" w:hAnsi="Times New Roman"/>
          <w:sz w:val="24"/>
          <w:szCs w:val="24"/>
        </w:rPr>
        <w:t>Tabla</w:t>
      </w:r>
      <w:r w:rsidRPr="00812B6F">
        <w:rPr>
          <w:rFonts w:ascii="Times New Roman" w:hAnsi="Times New Roman"/>
          <w:sz w:val="24"/>
          <w:szCs w:val="24"/>
        </w:rPr>
        <w:t>12.1</w:t>
      </w:r>
    </w:p>
    <w:p w:rsidR="001E71CF" w:rsidRDefault="001E71CF" w:rsidP="001E71CF">
      <w:pPr>
        <w:pStyle w:val="Sinespaciado"/>
        <w:rPr>
          <w:rFonts w:ascii="Times New Roman" w:hAnsi="Times New Roman"/>
          <w:sz w:val="24"/>
          <w:szCs w:val="24"/>
        </w:rPr>
      </w:pPr>
      <w:r w:rsidRPr="00812B6F">
        <w:rPr>
          <w:rFonts w:ascii="Times New Roman" w:hAnsi="Times New Roman"/>
          <w:sz w:val="24"/>
          <w:szCs w:val="24"/>
        </w:rPr>
        <w:t>Ingresos por turismo internacional</w:t>
      </w:r>
    </w:p>
    <w:p w:rsidR="001E71CF" w:rsidRDefault="007C5D31" w:rsidP="001E71CF">
      <w:pPr>
        <w:pStyle w:val="Sinespaciado"/>
        <w:rPr>
          <w:rFonts w:ascii="Times New Roman" w:hAnsi="Times New Roman"/>
          <w:sz w:val="24"/>
          <w:szCs w:val="24"/>
        </w:rPr>
      </w:pPr>
      <w:r>
        <w:rPr>
          <w:rFonts w:ascii="Times New Roman" w:hAnsi="Times New Roman"/>
          <w:sz w:val="24"/>
          <w:szCs w:val="24"/>
        </w:rPr>
        <w:t>2010-2011</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755"/>
        <w:gridCol w:w="1906"/>
        <w:gridCol w:w="772"/>
        <w:gridCol w:w="834"/>
        <w:gridCol w:w="779"/>
        <w:gridCol w:w="902"/>
        <w:gridCol w:w="818"/>
        <w:gridCol w:w="1075"/>
      </w:tblGrid>
      <w:tr w:rsidR="001E71CF" w:rsidRPr="00EB053B" w:rsidTr="007C5D31">
        <w:trPr>
          <w:trHeight w:val="312"/>
          <w:tblHeader/>
        </w:trPr>
        <w:tc>
          <w:tcPr>
            <w:tcW w:w="2661" w:type="dxa"/>
            <w:gridSpan w:val="2"/>
            <w:vMerge w:val="restart"/>
          </w:tcPr>
          <w:p w:rsidR="001E71CF" w:rsidRPr="00EB053B" w:rsidRDefault="001E71CF" w:rsidP="00575447">
            <w:pPr>
              <w:pStyle w:val="Sinespaciado"/>
              <w:spacing w:line="360" w:lineRule="auto"/>
              <w:rPr>
                <w:rFonts w:ascii="Times New Roman" w:hAnsi="Times New Roman"/>
                <w:sz w:val="20"/>
                <w:szCs w:val="20"/>
              </w:rPr>
            </w:pPr>
          </w:p>
        </w:tc>
        <w:tc>
          <w:tcPr>
            <w:tcW w:w="3286" w:type="dxa"/>
            <w:gridSpan w:val="4"/>
            <w:vAlign w:val="center"/>
          </w:tcPr>
          <w:p w:rsidR="001E71CF" w:rsidRPr="00EB053B" w:rsidRDefault="001E71CF" w:rsidP="00732EC0">
            <w:pPr>
              <w:pStyle w:val="Sinespaciado"/>
              <w:spacing w:line="360" w:lineRule="auto"/>
              <w:jc w:val="center"/>
              <w:rPr>
                <w:rFonts w:ascii="Times New Roman" w:hAnsi="Times New Roman"/>
                <w:b/>
                <w:sz w:val="20"/>
                <w:szCs w:val="20"/>
              </w:rPr>
            </w:pPr>
            <w:r w:rsidRPr="00EB053B">
              <w:rPr>
                <w:rFonts w:ascii="Times New Roman" w:hAnsi="Times New Roman"/>
                <w:b/>
                <w:sz w:val="20"/>
                <w:szCs w:val="20"/>
              </w:rPr>
              <w:t>$ EE.UU</w:t>
            </w:r>
          </w:p>
        </w:tc>
        <w:tc>
          <w:tcPr>
            <w:tcW w:w="1893" w:type="dxa"/>
            <w:gridSpan w:val="2"/>
            <w:vAlign w:val="center"/>
          </w:tcPr>
          <w:p w:rsidR="001E71CF" w:rsidRPr="00EB053B" w:rsidRDefault="001E71CF" w:rsidP="00732EC0">
            <w:pPr>
              <w:pStyle w:val="Sinespaciado"/>
              <w:spacing w:line="360" w:lineRule="auto"/>
              <w:jc w:val="center"/>
              <w:rPr>
                <w:rFonts w:ascii="Times New Roman" w:hAnsi="Times New Roman"/>
                <w:b/>
                <w:sz w:val="20"/>
                <w:szCs w:val="20"/>
              </w:rPr>
            </w:pPr>
            <w:r w:rsidRPr="00EB053B">
              <w:rPr>
                <w:rFonts w:ascii="Times New Roman" w:hAnsi="Times New Roman"/>
                <w:b/>
                <w:sz w:val="20"/>
                <w:szCs w:val="20"/>
              </w:rPr>
              <w:t>Monedas Locales</w:t>
            </w:r>
          </w:p>
        </w:tc>
      </w:tr>
      <w:tr w:rsidR="001E71CF" w:rsidRPr="00EB053B" w:rsidTr="007C5D31">
        <w:trPr>
          <w:trHeight w:val="564"/>
          <w:tblHeader/>
        </w:trPr>
        <w:tc>
          <w:tcPr>
            <w:tcW w:w="2661" w:type="dxa"/>
            <w:gridSpan w:val="2"/>
            <w:vMerge/>
            <w:tcBorders>
              <w:bottom w:val="single" w:sz="4" w:space="0" w:color="auto"/>
            </w:tcBorders>
          </w:tcPr>
          <w:p w:rsidR="001E71CF" w:rsidRPr="00EB053B" w:rsidRDefault="001E71CF" w:rsidP="00575447">
            <w:pPr>
              <w:pStyle w:val="Sinespaciado"/>
              <w:spacing w:line="360" w:lineRule="auto"/>
              <w:rPr>
                <w:rFonts w:ascii="Times New Roman" w:hAnsi="Times New Roman"/>
                <w:sz w:val="20"/>
                <w:szCs w:val="20"/>
              </w:rPr>
            </w:pPr>
          </w:p>
        </w:tc>
        <w:tc>
          <w:tcPr>
            <w:tcW w:w="1606" w:type="dxa"/>
            <w:gridSpan w:val="2"/>
            <w:tcBorders>
              <w:bottom w:val="single" w:sz="4" w:space="0" w:color="auto"/>
            </w:tcBorders>
            <w:vAlign w:val="center"/>
          </w:tcPr>
          <w:p w:rsidR="001E71CF" w:rsidRPr="00EB053B" w:rsidRDefault="001E71CF" w:rsidP="00732EC0">
            <w:pPr>
              <w:pStyle w:val="Sinespaciado"/>
              <w:spacing w:line="360" w:lineRule="auto"/>
              <w:jc w:val="center"/>
              <w:rPr>
                <w:rFonts w:ascii="Times New Roman" w:hAnsi="Times New Roman"/>
                <w:b/>
                <w:sz w:val="20"/>
                <w:szCs w:val="20"/>
              </w:rPr>
            </w:pPr>
            <w:r w:rsidRPr="00EB053B">
              <w:rPr>
                <w:rFonts w:ascii="Times New Roman" w:hAnsi="Times New Roman"/>
                <w:b/>
                <w:sz w:val="20"/>
                <w:szCs w:val="20"/>
              </w:rPr>
              <w:t>Miles  de Millones</w:t>
            </w:r>
          </w:p>
        </w:tc>
        <w:tc>
          <w:tcPr>
            <w:tcW w:w="1681" w:type="dxa"/>
            <w:gridSpan w:val="2"/>
            <w:tcBorders>
              <w:bottom w:val="single" w:sz="4" w:space="0" w:color="auto"/>
            </w:tcBorders>
            <w:vAlign w:val="center"/>
          </w:tcPr>
          <w:p w:rsidR="001E71CF" w:rsidRPr="00EB053B" w:rsidRDefault="001E71CF" w:rsidP="00732EC0">
            <w:pPr>
              <w:pStyle w:val="Sinespaciado"/>
              <w:spacing w:line="360" w:lineRule="auto"/>
              <w:jc w:val="center"/>
              <w:rPr>
                <w:rFonts w:ascii="Times New Roman" w:hAnsi="Times New Roman"/>
                <w:b/>
                <w:sz w:val="20"/>
                <w:szCs w:val="20"/>
              </w:rPr>
            </w:pPr>
            <w:r w:rsidRPr="00EB053B">
              <w:rPr>
                <w:rFonts w:ascii="Times New Roman" w:hAnsi="Times New Roman"/>
                <w:b/>
                <w:sz w:val="20"/>
                <w:szCs w:val="20"/>
              </w:rPr>
              <w:t>Variación (%)</w:t>
            </w:r>
          </w:p>
        </w:tc>
        <w:tc>
          <w:tcPr>
            <w:tcW w:w="1893" w:type="dxa"/>
            <w:gridSpan w:val="2"/>
            <w:tcBorders>
              <w:bottom w:val="single" w:sz="4" w:space="0" w:color="auto"/>
            </w:tcBorders>
            <w:vAlign w:val="center"/>
          </w:tcPr>
          <w:p w:rsidR="001E71CF" w:rsidRPr="00EB053B" w:rsidRDefault="001E71CF" w:rsidP="00732EC0">
            <w:pPr>
              <w:pStyle w:val="Sinespaciado"/>
              <w:spacing w:line="360" w:lineRule="auto"/>
              <w:jc w:val="center"/>
              <w:rPr>
                <w:rFonts w:ascii="Times New Roman" w:hAnsi="Times New Roman"/>
                <w:b/>
                <w:sz w:val="20"/>
                <w:szCs w:val="20"/>
              </w:rPr>
            </w:pPr>
            <w:r w:rsidRPr="00EB053B">
              <w:rPr>
                <w:rFonts w:ascii="Times New Roman" w:hAnsi="Times New Roman"/>
                <w:b/>
                <w:sz w:val="20"/>
                <w:szCs w:val="20"/>
              </w:rPr>
              <w:t>Variación (%)</w:t>
            </w:r>
          </w:p>
        </w:tc>
      </w:tr>
      <w:tr w:rsidR="001E71CF" w:rsidRPr="00EB053B" w:rsidTr="007C5D31">
        <w:trPr>
          <w:trHeight w:val="501"/>
          <w:tblHeader/>
        </w:trPr>
        <w:tc>
          <w:tcPr>
            <w:tcW w:w="2661" w:type="dxa"/>
            <w:gridSpan w:val="2"/>
            <w:tcBorders>
              <w:bottom w:val="single" w:sz="4" w:space="0" w:color="auto"/>
            </w:tcBorders>
            <w:vAlign w:val="center"/>
          </w:tcPr>
          <w:p w:rsidR="001E71CF" w:rsidRPr="00EB053B" w:rsidRDefault="001E71CF" w:rsidP="00732EC0">
            <w:pPr>
              <w:pStyle w:val="Sinespaciado"/>
              <w:jc w:val="center"/>
              <w:rPr>
                <w:rFonts w:ascii="Times New Roman" w:hAnsi="Times New Roman"/>
                <w:b/>
                <w:sz w:val="20"/>
                <w:szCs w:val="20"/>
              </w:rPr>
            </w:pPr>
            <w:r w:rsidRPr="00EB053B">
              <w:rPr>
                <w:rFonts w:ascii="Times New Roman" w:hAnsi="Times New Roman"/>
                <w:b/>
                <w:sz w:val="20"/>
                <w:szCs w:val="20"/>
              </w:rPr>
              <w:t>Rango</w:t>
            </w:r>
          </w:p>
        </w:tc>
        <w:tc>
          <w:tcPr>
            <w:tcW w:w="772" w:type="dxa"/>
            <w:tcBorders>
              <w:bottom w:val="single" w:sz="4" w:space="0" w:color="auto"/>
            </w:tcBorders>
            <w:vAlign w:val="center"/>
          </w:tcPr>
          <w:p w:rsidR="001E71CF" w:rsidRPr="00EB053B" w:rsidRDefault="001E71CF" w:rsidP="00732EC0">
            <w:pPr>
              <w:pStyle w:val="Sinespaciado"/>
              <w:jc w:val="center"/>
              <w:rPr>
                <w:rFonts w:ascii="Times New Roman" w:hAnsi="Times New Roman"/>
                <w:b/>
                <w:sz w:val="20"/>
                <w:szCs w:val="20"/>
              </w:rPr>
            </w:pPr>
            <w:r w:rsidRPr="00EB053B">
              <w:rPr>
                <w:rFonts w:ascii="Times New Roman" w:hAnsi="Times New Roman"/>
                <w:b/>
                <w:sz w:val="20"/>
                <w:szCs w:val="20"/>
              </w:rPr>
              <w:t>2010</w:t>
            </w:r>
          </w:p>
        </w:tc>
        <w:tc>
          <w:tcPr>
            <w:tcW w:w="834" w:type="dxa"/>
            <w:tcBorders>
              <w:bottom w:val="single" w:sz="4" w:space="0" w:color="auto"/>
            </w:tcBorders>
            <w:vAlign w:val="center"/>
          </w:tcPr>
          <w:p w:rsidR="001E71CF" w:rsidRPr="00EB053B" w:rsidRDefault="001E71CF" w:rsidP="00732EC0">
            <w:pPr>
              <w:pStyle w:val="Sinespaciado"/>
              <w:jc w:val="center"/>
              <w:rPr>
                <w:rFonts w:ascii="Times New Roman" w:hAnsi="Times New Roman"/>
                <w:b/>
                <w:sz w:val="20"/>
                <w:szCs w:val="20"/>
              </w:rPr>
            </w:pPr>
            <w:r w:rsidRPr="00EB053B">
              <w:rPr>
                <w:rFonts w:ascii="Times New Roman" w:hAnsi="Times New Roman"/>
                <w:b/>
                <w:sz w:val="20"/>
                <w:szCs w:val="20"/>
              </w:rPr>
              <w:t>2011*</w:t>
            </w:r>
          </w:p>
        </w:tc>
        <w:tc>
          <w:tcPr>
            <w:tcW w:w="779" w:type="dxa"/>
            <w:tcBorders>
              <w:bottom w:val="single" w:sz="4" w:space="0" w:color="auto"/>
            </w:tcBorders>
            <w:vAlign w:val="center"/>
          </w:tcPr>
          <w:p w:rsidR="001E71CF" w:rsidRPr="00EB053B" w:rsidRDefault="001E71CF" w:rsidP="00732EC0">
            <w:pPr>
              <w:pStyle w:val="Sinespaciado"/>
              <w:jc w:val="center"/>
              <w:rPr>
                <w:rFonts w:ascii="Times New Roman" w:hAnsi="Times New Roman"/>
                <w:b/>
                <w:sz w:val="20"/>
                <w:szCs w:val="20"/>
              </w:rPr>
            </w:pPr>
            <w:r w:rsidRPr="00EB053B">
              <w:rPr>
                <w:rFonts w:ascii="Times New Roman" w:hAnsi="Times New Roman"/>
                <w:b/>
                <w:sz w:val="20"/>
                <w:szCs w:val="20"/>
              </w:rPr>
              <w:t>10/09</w:t>
            </w:r>
          </w:p>
        </w:tc>
        <w:tc>
          <w:tcPr>
            <w:tcW w:w="901" w:type="dxa"/>
            <w:tcBorders>
              <w:bottom w:val="single" w:sz="4" w:space="0" w:color="auto"/>
            </w:tcBorders>
            <w:vAlign w:val="center"/>
          </w:tcPr>
          <w:p w:rsidR="001E71CF" w:rsidRPr="00EB053B" w:rsidRDefault="001E71CF" w:rsidP="00732EC0">
            <w:pPr>
              <w:pStyle w:val="Sinespaciado"/>
              <w:jc w:val="center"/>
              <w:rPr>
                <w:rFonts w:ascii="Times New Roman" w:hAnsi="Times New Roman"/>
                <w:b/>
                <w:sz w:val="20"/>
                <w:szCs w:val="20"/>
              </w:rPr>
            </w:pPr>
            <w:r w:rsidRPr="00EB053B">
              <w:rPr>
                <w:rFonts w:ascii="Times New Roman" w:hAnsi="Times New Roman"/>
                <w:b/>
                <w:sz w:val="20"/>
                <w:szCs w:val="20"/>
              </w:rPr>
              <w:t>11*/10</w:t>
            </w:r>
          </w:p>
        </w:tc>
        <w:tc>
          <w:tcPr>
            <w:tcW w:w="818" w:type="dxa"/>
            <w:tcBorders>
              <w:bottom w:val="single" w:sz="4" w:space="0" w:color="auto"/>
            </w:tcBorders>
            <w:vAlign w:val="center"/>
          </w:tcPr>
          <w:p w:rsidR="001E71CF" w:rsidRPr="00EB053B" w:rsidRDefault="001E71CF" w:rsidP="00732EC0">
            <w:pPr>
              <w:pStyle w:val="Sinespaciado"/>
              <w:jc w:val="center"/>
              <w:rPr>
                <w:rFonts w:ascii="Times New Roman" w:hAnsi="Times New Roman"/>
                <w:b/>
                <w:sz w:val="20"/>
                <w:szCs w:val="20"/>
              </w:rPr>
            </w:pPr>
            <w:r w:rsidRPr="00EB053B">
              <w:rPr>
                <w:rFonts w:ascii="Times New Roman" w:hAnsi="Times New Roman"/>
                <w:b/>
                <w:sz w:val="20"/>
                <w:szCs w:val="20"/>
              </w:rPr>
              <w:t>10/09</w:t>
            </w:r>
          </w:p>
        </w:tc>
        <w:tc>
          <w:tcPr>
            <w:tcW w:w="1075" w:type="dxa"/>
            <w:tcBorders>
              <w:bottom w:val="single" w:sz="4" w:space="0" w:color="auto"/>
            </w:tcBorders>
            <w:vAlign w:val="center"/>
          </w:tcPr>
          <w:p w:rsidR="001E71CF" w:rsidRPr="00EB053B" w:rsidRDefault="001E71CF" w:rsidP="00732EC0">
            <w:pPr>
              <w:pStyle w:val="Sinespaciado"/>
              <w:jc w:val="center"/>
              <w:rPr>
                <w:rFonts w:ascii="Times New Roman" w:hAnsi="Times New Roman"/>
                <w:b/>
                <w:sz w:val="20"/>
                <w:szCs w:val="20"/>
              </w:rPr>
            </w:pPr>
            <w:r w:rsidRPr="00EB053B">
              <w:rPr>
                <w:rFonts w:ascii="Times New Roman" w:hAnsi="Times New Roman"/>
                <w:b/>
                <w:sz w:val="20"/>
                <w:szCs w:val="20"/>
              </w:rPr>
              <w:t>11*/10</w:t>
            </w:r>
          </w:p>
        </w:tc>
      </w:tr>
      <w:tr w:rsidR="001E71CF" w:rsidRPr="00EB053B" w:rsidTr="007C5D31">
        <w:trPr>
          <w:trHeight w:val="260"/>
        </w:trPr>
        <w:tc>
          <w:tcPr>
            <w:tcW w:w="755" w:type="dxa"/>
            <w:tcBorders>
              <w:top w:val="single" w:sz="4" w:space="0" w:color="auto"/>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1</w:t>
            </w:r>
          </w:p>
        </w:tc>
        <w:tc>
          <w:tcPr>
            <w:tcW w:w="1906" w:type="dxa"/>
            <w:tcBorders>
              <w:top w:val="single" w:sz="4" w:space="0" w:color="auto"/>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Estados  Unidos</w:t>
            </w:r>
          </w:p>
        </w:tc>
        <w:tc>
          <w:tcPr>
            <w:tcW w:w="772" w:type="dxa"/>
            <w:tcBorders>
              <w:top w:val="single" w:sz="4" w:space="0" w:color="auto"/>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103.5</w:t>
            </w:r>
          </w:p>
        </w:tc>
        <w:tc>
          <w:tcPr>
            <w:tcW w:w="834" w:type="dxa"/>
            <w:tcBorders>
              <w:top w:val="single" w:sz="4" w:space="0" w:color="auto"/>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116.3</w:t>
            </w:r>
          </w:p>
        </w:tc>
        <w:tc>
          <w:tcPr>
            <w:tcW w:w="779" w:type="dxa"/>
            <w:tcBorders>
              <w:top w:val="single" w:sz="4" w:space="0" w:color="auto"/>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9.9</w:t>
            </w:r>
          </w:p>
        </w:tc>
        <w:tc>
          <w:tcPr>
            <w:tcW w:w="901" w:type="dxa"/>
            <w:tcBorders>
              <w:top w:val="single" w:sz="4" w:space="0" w:color="auto"/>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12.3</w:t>
            </w:r>
          </w:p>
        </w:tc>
        <w:tc>
          <w:tcPr>
            <w:tcW w:w="818" w:type="dxa"/>
            <w:tcBorders>
              <w:top w:val="single" w:sz="4" w:space="0" w:color="auto"/>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9.9</w:t>
            </w:r>
          </w:p>
        </w:tc>
        <w:tc>
          <w:tcPr>
            <w:tcW w:w="1075" w:type="dxa"/>
            <w:tcBorders>
              <w:top w:val="single" w:sz="4" w:space="0" w:color="auto"/>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12.3</w:t>
            </w:r>
          </w:p>
        </w:tc>
      </w:tr>
      <w:tr w:rsidR="001E71CF" w:rsidRPr="00EB053B" w:rsidTr="007C5D31">
        <w:trPr>
          <w:trHeight w:val="357"/>
        </w:trPr>
        <w:tc>
          <w:tcPr>
            <w:tcW w:w="755"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2</w:t>
            </w:r>
          </w:p>
        </w:tc>
        <w:tc>
          <w:tcPr>
            <w:tcW w:w="1906"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España</w:t>
            </w:r>
          </w:p>
        </w:tc>
        <w:tc>
          <w:tcPr>
            <w:tcW w:w="772"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52.5</w:t>
            </w:r>
          </w:p>
        </w:tc>
        <w:tc>
          <w:tcPr>
            <w:tcW w:w="834"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59.9</w:t>
            </w:r>
          </w:p>
        </w:tc>
        <w:tc>
          <w:tcPr>
            <w:tcW w:w="779"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-1.2</w:t>
            </w:r>
          </w:p>
        </w:tc>
        <w:tc>
          <w:tcPr>
            <w:tcW w:w="901"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14.0</w:t>
            </w:r>
          </w:p>
        </w:tc>
        <w:tc>
          <w:tcPr>
            <w:tcW w:w="818"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3.9</w:t>
            </w:r>
          </w:p>
        </w:tc>
        <w:tc>
          <w:tcPr>
            <w:tcW w:w="1075"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8.6</w:t>
            </w:r>
          </w:p>
        </w:tc>
      </w:tr>
      <w:tr w:rsidR="001E71CF" w:rsidRPr="00EB053B" w:rsidTr="007C5D31">
        <w:trPr>
          <w:trHeight w:val="344"/>
        </w:trPr>
        <w:tc>
          <w:tcPr>
            <w:tcW w:w="755"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3</w:t>
            </w:r>
          </w:p>
        </w:tc>
        <w:tc>
          <w:tcPr>
            <w:tcW w:w="1906"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Francia</w:t>
            </w:r>
          </w:p>
        </w:tc>
        <w:tc>
          <w:tcPr>
            <w:tcW w:w="772"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46.6</w:t>
            </w:r>
          </w:p>
        </w:tc>
        <w:tc>
          <w:tcPr>
            <w:tcW w:w="834"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53.8</w:t>
            </w:r>
          </w:p>
        </w:tc>
        <w:tc>
          <w:tcPr>
            <w:tcW w:w="779"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-6.0</w:t>
            </w:r>
          </w:p>
        </w:tc>
        <w:tc>
          <w:tcPr>
            <w:tcW w:w="901"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15.6</w:t>
            </w:r>
          </w:p>
        </w:tc>
        <w:tc>
          <w:tcPr>
            <w:tcW w:w="818"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-1.1</w:t>
            </w:r>
          </w:p>
        </w:tc>
        <w:tc>
          <w:tcPr>
            <w:tcW w:w="1075"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10.1</w:t>
            </w:r>
          </w:p>
        </w:tc>
      </w:tr>
      <w:tr w:rsidR="001E71CF" w:rsidRPr="00EB053B" w:rsidTr="007C5D31">
        <w:trPr>
          <w:trHeight w:val="344"/>
        </w:trPr>
        <w:tc>
          <w:tcPr>
            <w:tcW w:w="755"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4</w:t>
            </w:r>
          </w:p>
        </w:tc>
        <w:tc>
          <w:tcPr>
            <w:tcW w:w="1906"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China</w:t>
            </w:r>
          </w:p>
        </w:tc>
        <w:tc>
          <w:tcPr>
            <w:tcW w:w="772"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45.8</w:t>
            </w:r>
          </w:p>
        </w:tc>
        <w:tc>
          <w:tcPr>
            <w:tcW w:w="834"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48.5</w:t>
            </w:r>
          </w:p>
        </w:tc>
        <w:tc>
          <w:tcPr>
            <w:tcW w:w="779"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15.5</w:t>
            </w:r>
          </w:p>
        </w:tc>
        <w:tc>
          <w:tcPr>
            <w:tcW w:w="901"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5.8</w:t>
            </w:r>
          </w:p>
        </w:tc>
        <w:tc>
          <w:tcPr>
            <w:tcW w:w="818"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15.5</w:t>
            </w:r>
          </w:p>
        </w:tc>
        <w:tc>
          <w:tcPr>
            <w:tcW w:w="1075"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5.8</w:t>
            </w:r>
          </w:p>
        </w:tc>
      </w:tr>
      <w:tr w:rsidR="001E71CF" w:rsidRPr="00EB053B" w:rsidTr="007C5D31">
        <w:trPr>
          <w:trHeight w:val="357"/>
        </w:trPr>
        <w:tc>
          <w:tcPr>
            <w:tcW w:w="755"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5</w:t>
            </w:r>
          </w:p>
        </w:tc>
        <w:tc>
          <w:tcPr>
            <w:tcW w:w="1906"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Italia</w:t>
            </w:r>
          </w:p>
        </w:tc>
        <w:tc>
          <w:tcPr>
            <w:tcW w:w="772"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38.8</w:t>
            </w:r>
          </w:p>
        </w:tc>
        <w:tc>
          <w:tcPr>
            <w:tcW w:w="834"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43.0</w:t>
            </w:r>
          </w:p>
        </w:tc>
        <w:tc>
          <w:tcPr>
            <w:tcW w:w="779"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-3.6</w:t>
            </w:r>
          </w:p>
        </w:tc>
        <w:tc>
          <w:tcPr>
            <w:tcW w:w="901"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10.9</w:t>
            </w:r>
          </w:p>
        </w:tc>
        <w:tc>
          <w:tcPr>
            <w:tcW w:w="818"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1.4</w:t>
            </w:r>
          </w:p>
        </w:tc>
        <w:tc>
          <w:tcPr>
            <w:tcW w:w="1075"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5.6</w:t>
            </w:r>
          </w:p>
        </w:tc>
      </w:tr>
      <w:tr w:rsidR="001E71CF" w:rsidRPr="00EB053B" w:rsidTr="007C5D31">
        <w:trPr>
          <w:trHeight w:val="344"/>
        </w:trPr>
        <w:tc>
          <w:tcPr>
            <w:tcW w:w="755"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6</w:t>
            </w:r>
          </w:p>
        </w:tc>
        <w:tc>
          <w:tcPr>
            <w:tcW w:w="1906"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Alemania</w:t>
            </w:r>
          </w:p>
        </w:tc>
        <w:tc>
          <w:tcPr>
            <w:tcW w:w="772"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34.7</w:t>
            </w:r>
          </w:p>
        </w:tc>
        <w:tc>
          <w:tcPr>
            <w:tcW w:w="834"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38.8</w:t>
            </w:r>
          </w:p>
        </w:tc>
        <w:tc>
          <w:tcPr>
            <w:tcW w:w="779"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0.1</w:t>
            </w:r>
          </w:p>
        </w:tc>
        <w:tc>
          <w:tcPr>
            <w:tcW w:w="901"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12.0</w:t>
            </w:r>
          </w:p>
        </w:tc>
        <w:tc>
          <w:tcPr>
            <w:tcW w:w="818"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5.3</w:t>
            </w:r>
          </w:p>
        </w:tc>
        <w:tc>
          <w:tcPr>
            <w:tcW w:w="1075"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6.7</w:t>
            </w:r>
          </w:p>
        </w:tc>
      </w:tr>
      <w:tr w:rsidR="001E71CF" w:rsidRPr="00EB053B" w:rsidTr="007C5D31">
        <w:trPr>
          <w:trHeight w:val="357"/>
        </w:trPr>
        <w:tc>
          <w:tcPr>
            <w:tcW w:w="755"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7</w:t>
            </w:r>
          </w:p>
        </w:tc>
        <w:tc>
          <w:tcPr>
            <w:tcW w:w="1906"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Reino  Unido</w:t>
            </w:r>
          </w:p>
        </w:tc>
        <w:tc>
          <w:tcPr>
            <w:tcW w:w="772"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32.4</w:t>
            </w:r>
          </w:p>
        </w:tc>
        <w:tc>
          <w:tcPr>
            <w:tcW w:w="834"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35.9</w:t>
            </w:r>
          </w:p>
        </w:tc>
        <w:tc>
          <w:tcPr>
            <w:tcW w:w="779"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7.5</w:t>
            </w:r>
          </w:p>
        </w:tc>
        <w:tc>
          <w:tcPr>
            <w:tcW w:w="901"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10.9</w:t>
            </w:r>
          </w:p>
        </w:tc>
        <w:tc>
          <w:tcPr>
            <w:tcW w:w="818"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8.4</w:t>
            </w:r>
          </w:p>
        </w:tc>
        <w:tc>
          <w:tcPr>
            <w:tcW w:w="1075"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6.9</w:t>
            </w:r>
          </w:p>
        </w:tc>
      </w:tr>
      <w:tr w:rsidR="001E71CF" w:rsidRPr="00EB053B" w:rsidTr="007C5D31">
        <w:trPr>
          <w:trHeight w:val="344"/>
        </w:trPr>
        <w:tc>
          <w:tcPr>
            <w:tcW w:w="755"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8</w:t>
            </w:r>
          </w:p>
        </w:tc>
        <w:tc>
          <w:tcPr>
            <w:tcW w:w="1906"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Australia</w:t>
            </w:r>
          </w:p>
        </w:tc>
        <w:tc>
          <w:tcPr>
            <w:tcW w:w="772"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29.8</w:t>
            </w:r>
          </w:p>
        </w:tc>
        <w:tc>
          <w:tcPr>
            <w:tcW w:w="834"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31.4</w:t>
            </w:r>
          </w:p>
        </w:tc>
        <w:tc>
          <w:tcPr>
            <w:tcW w:w="779"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17.4</w:t>
            </w:r>
          </w:p>
        </w:tc>
        <w:tc>
          <w:tcPr>
            <w:tcW w:w="901"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5.5</w:t>
            </w:r>
          </w:p>
        </w:tc>
        <w:tc>
          <w:tcPr>
            <w:tcW w:w="818"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-0.2</w:t>
            </w:r>
          </w:p>
        </w:tc>
        <w:tc>
          <w:tcPr>
            <w:tcW w:w="1075"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-6.2</w:t>
            </w:r>
          </w:p>
        </w:tc>
      </w:tr>
      <w:tr w:rsidR="001E71CF" w:rsidRPr="00EB053B" w:rsidTr="007C5D31">
        <w:trPr>
          <w:trHeight w:val="344"/>
        </w:trPr>
        <w:tc>
          <w:tcPr>
            <w:tcW w:w="755"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9</w:t>
            </w:r>
          </w:p>
        </w:tc>
        <w:tc>
          <w:tcPr>
            <w:tcW w:w="1906" w:type="dxa"/>
            <w:tcBorders>
              <w:top w:val="nil"/>
              <w:bottom w:val="nil"/>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Macao (China)</w:t>
            </w:r>
          </w:p>
        </w:tc>
        <w:tc>
          <w:tcPr>
            <w:tcW w:w="772"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27.8</w:t>
            </w:r>
          </w:p>
        </w:tc>
        <w:tc>
          <w:tcPr>
            <w:tcW w:w="834"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w:t>
            </w:r>
          </w:p>
        </w:tc>
        <w:tc>
          <w:tcPr>
            <w:tcW w:w="779"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53.2</w:t>
            </w:r>
          </w:p>
        </w:tc>
        <w:tc>
          <w:tcPr>
            <w:tcW w:w="901"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w:t>
            </w:r>
          </w:p>
        </w:tc>
        <w:tc>
          <w:tcPr>
            <w:tcW w:w="818"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53.5</w:t>
            </w:r>
          </w:p>
        </w:tc>
        <w:tc>
          <w:tcPr>
            <w:tcW w:w="1075" w:type="dxa"/>
            <w:tcBorders>
              <w:top w:val="nil"/>
              <w:bottom w:val="nil"/>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w:t>
            </w:r>
          </w:p>
        </w:tc>
      </w:tr>
      <w:tr w:rsidR="001E71CF" w:rsidRPr="00EB053B" w:rsidTr="007C5D31">
        <w:trPr>
          <w:trHeight w:val="371"/>
        </w:trPr>
        <w:tc>
          <w:tcPr>
            <w:tcW w:w="755" w:type="dxa"/>
            <w:tcBorders>
              <w:top w:val="nil"/>
              <w:bottom w:val="single" w:sz="4" w:space="0" w:color="auto"/>
            </w:tcBorders>
          </w:tcPr>
          <w:p w:rsidR="001E71CF" w:rsidRPr="00EB053B" w:rsidRDefault="001E71CF" w:rsidP="007C5D31">
            <w:pPr>
              <w:pStyle w:val="Sinespaciado"/>
              <w:rPr>
                <w:rFonts w:ascii="Times New Roman" w:hAnsi="Times New Roman"/>
                <w:sz w:val="20"/>
                <w:szCs w:val="20"/>
              </w:rPr>
            </w:pPr>
            <w:r w:rsidRPr="00EB053B">
              <w:rPr>
                <w:rFonts w:ascii="Times New Roman" w:hAnsi="Times New Roman"/>
                <w:sz w:val="20"/>
                <w:szCs w:val="20"/>
              </w:rPr>
              <w:t>10</w:t>
            </w:r>
          </w:p>
        </w:tc>
        <w:tc>
          <w:tcPr>
            <w:tcW w:w="1906" w:type="dxa"/>
            <w:tcBorders>
              <w:top w:val="nil"/>
              <w:bottom w:val="single" w:sz="4" w:space="0" w:color="auto"/>
            </w:tcBorders>
          </w:tcPr>
          <w:p w:rsidR="001E71CF" w:rsidRPr="00EB053B" w:rsidRDefault="001E71CF" w:rsidP="007C5D31">
            <w:pPr>
              <w:pStyle w:val="Sinespaciado"/>
              <w:jc w:val="left"/>
              <w:rPr>
                <w:rFonts w:ascii="Times New Roman" w:hAnsi="Times New Roman"/>
                <w:sz w:val="20"/>
                <w:szCs w:val="20"/>
              </w:rPr>
            </w:pPr>
            <w:r w:rsidRPr="00EB053B">
              <w:rPr>
                <w:rFonts w:ascii="Times New Roman" w:hAnsi="Times New Roman"/>
                <w:sz w:val="20"/>
                <w:szCs w:val="20"/>
              </w:rPr>
              <w:t>Hong Kong (China)</w:t>
            </w:r>
          </w:p>
        </w:tc>
        <w:tc>
          <w:tcPr>
            <w:tcW w:w="772" w:type="dxa"/>
            <w:tcBorders>
              <w:top w:val="nil"/>
              <w:bottom w:val="single" w:sz="4" w:space="0" w:color="auto"/>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22.2</w:t>
            </w:r>
          </w:p>
        </w:tc>
        <w:tc>
          <w:tcPr>
            <w:tcW w:w="834" w:type="dxa"/>
            <w:tcBorders>
              <w:top w:val="nil"/>
              <w:bottom w:val="single" w:sz="4" w:space="0" w:color="auto"/>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27.7</w:t>
            </w:r>
          </w:p>
        </w:tc>
        <w:tc>
          <w:tcPr>
            <w:tcW w:w="779" w:type="dxa"/>
            <w:tcBorders>
              <w:top w:val="nil"/>
              <w:bottom w:val="single" w:sz="4" w:space="0" w:color="auto"/>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35.3</w:t>
            </w:r>
          </w:p>
        </w:tc>
        <w:tc>
          <w:tcPr>
            <w:tcW w:w="901" w:type="dxa"/>
            <w:tcBorders>
              <w:top w:val="nil"/>
              <w:bottom w:val="single" w:sz="4" w:space="0" w:color="auto"/>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24.7</w:t>
            </w:r>
          </w:p>
        </w:tc>
        <w:tc>
          <w:tcPr>
            <w:tcW w:w="818" w:type="dxa"/>
            <w:tcBorders>
              <w:top w:val="nil"/>
              <w:bottom w:val="single" w:sz="4" w:space="0" w:color="auto"/>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35.6</w:t>
            </w:r>
          </w:p>
        </w:tc>
        <w:tc>
          <w:tcPr>
            <w:tcW w:w="1075" w:type="dxa"/>
            <w:tcBorders>
              <w:top w:val="nil"/>
              <w:bottom w:val="single" w:sz="4" w:space="0" w:color="auto"/>
            </w:tcBorders>
          </w:tcPr>
          <w:p w:rsidR="001E71CF" w:rsidRPr="00EB053B" w:rsidRDefault="001E71CF" w:rsidP="007C5D31">
            <w:pPr>
              <w:pStyle w:val="Sinespaciado"/>
              <w:jc w:val="center"/>
              <w:rPr>
                <w:rFonts w:ascii="Times New Roman" w:hAnsi="Times New Roman"/>
                <w:sz w:val="20"/>
                <w:szCs w:val="20"/>
              </w:rPr>
            </w:pPr>
            <w:r w:rsidRPr="00EB053B">
              <w:rPr>
                <w:rFonts w:ascii="Times New Roman" w:hAnsi="Times New Roman"/>
                <w:sz w:val="20"/>
                <w:szCs w:val="20"/>
              </w:rPr>
              <w:t>25.0</w:t>
            </w:r>
          </w:p>
        </w:tc>
      </w:tr>
    </w:tbl>
    <w:p w:rsidR="001E71CF" w:rsidRPr="003D1448" w:rsidRDefault="001E71CF" w:rsidP="00B44A00">
      <w:pPr>
        <w:pStyle w:val="Sinespaciado"/>
        <w:rPr>
          <w:rFonts w:ascii="Times New Roman" w:hAnsi="Times New Roman"/>
          <w:sz w:val="16"/>
          <w:szCs w:val="16"/>
        </w:rPr>
      </w:pPr>
      <w:r w:rsidRPr="003D1448">
        <w:rPr>
          <w:rFonts w:ascii="Times New Roman" w:hAnsi="Times New Roman"/>
          <w:sz w:val="16"/>
          <w:szCs w:val="16"/>
        </w:rPr>
        <w:t>(Cifras procedentes  de la  OMTE junio  de 2012)</w:t>
      </w:r>
    </w:p>
    <w:p w:rsidR="001E71CF" w:rsidRDefault="001E71CF" w:rsidP="00B44A00">
      <w:pPr>
        <w:pStyle w:val="Sinespaciado"/>
        <w:rPr>
          <w:rFonts w:ascii="Times New Roman" w:hAnsi="Times New Roman"/>
          <w:sz w:val="16"/>
          <w:szCs w:val="16"/>
        </w:rPr>
      </w:pPr>
      <w:r w:rsidRPr="003D1448">
        <w:rPr>
          <w:rFonts w:ascii="Times New Roman" w:hAnsi="Times New Roman"/>
          <w:sz w:val="16"/>
          <w:szCs w:val="16"/>
        </w:rPr>
        <w:t>Fuente: Organización Mundial del Turismo. Panorama OMT del turismo internacional. Edición 2012</w:t>
      </w:r>
      <w:r w:rsidRPr="003D1448">
        <w:rPr>
          <w:rFonts w:ascii="Times New Roman" w:hAnsi="Times New Roman"/>
          <w:sz w:val="16"/>
          <w:szCs w:val="16"/>
        </w:rPr>
        <w:cr/>
      </w: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lastRenderedPageBreak/>
        <w:t xml:space="preserve">Las anteriores cifras confirman que los porcentajes tanto de llegadas como de ingresos por  turismo internacional tienen una tendencia al alza a pesar de las crisis económicas  que  se </w:t>
      </w:r>
      <w:r>
        <w:rPr>
          <w:rFonts w:ascii="Times New Roman" w:hAnsi="Times New Roman"/>
          <w:sz w:val="24"/>
          <w:szCs w:val="24"/>
        </w:rPr>
        <w:t>han registrado</w:t>
      </w:r>
      <w:r w:rsidRPr="00812B6F">
        <w:rPr>
          <w:rFonts w:ascii="Times New Roman" w:hAnsi="Times New Roman"/>
          <w:sz w:val="24"/>
          <w:szCs w:val="24"/>
        </w:rPr>
        <w:t>, lo que evidencia que este sector tiene un potencial de</w:t>
      </w:r>
      <w:r>
        <w:rPr>
          <w:rFonts w:ascii="Times New Roman" w:hAnsi="Times New Roman"/>
          <w:sz w:val="24"/>
          <w:szCs w:val="24"/>
        </w:rPr>
        <w:t xml:space="preserve"> </w:t>
      </w:r>
      <w:r w:rsidRPr="00812B6F">
        <w:rPr>
          <w:rFonts w:ascii="Times New Roman" w:hAnsi="Times New Roman"/>
          <w:sz w:val="24"/>
          <w:szCs w:val="24"/>
        </w:rPr>
        <w:t xml:space="preserve">desarrollo </w:t>
      </w:r>
      <w:r>
        <w:rPr>
          <w:rFonts w:ascii="Times New Roman" w:hAnsi="Times New Roman"/>
          <w:sz w:val="24"/>
          <w:szCs w:val="24"/>
        </w:rPr>
        <w:t>amplio</w:t>
      </w:r>
      <w:r w:rsidRPr="00812B6F">
        <w:rPr>
          <w:rFonts w:ascii="Times New Roman" w:hAnsi="Times New Roman"/>
          <w:sz w:val="24"/>
          <w:szCs w:val="24"/>
        </w:rPr>
        <w:t xml:space="preserve"> y demuestra que a pesar de que los países desarrollados tengan grandes ingresos gracias a este sector no pueden dejar de explotar los recursos con los que cuentan para poder mejorar los atractivos que les puedan ofrecer a los viajeros y aún más los países en desarrollo ya que si bien han ganado participación en este sector es evidente que no todos han logrado maximizar las ventajas competitivas que poseen.</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 xml:space="preserve">Lo anterior se ve reflejado en el crecimiento que se ha presentado por cada región en el Mundo, Europa tuvo ingresos por 463.000 millones de dólares americanos ocupando el primer  lugar, seguido por Asia y el Pacifico con 289.000 millones de dólares y por las  Américas con un ingreso de 199.000 millones, las regiones que menos obtuvieron ingresos fueron Oriente Medio con 46.000 millones de dólares y África con 33.000 millones. </w:t>
      </w:r>
    </w:p>
    <w:p w:rsidR="001E71C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Tanto las economías avanzadas como en desarrollo vieron reflejados los ingresos por actividades turísticas debido a que los ingresos que obtiene cada país provienen de diferentes actividades como alojamiento, alimentación, transporte interno, compras y entretenimiento. Esto genera empleo formal e informal y desarrollo sostenible para cada nación.</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Los ingresos que se producen se contabilizan dentro de la cuentas de exportación de  cada país</w:t>
      </w:r>
      <w:r w:rsidRPr="00812B6F">
        <w:rPr>
          <w:rFonts w:ascii="Times New Roman" w:hAnsi="Times New Roman"/>
          <w:sz w:val="24"/>
          <w:szCs w:val="24"/>
        </w:rPr>
        <w:footnoteReference w:id="54"/>
      </w:r>
      <w:r w:rsidRPr="00812B6F">
        <w:rPr>
          <w:rFonts w:ascii="Times New Roman" w:hAnsi="Times New Roman"/>
          <w:sz w:val="24"/>
          <w:szCs w:val="24"/>
        </w:rPr>
        <w:t>,  y actualmente el turismo internacional aporta con 3.400 millones de dólares americanos  a los ingresos mundiales por exportaciones.</w:t>
      </w:r>
      <w:r w:rsidRPr="00812B6F">
        <w:rPr>
          <w:rFonts w:ascii="Times New Roman" w:hAnsi="Times New Roman"/>
          <w:sz w:val="24"/>
          <w:szCs w:val="24"/>
        </w:rPr>
        <w:cr/>
      </w:r>
    </w:p>
    <w:p w:rsidR="002972E6" w:rsidRDefault="002972E6" w:rsidP="001E71CF">
      <w:pPr>
        <w:pStyle w:val="Sinespaciado"/>
        <w:spacing w:line="360" w:lineRule="auto"/>
        <w:ind w:firstLine="284"/>
        <w:rPr>
          <w:rFonts w:ascii="Times New Roman" w:hAnsi="Times New Roman"/>
          <w:sz w:val="24"/>
          <w:szCs w:val="24"/>
        </w:rPr>
      </w:pPr>
    </w:p>
    <w:p w:rsidR="002972E6" w:rsidRPr="00812B6F" w:rsidRDefault="002972E6" w:rsidP="001E71CF">
      <w:pPr>
        <w:pStyle w:val="Sinespaciado"/>
        <w:spacing w:line="360" w:lineRule="auto"/>
        <w:ind w:firstLine="284"/>
        <w:rPr>
          <w:rFonts w:ascii="Times New Roman" w:hAnsi="Times New Roman"/>
          <w:sz w:val="24"/>
          <w:szCs w:val="24"/>
        </w:rPr>
      </w:pPr>
    </w:p>
    <w:p w:rsidR="001E71CF" w:rsidRPr="002972E6" w:rsidRDefault="002972E6" w:rsidP="002972E6">
      <w:pPr>
        <w:pStyle w:val="Ttulo2"/>
        <w:rPr>
          <w:rFonts w:ascii="Times New Roman" w:hAnsi="Times New Roman" w:cs="Times New Roman"/>
          <w:color w:val="auto"/>
          <w:sz w:val="30"/>
          <w:szCs w:val="30"/>
        </w:rPr>
      </w:pPr>
      <w:bookmarkStart w:id="92" w:name="_Toc406754346"/>
      <w:r w:rsidRPr="002972E6">
        <w:rPr>
          <w:rFonts w:ascii="Times New Roman" w:hAnsi="Times New Roman" w:cs="Times New Roman"/>
          <w:color w:val="auto"/>
          <w:sz w:val="30"/>
          <w:szCs w:val="30"/>
        </w:rPr>
        <w:lastRenderedPageBreak/>
        <w:t>12.2 El T</w:t>
      </w:r>
      <w:r w:rsidR="001E71CF" w:rsidRPr="002972E6">
        <w:rPr>
          <w:rFonts w:ascii="Times New Roman" w:hAnsi="Times New Roman" w:cs="Times New Roman"/>
          <w:color w:val="auto"/>
          <w:sz w:val="30"/>
          <w:szCs w:val="30"/>
        </w:rPr>
        <w:t>urismo en Colombia</w:t>
      </w:r>
      <w:bookmarkEnd w:id="92"/>
    </w:p>
    <w:p w:rsidR="001E71CF" w:rsidRPr="00812B6F" w:rsidRDefault="001E71CF" w:rsidP="001E71CF">
      <w:pPr>
        <w:pStyle w:val="Sinespaciado"/>
        <w:spacing w:line="360" w:lineRule="auto"/>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Colombia desde inicios del siglo XX dio el primer paso a la identificación del sector Turismo como una industria potencial para el crecimiento económico del país con la conformación  de la oficina de turismo en 1931, sin embargo este sector solo tuvo el protagonismo que se pensaba hasta hace unos años atrás, fue en el año 2002 que el  turismo realmente comenzó a desarrollarse y establecerse como un motor de crecimiento económico en Colombia, debido al fortalecimiento y presencia de las fuerzas militares gracias a la política de seguridad democrática que estableció el ex presidente Álvaro Uribe Vélez y a la continuidad que le ha dado la administración dirigida por el presidente Juan Manuel Santos.</w:t>
      </w:r>
    </w:p>
    <w:p w:rsidR="001E71C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Debido a lo anterior y a la recuperación de la confianza por parte de las personas  y  del gobierno, quienes han jugado un papel importante en todo este proceso, se ha logrado  cambiar la percepción del país en el exterior. Por otro lado las ventajas creadas a través de los incentivos tributarios y la recuperación de la inversión extranjera, han sido aspectos claves en la transformación del turismo en Colombia.</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Como bien se sabe, Colombia cuenta con una gran biodiversidad de atractivos naturales y culturales, además de su cercanía con dos grandes mares, el Pacifico y el Atlántico, 53 áreas naturales (que hacen parte de una red de parques nacionales) entre otros  atractivos, lo que ha contribuido a mejorar la oferta del turismo en diferentes aspectos o actividades para el turista nacional y extranjero ofreciendo turismo de playas, lugares  históricos, cultura, agroturismo, ecoturismo, deporte, salud, ferias, negocios etc.</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 xml:space="preserve">El país ha presentado una transformación que se ha venido evidenciando con la  consolidación del turismo interno y el inicio de la recuperación del turismo receptivo,  debido a que estos dos aspectos han ganado un espacio significativo en las expectativas  del país, los cuales se han evaluado bajo unos indicadores básicos, el primero, con base  en las entradas de viajeros extranjeros, el segundo, referente a los aporte al PIB y por  </w:t>
      </w:r>
      <w:r w:rsidRPr="00812B6F">
        <w:rPr>
          <w:rFonts w:ascii="Times New Roman" w:hAnsi="Times New Roman"/>
          <w:sz w:val="24"/>
          <w:szCs w:val="24"/>
        </w:rPr>
        <w:lastRenderedPageBreak/>
        <w:t>último, la ocupación hotelera. Estos pueden ser utilizados para determinar si el sector se  encuentra en un momento favorable o desfavorable. A continuación se mostrarán algunos de estos indicadores para observar cómo ha sido el comportamiento del turismo  en Colombia en los últimos años.</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rPr>
          <w:rFonts w:ascii="Times New Roman" w:hAnsi="Times New Roman"/>
          <w:sz w:val="24"/>
          <w:szCs w:val="24"/>
        </w:rPr>
      </w:pPr>
      <w:r w:rsidRPr="00812B6F">
        <w:rPr>
          <w:rFonts w:ascii="Times New Roman" w:hAnsi="Times New Roman"/>
          <w:sz w:val="24"/>
          <w:szCs w:val="24"/>
        </w:rPr>
        <w:t>Según los resultados publicados por PROEXPORT las entradas de viajeros extranjeros al  país se han dado tendencialmente de la siguiente manera:</w:t>
      </w:r>
      <w:r w:rsidRPr="00812B6F">
        <w:rPr>
          <w:rFonts w:ascii="Times New Roman" w:hAnsi="Times New Roman"/>
          <w:sz w:val="24"/>
          <w:szCs w:val="24"/>
        </w:rPr>
        <w:cr/>
      </w:r>
    </w:p>
    <w:p w:rsidR="001E71CF" w:rsidRPr="00812B6F" w:rsidRDefault="001E71CF" w:rsidP="001E71CF">
      <w:pPr>
        <w:pStyle w:val="Sinespaciado"/>
        <w:rPr>
          <w:rFonts w:ascii="Times New Roman" w:hAnsi="Times New Roman"/>
          <w:sz w:val="24"/>
          <w:szCs w:val="24"/>
        </w:rPr>
      </w:pPr>
      <w:r w:rsidRPr="00812B6F">
        <w:rPr>
          <w:rFonts w:ascii="Times New Roman" w:hAnsi="Times New Roman"/>
          <w:sz w:val="24"/>
          <w:szCs w:val="24"/>
        </w:rPr>
        <w:t>Grafico 12.1</w:t>
      </w:r>
    </w:p>
    <w:p w:rsidR="002972E6" w:rsidRDefault="001E71CF" w:rsidP="001E71CF">
      <w:pPr>
        <w:pStyle w:val="Sinespaciado"/>
        <w:rPr>
          <w:rFonts w:ascii="Times New Roman" w:hAnsi="Times New Roman"/>
          <w:sz w:val="24"/>
          <w:szCs w:val="24"/>
        </w:rPr>
      </w:pPr>
      <w:r w:rsidRPr="00812B6F">
        <w:rPr>
          <w:rFonts w:ascii="Times New Roman" w:hAnsi="Times New Roman"/>
          <w:sz w:val="24"/>
          <w:szCs w:val="24"/>
        </w:rPr>
        <w:t xml:space="preserve">Llegada de viajeros extranjeros a Colombia por año </w:t>
      </w:r>
    </w:p>
    <w:p w:rsidR="001E71CF" w:rsidRDefault="001E71CF" w:rsidP="001E71CF">
      <w:pPr>
        <w:pStyle w:val="Sinespaciado"/>
        <w:rPr>
          <w:rFonts w:ascii="Times New Roman" w:hAnsi="Times New Roman"/>
          <w:sz w:val="24"/>
          <w:szCs w:val="24"/>
        </w:rPr>
      </w:pPr>
      <w:r w:rsidRPr="00812B6F">
        <w:rPr>
          <w:rFonts w:ascii="Times New Roman" w:hAnsi="Times New Roman"/>
          <w:sz w:val="24"/>
          <w:szCs w:val="24"/>
        </w:rPr>
        <w:t>2004-2012</w:t>
      </w:r>
    </w:p>
    <w:p w:rsidR="002972E6" w:rsidRDefault="002972E6" w:rsidP="001E71CF">
      <w:pPr>
        <w:pStyle w:val="Sinespaciado"/>
        <w:rPr>
          <w:rFonts w:ascii="Times New Roman" w:hAnsi="Times New Roman"/>
          <w:sz w:val="24"/>
          <w:szCs w:val="24"/>
        </w:rPr>
      </w:pPr>
    </w:p>
    <w:p w:rsidR="001E71CF" w:rsidRPr="00812B6F" w:rsidRDefault="001E71CF" w:rsidP="001E71CF">
      <w:pPr>
        <w:pStyle w:val="Sinespaciado"/>
        <w:spacing w:line="360" w:lineRule="auto"/>
        <w:rPr>
          <w:rFonts w:ascii="Times New Roman" w:hAnsi="Times New Roman"/>
          <w:color w:val="FF00FF"/>
          <w:sz w:val="24"/>
          <w:szCs w:val="24"/>
        </w:rPr>
      </w:pPr>
      <w:r w:rsidRPr="00812B6F">
        <w:rPr>
          <w:rFonts w:ascii="Times New Roman" w:hAnsi="Times New Roman"/>
          <w:noProof/>
          <w:sz w:val="24"/>
          <w:szCs w:val="24"/>
          <w:lang w:val="es-CO" w:eastAsia="es-CO"/>
        </w:rPr>
        <w:drawing>
          <wp:inline distT="0" distB="0" distL="0" distR="0" wp14:anchorId="73D61B9A" wp14:editId="77EDE7B7">
            <wp:extent cx="5628903" cy="2505693"/>
            <wp:effectExtent l="0" t="0" r="10160" b="952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E71CF" w:rsidRPr="0041191A" w:rsidRDefault="001E71CF" w:rsidP="001E71CF">
      <w:pPr>
        <w:pStyle w:val="Sinespaciado"/>
        <w:spacing w:line="360" w:lineRule="auto"/>
        <w:rPr>
          <w:rFonts w:ascii="Times New Roman" w:hAnsi="Times New Roman"/>
          <w:sz w:val="16"/>
          <w:szCs w:val="16"/>
        </w:rPr>
      </w:pPr>
      <w:r w:rsidRPr="0041191A">
        <w:rPr>
          <w:rFonts w:ascii="Times New Roman" w:hAnsi="Times New Roman"/>
          <w:sz w:val="16"/>
          <w:szCs w:val="16"/>
        </w:rPr>
        <w:t>Fuente: DAS, cálculos PROEXPORT.</w:t>
      </w:r>
    </w:p>
    <w:p w:rsidR="001E71CF" w:rsidRPr="00812B6F" w:rsidRDefault="001E71CF" w:rsidP="001E71CF">
      <w:pPr>
        <w:pStyle w:val="Sinespaciado"/>
        <w:spacing w:line="360" w:lineRule="auto"/>
        <w:rPr>
          <w:rFonts w:ascii="Times New Roman" w:hAnsi="Times New Roman"/>
          <w:color w:val="FF00FF"/>
          <w:sz w:val="24"/>
          <w:szCs w:val="24"/>
        </w:rPr>
      </w:pPr>
    </w:p>
    <w:p w:rsidR="001E71CF" w:rsidRPr="00812B6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 xml:space="preserve">Se muestra que el crecimiento promedio ha sido de 10.5%  sin contar con el año 2012, sin embargo si no se contara con el año 2008 el cual reporto  el crecimiento más bajo alrededor del 2,3% debido a la crisis hipotecaria en los Estados  Unidos y la caída de los mercados bursátiles en Europa y Asia, el crecimiento estaría en  11.8% hasta el año 2011, lo cual refleja una tendencia creciente para el turismo muy  positiva, adicionalmente si se hace un comparativo del año 2011 al 2012 teniendo en cuenta los meses evaluados, se puede ver que en el año 2012 al mes de Octubre ya se 21 tenía un incremento del 6,6% </w:t>
      </w:r>
      <w:r w:rsidRPr="00812B6F">
        <w:rPr>
          <w:rFonts w:ascii="Times New Roman" w:hAnsi="Times New Roman"/>
          <w:sz w:val="24"/>
          <w:szCs w:val="24"/>
        </w:rPr>
        <w:lastRenderedPageBreak/>
        <w:t>respecto al mes del año anterior, dejando claro el creciente  turismo receptivo en Colombia.</w:t>
      </w:r>
    </w:p>
    <w:p w:rsidR="001E71CF" w:rsidRPr="00812B6F" w:rsidRDefault="001E71CF" w:rsidP="001E71CF">
      <w:pPr>
        <w:pStyle w:val="Sinespaciado"/>
        <w:spacing w:line="360" w:lineRule="auto"/>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 xml:space="preserve">De igual manera, si se comparara el crecimiento del turismo mundial y el de Colombia  se evidenciaría que Colombia ha reportado un aumento en el sector bastante interesante,  logrando un porcentaje de crecimiento por encima de los niveles mundiales, ya que  según datos de PROEXPORT el crecimiento mundial desde el año 2001 hasta el 2011 ha ido del 3,4% y el de Colombia fue de 10,3%, lo que ayuda a reafirmar que Colombia ha  venido mejorando año tras año. </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Pr="00812B6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Sin embargo</w:t>
      </w:r>
      <w:r w:rsidR="002972E6">
        <w:rPr>
          <w:rFonts w:ascii="Times New Roman" w:hAnsi="Times New Roman"/>
          <w:sz w:val="24"/>
          <w:szCs w:val="24"/>
        </w:rPr>
        <w:t>,</w:t>
      </w:r>
      <w:r w:rsidRPr="00812B6F">
        <w:rPr>
          <w:rFonts w:ascii="Times New Roman" w:hAnsi="Times New Roman"/>
          <w:sz w:val="24"/>
          <w:szCs w:val="24"/>
        </w:rPr>
        <w:t xml:space="preserve"> aún se encuentra lejos de los niveles alcanzados por los primeros tres  países según medición de Enero a Octubre del 2012, como Rusia con un crecimiento del  54,6%, Chile con un 35,7% y Canadá 21,6%, medición en la cual Colombia alcanzó  únicamente un 6,6% logrando el puesto 19 a nivel mundial por encima de países como: Francia, Italia, Reino Unido y Republica Dominicana.</w:t>
      </w:r>
    </w:p>
    <w:p w:rsidR="001E71CF" w:rsidRDefault="001E71CF" w:rsidP="001E71CF">
      <w:pPr>
        <w:pStyle w:val="Sinespaciado"/>
        <w:spacing w:line="360" w:lineRule="auto"/>
        <w:rPr>
          <w:rFonts w:ascii="Times New Roman" w:hAnsi="Times New Roman"/>
          <w:sz w:val="24"/>
          <w:szCs w:val="24"/>
        </w:rPr>
      </w:pPr>
    </w:p>
    <w:p w:rsidR="001E71CF" w:rsidRPr="001B2A2C" w:rsidRDefault="00780A76" w:rsidP="001B2A2C">
      <w:pPr>
        <w:pStyle w:val="Ttulo2"/>
        <w:rPr>
          <w:rFonts w:ascii="Times New Roman" w:hAnsi="Times New Roman" w:cs="Times New Roman"/>
          <w:color w:val="auto"/>
          <w:sz w:val="30"/>
          <w:szCs w:val="30"/>
        </w:rPr>
      </w:pPr>
      <w:bookmarkStart w:id="93" w:name="_Toc406754347"/>
      <w:r>
        <w:rPr>
          <w:rFonts w:ascii="Times New Roman" w:hAnsi="Times New Roman" w:cs="Times New Roman"/>
          <w:color w:val="auto"/>
          <w:sz w:val="30"/>
          <w:szCs w:val="30"/>
        </w:rPr>
        <w:t>12</w:t>
      </w:r>
      <w:r w:rsidR="001B2A2C" w:rsidRPr="001B2A2C">
        <w:rPr>
          <w:rFonts w:ascii="Times New Roman" w:hAnsi="Times New Roman" w:cs="Times New Roman"/>
          <w:color w:val="auto"/>
          <w:sz w:val="30"/>
          <w:szCs w:val="30"/>
        </w:rPr>
        <w:t xml:space="preserve">.3 </w:t>
      </w:r>
      <w:r w:rsidR="001E71CF" w:rsidRPr="001B2A2C">
        <w:rPr>
          <w:rFonts w:ascii="Times New Roman" w:hAnsi="Times New Roman" w:cs="Times New Roman"/>
          <w:color w:val="auto"/>
          <w:sz w:val="30"/>
          <w:szCs w:val="30"/>
        </w:rPr>
        <w:t>Turismo en el departamento del Quindío</w:t>
      </w:r>
      <w:bookmarkEnd w:id="93"/>
    </w:p>
    <w:p w:rsidR="001E71CF" w:rsidRPr="00812B6F" w:rsidRDefault="001E71CF" w:rsidP="001E71CF">
      <w:pPr>
        <w:pStyle w:val="Sinespaciado"/>
        <w:spacing w:line="360" w:lineRule="auto"/>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Resulta muy fácil y placentero recorrer el Quindío. Por su posición geográfica, por las posibilidades de sus vías, por lo pequeño del territorio y la enorme cantidad de actividades y atractivos, para hacer y conocer. El Quindío, bello y verde lugar, es un completo destino turístico de Colombia, establecido en la zona donde crece el café más suave del mundo.</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t>Recostado en la cordillera Central, entre cafetales rebosantes,</w:t>
      </w:r>
      <w:r>
        <w:rPr>
          <w:rFonts w:ascii="Times New Roman" w:hAnsi="Times New Roman"/>
          <w:color w:val="231F20"/>
          <w:sz w:val="24"/>
          <w:szCs w:val="24"/>
        </w:rPr>
        <w:t xml:space="preserve"> </w:t>
      </w:r>
      <w:r w:rsidRPr="00812B6F">
        <w:rPr>
          <w:rFonts w:ascii="Times New Roman" w:hAnsi="Times New Roman"/>
          <w:color w:val="231F20"/>
          <w:sz w:val="24"/>
          <w:szCs w:val="24"/>
        </w:rPr>
        <w:t>está</w:t>
      </w:r>
      <w:r>
        <w:rPr>
          <w:rFonts w:ascii="Times New Roman" w:hAnsi="Times New Roman"/>
          <w:color w:val="231F20"/>
          <w:sz w:val="24"/>
          <w:szCs w:val="24"/>
        </w:rPr>
        <w:t xml:space="preserve"> </w:t>
      </w:r>
      <w:r w:rsidRPr="00812B6F">
        <w:rPr>
          <w:rFonts w:ascii="Times New Roman" w:hAnsi="Times New Roman"/>
          <w:color w:val="231F20"/>
          <w:sz w:val="24"/>
          <w:szCs w:val="24"/>
        </w:rPr>
        <w:t>el</w:t>
      </w:r>
      <w:r>
        <w:rPr>
          <w:rFonts w:ascii="Times New Roman" w:hAnsi="Times New Roman"/>
          <w:color w:val="231F20"/>
          <w:sz w:val="24"/>
          <w:szCs w:val="24"/>
        </w:rPr>
        <w:t xml:space="preserve"> </w:t>
      </w:r>
      <w:r w:rsidRPr="00812B6F">
        <w:rPr>
          <w:rFonts w:ascii="Times New Roman" w:hAnsi="Times New Roman"/>
          <w:color w:val="231F20"/>
          <w:sz w:val="24"/>
          <w:szCs w:val="24"/>
        </w:rPr>
        <w:t>departamento</w:t>
      </w:r>
      <w:r>
        <w:rPr>
          <w:rFonts w:ascii="Times New Roman" w:hAnsi="Times New Roman"/>
          <w:color w:val="231F20"/>
          <w:sz w:val="24"/>
          <w:szCs w:val="24"/>
        </w:rPr>
        <w:t xml:space="preserve"> </w:t>
      </w:r>
      <w:r w:rsidRPr="00812B6F">
        <w:rPr>
          <w:rFonts w:ascii="Times New Roman" w:hAnsi="Times New Roman"/>
          <w:color w:val="231F20"/>
          <w:sz w:val="24"/>
          <w:szCs w:val="24"/>
        </w:rPr>
        <w:t>del</w:t>
      </w:r>
      <w:r>
        <w:rPr>
          <w:rFonts w:ascii="Times New Roman" w:hAnsi="Times New Roman"/>
          <w:color w:val="231F20"/>
          <w:sz w:val="24"/>
          <w:szCs w:val="24"/>
        </w:rPr>
        <w:t xml:space="preserve"> </w:t>
      </w:r>
      <w:r w:rsidRPr="00812B6F">
        <w:rPr>
          <w:rFonts w:ascii="Times New Roman" w:hAnsi="Times New Roman"/>
          <w:color w:val="231F20"/>
          <w:sz w:val="24"/>
          <w:szCs w:val="24"/>
        </w:rPr>
        <w:t>Quindío,</w:t>
      </w:r>
      <w:r>
        <w:rPr>
          <w:rFonts w:ascii="Times New Roman" w:hAnsi="Times New Roman"/>
          <w:color w:val="231F20"/>
          <w:sz w:val="24"/>
          <w:szCs w:val="24"/>
        </w:rPr>
        <w:t xml:space="preserve"> </w:t>
      </w:r>
      <w:r w:rsidRPr="00812B6F">
        <w:rPr>
          <w:rFonts w:ascii="Times New Roman" w:hAnsi="Times New Roman"/>
          <w:color w:val="231F20"/>
          <w:sz w:val="24"/>
          <w:szCs w:val="24"/>
        </w:rPr>
        <w:t>uno</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los</w:t>
      </w:r>
      <w:r>
        <w:rPr>
          <w:rFonts w:ascii="Times New Roman" w:hAnsi="Times New Roman"/>
          <w:color w:val="231F20"/>
          <w:sz w:val="24"/>
          <w:szCs w:val="24"/>
        </w:rPr>
        <w:t xml:space="preserve"> </w:t>
      </w:r>
      <w:r w:rsidRPr="00812B6F">
        <w:rPr>
          <w:rFonts w:ascii="Times New Roman" w:hAnsi="Times New Roman"/>
          <w:color w:val="231F20"/>
          <w:sz w:val="24"/>
          <w:szCs w:val="24"/>
        </w:rPr>
        <w:t>más</w:t>
      </w:r>
      <w:r>
        <w:rPr>
          <w:rFonts w:ascii="Times New Roman" w:hAnsi="Times New Roman"/>
          <w:color w:val="231F20"/>
          <w:sz w:val="24"/>
          <w:szCs w:val="24"/>
        </w:rPr>
        <w:t xml:space="preserve"> </w:t>
      </w:r>
      <w:r w:rsidRPr="00812B6F">
        <w:rPr>
          <w:rFonts w:ascii="Times New Roman" w:hAnsi="Times New Roman"/>
          <w:color w:val="231F20"/>
          <w:sz w:val="24"/>
          <w:szCs w:val="24"/>
        </w:rPr>
        <w:t xml:space="preserve">pequeños de Colombia, cuya extensión </w:t>
      </w:r>
      <w:proofErr w:type="spellStart"/>
      <w:r w:rsidRPr="00812B6F">
        <w:rPr>
          <w:rFonts w:ascii="Times New Roman" w:hAnsi="Times New Roman"/>
          <w:color w:val="231F20"/>
          <w:sz w:val="24"/>
          <w:szCs w:val="24"/>
        </w:rPr>
        <w:t>reducidaes</w:t>
      </w:r>
      <w:proofErr w:type="spellEnd"/>
      <w:r w:rsidRPr="00812B6F">
        <w:rPr>
          <w:rFonts w:ascii="Times New Roman" w:hAnsi="Times New Roman"/>
          <w:color w:val="231F20"/>
          <w:sz w:val="24"/>
          <w:szCs w:val="24"/>
        </w:rPr>
        <w:t xml:space="preserve"> totalmente opuesta a la interminable lista de </w:t>
      </w:r>
      <w:proofErr w:type="spellStart"/>
      <w:r w:rsidRPr="00812B6F">
        <w:rPr>
          <w:rFonts w:ascii="Times New Roman" w:hAnsi="Times New Roman"/>
          <w:color w:val="231F20"/>
          <w:sz w:val="24"/>
          <w:szCs w:val="24"/>
        </w:rPr>
        <w:t>recursosnaturales</w:t>
      </w:r>
      <w:proofErr w:type="spellEnd"/>
      <w:r w:rsidRPr="00812B6F">
        <w:rPr>
          <w:rFonts w:ascii="Times New Roman" w:hAnsi="Times New Roman"/>
          <w:color w:val="231F20"/>
          <w:sz w:val="24"/>
          <w:szCs w:val="24"/>
        </w:rPr>
        <w:t xml:space="preserve"> y de atractivos turísticos que motivan su frecuente</w:t>
      </w:r>
      <w:r>
        <w:rPr>
          <w:rFonts w:ascii="Times New Roman" w:hAnsi="Times New Roman"/>
          <w:color w:val="231F20"/>
          <w:sz w:val="24"/>
          <w:szCs w:val="24"/>
        </w:rPr>
        <w:t xml:space="preserve"> </w:t>
      </w:r>
      <w:r w:rsidRPr="00812B6F">
        <w:rPr>
          <w:rFonts w:ascii="Times New Roman" w:hAnsi="Times New Roman"/>
          <w:color w:val="231F20"/>
          <w:sz w:val="24"/>
          <w:szCs w:val="24"/>
        </w:rPr>
        <w:t>visita.</w:t>
      </w:r>
      <w:r>
        <w:rPr>
          <w:rFonts w:ascii="Times New Roman" w:hAnsi="Times New Roman"/>
          <w:color w:val="231F20"/>
          <w:sz w:val="24"/>
          <w:szCs w:val="24"/>
        </w:rPr>
        <w:t xml:space="preserve"> </w:t>
      </w:r>
      <w:r w:rsidRPr="00812B6F">
        <w:rPr>
          <w:rFonts w:ascii="Times New Roman" w:hAnsi="Times New Roman"/>
          <w:color w:val="231F20"/>
          <w:sz w:val="24"/>
          <w:szCs w:val="24"/>
        </w:rPr>
        <w:t>Además,</w:t>
      </w:r>
      <w:r>
        <w:rPr>
          <w:rFonts w:ascii="Times New Roman" w:hAnsi="Times New Roman"/>
          <w:color w:val="231F20"/>
          <w:sz w:val="24"/>
          <w:szCs w:val="24"/>
        </w:rPr>
        <w:t xml:space="preserve"> </w:t>
      </w:r>
      <w:r w:rsidRPr="00812B6F">
        <w:rPr>
          <w:rFonts w:ascii="Times New Roman" w:hAnsi="Times New Roman"/>
          <w:color w:val="231F20"/>
          <w:sz w:val="24"/>
          <w:szCs w:val="24"/>
        </w:rPr>
        <w:t>la</w:t>
      </w:r>
      <w:r>
        <w:rPr>
          <w:rFonts w:ascii="Times New Roman" w:hAnsi="Times New Roman"/>
          <w:color w:val="231F20"/>
          <w:sz w:val="24"/>
          <w:szCs w:val="24"/>
        </w:rPr>
        <w:t xml:space="preserve"> </w:t>
      </w:r>
      <w:r w:rsidRPr="00812B6F">
        <w:rPr>
          <w:rFonts w:ascii="Times New Roman" w:hAnsi="Times New Roman"/>
          <w:color w:val="231F20"/>
          <w:sz w:val="24"/>
          <w:szCs w:val="24"/>
        </w:rPr>
        <w:t>región</w:t>
      </w:r>
      <w:r>
        <w:rPr>
          <w:rFonts w:ascii="Times New Roman" w:hAnsi="Times New Roman"/>
          <w:color w:val="231F20"/>
          <w:sz w:val="24"/>
          <w:szCs w:val="24"/>
        </w:rPr>
        <w:t xml:space="preserve"> </w:t>
      </w:r>
      <w:r w:rsidRPr="00812B6F">
        <w:rPr>
          <w:rFonts w:ascii="Times New Roman" w:hAnsi="Times New Roman"/>
          <w:color w:val="231F20"/>
          <w:sz w:val="24"/>
          <w:szCs w:val="24"/>
        </w:rPr>
        <w:t>reúne</w:t>
      </w:r>
      <w:r>
        <w:rPr>
          <w:rFonts w:ascii="Times New Roman" w:hAnsi="Times New Roman"/>
          <w:color w:val="231F20"/>
          <w:sz w:val="24"/>
          <w:szCs w:val="24"/>
        </w:rPr>
        <w:t xml:space="preserve"> </w:t>
      </w:r>
      <w:r w:rsidRPr="00812B6F">
        <w:rPr>
          <w:rFonts w:ascii="Times New Roman" w:hAnsi="Times New Roman"/>
          <w:color w:val="231F20"/>
          <w:sz w:val="24"/>
          <w:szCs w:val="24"/>
        </w:rPr>
        <w:t>una</w:t>
      </w:r>
      <w:r>
        <w:rPr>
          <w:rFonts w:ascii="Times New Roman" w:hAnsi="Times New Roman"/>
          <w:color w:val="231F20"/>
          <w:sz w:val="24"/>
          <w:szCs w:val="24"/>
        </w:rPr>
        <w:t xml:space="preserve"> </w:t>
      </w:r>
      <w:r w:rsidRPr="00812B6F">
        <w:rPr>
          <w:rFonts w:ascii="Times New Roman" w:hAnsi="Times New Roman"/>
          <w:color w:val="231F20"/>
          <w:sz w:val="24"/>
          <w:szCs w:val="24"/>
        </w:rPr>
        <w:t>serie</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ventajas</w:t>
      </w:r>
      <w:r>
        <w:rPr>
          <w:rFonts w:ascii="Times New Roman" w:hAnsi="Times New Roman"/>
          <w:color w:val="231F20"/>
          <w:sz w:val="24"/>
          <w:szCs w:val="24"/>
        </w:rPr>
        <w:t xml:space="preserve"> </w:t>
      </w:r>
      <w:r w:rsidRPr="00812B6F">
        <w:rPr>
          <w:rFonts w:ascii="Times New Roman" w:hAnsi="Times New Roman"/>
          <w:color w:val="231F20"/>
          <w:sz w:val="24"/>
          <w:szCs w:val="24"/>
        </w:rPr>
        <w:t>para hacer más grato su recorrido; entre otras cosas,</w:t>
      </w:r>
      <w:r>
        <w:rPr>
          <w:rFonts w:ascii="Times New Roman" w:hAnsi="Times New Roman"/>
          <w:color w:val="231F20"/>
          <w:sz w:val="24"/>
          <w:szCs w:val="24"/>
        </w:rPr>
        <w:t xml:space="preserve"> </w:t>
      </w:r>
      <w:r w:rsidRPr="00812B6F">
        <w:rPr>
          <w:rFonts w:ascii="Times New Roman" w:hAnsi="Times New Roman"/>
          <w:color w:val="231F20"/>
          <w:sz w:val="24"/>
          <w:szCs w:val="24"/>
        </w:rPr>
        <w:t>por</w:t>
      </w:r>
      <w:r>
        <w:rPr>
          <w:rFonts w:ascii="Times New Roman" w:hAnsi="Times New Roman"/>
          <w:color w:val="231F20"/>
          <w:sz w:val="24"/>
          <w:szCs w:val="24"/>
        </w:rPr>
        <w:t xml:space="preserve"> </w:t>
      </w:r>
      <w:r w:rsidRPr="00812B6F">
        <w:rPr>
          <w:rFonts w:ascii="Times New Roman" w:hAnsi="Times New Roman"/>
          <w:color w:val="231F20"/>
          <w:sz w:val="24"/>
          <w:szCs w:val="24"/>
        </w:rPr>
        <w:t>la</w:t>
      </w:r>
      <w:r>
        <w:rPr>
          <w:rFonts w:ascii="Times New Roman" w:hAnsi="Times New Roman"/>
          <w:color w:val="231F20"/>
          <w:sz w:val="24"/>
          <w:szCs w:val="24"/>
        </w:rPr>
        <w:t xml:space="preserve"> </w:t>
      </w:r>
      <w:r w:rsidRPr="00812B6F">
        <w:rPr>
          <w:rFonts w:ascii="Times New Roman" w:hAnsi="Times New Roman"/>
          <w:color w:val="231F20"/>
          <w:sz w:val="24"/>
          <w:szCs w:val="24"/>
        </w:rPr>
        <w:t>cercanía</w:t>
      </w:r>
      <w:r>
        <w:rPr>
          <w:rFonts w:ascii="Times New Roman" w:hAnsi="Times New Roman"/>
          <w:color w:val="231F20"/>
          <w:sz w:val="24"/>
          <w:szCs w:val="24"/>
        </w:rPr>
        <w:t xml:space="preserve"> </w:t>
      </w:r>
      <w:r w:rsidRPr="00812B6F">
        <w:rPr>
          <w:rFonts w:ascii="Times New Roman" w:hAnsi="Times New Roman"/>
          <w:color w:val="231F20"/>
          <w:sz w:val="24"/>
          <w:szCs w:val="24"/>
        </w:rPr>
        <w:t>entre</w:t>
      </w:r>
      <w:r>
        <w:rPr>
          <w:rFonts w:ascii="Times New Roman" w:hAnsi="Times New Roman"/>
          <w:color w:val="231F20"/>
          <w:sz w:val="24"/>
          <w:szCs w:val="24"/>
        </w:rPr>
        <w:t xml:space="preserve"> </w:t>
      </w:r>
      <w:r w:rsidRPr="00812B6F">
        <w:rPr>
          <w:rFonts w:ascii="Times New Roman" w:hAnsi="Times New Roman"/>
          <w:color w:val="231F20"/>
          <w:sz w:val="24"/>
          <w:szCs w:val="24"/>
        </w:rPr>
        <w:t>los</w:t>
      </w:r>
      <w:r>
        <w:rPr>
          <w:rFonts w:ascii="Times New Roman" w:hAnsi="Times New Roman"/>
          <w:color w:val="231F20"/>
          <w:sz w:val="24"/>
          <w:szCs w:val="24"/>
        </w:rPr>
        <w:t xml:space="preserve"> </w:t>
      </w:r>
      <w:r w:rsidRPr="00812B6F">
        <w:rPr>
          <w:rFonts w:ascii="Times New Roman" w:hAnsi="Times New Roman"/>
          <w:color w:val="231F20"/>
          <w:sz w:val="24"/>
          <w:szCs w:val="24"/>
        </w:rPr>
        <w:t>destinos</w:t>
      </w:r>
      <w:r>
        <w:rPr>
          <w:rFonts w:ascii="Times New Roman" w:hAnsi="Times New Roman"/>
          <w:color w:val="231F20"/>
          <w:sz w:val="24"/>
          <w:szCs w:val="24"/>
        </w:rPr>
        <w:t xml:space="preserve"> </w:t>
      </w:r>
      <w:r w:rsidRPr="00812B6F">
        <w:rPr>
          <w:rFonts w:ascii="Times New Roman" w:hAnsi="Times New Roman"/>
          <w:color w:val="231F20"/>
          <w:sz w:val="24"/>
          <w:szCs w:val="24"/>
        </w:rPr>
        <w:t>y</w:t>
      </w:r>
      <w:r>
        <w:rPr>
          <w:rFonts w:ascii="Times New Roman" w:hAnsi="Times New Roman"/>
          <w:color w:val="231F20"/>
          <w:sz w:val="24"/>
          <w:szCs w:val="24"/>
        </w:rPr>
        <w:t xml:space="preserve"> </w:t>
      </w:r>
      <w:r w:rsidRPr="00812B6F">
        <w:rPr>
          <w:rFonts w:ascii="Times New Roman" w:hAnsi="Times New Roman"/>
          <w:color w:val="231F20"/>
          <w:sz w:val="24"/>
          <w:szCs w:val="24"/>
        </w:rPr>
        <w:t>las</w:t>
      </w:r>
      <w:r>
        <w:rPr>
          <w:rFonts w:ascii="Times New Roman" w:hAnsi="Times New Roman"/>
          <w:color w:val="231F20"/>
          <w:sz w:val="24"/>
          <w:szCs w:val="24"/>
        </w:rPr>
        <w:t xml:space="preserve"> </w:t>
      </w:r>
      <w:r w:rsidRPr="00812B6F">
        <w:rPr>
          <w:rFonts w:ascii="Times New Roman" w:hAnsi="Times New Roman"/>
          <w:color w:val="231F20"/>
          <w:sz w:val="24"/>
          <w:szCs w:val="24"/>
        </w:rPr>
        <w:t>buenas</w:t>
      </w:r>
      <w:r>
        <w:rPr>
          <w:rFonts w:ascii="Times New Roman" w:hAnsi="Times New Roman"/>
          <w:color w:val="231F20"/>
          <w:sz w:val="24"/>
          <w:szCs w:val="24"/>
        </w:rPr>
        <w:t xml:space="preserve"> </w:t>
      </w:r>
      <w:r w:rsidRPr="00812B6F">
        <w:rPr>
          <w:rFonts w:ascii="Times New Roman" w:hAnsi="Times New Roman"/>
          <w:color w:val="231F20"/>
          <w:sz w:val="24"/>
          <w:szCs w:val="24"/>
        </w:rPr>
        <w:t>y</w:t>
      </w:r>
      <w:r>
        <w:rPr>
          <w:rFonts w:ascii="Times New Roman" w:hAnsi="Times New Roman"/>
          <w:color w:val="231F20"/>
          <w:sz w:val="24"/>
          <w:szCs w:val="24"/>
        </w:rPr>
        <w:t xml:space="preserve"> </w:t>
      </w:r>
      <w:r w:rsidRPr="00812B6F">
        <w:rPr>
          <w:rFonts w:ascii="Times New Roman" w:hAnsi="Times New Roman"/>
          <w:color w:val="231F20"/>
          <w:sz w:val="24"/>
          <w:szCs w:val="24"/>
        </w:rPr>
        <w:t>variadas</w:t>
      </w:r>
      <w:r>
        <w:rPr>
          <w:rFonts w:ascii="Times New Roman" w:hAnsi="Times New Roman"/>
          <w:color w:val="231F20"/>
          <w:sz w:val="24"/>
          <w:szCs w:val="24"/>
        </w:rPr>
        <w:t xml:space="preserve"> </w:t>
      </w:r>
      <w:r w:rsidRPr="00812B6F">
        <w:rPr>
          <w:rFonts w:ascii="Times New Roman" w:hAnsi="Times New Roman"/>
          <w:color w:val="231F20"/>
          <w:sz w:val="24"/>
          <w:szCs w:val="24"/>
        </w:rPr>
        <w:t>alternativas</w:t>
      </w:r>
      <w:r>
        <w:rPr>
          <w:rFonts w:ascii="Times New Roman" w:hAnsi="Times New Roman"/>
          <w:color w:val="231F20"/>
          <w:sz w:val="24"/>
          <w:szCs w:val="24"/>
        </w:rPr>
        <w:t xml:space="preserve"> </w:t>
      </w:r>
      <w:r w:rsidRPr="00812B6F">
        <w:rPr>
          <w:rFonts w:ascii="Times New Roman" w:hAnsi="Times New Roman"/>
          <w:color w:val="231F20"/>
          <w:sz w:val="24"/>
          <w:szCs w:val="24"/>
        </w:rPr>
        <w:t>viales</w:t>
      </w:r>
      <w:r>
        <w:rPr>
          <w:rFonts w:ascii="Times New Roman" w:hAnsi="Times New Roman"/>
          <w:color w:val="231F20"/>
          <w:sz w:val="24"/>
          <w:szCs w:val="24"/>
        </w:rPr>
        <w:t xml:space="preserve"> </w:t>
      </w:r>
      <w:r w:rsidRPr="00812B6F">
        <w:rPr>
          <w:rFonts w:ascii="Times New Roman" w:hAnsi="Times New Roman"/>
          <w:color w:val="231F20"/>
          <w:sz w:val="24"/>
          <w:szCs w:val="24"/>
        </w:rPr>
        <w:t>para</w:t>
      </w:r>
      <w:r>
        <w:rPr>
          <w:rFonts w:ascii="Times New Roman" w:hAnsi="Times New Roman"/>
          <w:color w:val="231F20"/>
          <w:sz w:val="24"/>
          <w:szCs w:val="24"/>
        </w:rPr>
        <w:t xml:space="preserve"> </w:t>
      </w:r>
      <w:r w:rsidRPr="00812B6F">
        <w:rPr>
          <w:rFonts w:ascii="Times New Roman" w:hAnsi="Times New Roman"/>
          <w:color w:val="231F20"/>
          <w:sz w:val="24"/>
          <w:szCs w:val="24"/>
        </w:rPr>
        <w:t>llegar</w:t>
      </w:r>
      <w:r>
        <w:rPr>
          <w:rFonts w:ascii="Times New Roman" w:hAnsi="Times New Roman"/>
          <w:color w:val="231F20"/>
          <w:sz w:val="24"/>
          <w:szCs w:val="24"/>
        </w:rPr>
        <w:t xml:space="preserve"> </w:t>
      </w:r>
      <w:r w:rsidRPr="00812B6F">
        <w:rPr>
          <w:rFonts w:ascii="Times New Roman" w:hAnsi="Times New Roman"/>
          <w:color w:val="231F20"/>
          <w:sz w:val="24"/>
          <w:szCs w:val="24"/>
        </w:rPr>
        <w:t>a</w:t>
      </w:r>
      <w:r>
        <w:rPr>
          <w:rFonts w:ascii="Times New Roman" w:hAnsi="Times New Roman"/>
          <w:color w:val="231F20"/>
          <w:sz w:val="24"/>
          <w:szCs w:val="24"/>
        </w:rPr>
        <w:t xml:space="preserve"> </w:t>
      </w:r>
      <w:r w:rsidRPr="00812B6F">
        <w:rPr>
          <w:rFonts w:ascii="Times New Roman" w:hAnsi="Times New Roman"/>
          <w:color w:val="231F20"/>
          <w:sz w:val="24"/>
          <w:szCs w:val="24"/>
        </w:rPr>
        <w:t>ellos.</w:t>
      </w:r>
    </w:p>
    <w:p w:rsidR="001B2A2C" w:rsidRPr="00812B6F" w:rsidRDefault="001B2A2C" w:rsidP="001E71CF">
      <w:pPr>
        <w:pStyle w:val="Sinespaciado"/>
        <w:spacing w:line="360" w:lineRule="auto"/>
        <w:ind w:firstLine="284"/>
        <w:rPr>
          <w:rFonts w:ascii="Times New Roman" w:hAnsi="Times New Roman"/>
          <w:color w:val="231F20"/>
          <w:sz w:val="24"/>
          <w:szCs w:val="24"/>
        </w:rPr>
      </w:pPr>
    </w:p>
    <w:p w:rsidR="001E71C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lastRenderedPageBreak/>
        <w:t>Incluida Armenia, la capital, al departamento lo conforman12 municipios. A todos se llega, para todos hay</w:t>
      </w:r>
      <w:r w:rsidR="001B2A2C">
        <w:rPr>
          <w:rFonts w:ascii="Times New Roman" w:hAnsi="Times New Roman"/>
          <w:color w:val="231F20"/>
          <w:sz w:val="24"/>
          <w:szCs w:val="24"/>
        </w:rPr>
        <w:t xml:space="preserve"> </w:t>
      </w:r>
      <w:r w:rsidRPr="00812B6F">
        <w:rPr>
          <w:rFonts w:ascii="Times New Roman" w:hAnsi="Times New Roman"/>
          <w:color w:val="231F20"/>
          <w:sz w:val="24"/>
          <w:szCs w:val="24"/>
        </w:rPr>
        <w:t>camino y en todos hay atrayentes para detenerse, contemplar</w:t>
      </w:r>
      <w:r w:rsidR="001B2A2C">
        <w:rPr>
          <w:rFonts w:ascii="Times New Roman" w:hAnsi="Times New Roman"/>
          <w:color w:val="231F20"/>
          <w:sz w:val="24"/>
          <w:szCs w:val="24"/>
        </w:rPr>
        <w:t xml:space="preserve"> </w:t>
      </w:r>
      <w:r w:rsidRPr="00812B6F">
        <w:rPr>
          <w:rFonts w:ascii="Times New Roman" w:hAnsi="Times New Roman"/>
          <w:color w:val="231F20"/>
          <w:sz w:val="24"/>
          <w:szCs w:val="24"/>
        </w:rPr>
        <w:t>y disfrutar. Aunque con algunos rasgos distintos, en los pueblos se notan muchas coincidencias, como los arbustos colmados de café o la guadua emergiendo</w:t>
      </w:r>
      <w:r w:rsidR="001B2A2C">
        <w:rPr>
          <w:rFonts w:ascii="Times New Roman" w:hAnsi="Times New Roman"/>
          <w:color w:val="231F20"/>
          <w:sz w:val="24"/>
          <w:szCs w:val="24"/>
        </w:rPr>
        <w:t xml:space="preserve"> </w:t>
      </w:r>
      <w:r w:rsidRPr="00812B6F">
        <w:rPr>
          <w:rFonts w:ascii="Times New Roman" w:hAnsi="Times New Roman"/>
          <w:color w:val="231F20"/>
          <w:sz w:val="24"/>
          <w:szCs w:val="24"/>
        </w:rPr>
        <w:t>de la tierra o transformada en arte y vivienda.</w:t>
      </w:r>
    </w:p>
    <w:p w:rsidR="001E71CF" w:rsidRPr="00812B6F" w:rsidRDefault="001E71CF" w:rsidP="001E71CF">
      <w:pPr>
        <w:pStyle w:val="Sinespaciado"/>
        <w:spacing w:line="360" w:lineRule="auto"/>
        <w:ind w:firstLine="284"/>
        <w:rPr>
          <w:rFonts w:ascii="Times New Roman" w:hAnsi="Times New Roman"/>
          <w:color w:val="231F20"/>
          <w:sz w:val="24"/>
          <w:szCs w:val="24"/>
        </w:rPr>
      </w:pPr>
    </w:p>
    <w:p w:rsidR="001E71CF" w:rsidRDefault="001B2A2C" w:rsidP="001E71CF">
      <w:pPr>
        <w:pStyle w:val="Sinespaciado"/>
        <w:spacing w:line="360" w:lineRule="auto"/>
        <w:ind w:firstLine="284"/>
        <w:rPr>
          <w:rFonts w:ascii="Times New Roman" w:hAnsi="Times New Roman"/>
          <w:color w:val="231F20"/>
          <w:sz w:val="24"/>
          <w:szCs w:val="24"/>
        </w:rPr>
      </w:pPr>
      <w:r>
        <w:rPr>
          <w:rFonts w:ascii="Times New Roman" w:hAnsi="Times New Roman"/>
          <w:color w:val="231F20"/>
          <w:sz w:val="24"/>
          <w:szCs w:val="24"/>
        </w:rPr>
        <w:t xml:space="preserve">A lo largo </w:t>
      </w:r>
      <w:r w:rsidR="001E71CF" w:rsidRPr="00812B6F">
        <w:rPr>
          <w:rFonts w:ascii="Times New Roman" w:hAnsi="Times New Roman"/>
          <w:color w:val="231F20"/>
          <w:sz w:val="24"/>
          <w:szCs w:val="24"/>
        </w:rPr>
        <w:t>de las carreteras bien cuidadas</w:t>
      </w:r>
      <w:r>
        <w:rPr>
          <w:rFonts w:ascii="Times New Roman" w:hAnsi="Times New Roman"/>
          <w:color w:val="231F20"/>
          <w:sz w:val="24"/>
          <w:szCs w:val="24"/>
        </w:rPr>
        <w:t>,</w:t>
      </w:r>
      <w:r w:rsidR="001E71CF" w:rsidRPr="00812B6F">
        <w:rPr>
          <w:rFonts w:ascii="Times New Roman" w:hAnsi="Times New Roman"/>
          <w:color w:val="231F20"/>
          <w:sz w:val="24"/>
          <w:szCs w:val="24"/>
        </w:rPr>
        <w:t xml:space="preserve"> aparecen los</w:t>
      </w:r>
      <w:r>
        <w:rPr>
          <w:rFonts w:ascii="Times New Roman" w:hAnsi="Times New Roman"/>
          <w:color w:val="231F20"/>
          <w:sz w:val="24"/>
          <w:szCs w:val="24"/>
        </w:rPr>
        <w:t xml:space="preserve"> </w:t>
      </w:r>
      <w:r w:rsidR="001E71CF" w:rsidRPr="00812B6F">
        <w:rPr>
          <w:rFonts w:ascii="Times New Roman" w:hAnsi="Times New Roman"/>
          <w:color w:val="231F20"/>
          <w:sz w:val="24"/>
          <w:szCs w:val="24"/>
        </w:rPr>
        <w:t>detalles que representan la importancia y la belleza del</w:t>
      </w:r>
      <w:r>
        <w:rPr>
          <w:rFonts w:ascii="Times New Roman" w:hAnsi="Times New Roman"/>
          <w:color w:val="231F20"/>
          <w:sz w:val="24"/>
          <w:szCs w:val="24"/>
        </w:rPr>
        <w:t xml:space="preserve"> </w:t>
      </w:r>
      <w:r w:rsidR="001E71CF" w:rsidRPr="00812B6F">
        <w:rPr>
          <w:rFonts w:ascii="Times New Roman" w:hAnsi="Times New Roman"/>
          <w:color w:val="231F20"/>
          <w:sz w:val="24"/>
          <w:szCs w:val="24"/>
        </w:rPr>
        <w:t>Quindío. Las montañas uniformes, las fincas cafeteras,</w:t>
      </w:r>
      <w:r w:rsidR="001E71CF">
        <w:rPr>
          <w:rFonts w:ascii="Times New Roman" w:hAnsi="Times New Roman"/>
          <w:color w:val="231F20"/>
          <w:sz w:val="24"/>
          <w:szCs w:val="24"/>
        </w:rPr>
        <w:t xml:space="preserve"> </w:t>
      </w:r>
      <w:r w:rsidR="001E71CF" w:rsidRPr="00812B6F">
        <w:rPr>
          <w:rFonts w:ascii="Times New Roman" w:hAnsi="Times New Roman"/>
          <w:color w:val="231F20"/>
          <w:sz w:val="24"/>
          <w:szCs w:val="24"/>
        </w:rPr>
        <w:t>los parques temáticos, los escenarios de aventura, los</w:t>
      </w:r>
      <w:r>
        <w:rPr>
          <w:rFonts w:ascii="Times New Roman" w:hAnsi="Times New Roman"/>
          <w:color w:val="231F20"/>
          <w:sz w:val="24"/>
          <w:szCs w:val="24"/>
        </w:rPr>
        <w:t xml:space="preserve"> </w:t>
      </w:r>
      <w:r w:rsidR="001E71CF" w:rsidRPr="00812B6F">
        <w:rPr>
          <w:rFonts w:ascii="Times New Roman" w:hAnsi="Times New Roman"/>
          <w:color w:val="231F20"/>
          <w:sz w:val="24"/>
          <w:szCs w:val="24"/>
        </w:rPr>
        <w:t>manantiales que alimentan ríos y quebradas.</w:t>
      </w:r>
    </w:p>
    <w:p w:rsidR="001E71CF" w:rsidRDefault="001E71CF" w:rsidP="001E71CF">
      <w:pPr>
        <w:pStyle w:val="Sinespaciado"/>
        <w:spacing w:line="360" w:lineRule="auto"/>
        <w:ind w:firstLine="284"/>
        <w:rPr>
          <w:rFonts w:ascii="Times New Roman" w:hAnsi="Times New Roman"/>
          <w:color w:val="231F20"/>
          <w:sz w:val="24"/>
          <w:szCs w:val="24"/>
        </w:rPr>
      </w:pPr>
    </w:p>
    <w:p w:rsidR="001E71CF" w:rsidRPr="00812B6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t>Valles de infinito</w:t>
      </w:r>
      <w:r>
        <w:rPr>
          <w:rFonts w:ascii="Times New Roman" w:hAnsi="Times New Roman"/>
          <w:color w:val="231F20"/>
          <w:sz w:val="24"/>
          <w:szCs w:val="24"/>
        </w:rPr>
        <w:t xml:space="preserve"> </w:t>
      </w:r>
      <w:r w:rsidRPr="00812B6F">
        <w:rPr>
          <w:rFonts w:ascii="Times New Roman" w:hAnsi="Times New Roman"/>
          <w:color w:val="231F20"/>
          <w:sz w:val="24"/>
          <w:szCs w:val="24"/>
        </w:rPr>
        <w:t>verdor</w:t>
      </w:r>
      <w:r>
        <w:rPr>
          <w:rFonts w:ascii="Times New Roman" w:hAnsi="Times New Roman"/>
          <w:color w:val="231F20"/>
          <w:sz w:val="24"/>
          <w:szCs w:val="24"/>
        </w:rPr>
        <w:t xml:space="preserve"> </w:t>
      </w:r>
      <w:r w:rsidRPr="00812B6F">
        <w:rPr>
          <w:rFonts w:ascii="Times New Roman" w:hAnsi="Times New Roman"/>
          <w:color w:val="231F20"/>
          <w:sz w:val="24"/>
          <w:szCs w:val="24"/>
        </w:rPr>
        <w:t>como</w:t>
      </w:r>
      <w:r>
        <w:rPr>
          <w:rFonts w:ascii="Times New Roman" w:hAnsi="Times New Roman"/>
          <w:color w:val="231F20"/>
          <w:sz w:val="24"/>
          <w:szCs w:val="24"/>
        </w:rPr>
        <w:t xml:space="preserve"> </w:t>
      </w:r>
      <w:proofErr w:type="spellStart"/>
      <w:r w:rsidRPr="00812B6F">
        <w:rPr>
          <w:rFonts w:ascii="Times New Roman" w:hAnsi="Times New Roman"/>
          <w:color w:val="231F20"/>
          <w:sz w:val="24"/>
          <w:szCs w:val="24"/>
        </w:rPr>
        <w:t>Maravélez</w:t>
      </w:r>
      <w:proofErr w:type="spellEnd"/>
      <w:r>
        <w:rPr>
          <w:rFonts w:ascii="Times New Roman" w:hAnsi="Times New Roman"/>
          <w:color w:val="231F20"/>
          <w:sz w:val="24"/>
          <w:szCs w:val="24"/>
        </w:rPr>
        <w:t xml:space="preserve"> </w:t>
      </w:r>
      <w:r w:rsidRPr="00812B6F">
        <w:rPr>
          <w:rFonts w:ascii="Times New Roman" w:hAnsi="Times New Roman"/>
          <w:color w:val="231F20"/>
          <w:sz w:val="24"/>
          <w:szCs w:val="24"/>
        </w:rPr>
        <w:t>y</w:t>
      </w:r>
      <w:r>
        <w:rPr>
          <w:rFonts w:ascii="Times New Roman" w:hAnsi="Times New Roman"/>
          <w:color w:val="231F20"/>
          <w:sz w:val="24"/>
          <w:szCs w:val="24"/>
        </w:rPr>
        <w:t xml:space="preserve"> </w:t>
      </w:r>
      <w:proofErr w:type="spellStart"/>
      <w:r w:rsidRPr="00812B6F">
        <w:rPr>
          <w:rFonts w:ascii="Times New Roman" w:hAnsi="Times New Roman"/>
          <w:color w:val="231F20"/>
          <w:sz w:val="24"/>
          <w:szCs w:val="24"/>
        </w:rPr>
        <w:t>Cocora</w:t>
      </w:r>
      <w:proofErr w:type="spellEnd"/>
      <w:r w:rsidRPr="00812B6F">
        <w:rPr>
          <w:rFonts w:ascii="Times New Roman" w:hAnsi="Times New Roman"/>
          <w:color w:val="231F20"/>
          <w:sz w:val="24"/>
          <w:szCs w:val="24"/>
        </w:rPr>
        <w:t>;</w:t>
      </w:r>
      <w:r>
        <w:rPr>
          <w:rFonts w:ascii="Times New Roman" w:hAnsi="Times New Roman"/>
          <w:color w:val="231F20"/>
          <w:sz w:val="24"/>
          <w:szCs w:val="24"/>
        </w:rPr>
        <w:t xml:space="preserve"> </w:t>
      </w:r>
      <w:r w:rsidRPr="00812B6F">
        <w:rPr>
          <w:rFonts w:ascii="Times New Roman" w:hAnsi="Times New Roman"/>
          <w:color w:val="231F20"/>
          <w:sz w:val="24"/>
          <w:szCs w:val="24"/>
        </w:rPr>
        <w:t>este</w:t>
      </w:r>
      <w:r>
        <w:rPr>
          <w:rFonts w:ascii="Times New Roman" w:hAnsi="Times New Roman"/>
          <w:color w:val="231F20"/>
          <w:sz w:val="24"/>
          <w:szCs w:val="24"/>
        </w:rPr>
        <w:t xml:space="preserve"> </w:t>
      </w:r>
      <w:r w:rsidRPr="00812B6F">
        <w:rPr>
          <w:rFonts w:ascii="Times New Roman" w:hAnsi="Times New Roman"/>
          <w:color w:val="231F20"/>
          <w:sz w:val="24"/>
          <w:szCs w:val="24"/>
        </w:rPr>
        <w:t>último,</w:t>
      </w:r>
      <w:r>
        <w:rPr>
          <w:rFonts w:ascii="Times New Roman" w:hAnsi="Times New Roman"/>
          <w:color w:val="231F20"/>
          <w:sz w:val="24"/>
          <w:szCs w:val="24"/>
        </w:rPr>
        <w:t xml:space="preserve"> </w:t>
      </w:r>
      <w:r w:rsidRPr="00812B6F">
        <w:rPr>
          <w:rFonts w:ascii="Times New Roman" w:hAnsi="Times New Roman"/>
          <w:color w:val="231F20"/>
          <w:sz w:val="24"/>
          <w:szCs w:val="24"/>
        </w:rPr>
        <w:t>perforado</w:t>
      </w:r>
      <w:r>
        <w:rPr>
          <w:rFonts w:ascii="Times New Roman" w:hAnsi="Times New Roman"/>
          <w:color w:val="231F20"/>
          <w:sz w:val="24"/>
          <w:szCs w:val="24"/>
        </w:rPr>
        <w:t xml:space="preserve"> </w:t>
      </w:r>
      <w:r w:rsidRPr="00812B6F">
        <w:rPr>
          <w:rFonts w:ascii="Times New Roman" w:hAnsi="Times New Roman"/>
          <w:color w:val="231F20"/>
          <w:sz w:val="24"/>
          <w:szCs w:val="24"/>
        </w:rPr>
        <w:t>por</w:t>
      </w:r>
      <w:r>
        <w:rPr>
          <w:rFonts w:ascii="Times New Roman" w:hAnsi="Times New Roman"/>
          <w:color w:val="231F20"/>
          <w:sz w:val="24"/>
          <w:szCs w:val="24"/>
        </w:rPr>
        <w:t xml:space="preserve"> </w:t>
      </w:r>
      <w:r w:rsidRPr="00812B6F">
        <w:rPr>
          <w:rFonts w:ascii="Times New Roman" w:hAnsi="Times New Roman"/>
          <w:color w:val="231F20"/>
          <w:sz w:val="24"/>
          <w:szCs w:val="24"/>
        </w:rPr>
        <w:t>unas</w:t>
      </w:r>
      <w:r>
        <w:rPr>
          <w:rFonts w:ascii="Times New Roman" w:hAnsi="Times New Roman"/>
          <w:color w:val="231F20"/>
          <w:sz w:val="24"/>
          <w:szCs w:val="24"/>
        </w:rPr>
        <w:t xml:space="preserve"> </w:t>
      </w:r>
      <w:r w:rsidRPr="00812B6F">
        <w:rPr>
          <w:rFonts w:ascii="Times New Roman" w:hAnsi="Times New Roman"/>
          <w:color w:val="231F20"/>
          <w:sz w:val="24"/>
          <w:szCs w:val="24"/>
        </w:rPr>
        <w:t>palmas</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cera</w:t>
      </w:r>
      <w:r>
        <w:rPr>
          <w:rFonts w:ascii="Times New Roman" w:hAnsi="Times New Roman"/>
          <w:color w:val="231F20"/>
          <w:sz w:val="24"/>
          <w:szCs w:val="24"/>
        </w:rPr>
        <w:t xml:space="preserve"> </w:t>
      </w:r>
      <w:r w:rsidRPr="00812B6F">
        <w:rPr>
          <w:rFonts w:ascii="Times New Roman" w:hAnsi="Times New Roman"/>
          <w:color w:val="231F20"/>
          <w:sz w:val="24"/>
          <w:szCs w:val="24"/>
        </w:rPr>
        <w:t>que</w:t>
      </w:r>
      <w:r>
        <w:rPr>
          <w:rFonts w:ascii="Times New Roman" w:hAnsi="Times New Roman"/>
          <w:color w:val="231F20"/>
          <w:sz w:val="24"/>
          <w:szCs w:val="24"/>
        </w:rPr>
        <w:t xml:space="preserve"> </w:t>
      </w:r>
      <w:r w:rsidRPr="00812B6F">
        <w:rPr>
          <w:rFonts w:ascii="Times New Roman" w:hAnsi="Times New Roman"/>
          <w:color w:val="231F20"/>
          <w:sz w:val="24"/>
          <w:szCs w:val="24"/>
        </w:rPr>
        <w:t>tocan</w:t>
      </w:r>
      <w:r>
        <w:rPr>
          <w:rFonts w:ascii="Times New Roman" w:hAnsi="Times New Roman"/>
          <w:color w:val="231F20"/>
          <w:sz w:val="24"/>
          <w:szCs w:val="24"/>
        </w:rPr>
        <w:t xml:space="preserve"> </w:t>
      </w:r>
      <w:r w:rsidRPr="00812B6F">
        <w:rPr>
          <w:rFonts w:ascii="Times New Roman" w:hAnsi="Times New Roman"/>
          <w:color w:val="231F20"/>
          <w:sz w:val="24"/>
          <w:szCs w:val="24"/>
        </w:rPr>
        <w:t>el</w:t>
      </w:r>
      <w:r>
        <w:rPr>
          <w:rFonts w:ascii="Times New Roman" w:hAnsi="Times New Roman"/>
          <w:color w:val="231F20"/>
          <w:sz w:val="24"/>
          <w:szCs w:val="24"/>
        </w:rPr>
        <w:t xml:space="preserve"> </w:t>
      </w:r>
      <w:r w:rsidRPr="00812B6F">
        <w:rPr>
          <w:rFonts w:ascii="Times New Roman" w:hAnsi="Times New Roman"/>
          <w:color w:val="231F20"/>
          <w:sz w:val="24"/>
          <w:szCs w:val="24"/>
        </w:rPr>
        <w:t>cielo</w:t>
      </w:r>
      <w:r>
        <w:rPr>
          <w:rFonts w:ascii="Times New Roman" w:hAnsi="Times New Roman"/>
          <w:color w:val="231F20"/>
          <w:sz w:val="24"/>
          <w:szCs w:val="24"/>
        </w:rPr>
        <w:t xml:space="preserve"> </w:t>
      </w:r>
      <w:r w:rsidRPr="00812B6F">
        <w:rPr>
          <w:rFonts w:ascii="Times New Roman" w:hAnsi="Times New Roman"/>
          <w:color w:val="231F20"/>
          <w:sz w:val="24"/>
          <w:szCs w:val="24"/>
        </w:rPr>
        <w:t>y</w:t>
      </w:r>
      <w:r>
        <w:rPr>
          <w:rFonts w:ascii="Times New Roman" w:hAnsi="Times New Roman"/>
          <w:color w:val="231F20"/>
          <w:sz w:val="24"/>
          <w:szCs w:val="24"/>
        </w:rPr>
        <w:t xml:space="preserve"> </w:t>
      </w:r>
      <w:r w:rsidRPr="00812B6F">
        <w:rPr>
          <w:rFonts w:ascii="Times New Roman" w:hAnsi="Times New Roman"/>
          <w:color w:val="231F20"/>
          <w:sz w:val="24"/>
          <w:szCs w:val="24"/>
        </w:rPr>
        <w:t>señalan</w:t>
      </w:r>
      <w:r>
        <w:rPr>
          <w:rFonts w:ascii="Times New Roman" w:hAnsi="Times New Roman"/>
          <w:color w:val="231F20"/>
          <w:sz w:val="24"/>
          <w:szCs w:val="24"/>
        </w:rPr>
        <w:t xml:space="preserve"> </w:t>
      </w:r>
      <w:r w:rsidRPr="00812B6F">
        <w:rPr>
          <w:rFonts w:ascii="Times New Roman" w:hAnsi="Times New Roman"/>
          <w:color w:val="231F20"/>
          <w:sz w:val="24"/>
          <w:szCs w:val="24"/>
        </w:rPr>
        <w:t>el</w:t>
      </w:r>
      <w:r>
        <w:rPr>
          <w:rFonts w:ascii="Times New Roman" w:hAnsi="Times New Roman"/>
          <w:color w:val="231F20"/>
          <w:sz w:val="24"/>
          <w:szCs w:val="24"/>
        </w:rPr>
        <w:t xml:space="preserve"> </w:t>
      </w:r>
      <w:r w:rsidRPr="00812B6F">
        <w:rPr>
          <w:rFonts w:ascii="Times New Roman" w:hAnsi="Times New Roman"/>
          <w:color w:val="231F20"/>
          <w:sz w:val="24"/>
          <w:szCs w:val="24"/>
        </w:rPr>
        <w:t>camino</w:t>
      </w:r>
      <w:r>
        <w:rPr>
          <w:rFonts w:ascii="Times New Roman" w:hAnsi="Times New Roman"/>
          <w:color w:val="231F20"/>
          <w:sz w:val="24"/>
          <w:szCs w:val="24"/>
        </w:rPr>
        <w:t xml:space="preserve"> </w:t>
      </w:r>
      <w:r w:rsidRPr="00812B6F">
        <w:rPr>
          <w:rFonts w:ascii="Times New Roman" w:hAnsi="Times New Roman"/>
          <w:color w:val="231F20"/>
          <w:sz w:val="24"/>
          <w:szCs w:val="24"/>
        </w:rPr>
        <w:t>al</w:t>
      </w:r>
      <w:r>
        <w:rPr>
          <w:rFonts w:ascii="Times New Roman" w:hAnsi="Times New Roman"/>
          <w:color w:val="231F20"/>
          <w:sz w:val="24"/>
          <w:szCs w:val="24"/>
        </w:rPr>
        <w:t xml:space="preserve"> </w:t>
      </w:r>
      <w:r w:rsidRPr="00812B6F">
        <w:rPr>
          <w:rFonts w:ascii="Times New Roman" w:hAnsi="Times New Roman"/>
          <w:color w:val="231F20"/>
          <w:sz w:val="24"/>
          <w:szCs w:val="24"/>
        </w:rPr>
        <w:t>Parque</w:t>
      </w:r>
      <w:r>
        <w:rPr>
          <w:rFonts w:ascii="Times New Roman" w:hAnsi="Times New Roman"/>
          <w:color w:val="231F20"/>
          <w:sz w:val="24"/>
          <w:szCs w:val="24"/>
        </w:rPr>
        <w:t xml:space="preserve"> </w:t>
      </w:r>
      <w:r w:rsidRPr="00812B6F">
        <w:rPr>
          <w:rFonts w:ascii="Times New Roman" w:hAnsi="Times New Roman"/>
          <w:color w:val="231F20"/>
          <w:sz w:val="24"/>
          <w:szCs w:val="24"/>
        </w:rPr>
        <w:t>Nacional</w:t>
      </w:r>
      <w:r>
        <w:rPr>
          <w:rFonts w:ascii="Times New Roman" w:hAnsi="Times New Roman"/>
          <w:color w:val="231F20"/>
          <w:sz w:val="24"/>
          <w:szCs w:val="24"/>
        </w:rPr>
        <w:t xml:space="preserve"> </w:t>
      </w:r>
      <w:r w:rsidRPr="00812B6F">
        <w:rPr>
          <w:rFonts w:ascii="Times New Roman" w:hAnsi="Times New Roman"/>
          <w:color w:val="231F20"/>
          <w:sz w:val="24"/>
          <w:szCs w:val="24"/>
        </w:rPr>
        <w:t>Natural</w:t>
      </w:r>
      <w:r>
        <w:rPr>
          <w:rFonts w:ascii="Times New Roman" w:hAnsi="Times New Roman"/>
          <w:color w:val="231F20"/>
          <w:sz w:val="24"/>
          <w:szCs w:val="24"/>
        </w:rPr>
        <w:t xml:space="preserve"> </w:t>
      </w:r>
      <w:r w:rsidRPr="00812B6F">
        <w:rPr>
          <w:rFonts w:ascii="Times New Roman" w:hAnsi="Times New Roman"/>
          <w:color w:val="231F20"/>
          <w:sz w:val="24"/>
          <w:szCs w:val="24"/>
        </w:rPr>
        <w:t>Los</w:t>
      </w:r>
      <w:r>
        <w:rPr>
          <w:rFonts w:ascii="Times New Roman" w:hAnsi="Times New Roman"/>
          <w:color w:val="231F20"/>
          <w:sz w:val="24"/>
          <w:szCs w:val="24"/>
        </w:rPr>
        <w:t xml:space="preserve"> </w:t>
      </w:r>
      <w:r w:rsidRPr="00812B6F">
        <w:rPr>
          <w:rFonts w:ascii="Times New Roman" w:hAnsi="Times New Roman"/>
          <w:color w:val="231F20"/>
          <w:sz w:val="24"/>
          <w:szCs w:val="24"/>
        </w:rPr>
        <w:t>Nevados.</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B2A2C">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t>Quindío es una región con agradables casas que recuerdan</w:t>
      </w:r>
      <w:r w:rsidR="001B2A2C">
        <w:rPr>
          <w:rFonts w:ascii="Times New Roman" w:hAnsi="Times New Roman"/>
          <w:color w:val="231F20"/>
          <w:sz w:val="24"/>
          <w:szCs w:val="24"/>
        </w:rPr>
        <w:t xml:space="preserve"> </w:t>
      </w:r>
      <w:r w:rsidRPr="00812B6F">
        <w:rPr>
          <w:rFonts w:ascii="Times New Roman" w:hAnsi="Times New Roman"/>
          <w:color w:val="231F20"/>
          <w:sz w:val="24"/>
          <w:szCs w:val="24"/>
        </w:rPr>
        <w:t>la colonización antioqueña y el aroma viajero</w:t>
      </w:r>
      <w:r w:rsidR="001B2A2C">
        <w:rPr>
          <w:rFonts w:ascii="Times New Roman" w:hAnsi="Times New Roman"/>
          <w:color w:val="231F20"/>
          <w:sz w:val="24"/>
          <w:szCs w:val="24"/>
        </w:rPr>
        <w:t xml:space="preserve"> </w:t>
      </w:r>
      <w:r w:rsidRPr="00812B6F">
        <w:rPr>
          <w:rFonts w:ascii="Times New Roman" w:hAnsi="Times New Roman"/>
          <w:color w:val="231F20"/>
          <w:sz w:val="24"/>
          <w:szCs w:val="24"/>
        </w:rPr>
        <w:t xml:space="preserve">de una taza de café. Es la diversión manifiesta en </w:t>
      </w:r>
      <w:proofErr w:type="spellStart"/>
      <w:r w:rsidRPr="00812B6F">
        <w:rPr>
          <w:rFonts w:ascii="Times New Roman" w:hAnsi="Times New Roman"/>
          <w:color w:val="231F20"/>
          <w:sz w:val="24"/>
          <w:szCs w:val="24"/>
        </w:rPr>
        <w:t>Panaca</w:t>
      </w:r>
      <w:proofErr w:type="spellEnd"/>
      <w:r w:rsidRPr="00812B6F">
        <w:rPr>
          <w:rFonts w:ascii="Times New Roman" w:hAnsi="Times New Roman"/>
          <w:color w:val="231F20"/>
          <w:sz w:val="24"/>
          <w:szCs w:val="24"/>
        </w:rPr>
        <w:t xml:space="preserve"> y el Parque Nacional del Café; el paisaje y la fertilidad de Génova, Buenavista y Pijao. Es la libertad de</w:t>
      </w:r>
      <w:r w:rsidR="001B2A2C">
        <w:rPr>
          <w:rFonts w:ascii="Times New Roman" w:hAnsi="Times New Roman"/>
          <w:color w:val="231F20"/>
          <w:sz w:val="24"/>
          <w:szCs w:val="24"/>
        </w:rPr>
        <w:t xml:space="preserve"> </w:t>
      </w:r>
      <w:r w:rsidRPr="00812B6F">
        <w:rPr>
          <w:rFonts w:ascii="Times New Roman" w:hAnsi="Times New Roman"/>
          <w:color w:val="231F20"/>
          <w:sz w:val="24"/>
          <w:szCs w:val="24"/>
        </w:rPr>
        <w:t>Circasia y el esplendor colonial de Salento y Filandia;</w:t>
      </w:r>
      <w:r>
        <w:rPr>
          <w:rFonts w:ascii="Times New Roman" w:hAnsi="Times New Roman"/>
          <w:color w:val="231F20"/>
          <w:sz w:val="24"/>
          <w:szCs w:val="24"/>
        </w:rPr>
        <w:t xml:space="preserve"> </w:t>
      </w:r>
      <w:r w:rsidRPr="00812B6F">
        <w:rPr>
          <w:rFonts w:ascii="Times New Roman" w:hAnsi="Times New Roman"/>
          <w:color w:val="231F20"/>
          <w:sz w:val="24"/>
          <w:szCs w:val="24"/>
        </w:rPr>
        <w:t>y lo cálido de La Tebaida, Quimbaya y Montenegro. Y</w:t>
      </w:r>
      <w:r w:rsidR="001B2A2C">
        <w:rPr>
          <w:rFonts w:ascii="Times New Roman" w:hAnsi="Times New Roman"/>
          <w:color w:val="231F20"/>
          <w:sz w:val="24"/>
          <w:szCs w:val="24"/>
        </w:rPr>
        <w:t xml:space="preserve"> </w:t>
      </w:r>
      <w:r w:rsidRPr="00812B6F">
        <w:rPr>
          <w:rFonts w:ascii="Times New Roman" w:hAnsi="Times New Roman"/>
          <w:color w:val="231F20"/>
          <w:sz w:val="24"/>
          <w:szCs w:val="24"/>
        </w:rPr>
        <w:t>claro, Quindío es la cordialidad y el emprendimiento evidente</w:t>
      </w:r>
      <w:r>
        <w:rPr>
          <w:rFonts w:ascii="Times New Roman" w:hAnsi="Times New Roman"/>
          <w:color w:val="231F20"/>
          <w:sz w:val="24"/>
          <w:szCs w:val="24"/>
        </w:rPr>
        <w:t xml:space="preserve"> </w:t>
      </w:r>
      <w:r w:rsidRPr="00812B6F">
        <w:rPr>
          <w:rFonts w:ascii="Times New Roman" w:hAnsi="Times New Roman"/>
          <w:color w:val="231F20"/>
          <w:sz w:val="24"/>
          <w:szCs w:val="24"/>
        </w:rPr>
        <w:t>de Armenia.</w:t>
      </w:r>
      <w:r w:rsidR="001B2A2C">
        <w:rPr>
          <w:rFonts w:ascii="Times New Roman" w:hAnsi="Times New Roman"/>
          <w:color w:val="231F20"/>
          <w:sz w:val="24"/>
          <w:szCs w:val="24"/>
        </w:rPr>
        <w:t xml:space="preserve"> </w:t>
      </w:r>
      <w:r w:rsidRPr="00812B6F">
        <w:rPr>
          <w:rFonts w:ascii="Times New Roman" w:hAnsi="Times New Roman"/>
          <w:color w:val="231F20"/>
          <w:sz w:val="24"/>
          <w:szCs w:val="24"/>
        </w:rPr>
        <w:t>Allí fluyen en abundancia las razones, igual que fluyen los ríos La Vieja, Quindío y Barragán, las mariposas esquivas de Calarcá o la original creación en guadua de Córdoba.</w:t>
      </w:r>
      <w:r>
        <w:rPr>
          <w:rFonts w:ascii="Times New Roman" w:hAnsi="Times New Roman"/>
          <w:color w:val="231F20"/>
          <w:sz w:val="24"/>
          <w:szCs w:val="24"/>
        </w:rPr>
        <w:t xml:space="preserve"> </w:t>
      </w:r>
    </w:p>
    <w:p w:rsidR="001E71CF" w:rsidRDefault="001E71CF" w:rsidP="001E71CF">
      <w:pPr>
        <w:pStyle w:val="Sinespaciado"/>
        <w:spacing w:line="360" w:lineRule="auto"/>
        <w:rPr>
          <w:rFonts w:ascii="Times New Roman" w:hAnsi="Times New Roman"/>
          <w:color w:val="231F20"/>
          <w:sz w:val="24"/>
          <w:szCs w:val="24"/>
        </w:rPr>
      </w:pPr>
    </w:p>
    <w:p w:rsidR="006239DC" w:rsidRDefault="006239DC" w:rsidP="001E71CF">
      <w:pPr>
        <w:pStyle w:val="Sinespaciado"/>
        <w:spacing w:line="360" w:lineRule="auto"/>
        <w:rPr>
          <w:rFonts w:ascii="Times New Roman" w:hAnsi="Times New Roman"/>
          <w:color w:val="231F20"/>
          <w:sz w:val="24"/>
          <w:szCs w:val="24"/>
        </w:rPr>
      </w:pPr>
    </w:p>
    <w:p w:rsidR="006239DC" w:rsidRDefault="006239DC" w:rsidP="001E71CF">
      <w:pPr>
        <w:pStyle w:val="Sinespaciado"/>
        <w:spacing w:line="360" w:lineRule="auto"/>
        <w:rPr>
          <w:rFonts w:ascii="Times New Roman" w:hAnsi="Times New Roman"/>
          <w:color w:val="231F20"/>
          <w:sz w:val="24"/>
          <w:szCs w:val="24"/>
        </w:rPr>
      </w:pPr>
    </w:p>
    <w:p w:rsidR="006239DC" w:rsidRDefault="006239DC" w:rsidP="001E71CF">
      <w:pPr>
        <w:pStyle w:val="Sinespaciado"/>
        <w:spacing w:line="360" w:lineRule="auto"/>
        <w:rPr>
          <w:rFonts w:ascii="Times New Roman" w:hAnsi="Times New Roman"/>
          <w:color w:val="231F20"/>
          <w:sz w:val="24"/>
          <w:szCs w:val="24"/>
        </w:rPr>
      </w:pPr>
    </w:p>
    <w:p w:rsidR="006239DC" w:rsidRDefault="006239DC" w:rsidP="001E71CF">
      <w:pPr>
        <w:pStyle w:val="Sinespaciado"/>
        <w:spacing w:line="360" w:lineRule="auto"/>
        <w:rPr>
          <w:rFonts w:ascii="Times New Roman" w:hAnsi="Times New Roman"/>
          <w:color w:val="231F20"/>
          <w:sz w:val="24"/>
          <w:szCs w:val="24"/>
        </w:rPr>
      </w:pPr>
    </w:p>
    <w:p w:rsidR="006239DC" w:rsidRDefault="006239DC" w:rsidP="001E71CF">
      <w:pPr>
        <w:pStyle w:val="Sinespaciado"/>
        <w:spacing w:line="360" w:lineRule="auto"/>
        <w:rPr>
          <w:rFonts w:ascii="Times New Roman" w:hAnsi="Times New Roman"/>
          <w:color w:val="231F20"/>
          <w:sz w:val="24"/>
          <w:szCs w:val="24"/>
        </w:rPr>
      </w:pPr>
    </w:p>
    <w:p w:rsidR="006239DC" w:rsidRDefault="006239DC" w:rsidP="001E71CF">
      <w:pPr>
        <w:pStyle w:val="Sinespaciado"/>
        <w:spacing w:line="360" w:lineRule="auto"/>
        <w:rPr>
          <w:rFonts w:ascii="Times New Roman" w:hAnsi="Times New Roman"/>
          <w:color w:val="231F20"/>
          <w:sz w:val="24"/>
          <w:szCs w:val="24"/>
        </w:rPr>
      </w:pPr>
    </w:p>
    <w:tbl>
      <w:tblPr>
        <w:tblW w:w="6592" w:type="dxa"/>
        <w:tblCellMar>
          <w:left w:w="70" w:type="dxa"/>
          <w:right w:w="70" w:type="dxa"/>
        </w:tblCellMar>
        <w:tblLook w:val="04A0" w:firstRow="1" w:lastRow="0" w:firstColumn="1" w:lastColumn="0" w:noHBand="0" w:noVBand="1"/>
      </w:tblPr>
      <w:tblGrid>
        <w:gridCol w:w="2055"/>
        <w:gridCol w:w="2410"/>
        <w:gridCol w:w="426"/>
        <w:gridCol w:w="1701"/>
      </w:tblGrid>
      <w:tr w:rsidR="001E71CF" w:rsidRPr="00812B6F" w:rsidTr="00575447">
        <w:trPr>
          <w:trHeight w:val="315"/>
        </w:trPr>
        <w:tc>
          <w:tcPr>
            <w:tcW w:w="6592" w:type="dxa"/>
            <w:gridSpan w:val="4"/>
            <w:tcBorders>
              <w:top w:val="nil"/>
              <w:left w:val="nil"/>
              <w:bottom w:val="single" w:sz="4" w:space="0" w:color="auto"/>
              <w:right w:val="nil"/>
            </w:tcBorders>
            <w:shd w:val="clear" w:color="auto" w:fill="auto"/>
            <w:noWrap/>
            <w:vAlign w:val="bottom"/>
            <w:hideMark/>
          </w:tcPr>
          <w:p w:rsidR="001E71CF" w:rsidRPr="00BF4093" w:rsidRDefault="001E71CF" w:rsidP="00575447">
            <w:pPr>
              <w:pStyle w:val="Sinespaciado"/>
              <w:rPr>
                <w:rFonts w:ascii="Times New Roman" w:hAnsi="Times New Roman"/>
                <w:sz w:val="24"/>
                <w:szCs w:val="24"/>
              </w:rPr>
            </w:pPr>
            <w:r>
              <w:rPr>
                <w:rFonts w:ascii="Times New Roman" w:hAnsi="Times New Roman"/>
                <w:sz w:val="24"/>
                <w:szCs w:val="24"/>
              </w:rPr>
              <w:lastRenderedPageBreak/>
              <w:t>Tabla</w:t>
            </w:r>
            <w:r w:rsidRPr="00BF4093">
              <w:rPr>
                <w:rFonts w:ascii="Times New Roman" w:hAnsi="Times New Roman"/>
                <w:sz w:val="24"/>
                <w:szCs w:val="24"/>
              </w:rPr>
              <w:t xml:space="preserve"> 12.2</w:t>
            </w:r>
          </w:p>
          <w:p w:rsidR="003125A6" w:rsidRDefault="001E71CF" w:rsidP="00575447">
            <w:pPr>
              <w:pStyle w:val="Sinespaciado"/>
              <w:rPr>
                <w:rFonts w:ascii="Times New Roman" w:hAnsi="Times New Roman"/>
                <w:sz w:val="24"/>
                <w:szCs w:val="24"/>
              </w:rPr>
            </w:pPr>
            <w:r w:rsidRPr="00BF4093">
              <w:rPr>
                <w:rFonts w:ascii="Times New Roman" w:hAnsi="Times New Roman"/>
                <w:sz w:val="24"/>
                <w:szCs w:val="24"/>
              </w:rPr>
              <w:t xml:space="preserve">Procedencia  nacional temporada  </w:t>
            </w:r>
          </w:p>
          <w:p w:rsidR="001E71CF" w:rsidRDefault="003125A6" w:rsidP="003125A6">
            <w:pPr>
              <w:pStyle w:val="Sinespaciado"/>
              <w:rPr>
                <w:rFonts w:ascii="Times New Roman" w:hAnsi="Times New Roman"/>
                <w:bCs/>
                <w:color w:val="231F20"/>
                <w:sz w:val="24"/>
                <w:szCs w:val="24"/>
              </w:rPr>
            </w:pPr>
            <w:r w:rsidRPr="00812B6F">
              <w:rPr>
                <w:rFonts w:ascii="Times New Roman" w:hAnsi="Times New Roman"/>
                <w:bCs/>
                <w:color w:val="231F20"/>
                <w:sz w:val="24"/>
                <w:szCs w:val="24"/>
              </w:rPr>
              <w:t xml:space="preserve">Diciembre </w:t>
            </w:r>
            <w:r>
              <w:rPr>
                <w:rFonts w:ascii="Times New Roman" w:hAnsi="Times New Roman"/>
                <w:bCs/>
                <w:color w:val="231F20"/>
                <w:sz w:val="24"/>
                <w:szCs w:val="24"/>
              </w:rPr>
              <w:t>–</w:t>
            </w:r>
            <w:r w:rsidRPr="00812B6F">
              <w:rPr>
                <w:rFonts w:ascii="Times New Roman" w:hAnsi="Times New Roman"/>
                <w:bCs/>
                <w:color w:val="231F20"/>
                <w:sz w:val="24"/>
                <w:szCs w:val="24"/>
              </w:rPr>
              <w:t xml:space="preserve"> enero</w:t>
            </w:r>
            <w:r>
              <w:rPr>
                <w:rFonts w:ascii="Times New Roman" w:hAnsi="Times New Roman"/>
                <w:bCs/>
                <w:color w:val="231F20"/>
                <w:sz w:val="24"/>
                <w:szCs w:val="24"/>
              </w:rPr>
              <w:t xml:space="preserve"> (2012-2013)</w:t>
            </w:r>
          </w:p>
          <w:p w:rsidR="003125A6" w:rsidRPr="00BF4093" w:rsidRDefault="003125A6" w:rsidP="003125A6">
            <w:pPr>
              <w:pStyle w:val="Sinespaciado"/>
              <w:rPr>
                <w:rFonts w:ascii="Times New Roman" w:hAnsi="Times New Roman"/>
                <w:sz w:val="24"/>
                <w:szCs w:val="24"/>
                <w:lang w:val="es-MX" w:eastAsia="es-MX"/>
              </w:rPr>
            </w:pPr>
          </w:p>
        </w:tc>
      </w:tr>
      <w:tr w:rsidR="001E71CF" w:rsidRPr="00812B6F" w:rsidTr="001B2A2C">
        <w:trPr>
          <w:trHeight w:val="495"/>
        </w:trPr>
        <w:tc>
          <w:tcPr>
            <w:tcW w:w="2055" w:type="dxa"/>
            <w:tcBorders>
              <w:top w:val="single" w:sz="4" w:space="0" w:color="auto"/>
              <w:bottom w:val="single" w:sz="4" w:space="0" w:color="auto"/>
            </w:tcBorders>
            <w:shd w:val="clear" w:color="auto" w:fill="auto"/>
            <w:noWrap/>
            <w:vAlign w:val="center"/>
            <w:hideMark/>
          </w:tcPr>
          <w:p w:rsidR="001E71CF" w:rsidRPr="003125A6" w:rsidRDefault="001E71CF" w:rsidP="001B2A2C">
            <w:pPr>
              <w:pStyle w:val="Sinespaciado"/>
              <w:jc w:val="center"/>
              <w:rPr>
                <w:rFonts w:ascii="Times New Roman" w:eastAsia="Times New Roman" w:hAnsi="Times New Roman"/>
                <w:b/>
                <w:color w:val="000000"/>
                <w:sz w:val="20"/>
                <w:szCs w:val="20"/>
                <w:lang w:val="es-MX" w:eastAsia="es-MX"/>
              </w:rPr>
            </w:pPr>
            <w:r w:rsidRPr="003125A6">
              <w:rPr>
                <w:rFonts w:ascii="Times New Roman" w:eastAsia="Times New Roman" w:hAnsi="Times New Roman"/>
                <w:b/>
                <w:color w:val="000000"/>
                <w:sz w:val="20"/>
                <w:szCs w:val="20"/>
                <w:lang w:val="es-MX" w:eastAsia="es-MX"/>
              </w:rPr>
              <w:t>DEPARTAMENTO</w:t>
            </w:r>
          </w:p>
        </w:tc>
        <w:tc>
          <w:tcPr>
            <w:tcW w:w="2410" w:type="dxa"/>
            <w:tcBorders>
              <w:top w:val="single" w:sz="4" w:space="0" w:color="auto"/>
              <w:bottom w:val="single" w:sz="4" w:space="0" w:color="auto"/>
            </w:tcBorders>
            <w:shd w:val="clear" w:color="auto" w:fill="auto"/>
            <w:noWrap/>
            <w:vAlign w:val="center"/>
            <w:hideMark/>
          </w:tcPr>
          <w:p w:rsidR="001E71CF" w:rsidRPr="003125A6" w:rsidRDefault="001E71CF" w:rsidP="001B2A2C">
            <w:pPr>
              <w:pStyle w:val="Sinespaciado"/>
              <w:jc w:val="center"/>
              <w:rPr>
                <w:rFonts w:ascii="Times New Roman" w:eastAsia="Times New Roman" w:hAnsi="Times New Roman"/>
                <w:b/>
                <w:color w:val="000000"/>
                <w:sz w:val="20"/>
                <w:szCs w:val="20"/>
                <w:lang w:val="es-MX" w:eastAsia="es-MX"/>
              </w:rPr>
            </w:pPr>
            <w:r w:rsidRPr="003125A6">
              <w:rPr>
                <w:rFonts w:ascii="Times New Roman" w:eastAsia="Times New Roman" w:hAnsi="Times New Roman"/>
                <w:b/>
                <w:color w:val="000000"/>
                <w:sz w:val="20"/>
                <w:szCs w:val="20"/>
                <w:lang w:val="es-MX" w:eastAsia="es-MX"/>
              </w:rPr>
              <w:t>DIC 2011- ENE 2012</w:t>
            </w:r>
          </w:p>
        </w:tc>
        <w:tc>
          <w:tcPr>
            <w:tcW w:w="2127" w:type="dxa"/>
            <w:gridSpan w:val="2"/>
            <w:tcBorders>
              <w:top w:val="single" w:sz="4" w:space="0" w:color="auto"/>
              <w:bottom w:val="single" w:sz="4" w:space="0" w:color="auto"/>
            </w:tcBorders>
            <w:shd w:val="clear" w:color="auto" w:fill="auto"/>
            <w:noWrap/>
            <w:vAlign w:val="center"/>
            <w:hideMark/>
          </w:tcPr>
          <w:p w:rsidR="001E71CF" w:rsidRPr="003125A6" w:rsidRDefault="001E71CF" w:rsidP="001B2A2C">
            <w:pPr>
              <w:pStyle w:val="Sinespaciado"/>
              <w:jc w:val="center"/>
              <w:rPr>
                <w:rFonts w:ascii="Times New Roman" w:eastAsia="Times New Roman" w:hAnsi="Times New Roman"/>
                <w:b/>
                <w:color w:val="000000"/>
                <w:sz w:val="20"/>
                <w:szCs w:val="20"/>
                <w:lang w:val="es-MX" w:eastAsia="es-MX"/>
              </w:rPr>
            </w:pPr>
            <w:r w:rsidRPr="003125A6">
              <w:rPr>
                <w:rFonts w:ascii="Times New Roman" w:eastAsia="Times New Roman" w:hAnsi="Times New Roman"/>
                <w:b/>
                <w:color w:val="000000"/>
                <w:sz w:val="20"/>
                <w:szCs w:val="20"/>
                <w:lang w:val="es-MX" w:eastAsia="es-MX"/>
              </w:rPr>
              <w:t>DIC 2012- ENE 2013</w:t>
            </w:r>
          </w:p>
        </w:tc>
      </w:tr>
      <w:tr w:rsidR="001E71CF" w:rsidRPr="00BF4093" w:rsidTr="00575447">
        <w:trPr>
          <w:trHeight w:val="300"/>
        </w:trPr>
        <w:tc>
          <w:tcPr>
            <w:tcW w:w="2055" w:type="dxa"/>
            <w:tcBorders>
              <w:top w:val="single" w:sz="4" w:space="0" w:color="auto"/>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Cundinamarca</w:t>
            </w:r>
          </w:p>
        </w:tc>
        <w:tc>
          <w:tcPr>
            <w:tcW w:w="2836" w:type="dxa"/>
            <w:gridSpan w:val="2"/>
            <w:tcBorders>
              <w:top w:val="single" w:sz="4" w:space="0" w:color="auto"/>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25.20%</w:t>
            </w:r>
          </w:p>
        </w:tc>
        <w:tc>
          <w:tcPr>
            <w:tcW w:w="1701" w:type="dxa"/>
            <w:tcBorders>
              <w:top w:val="single" w:sz="4" w:space="0" w:color="auto"/>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33.04%</w:t>
            </w:r>
          </w:p>
        </w:tc>
      </w:tr>
      <w:tr w:rsidR="001E71CF" w:rsidRPr="00BF4093" w:rsidTr="00575447">
        <w:trPr>
          <w:trHeight w:val="300"/>
        </w:trPr>
        <w:tc>
          <w:tcPr>
            <w:tcW w:w="2055" w:type="dxa"/>
            <w:tcBorders>
              <w:top w:val="nil"/>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Antioquia</w:t>
            </w:r>
          </w:p>
        </w:tc>
        <w:tc>
          <w:tcPr>
            <w:tcW w:w="2836" w:type="dxa"/>
            <w:gridSpan w:val="2"/>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12.90%</w:t>
            </w:r>
          </w:p>
        </w:tc>
        <w:tc>
          <w:tcPr>
            <w:tcW w:w="1701" w:type="dxa"/>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14.80%</w:t>
            </w:r>
          </w:p>
        </w:tc>
      </w:tr>
      <w:tr w:rsidR="001E71CF" w:rsidRPr="00BF4093" w:rsidTr="00575447">
        <w:trPr>
          <w:trHeight w:val="300"/>
        </w:trPr>
        <w:tc>
          <w:tcPr>
            <w:tcW w:w="2055" w:type="dxa"/>
            <w:tcBorders>
              <w:top w:val="nil"/>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Valle  Del  Cauca</w:t>
            </w:r>
          </w:p>
        </w:tc>
        <w:tc>
          <w:tcPr>
            <w:tcW w:w="2836" w:type="dxa"/>
            <w:gridSpan w:val="2"/>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18.90%</w:t>
            </w:r>
          </w:p>
        </w:tc>
        <w:tc>
          <w:tcPr>
            <w:tcW w:w="1701" w:type="dxa"/>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17.31%</w:t>
            </w:r>
          </w:p>
        </w:tc>
      </w:tr>
      <w:tr w:rsidR="001E71CF" w:rsidRPr="00BF4093" w:rsidTr="00575447">
        <w:trPr>
          <w:trHeight w:val="300"/>
        </w:trPr>
        <w:tc>
          <w:tcPr>
            <w:tcW w:w="2055" w:type="dxa"/>
            <w:tcBorders>
              <w:top w:val="nil"/>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Risaralda</w:t>
            </w:r>
          </w:p>
        </w:tc>
        <w:tc>
          <w:tcPr>
            <w:tcW w:w="2836" w:type="dxa"/>
            <w:gridSpan w:val="2"/>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8.10%</w:t>
            </w:r>
          </w:p>
        </w:tc>
        <w:tc>
          <w:tcPr>
            <w:tcW w:w="1701" w:type="dxa"/>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6.50%</w:t>
            </w:r>
          </w:p>
        </w:tc>
      </w:tr>
      <w:tr w:rsidR="001E71CF" w:rsidRPr="00BF4093" w:rsidTr="00575447">
        <w:trPr>
          <w:trHeight w:val="300"/>
        </w:trPr>
        <w:tc>
          <w:tcPr>
            <w:tcW w:w="2055" w:type="dxa"/>
            <w:tcBorders>
              <w:top w:val="nil"/>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proofErr w:type="spellStart"/>
            <w:r w:rsidRPr="003125A6">
              <w:rPr>
                <w:rFonts w:ascii="Times New Roman" w:eastAsia="Times New Roman" w:hAnsi="Times New Roman"/>
                <w:color w:val="000000"/>
                <w:sz w:val="20"/>
                <w:szCs w:val="20"/>
                <w:lang w:val="es-MX" w:eastAsia="es-MX"/>
              </w:rPr>
              <w:t>Santanderes</w:t>
            </w:r>
            <w:proofErr w:type="spellEnd"/>
          </w:p>
        </w:tc>
        <w:tc>
          <w:tcPr>
            <w:tcW w:w="2836" w:type="dxa"/>
            <w:gridSpan w:val="2"/>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3.95%</w:t>
            </w:r>
          </w:p>
        </w:tc>
        <w:tc>
          <w:tcPr>
            <w:tcW w:w="1701" w:type="dxa"/>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4.95%</w:t>
            </w:r>
          </w:p>
        </w:tc>
      </w:tr>
      <w:tr w:rsidR="001E71CF" w:rsidRPr="00BF4093" w:rsidTr="00575447">
        <w:trPr>
          <w:trHeight w:val="300"/>
        </w:trPr>
        <w:tc>
          <w:tcPr>
            <w:tcW w:w="2055" w:type="dxa"/>
            <w:tcBorders>
              <w:top w:val="nil"/>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caldas</w:t>
            </w:r>
          </w:p>
        </w:tc>
        <w:tc>
          <w:tcPr>
            <w:tcW w:w="2836" w:type="dxa"/>
            <w:gridSpan w:val="2"/>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7.10%</w:t>
            </w:r>
          </w:p>
        </w:tc>
        <w:tc>
          <w:tcPr>
            <w:tcW w:w="1701" w:type="dxa"/>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6.50%</w:t>
            </w:r>
          </w:p>
        </w:tc>
      </w:tr>
      <w:tr w:rsidR="001E71CF" w:rsidRPr="00BF4093" w:rsidTr="00575447">
        <w:trPr>
          <w:trHeight w:val="300"/>
        </w:trPr>
        <w:tc>
          <w:tcPr>
            <w:tcW w:w="2055" w:type="dxa"/>
            <w:tcBorders>
              <w:top w:val="nil"/>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Tolima</w:t>
            </w:r>
          </w:p>
        </w:tc>
        <w:tc>
          <w:tcPr>
            <w:tcW w:w="2836" w:type="dxa"/>
            <w:gridSpan w:val="2"/>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3.40%</w:t>
            </w:r>
          </w:p>
        </w:tc>
        <w:tc>
          <w:tcPr>
            <w:tcW w:w="1701" w:type="dxa"/>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3.40%</w:t>
            </w:r>
          </w:p>
        </w:tc>
      </w:tr>
      <w:tr w:rsidR="001E71CF" w:rsidRPr="00BF4093" w:rsidTr="00575447">
        <w:trPr>
          <w:trHeight w:val="300"/>
        </w:trPr>
        <w:tc>
          <w:tcPr>
            <w:tcW w:w="2055" w:type="dxa"/>
            <w:tcBorders>
              <w:top w:val="nil"/>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Boyacá</w:t>
            </w:r>
          </w:p>
        </w:tc>
        <w:tc>
          <w:tcPr>
            <w:tcW w:w="2836" w:type="dxa"/>
            <w:gridSpan w:val="2"/>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2.60%</w:t>
            </w:r>
          </w:p>
        </w:tc>
        <w:tc>
          <w:tcPr>
            <w:tcW w:w="1701" w:type="dxa"/>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2.00%</w:t>
            </w:r>
          </w:p>
        </w:tc>
      </w:tr>
      <w:tr w:rsidR="001E71CF" w:rsidRPr="00BF4093" w:rsidTr="00575447">
        <w:trPr>
          <w:trHeight w:val="300"/>
        </w:trPr>
        <w:tc>
          <w:tcPr>
            <w:tcW w:w="2055" w:type="dxa"/>
            <w:tcBorders>
              <w:top w:val="nil"/>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Meta</w:t>
            </w:r>
          </w:p>
        </w:tc>
        <w:tc>
          <w:tcPr>
            <w:tcW w:w="2836" w:type="dxa"/>
            <w:gridSpan w:val="2"/>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2.50%</w:t>
            </w:r>
          </w:p>
        </w:tc>
        <w:tc>
          <w:tcPr>
            <w:tcW w:w="1701" w:type="dxa"/>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2.00%</w:t>
            </w:r>
          </w:p>
        </w:tc>
      </w:tr>
      <w:tr w:rsidR="001E71CF" w:rsidRPr="00BF4093" w:rsidTr="00575447">
        <w:trPr>
          <w:trHeight w:val="300"/>
        </w:trPr>
        <w:tc>
          <w:tcPr>
            <w:tcW w:w="2055" w:type="dxa"/>
            <w:tcBorders>
              <w:top w:val="nil"/>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Atlántico</w:t>
            </w:r>
          </w:p>
        </w:tc>
        <w:tc>
          <w:tcPr>
            <w:tcW w:w="2836" w:type="dxa"/>
            <w:gridSpan w:val="2"/>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2.00%</w:t>
            </w:r>
          </w:p>
        </w:tc>
        <w:tc>
          <w:tcPr>
            <w:tcW w:w="1701" w:type="dxa"/>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1.00%</w:t>
            </w:r>
          </w:p>
        </w:tc>
      </w:tr>
      <w:tr w:rsidR="001E71CF" w:rsidRPr="00BF4093" w:rsidTr="00575447">
        <w:trPr>
          <w:trHeight w:val="300"/>
        </w:trPr>
        <w:tc>
          <w:tcPr>
            <w:tcW w:w="2055" w:type="dxa"/>
            <w:tcBorders>
              <w:top w:val="nil"/>
              <w:bottom w:val="nil"/>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Choco</w:t>
            </w:r>
          </w:p>
        </w:tc>
        <w:tc>
          <w:tcPr>
            <w:tcW w:w="2836" w:type="dxa"/>
            <w:gridSpan w:val="2"/>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0.70%</w:t>
            </w:r>
          </w:p>
        </w:tc>
        <w:tc>
          <w:tcPr>
            <w:tcW w:w="1701" w:type="dxa"/>
            <w:tcBorders>
              <w:top w:val="nil"/>
              <w:bottom w:val="nil"/>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0.60%</w:t>
            </w:r>
          </w:p>
        </w:tc>
      </w:tr>
      <w:tr w:rsidR="001E71CF" w:rsidRPr="00BF4093" w:rsidTr="00575447">
        <w:trPr>
          <w:trHeight w:val="300"/>
        </w:trPr>
        <w:tc>
          <w:tcPr>
            <w:tcW w:w="2055" w:type="dxa"/>
            <w:tcBorders>
              <w:top w:val="nil"/>
              <w:bottom w:val="single" w:sz="4" w:space="0" w:color="auto"/>
            </w:tcBorders>
            <w:shd w:val="clear" w:color="auto" w:fill="auto"/>
            <w:noWrap/>
            <w:vAlign w:val="bottom"/>
            <w:hideMark/>
          </w:tcPr>
          <w:p w:rsidR="001E71CF" w:rsidRPr="003125A6" w:rsidRDefault="001E71CF" w:rsidP="001B2A2C">
            <w:pPr>
              <w:pStyle w:val="Sinespaciad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Otros</w:t>
            </w:r>
          </w:p>
        </w:tc>
        <w:tc>
          <w:tcPr>
            <w:tcW w:w="2836" w:type="dxa"/>
            <w:gridSpan w:val="2"/>
            <w:tcBorders>
              <w:top w:val="nil"/>
              <w:bottom w:val="single" w:sz="4" w:space="0" w:color="auto"/>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6.90%</w:t>
            </w:r>
          </w:p>
        </w:tc>
        <w:tc>
          <w:tcPr>
            <w:tcW w:w="1701" w:type="dxa"/>
            <w:tcBorders>
              <w:top w:val="nil"/>
              <w:bottom w:val="single" w:sz="4" w:space="0" w:color="auto"/>
            </w:tcBorders>
            <w:shd w:val="clear" w:color="auto" w:fill="auto"/>
            <w:noWrap/>
            <w:vAlign w:val="bottom"/>
            <w:hideMark/>
          </w:tcPr>
          <w:p w:rsidR="001E71CF" w:rsidRPr="003125A6" w:rsidRDefault="001E71CF" w:rsidP="001B2A2C">
            <w:pPr>
              <w:pStyle w:val="Sinespaciad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7.90%</w:t>
            </w:r>
          </w:p>
        </w:tc>
      </w:tr>
      <w:tr w:rsidR="001E71CF" w:rsidRPr="00BF4093" w:rsidTr="003125A6">
        <w:trPr>
          <w:trHeight w:val="315"/>
        </w:trPr>
        <w:tc>
          <w:tcPr>
            <w:tcW w:w="2055" w:type="dxa"/>
            <w:tcBorders>
              <w:top w:val="single" w:sz="4" w:space="0" w:color="auto"/>
              <w:bottom w:val="single" w:sz="4" w:space="0" w:color="auto"/>
            </w:tcBorders>
            <w:shd w:val="clear" w:color="auto" w:fill="auto"/>
            <w:noWrap/>
            <w:vAlign w:val="center"/>
            <w:hideMark/>
          </w:tcPr>
          <w:p w:rsidR="001E71CF" w:rsidRPr="003125A6" w:rsidRDefault="001E71CF" w:rsidP="003125A6">
            <w:pPr>
              <w:pStyle w:val="Sinespaciado"/>
              <w:jc w:val="left"/>
              <w:rPr>
                <w:rFonts w:ascii="Times New Roman" w:eastAsia="Times New Roman" w:hAnsi="Times New Roman"/>
                <w:b/>
                <w:color w:val="000000"/>
                <w:sz w:val="20"/>
                <w:szCs w:val="20"/>
                <w:lang w:val="es-MX" w:eastAsia="es-MX"/>
              </w:rPr>
            </w:pPr>
            <w:r w:rsidRPr="003125A6">
              <w:rPr>
                <w:rFonts w:ascii="Times New Roman" w:eastAsia="Times New Roman" w:hAnsi="Times New Roman"/>
                <w:b/>
                <w:color w:val="000000"/>
                <w:sz w:val="20"/>
                <w:szCs w:val="20"/>
                <w:lang w:val="es-MX" w:eastAsia="es-MX"/>
              </w:rPr>
              <w:t>Total</w:t>
            </w:r>
          </w:p>
        </w:tc>
        <w:tc>
          <w:tcPr>
            <w:tcW w:w="2836" w:type="dxa"/>
            <w:gridSpan w:val="2"/>
            <w:tcBorders>
              <w:top w:val="single" w:sz="4" w:space="0" w:color="auto"/>
              <w:bottom w:val="single" w:sz="4" w:space="0" w:color="auto"/>
            </w:tcBorders>
            <w:shd w:val="clear" w:color="auto" w:fill="auto"/>
            <w:noWrap/>
            <w:vAlign w:val="center"/>
            <w:hideMark/>
          </w:tcPr>
          <w:p w:rsidR="001E71CF" w:rsidRPr="003125A6" w:rsidRDefault="001E71CF" w:rsidP="003125A6">
            <w:pPr>
              <w:pStyle w:val="Sinespaciado"/>
              <w:jc w:val="center"/>
              <w:rPr>
                <w:rFonts w:ascii="Times New Roman" w:eastAsia="Times New Roman" w:hAnsi="Times New Roman"/>
                <w:b/>
                <w:color w:val="000000"/>
                <w:sz w:val="20"/>
                <w:szCs w:val="20"/>
                <w:lang w:val="es-MX" w:eastAsia="es-MX"/>
              </w:rPr>
            </w:pPr>
            <w:r w:rsidRPr="003125A6">
              <w:rPr>
                <w:rFonts w:ascii="Times New Roman" w:eastAsia="Times New Roman" w:hAnsi="Times New Roman"/>
                <w:b/>
                <w:color w:val="000000"/>
                <w:sz w:val="20"/>
                <w:szCs w:val="20"/>
                <w:lang w:val="es-MX" w:eastAsia="es-MX"/>
              </w:rPr>
              <w:t>94.25%</w:t>
            </w:r>
          </w:p>
        </w:tc>
        <w:tc>
          <w:tcPr>
            <w:tcW w:w="1701" w:type="dxa"/>
            <w:tcBorders>
              <w:top w:val="single" w:sz="4" w:space="0" w:color="auto"/>
              <w:bottom w:val="single" w:sz="4" w:space="0" w:color="auto"/>
            </w:tcBorders>
            <w:shd w:val="clear" w:color="auto" w:fill="auto"/>
            <w:noWrap/>
            <w:vAlign w:val="center"/>
            <w:hideMark/>
          </w:tcPr>
          <w:p w:rsidR="001E71CF" w:rsidRPr="003125A6" w:rsidRDefault="001E71CF" w:rsidP="003125A6">
            <w:pPr>
              <w:pStyle w:val="Sinespaciado"/>
              <w:jc w:val="center"/>
              <w:rPr>
                <w:rFonts w:ascii="Times New Roman" w:eastAsia="Times New Roman" w:hAnsi="Times New Roman"/>
                <w:b/>
                <w:color w:val="000000"/>
                <w:sz w:val="20"/>
                <w:szCs w:val="20"/>
                <w:lang w:val="es-MX" w:eastAsia="es-MX"/>
              </w:rPr>
            </w:pPr>
            <w:r w:rsidRPr="003125A6">
              <w:rPr>
                <w:rFonts w:ascii="Times New Roman" w:eastAsia="Times New Roman" w:hAnsi="Times New Roman"/>
                <w:b/>
                <w:color w:val="000000"/>
                <w:sz w:val="20"/>
                <w:szCs w:val="20"/>
                <w:lang w:val="es-MX" w:eastAsia="es-MX"/>
              </w:rPr>
              <w:t>100.00%</w:t>
            </w:r>
          </w:p>
        </w:tc>
      </w:tr>
    </w:tbl>
    <w:p w:rsidR="001E71CF" w:rsidRPr="001B2A2C" w:rsidRDefault="001B2A2C" w:rsidP="001E71CF">
      <w:pPr>
        <w:pStyle w:val="Sinespaciado"/>
        <w:spacing w:line="360" w:lineRule="auto"/>
        <w:rPr>
          <w:rFonts w:ascii="Times New Roman" w:hAnsi="Times New Roman"/>
          <w:sz w:val="16"/>
          <w:szCs w:val="16"/>
        </w:rPr>
      </w:pPr>
      <w:r w:rsidRPr="001B2A2C">
        <w:rPr>
          <w:rFonts w:ascii="Times New Roman" w:hAnsi="Times New Roman"/>
          <w:sz w:val="16"/>
          <w:szCs w:val="16"/>
        </w:rPr>
        <w:t>Fuente: Guía Turística Quindío 2014</w:t>
      </w:r>
    </w:p>
    <w:p w:rsidR="003125A6" w:rsidRDefault="003125A6" w:rsidP="001E71CF">
      <w:pPr>
        <w:pStyle w:val="Sinespaciado"/>
        <w:rPr>
          <w:rFonts w:ascii="Times New Roman" w:hAnsi="Times New Roman"/>
          <w:color w:val="231F20"/>
          <w:sz w:val="24"/>
          <w:szCs w:val="24"/>
        </w:rPr>
      </w:pPr>
    </w:p>
    <w:p w:rsidR="003125A6" w:rsidRDefault="003125A6" w:rsidP="001E71CF">
      <w:pPr>
        <w:pStyle w:val="Sinespaciado"/>
        <w:rPr>
          <w:rFonts w:ascii="Times New Roman" w:hAnsi="Times New Roman"/>
          <w:color w:val="231F20"/>
          <w:sz w:val="24"/>
          <w:szCs w:val="24"/>
        </w:rPr>
      </w:pPr>
    </w:p>
    <w:p w:rsidR="001E71CF" w:rsidRPr="00812B6F" w:rsidRDefault="001E71CF" w:rsidP="001E71CF">
      <w:pPr>
        <w:pStyle w:val="Sinespaciado"/>
        <w:rPr>
          <w:rFonts w:ascii="Times New Roman" w:hAnsi="Times New Roman"/>
          <w:color w:val="231F20"/>
          <w:sz w:val="24"/>
          <w:szCs w:val="24"/>
        </w:rPr>
      </w:pPr>
      <w:r w:rsidRPr="00812B6F">
        <w:rPr>
          <w:rFonts w:ascii="Times New Roman" w:hAnsi="Times New Roman"/>
          <w:color w:val="231F20"/>
          <w:sz w:val="24"/>
          <w:szCs w:val="24"/>
        </w:rPr>
        <w:t>Grafico 12.2</w:t>
      </w:r>
    </w:p>
    <w:p w:rsidR="003125A6" w:rsidRDefault="001E71CF" w:rsidP="001E71CF">
      <w:pPr>
        <w:pStyle w:val="Sinespaciado"/>
        <w:rPr>
          <w:rFonts w:ascii="Times New Roman" w:hAnsi="Times New Roman"/>
          <w:bCs/>
          <w:color w:val="231F20"/>
          <w:sz w:val="24"/>
          <w:szCs w:val="24"/>
        </w:rPr>
      </w:pPr>
      <w:r w:rsidRPr="00812B6F">
        <w:rPr>
          <w:rFonts w:ascii="Times New Roman" w:hAnsi="Times New Roman"/>
          <w:bCs/>
          <w:color w:val="231F20"/>
          <w:sz w:val="24"/>
          <w:szCs w:val="24"/>
        </w:rPr>
        <w:t>Procedencia</w:t>
      </w:r>
      <w:r>
        <w:rPr>
          <w:rFonts w:ascii="Times New Roman" w:hAnsi="Times New Roman"/>
          <w:bCs/>
          <w:color w:val="231F20"/>
          <w:sz w:val="24"/>
          <w:szCs w:val="24"/>
        </w:rPr>
        <w:t xml:space="preserve"> </w:t>
      </w:r>
      <w:r w:rsidRPr="00812B6F">
        <w:rPr>
          <w:rFonts w:ascii="Times New Roman" w:hAnsi="Times New Roman"/>
          <w:bCs/>
          <w:color w:val="231F20"/>
          <w:sz w:val="24"/>
          <w:szCs w:val="24"/>
        </w:rPr>
        <w:t xml:space="preserve">nacional temporada </w:t>
      </w:r>
    </w:p>
    <w:p w:rsidR="001E71CF" w:rsidRDefault="003125A6" w:rsidP="001E71CF">
      <w:pPr>
        <w:pStyle w:val="Sinespaciado"/>
        <w:rPr>
          <w:rFonts w:ascii="Times New Roman" w:hAnsi="Times New Roman"/>
          <w:bCs/>
          <w:color w:val="231F20"/>
          <w:sz w:val="24"/>
          <w:szCs w:val="24"/>
        </w:rPr>
      </w:pPr>
      <w:r w:rsidRPr="00812B6F">
        <w:rPr>
          <w:rFonts w:ascii="Times New Roman" w:hAnsi="Times New Roman"/>
          <w:bCs/>
          <w:color w:val="231F20"/>
          <w:sz w:val="24"/>
          <w:szCs w:val="24"/>
        </w:rPr>
        <w:t>Diciembre</w:t>
      </w:r>
      <w:r w:rsidR="001E71CF" w:rsidRPr="00812B6F">
        <w:rPr>
          <w:rFonts w:ascii="Times New Roman" w:hAnsi="Times New Roman"/>
          <w:bCs/>
          <w:color w:val="231F20"/>
          <w:sz w:val="24"/>
          <w:szCs w:val="24"/>
        </w:rPr>
        <w:t xml:space="preserve"> </w:t>
      </w:r>
      <w:r w:rsidR="001E71CF">
        <w:rPr>
          <w:rFonts w:ascii="Times New Roman" w:hAnsi="Times New Roman"/>
          <w:bCs/>
          <w:color w:val="231F20"/>
          <w:sz w:val="24"/>
          <w:szCs w:val="24"/>
        </w:rPr>
        <w:t>–</w:t>
      </w:r>
      <w:r w:rsidR="001E71CF" w:rsidRPr="00812B6F">
        <w:rPr>
          <w:rFonts w:ascii="Times New Roman" w:hAnsi="Times New Roman"/>
          <w:bCs/>
          <w:color w:val="231F20"/>
          <w:sz w:val="24"/>
          <w:szCs w:val="24"/>
        </w:rPr>
        <w:t xml:space="preserve"> enero</w:t>
      </w:r>
      <w:r>
        <w:rPr>
          <w:rFonts w:ascii="Times New Roman" w:hAnsi="Times New Roman"/>
          <w:bCs/>
          <w:color w:val="231F20"/>
          <w:sz w:val="24"/>
          <w:szCs w:val="24"/>
        </w:rPr>
        <w:t xml:space="preserve"> (2012-2013)</w:t>
      </w:r>
    </w:p>
    <w:p w:rsidR="001E71CF" w:rsidRPr="00812B6F" w:rsidRDefault="001E71CF" w:rsidP="001E71CF">
      <w:pPr>
        <w:pStyle w:val="Sinespaciado"/>
        <w:rPr>
          <w:rFonts w:ascii="Times New Roman" w:hAnsi="Times New Roman"/>
          <w:color w:val="231F20"/>
          <w:sz w:val="24"/>
          <w:szCs w:val="24"/>
          <w:lang w:val="es-MX"/>
        </w:rPr>
      </w:pPr>
    </w:p>
    <w:p w:rsidR="001E71CF" w:rsidRPr="00812B6F" w:rsidRDefault="001E71CF" w:rsidP="001E71CF">
      <w:pPr>
        <w:pStyle w:val="Sinespaciado"/>
        <w:spacing w:line="360" w:lineRule="auto"/>
        <w:rPr>
          <w:rFonts w:ascii="Times New Roman" w:hAnsi="Times New Roman"/>
          <w:color w:val="231F20"/>
          <w:sz w:val="24"/>
          <w:szCs w:val="24"/>
        </w:rPr>
      </w:pPr>
      <w:r w:rsidRPr="00812B6F">
        <w:rPr>
          <w:rFonts w:ascii="Times New Roman" w:hAnsi="Times New Roman"/>
          <w:noProof/>
          <w:sz w:val="24"/>
          <w:szCs w:val="24"/>
          <w:lang w:val="es-CO" w:eastAsia="es-CO"/>
        </w:rPr>
        <w:drawing>
          <wp:inline distT="0" distB="0" distL="0" distR="0" wp14:anchorId="7CDF5296" wp14:editId="1E702F1E">
            <wp:extent cx="4983480" cy="2162175"/>
            <wp:effectExtent l="19050" t="0" r="26670" b="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E71CF" w:rsidRPr="00BF4093" w:rsidRDefault="001E71CF" w:rsidP="001E71CF">
      <w:pPr>
        <w:pStyle w:val="Sinespaciado"/>
        <w:spacing w:line="360" w:lineRule="auto"/>
        <w:rPr>
          <w:rFonts w:ascii="Times New Roman" w:eastAsia="Times New Roman" w:hAnsi="Times New Roman"/>
          <w:color w:val="000000"/>
          <w:sz w:val="16"/>
          <w:szCs w:val="16"/>
          <w:lang w:val="es-MX" w:eastAsia="es-MX"/>
        </w:rPr>
      </w:pPr>
      <w:r w:rsidRPr="00BF4093">
        <w:rPr>
          <w:rFonts w:ascii="Times New Roman" w:eastAsia="Times New Roman" w:hAnsi="Times New Roman"/>
          <w:color w:val="000000"/>
          <w:sz w:val="16"/>
          <w:szCs w:val="16"/>
          <w:lang w:val="es-MX" w:eastAsia="es-MX"/>
        </w:rPr>
        <w:t>Fuente: Observatorio  Turístico  versión 24, Cámara  de   Comercio  de  Armenia</w:t>
      </w:r>
    </w:p>
    <w:p w:rsidR="001B2A2C" w:rsidRDefault="001B2A2C" w:rsidP="001E71CF">
      <w:pPr>
        <w:pStyle w:val="Sinespaciado"/>
        <w:spacing w:line="360" w:lineRule="auto"/>
        <w:rPr>
          <w:rFonts w:ascii="Times New Roman" w:hAnsi="Times New Roman"/>
          <w:b/>
          <w:sz w:val="30"/>
          <w:szCs w:val="30"/>
        </w:rPr>
      </w:pPr>
    </w:p>
    <w:p w:rsidR="001B2A2C" w:rsidRDefault="001B2A2C" w:rsidP="001E71CF">
      <w:pPr>
        <w:pStyle w:val="Sinespaciado"/>
        <w:spacing w:line="360" w:lineRule="auto"/>
        <w:rPr>
          <w:rFonts w:ascii="Times New Roman" w:hAnsi="Times New Roman"/>
          <w:b/>
          <w:sz w:val="30"/>
          <w:szCs w:val="30"/>
        </w:rPr>
      </w:pPr>
    </w:p>
    <w:p w:rsidR="001E71CF" w:rsidRPr="00780A76" w:rsidRDefault="00780A76" w:rsidP="00780A76">
      <w:pPr>
        <w:pStyle w:val="Ttulo2"/>
        <w:rPr>
          <w:rFonts w:ascii="Times New Roman" w:hAnsi="Times New Roman" w:cs="Times New Roman"/>
          <w:color w:val="auto"/>
          <w:sz w:val="30"/>
          <w:szCs w:val="30"/>
        </w:rPr>
      </w:pPr>
      <w:bookmarkStart w:id="94" w:name="_Toc406754348"/>
      <w:r w:rsidRPr="00780A76">
        <w:rPr>
          <w:rFonts w:ascii="Times New Roman" w:hAnsi="Times New Roman" w:cs="Times New Roman"/>
          <w:color w:val="auto"/>
          <w:sz w:val="30"/>
          <w:szCs w:val="30"/>
        </w:rPr>
        <w:lastRenderedPageBreak/>
        <w:t xml:space="preserve">12.4 </w:t>
      </w:r>
      <w:r w:rsidR="001E71CF" w:rsidRPr="00780A76">
        <w:rPr>
          <w:rFonts w:ascii="Times New Roman" w:hAnsi="Times New Roman" w:cs="Times New Roman"/>
          <w:color w:val="auto"/>
          <w:sz w:val="30"/>
          <w:szCs w:val="30"/>
        </w:rPr>
        <w:t>Deportes y aventura</w:t>
      </w:r>
      <w:bookmarkEnd w:id="94"/>
    </w:p>
    <w:p w:rsidR="001E71CF" w:rsidRPr="00812B6F" w:rsidRDefault="001E71CF" w:rsidP="001E71CF">
      <w:pPr>
        <w:pStyle w:val="Sinespaciado"/>
        <w:spacing w:line="360" w:lineRule="auto"/>
        <w:rPr>
          <w:rFonts w:ascii="Times New Roman" w:hAnsi="Times New Roman"/>
          <w:color w:val="231F20"/>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 xml:space="preserve">La actividad física sin mayores riesgos y la aventura llevada al extremo son dos sanas maneras de sentir  mejor la experiencia de estar  en el Quindío. El </w:t>
      </w:r>
      <w:proofErr w:type="spellStart"/>
      <w:r w:rsidRPr="00812B6F">
        <w:rPr>
          <w:rFonts w:ascii="Times New Roman" w:hAnsi="Times New Roman"/>
          <w:sz w:val="24"/>
          <w:szCs w:val="24"/>
        </w:rPr>
        <w:t>canopy</w:t>
      </w:r>
      <w:proofErr w:type="spellEnd"/>
      <w:r w:rsidRPr="00812B6F">
        <w:rPr>
          <w:rFonts w:ascii="Times New Roman" w:hAnsi="Times New Roman"/>
          <w:sz w:val="24"/>
          <w:szCs w:val="24"/>
        </w:rPr>
        <w:t xml:space="preserve">, el ciclo-montañismo, las cabalgata, </w:t>
      </w:r>
      <w:proofErr w:type="spellStart"/>
      <w:r w:rsidRPr="00812B6F">
        <w:rPr>
          <w:rFonts w:ascii="Times New Roman" w:hAnsi="Times New Roman"/>
          <w:sz w:val="24"/>
          <w:szCs w:val="24"/>
        </w:rPr>
        <w:t>balsaje</w:t>
      </w:r>
      <w:proofErr w:type="spellEnd"/>
      <w:r w:rsidRPr="00812B6F">
        <w:rPr>
          <w:rFonts w:ascii="Times New Roman" w:hAnsi="Times New Roman"/>
          <w:sz w:val="24"/>
          <w:szCs w:val="24"/>
        </w:rPr>
        <w:t xml:space="preserve">, kayak, juegos de cuerdas altas y parapente; son los deportes más comunes en las verdes estancias </w:t>
      </w:r>
      <w:proofErr w:type="spellStart"/>
      <w:r w:rsidRPr="00812B6F">
        <w:rPr>
          <w:rFonts w:ascii="Times New Roman" w:hAnsi="Times New Roman"/>
          <w:sz w:val="24"/>
          <w:szCs w:val="24"/>
        </w:rPr>
        <w:t>quindianas</w:t>
      </w:r>
      <w:proofErr w:type="spellEnd"/>
      <w:r w:rsidRPr="00812B6F">
        <w:rPr>
          <w:rFonts w:ascii="Times New Roman" w:hAnsi="Times New Roman"/>
          <w:sz w:val="24"/>
          <w:szCs w:val="24"/>
        </w:rPr>
        <w:t>.</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hAnsi="Times New Roman"/>
          <w:sz w:val="24"/>
          <w:szCs w:val="24"/>
        </w:rPr>
      </w:pPr>
      <w:r w:rsidRPr="00812B6F">
        <w:rPr>
          <w:rFonts w:ascii="Times New Roman" w:hAnsi="Times New Roman"/>
          <w:sz w:val="24"/>
          <w:szCs w:val="24"/>
        </w:rPr>
        <w:t xml:space="preserve">Los ríos Barragán y La Vieja, el valle de </w:t>
      </w:r>
      <w:proofErr w:type="spellStart"/>
      <w:r w:rsidRPr="00812B6F">
        <w:rPr>
          <w:rFonts w:ascii="Times New Roman" w:hAnsi="Times New Roman"/>
          <w:sz w:val="24"/>
          <w:szCs w:val="24"/>
        </w:rPr>
        <w:t>Maravélez</w:t>
      </w:r>
      <w:proofErr w:type="spellEnd"/>
      <w:r w:rsidRPr="00812B6F">
        <w:rPr>
          <w:rFonts w:ascii="Times New Roman" w:hAnsi="Times New Roman"/>
          <w:sz w:val="24"/>
          <w:szCs w:val="24"/>
        </w:rPr>
        <w:t>, el cerro El Castillo y la vereda Pantanillo, entre otros lugares, albergan con  frecuencia  a los aventureros que desafían las aguas, los vientos y las alturas para vivir experiencias llenas de emoción, en las que se conjugan sensaciones de vértigo con el placer de mirar lugares realmente hermosos.</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Pr="00812B6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sz w:val="24"/>
          <w:szCs w:val="24"/>
        </w:rPr>
        <w:t>Varios operadores quindianos disponen de la buena infraestructura que garantiza  la práctica segura y divertida de las diferentes actividades. El Quindío ha venido ganando posiciones de privilegio en el campo de los deportes de aventura, precisamente</w:t>
      </w:r>
      <w:r w:rsidRPr="00812B6F">
        <w:rPr>
          <w:rFonts w:ascii="Times New Roman" w:hAnsi="Times New Roman"/>
          <w:color w:val="231F20"/>
          <w:sz w:val="24"/>
          <w:szCs w:val="24"/>
        </w:rPr>
        <w:t xml:space="preserve"> por la adecuada organización</w:t>
      </w:r>
      <w:r>
        <w:rPr>
          <w:rFonts w:ascii="Times New Roman" w:hAnsi="Times New Roman"/>
          <w:color w:val="231F20"/>
          <w:sz w:val="24"/>
          <w:szCs w:val="24"/>
        </w:rPr>
        <w:t xml:space="preserve"> </w:t>
      </w:r>
      <w:r w:rsidRPr="00812B6F">
        <w:rPr>
          <w:rFonts w:ascii="Times New Roman" w:hAnsi="Times New Roman"/>
          <w:color w:val="231F20"/>
          <w:sz w:val="24"/>
          <w:szCs w:val="24"/>
        </w:rPr>
        <w:t>y</w:t>
      </w:r>
      <w:r>
        <w:rPr>
          <w:rFonts w:ascii="Times New Roman" w:hAnsi="Times New Roman"/>
          <w:color w:val="231F20"/>
          <w:sz w:val="24"/>
          <w:szCs w:val="24"/>
        </w:rPr>
        <w:t xml:space="preserve"> </w:t>
      </w:r>
      <w:r w:rsidRPr="00812B6F">
        <w:rPr>
          <w:rFonts w:ascii="Times New Roman" w:hAnsi="Times New Roman"/>
          <w:color w:val="231F20"/>
          <w:sz w:val="24"/>
          <w:szCs w:val="24"/>
        </w:rPr>
        <w:t>los</w:t>
      </w:r>
      <w:r>
        <w:rPr>
          <w:rFonts w:ascii="Times New Roman" w:hAnsi="Times New Roman"/>
          <w:color w:val="231F20"/>
          <w:sz w:val="24"/>
          <w:szCs w:val="24"/>
        </w:rPr>
        <w:t xml:space="preserve"> </w:t>
      </w:r>
      <w:r w:rsidRPr="00812B6F">
        <w:rPr>
          <w:rFonts w:ascii="Times New Roman" w:hAnsi="Times New Roman"/>
          <w:color w:val="231F20"/>
          <w:sz w:val="24"/>
          <w:szCs w:val="24"/>
        </w:rPr>
        <w:t>diferentes</w:t>
      </w:r>
      <w:r>
        <w:rPr>
          <w:rFonts w:ascii="Times New Roman" w:hAnsi="Times New Roman"/>
          <w:color w:val="231F20"/>
          <w:sz w:val="24"/>
          <w:szCs w:val="24"/>
        </w:rPr>
        <w:t xml:space="preserve"> </w:t>
      </w:r>
      <w:r w:rsidRPr="00812B6F">
        <w:rPr>
          <w:rFonts w:ascii="Times New Roman" w:hAnsi="Times New Roman"/>
          <w:color w:val="231F20"/>
          <w:sz w:val="24"/>
          <w:szCs w:val="24"/>
        </w:rPr>
        <w:t>lugares</w:t>
      </w:r>
      <w:r>
        <w:rPr>
          <w:rFonts w:ascii="Times New Roman" w:hAnsi="Times New Roman"/>
          <w:color w:val="231F20"/>
          <w:sz w:val="24"/>
          <w:szCs w:val="24"/>
        </w:rPr>
        <w:t xml:space="preserve"> </w:t>
      </w:r>
      <w:r w:rsidRPr="00812B6F">
        <w:rPr>
          <w:rFonts w:ascii="Times New Roman" w:hAnsi="Times New Roman"/>
          <w:color w:val="231F20"/>
          <w:sz w:val="24"/>
          <w:szCs w:val="24"/>
        </w:rPr>
        <w:t>aptos</w:t>
      </w:r>
      <w:r>
        <w:rPr>
          <w:rFonts w:ascii="Times New Roman" w:hAnsi="Times New Roman"/>
          <w:color w:val="231F20"/>
          <w:sz w:val="24"/>
          <w:szCs w:val="24"/>
        </w:rPr>
        <w:t xml:space="preserve"> </w:t>
      </w:r>
      <w:r w:rsidRPr="00812B6F">
        <w:rPr>
          <w:rFonts w:ascii="Times New Roman" w:hAnsi="Times New Roman"/>
          <w:color w:val="231F20"/>
          <w:sz w:val="24"/>
          <w:szCs w:val="24"/>
        </w:rPr>
        <w:t>para</w:t>
      </w:r>
      <w:r>
        <w:rPr>
          <w:rFonts w:ascii="Times New Roman" w:hAnsi="Times New Roman"/>
          <w:color w:val="231F20"/>
          <w:sz w:val="24"/>
          <w:szCs w:val="24"/>
        </w:rPr>
        <w:t xml:space="preserve"> </w:t>
      </w:r>
      <w:r w:rsidRPr="00812B6F">
        <w:rPr>
          <w:rFonts w:ascii="Times New Roman" w:hAnsi="Times New Roman"/>
          <w:color w:val="231F20"/>
          <w:sz w:val="24"/>
          <w:szCs w:val="24"/>
        </w:rPr>
        <w:t>la</w:t>
      </w:r>
      <w:r>
        <w:rPr>
          <w:rFonts w:ascii="Times New Roman" w:hAnsi="Times New Roman"/>
          <w:color w:val="231F20"/>
          <w:sz w:val="24"/>
          <w:szCs w:val="24"/>
        </w:rPr>
        <w:t xml:space="preserve"> </w:t>
      </w:r>
      <w:r w:rsidRPr="00812B6F">
        <w:rPr>
          <w:rFonts w:ascii="Times New Roman" w:hAnsi="Times New Roman"/>
          <w:color w:val="231F20"/>
          <w:sz w:val="24"/>
          <w:szCs w:val="24"/>
        </w:rPr>
        <w:t>práctica</w:t>
      </w:r>
      <w:r>
        <w:rPr>
          <w:rFonts w:ascii="Times New Roman" w:hAnsi="Times New Roman"/>
          <w:color w:val="231F20"/>
          <w:sz w:val="24"/>
          <w:szCs w:val="24"/>
        </w:rPr>
        <w:t xml:space="preserve"> </w:t>
      </w:r>
      <w:r w:rsidRPr="00812B6F">
        <w:rPr>
          <w:rFonts w:ascii="Times New Roman" w:hAnsi="Times New Roman"/>
          <w:color w:val="231F20"/>
          <w:sz w:val="24"/>
          <w:szCs w:val="24"/>
        </w:rPr>
        <w:t>y  que</w:t>
      </w:r>
      <w:r>
        <w:rPr>
          <w:rFonts w:ascii="Times New Roman" w:hAnsi="Times New Roman"/>
          <w:color w:val="231F20"/>
          <w:sz w:val="24"/>
          <w:szCs w:val="24"/>
        </w:rPr>
        <w:t xml:space="preserve"> </w:t>
      </w:r>
      <w:r w:rsidRPr="00812B6F">
        <w:rPr>
          <w:rFonts w:ascii="Times New Roman" w:hAnsi="Times New Roman"/>
          <w:color w:val="231F20"/>
          <w:sz w:val="24"/>
          <w:szCs w:val="24"/>
        </w:rPr>
        <w:t>surgen</w:t>
      </w:r>
      <w:r>
        <w:rPr>
          <w:rFonts w:ascii="Times New Roman" w:hAnsi="Times New Roman"/>
          <w:color w:val="231F20"/>
          <w:sz w:val="24"/>
          <w:szCs w:val="24"/>
        </w:rPr>
        <w:t xml:space="preserve"> </w:t>
      </w:r>
      <w:r w:rsidRPr="00812B6F">
        <w:rPr>
          <w:rFonts w:ascii="Times New Roman" w:hAnsi="Times New Roman"/>
          <w:color w:val="231F20"/>
          <w:sz w:val="24"/>
          <w:szCs w:val="24"/>
        </w:rPr>
        <w:t>entre</w:t>
      </w:r>
      <w:r>
        <w:rPr>
          <w:rFonts w:ascii="Times New Roman" w:hAnsi="Times New Roman"/>
          <w:color w:val="231F20"/>
          <w:sz w:val="24"/>
          <w:szCs w:val="24"/>
        </w:rPr>
        <w:t xml:space="preserve"> </w:t>
      </w:r>
      <w:r w:rsidRPr="00812B6F">
        <w:rPr>
          <w:rFonts w:ascii="Times New Roman" w:hAnsi="Times New Roman"/>
          <w:color w:val="231F20"/>
          <w:sz w:val="24"/>
          <w:szCs w:val="24"/>
        </w:rPr>
        <w:t>la</w:t>
      </w:r>
      <w:r>
        <w:rPr>
          <w:rFonts w:ascii="Times New Roman" w:hAnsi="Times New Roman"/>
          <w:color w:val="231F20"/>
          <w:sz w:val="24"/>
          <w:szCs w:val="24"/>
        </w:rPr>
        <w:t xml:space="preserve"> </w:t>
      </w:r>
      <w:r w:rsidRPr="00812B6F">
        <w:rPr>
          <w:rFonts w:ascii="Times New Roman" w:hAnsi="Times New Roman"/>
          <w:color w:val="231F20"/>
          <w:sz w:val="24"/>
          <w:szCs w:val="24"/>
        </w:rPr>
        <w:t>llamativa</w:t>
      </w:r>
      <w:r>
        <w:rPr>
          <w:rFonts w:ascii="Times New Roman" w:hAnsi="Times New Roman"/>
          <w:color w:val="231F20"/>
          <w:sz w:val="24"/>
          <w:szCs w:val="24"/>
        </w:rPr>
        <w:t xml:space="preserve"> </w:t>
      </w:r>
      <w:r w:rsidRPr="00812B6F">
        <w:rPr>
          <w:rFonts w:ascii="Times New Roman" w:hAnsi="Times New Roman"/>
          <w:color w:val="231F20"/>
          <w:sz w:val="24"/>
          <w:szCs w:val="24"/>
        </w:rPr>
        <w:t>y reverdecida naturaleza.</w:t>
      </w:r>
    </w:p>
    <w:p w:rsidR="001E71CF" w:rsidRPr="00812B6F" w:rsidRDefault="001E71CF" w:rsidP="001E71CF">
      <w:pPr>
        <w:pStyle w:val="Sinespaciado"/>
        <w:spacing w:line="360" w:lineRule="auto"/>
        <w:rPr>
          <w:rFonts w:ascii="Times New Roman" w:hAnsi="Times New Roman"/>
          <w:color w:val="231F20"/>
          <w:sz w:val="24"/>
          <w:szCs w:val="24"/>
        </w:rPr>
      </w:pPr>
    </w:p>
    <w:p w:rsidR="001E71CF" w:rsidRPr="00780A76" w:rsidRDefault="00780A76" w:rsidP="00780A76">
      <w:pPr>
        <w:pStyle w:val="Ttulo2"/>
        <w:rPr>
          <w:rFonts w:ascii="Times New Roman" w:hAnsi="Times New Roman" w:cs="Times New Roman"/>
          <w:color w:val="auto"/>
          <w:sz w:val="30"/>
          <w:szCs w:val="30"/>
        </w:rPr>
      </w:pPr>
      <w:bookmarkStart w:id="95" w:name="_Toc406754349"/>
      <w:r w:rsidRPr="00780A76">
        <w:rPr>
          <w:rFonts w:ascii="Times New Roman" w:hAnsi="Times New Roman" w:cs="Times New Roman"/>
          <w:color w:val="auto"/>
          <w:sz w:val="30"/>
          <w:szCs w:val="30"/>
        </w:rPr>
        <w:t xml:space="preserve">12.5 </w:t>
      </w:r>
      <w:r w:rsidR="001E71CF" w:rsidRPr="00780A76">
        <w:rPr>
          <w:rFonts w:ascii="Times New Roman" w:hAnsi="Times New Roman" w:cs="Times New Roman"/>
          <w:color w:val="auto"/>
          <w:sz w:val="30"/>
          <w:szCs w:val="30"/>
        </w:rPr>
        <w:t>Agroturismo – turismo rural</w:t>
      </w:r>
      <w:bookmarkEnd w:id="95"/>
    </w:p>
    <w:p w:rsidR="001E71CF" w:rsidRPr="00812B6F" w:rsidRDefault="001E71CF" w:rsidP="001E71CF">
      <w:pPr>
        <w:pStyle w:val="Sinespaciado"/>
        <w:spacing w:line="360" w:lineRule="auto"/>
        <w:rPr>
          <w:rFonts w:ascii="Times New Roman" w:hAnsi="Times New Roman"/>
          <w:b/>
          <w:sz w:val="24"/>
          <w:szCs w:val="24"/>
        </w:rPr>
      </w:pPr>
    </w:p>
    <w:p w:rsidR="001E71C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t>El  café fue la razón fundamental para crear</w:t>
      </w:r>
      <w:r>
        <w:rPr>
          <w:rFonts w:ascii="Times New Roman" w:hAnsi="Times New Roman"/>
          <w:color w:val="231F20"/>
          <w:sz w:val="24"/>
          <w:szCs w:val="24"/>
        </w:rPr>
        <w:t xml:space="preserve"> </w:t>
      </w:r>
      <w:r w:rsidRPr="00812B6F">
        <w:rPr>
          <w:rFonts w:ascii="Times New Roman" w:hAnsi="Times New Roman"/>
          <w:color w:val="231F20"/>
          <w:sz w:val="24"/>
          <w:szCs w:val="24"/>
        </w:rPr>
        <w:t>una nueva forma de hacer turismo en el</w:t>
      </w:r>
      <w:r>
        <w:rPr>
          <w:rFonts w:ascii="Times New Roman" w:hAnsi="Times New Roman"/>
          <w:color w:val="231F20"/>
          <w:sz w:val="24"/>
          <w:szCs w:val="24"/>
        </w:rPr>
        <w:t xml:space="preserve"> </w:t>
      </w:r>
      <w:r w:rsidRPr="00812B6F">
        <w:rPr>
          <w:rFonts w:ascii="Times New Roman" w:hAnsi="Times New Roman"/>
          <w:color w:val="231F20"/>
          <w:sz w:val="24"/>
          <w:szCs w:val="24"/>
        </w:rPr>
        <w:t>Quindío. Hoy los dueños de fincas son</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anfitriones que facilitan las condiciones a</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los viajeros interesados en conocer todo</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acerca de la cultura cafetera, y que quieren</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ver cómo los caficultores siembran,</w:t>
      </w:r>
      <w:r>
        <w:rPr>
          <w:rFonts w:ascii="Times New Roman" w:hAnsi="Times New Roman"/>
          <w:color w:val="231F20"/>
          <w:sz w:val="24"/>
          <w:szCs w:val="24"/>
        </w:rPr>
        <w:t xml:space="preserve"> </w:t>
      </w:r>
      <w:r w:rsidRPr="00812B6F">
        <w:rPr>
          <w:rFonts w:ascii="Times New Roman" w:hAnsi="Times New Roman"/>
          <w:color w:val="231F20"/>
          <w:sz w:val="24"/>
          <w:szCs w:val="24"/>
        </w:rPr>
        <w:t>recogen, secan y trillan el grano. Todo proceso por el que se ha logrado el prestigio</w:t>
      </w:r>
      <w:r>
        <w:rPr>
          <w:rFonts w:ascii="Times New Roman" w:hAnsi="Times New Roman"/>
          <w:color w:val="231F20"/>
          <w:sz w:val="24"/>
          <w:szCs w:val="24"/>
        </w:rPr>
        <w:t xml:space="preserve"> </w:t>
      </w:r>
      <w:r w:rsidRPr="00812B6F">
        <w:rPr>
          <w:rFonts w:ascii="Times New Roman" w:hAnsi="Times New Roman"/>
          <w:color w:val="231F20"/>
          <w:sz w:val="24"/>
          <w:szCs w:val="24"/>
        </w:rPr>
        <w:t>mundial</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dicho</w:t>
      </w:r>
      <w:r>
        <w:rPr>
          <w:rFonts w:ascii="Times New Roman" w:hAnsi="Times New Roman"/>
          <w:color w:val="231F20"/>
          <w:sz w:val="24"/>
          <w:szCs w:val="24"/>
        </w:rPr>
        <w:t xml:space="preserve"> </w:t>
      </w:r>
      <w:r w:rsidRPr="00812B6F">
        <w:rPr>
          <w:rFonts w:ascii="Times New Roman" w:hAnsi="Times New Roman"/>
          <w:color w:val="231F20"/>
          <w:sz w:val="24"/>
          <w:szCs w:val="24"/>
        </w:rPr>
        <w:t>producto</w:t>
      </w:r>
      <w:r>
        <w:rPr>
          <w:rFonts w:ascii="Times New Roman" w:hAnsi="Times New Roman"/>
          <w:color w:val="231F20"/>
          <w:sz w:val="24"/>
          <w:szCs w:val="24"/>
        </w:rPr>
        <w:t xml:space="preserve"> </w:t>
      </w:r>
      <w:r w:rsidRPr="00812B6F">
        <w:rPr>
          <w:rFonts w:ascii="Times New Roman" w:hAnsi="Times New Roman"/>
          <w:color w:val="231F20"/>
          <w:sz w:val="24"/>
          <w:szCs w:val="24"/>
        </w:rPr>
        <w:t>agrícola.</w:t>
      </w:r>
    </w:p>
    <w:p w:rsidR="001E71CF" w:rsidRPr="00812B6F" w:rsidRDefault="001E71CF" w:rsidP="001E71CF">
      <w:pPr>
        <w:pStyle w:val="Sinespaciado"/>
        <w:spacing w:line="360" w:lineRule="auto"/>
        <w:ind w:firstLine="284"/>
        <w:rPr>
          <w:rFonts w:ascii="Times New Roman" w:hAnsi="Times New Roman"/>
          <w:color w:val="231F20"/>
          <w:sz w:val="24"/>
          <w:szCs w:val="24"/>
        </w:rPr>
      </w:pPr>
    </w:p>
    <w:p w:rsidR="001E71CF" w:rsidRPr="00812B6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t>Hacer turismo rural en las fincas del Quindío</w:t>
      </w:r>
      <w:r>
        <w:rPr>
          <w:rFonts w:ascii="Times New Roman" w:hAnsi="Times New Roman"/>
          <w:color w:val="231F20"/>
          <w:sz w:val="24"/>
          <w:szCs w:val="24"/>
        </w:rPr>
        <w:t xml:space="preserve"> </w:t>
      </w:r>
      <w:r w:rsidRPr="00812B6F">
        <w:rPr>
          <w:rFonts w:ascii="Times New Roman" w:hAnsi="Times New Roman"/>
          <w:color w:val="231F20"/>
          <w:sz w:val="24"/>
          <w:szCs w:val="24"/>
        </w:rPr>
        <w:t>significa</w:t>
      </w:r>
      <w:r>
        <w:rPr>
          <w:rFonts w:ascii="Times New Roman" w:hAnsi="Times New Roman"/>
          <w:color w:val="231F20"/>
          <w:sz w:val="24"/>
          <w:szCs w:val="24"/>
        </w:rPr>
        <w:t xml:space="preserve"> </w:t>
      </w:r>
      <w:r w:rsidRPr="00812B6F">
        <w:rPr>
          <w:rFonts w:ascii="Times New Roman" w:hAnsi="Times New Roman"/>
          <w:color w:val="231F20"/>
          <w:sz w:val="24"/>
          <w:szCs w:val="24"/>
        </w:rPr>
        <w:t>contemplar</w:t>
      </w:r>
      <w:r>
        <w:rPr>
          <w:rFonts w:ascii="Times New Roman" w:hAnsi="Times New Roman"/>
          <w:color w:val="231F20"/>
          <w:sz w:val="24"/>
          <w:szCs w:val="24"/>
        </w:rPr>
        <w:t xml:space="preserve"> </w:t>
      </w:r>
      <w:r w:rsidRPr="00812B6F">
        <w:rPr>
          <w:rFonts w:ascii="Times New Roman" w:hAnsi="Times New Roman"/>
          <w:color w:val="231F20"/>
          <w:sz w:val="24"/>
          <w:szCs w:val="24"/>
        </w:rPr>
        <w:t>los</w:t>
      </w:r>
      <w:r>
        <w:rPr>
          <w:rFonts w:ascii="Times New Roman" w:hAnsi="Times New Roman"/>
          <w:color w:val="231F20"/>
          <w:sz w:val="24"/>
          <w:szCs w:val="24"/>
        </w:rPr>
        <w:t xml:space="preserve"> </w:t>
      </w:r>
      <w:r w:rsidRPr="00812B6F">
        <w:rPr>
          <w:rFonts w:ascii="Times New Roman" w:hAnsi="Times New Roman"/>
          <w:color w:val="231F20"/>
          <w:sz w:val="24"/>
          <w:szCs w:val="24"/>
        </w:rPr>
        <w:t>cafetos</w:t>
      </w:r>
      <w:r>
        <w:rPr>
          <w:rFonts w:ascii="Times New Roman" w:hAnsi="Times New Roman"/>
          <w:color w:val="231F20"/>
          <w:sz w:val="24"/>
          <w:szCs w:val="24"/>
        </w:rPr>
        <w:t xml:space="preserve"> </w:t>
      </w:r>
      <w:r w:rsidRPr="00812B6F">
        <w:rPr>
          <w:rFonts w:ascii="Times New Roman" w:hAnsi="Times New Roman"/>
          <w:color w:val="231F20"/>
          <w:sz w:val="24"/>
          <w:szCs w:val="24"/>
        </w:rPr>
        <w:t>llenos</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frutos,</w:t>
      </w:r>
      <w:r>
        <w:rPr>
          <w:rFonts w:ascii="Times New Roman" w:hAnsi="Times New Roman"/>
          <w:color w:val="231F20"/>
          <w:sz w:val="24"/>
          <w:szCs w:val="24"/>
        </w:rPr>
        <w:t xml:space="preserve"> </w:t>
      </w:r>
      <w:r w:rsidRPr="00812B6F">
        <w:rPr>
          <w:rFonts w:ascii="Times New Roman" w:hAnsi="Times New Roman"/>
          <w:color w:val="231F20"/>
          <w:sz w:val="24"/>
          <w:szCs w:val="24"/>
        </w:rPr>
        <w:t>disfrutar</w:t>
      </w:r>
      <w:r>
        <w:rPr>
          <w:rFonts w:ascii="Times New Roman" w:hAnsi="Times New Roman"/>
          <w:color w:val="231F20"/>
          <w:sz w:val="24"/>
          <w:szCs w:val="24"/>
        </w:rPr>
        <w:t xml:space="preserve"> </w:t>
      </w:r>
      <w:r w:rsidRPr="00812B6F">
        <w:rPr>
          <w:rFonts w:ascii="Times New Roman" w:hAnsi="Times New Roman"/>
          <w:color w:val="231F20"/>
          <w:sz w:val="24"/>
          <w:szCs w:val="24"/>
        </w:rPr>
        <w:t>la</w:t>
      </w:r>
      <w:r>
        <w:rPr>
          <w:rFonts w:ascii="Times New Roman" w:hAnsi="Times New Roman"/>
          <w:color w:val="231F20"/>
          <w:sz w:val="24"/>
          <w:szCs w:val="24"/>
        </w:rPr>
        <w:t xml:space="preserve"> </w:t>
      </w:r>
      <w:r w:rsidRPr="00812B6F">
        <w:rPr>
          <w:rFonts w:ascii="Times New Roman" w:hAnsi="Times New Roman"/>
          <w:color w:val="231F20"/>
          <w:sz w:val="24"/>
          <w:szCs w:val="24"/>
        </w:rPr>
        <w:t>naturaleza,</w:t>
      </w:r>
      <w:r>
        <w:rPr>
          <w:rFonts w:ascii="Times New Roman" w:hAnsi="Times New Roman"/>
          <w:color w:val="231F20"/>
          <w:sz w:val="24"/>
          <w:szCs w:val="24"/>
        </w:rPr>
        <w:t xml:space="preserve"> </w:t>
      </w:r>
      <w:r w:rsidRPr="00812B6F">
        <w:rPr>
          <w:rFonts w:ascii="Times New Roman" w:hAnsi="Times New Roman"/>
          <w:color w:val="231F20"/>
          <w:sz w:val="24"/>
          <w:szCs w:val="24"/>
        </w:rPr>
        <w:t>divisar</w:t>
      </w:r>
      <w:r>
        <w:rPr>
          <w:rFonts w:ascii="Times New Roman" w:hAnsi="Times New Roman"/>
          <w:color w:val="231F20"/>
          <w:sz w:val="24"/>
          <w:szCs w:val="24"/>
        </w:rPr>
        <w:t xml:space="preserve"> </w:t>
      </w:r>
      <w:r w:rsidRPr="00812B6F">
        <w:rPr>
          <w:rFonts w:ascii="Times New Roman" w:hAnsi="Times New Roman"/>
          <w:color w:val="231F20"/>
          <w:sz w:val="24"/>
          <w:szCs w:val="24"/>
        </w:rPr>
        <w:t>el</w:t>
      </w:r>
      <w:r>
        <w:rPr>
          <w:rFonts w:ascii="Times New Roman" w:hAnsi="Times New Roman"/>
          <w:color w:val="231F20"/>
          <w:sz w:val="24"/>
          <w:szCs w:val="24"/>
        </w:rPr>
        <w:t xml:space="preserve"> </w:t>
      </w:r>
      <w:r w:rsidRPr="00812B6F">
        <w:rPr>
          <w:rFonts w:ascii="Times New Roman" w:hAnsi="Times New Roman"/>
          <w:color w:val="231F20"/>
          <w:sz w:val="24"/>
          <w:szCs w:val="24"/>
        </w:rPr>
        <w:t>vuelo</w:t>
      </w:r>
      <w:r>
        <w:rPr>
          <w:rFonts w:ascii="Times New Roman" w:hAnsi="Times New Roman"/>
          <w:color w:val="231F20"/>
          <w:sz w:val="24"/>
          <w:szCs w:val="24"/>
        </w:rPr>
        <w:t xml:space="preserve"> </w:t>
      </w:r>
      <w:r w:rsidRPr="00812B6F">
        <w:rPr>
          <w:rFonts w:ascii="Times New Roman" w:hAnsi="Times New Roman"/>
          <w:color w:val="231F20"/>
          <w:sz w:val="24"/>
          <w:szCs w:val="24"/>
        </w:rPr>
        <w:t>de mariposas multicolores y escuchar</w:t>
      </w:r>
      <w:r>
        <w:rPr>
          <w:rFonts w:ascii="Times New Roman" w:hAnsi="Times New Roman"/>
          <w:color w:val="231F20"/>
          <w:sz w:val="24"/>
          <w:szCs w:val="24"/>
        </w:rPr>
        <w:t xml:space="preserve"> </w:t>
      </w:r>
      <w:r w:rsidRPr="00812B6F">
        <w:rPr>
          <w:rFonts w:ascii="Times New Roman" w:hAnsi="Times New Roman"/>
          <w:color w:val="231F20"/>
          <w:sz w:val="24"/>
          <w:szCs w:val="24"/>
        </w:rPr>
        <w:t>el canto de cientos de pájaros. Es el placer de la grata compañía, de una buena charla campesina y del suave sabor</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del</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café</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recién</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colado.</w:t>
      </w:r>
    </w:p>
    <w:p w:rsidR="001E71CF" w:rsidRPr="00812B6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lastRenderedPageBreak/>
        <w:t>Las haciendas cafeteras, que en su mayoría</w:t>
      </w:r>
      <w:r>
        <w:rPr>
          <w:rFonts w:ascii="Times New Roman" w:hAnsi="Times New Roman"/>
          <w:color w:val="231F20"/>
          <w:sz w:val="24"/>
          <w:szCs w:val="24"/>
        </w:rPr>
        <w:t xml:space="preserve"> </w:t>
      </w:r>
      <w:r w:rsidRPr="00812B6F">
        <w:rPr>
          <w:rFonts w:ascii="Times New Roman" w:hAnsi="Times New Roman"/>
          <w:color w:val="231F20"/>
          <w:sz w:val="24"/>
          <w:szCs w:val="24"/>
        </w:rPr>
        <w:t>sirven de hospedaje, están presentes</w:t>
      </w:r>
      <w:r>
        <w:rPr>
          <w:rFonts w:ascii="Times New Roman" w:hAnsi="Times New Roman"/>
          <w:color w:val="231F20"/>
          <w:sz w:val="24"/>
          <w:szCs w:val="24"/>
        </w:rPr>
        <w:t xml:space="preserve"> </w:t>
      </w:r>
      <w:r w:rsidRPr="00812B6F">
        <w:rPr>
          <w:rFonts w:ascii="Times New Roman" w:hAnsi="Times New Roman"/>
          <w:color w:val="231F20"/>
          <w:sz w:val="24"/>
          <w:szCs w:val="24"/>
        </w:rPr>
        <w:t>en</w:t>
      </w:r>
      <w:r>
        <w:rPr>
          <w:rFonts w:ascii="Times New Roman" w:hAnsi="Times New Roman"/>
          <w:color w:val="231F20"/>
          <w:sz w:val="24"/>
          <w:szCs w:val="24"/>
        </w:rPr>
        <w:t xml:space="preserve"> </w:t>
      </w:r>
      <w:r w:rsidRPr="00812B6F">
        <w:rPr>
          <w:rFonts w:ascii="Times New Roman" w:hAnsi="Times New Roman"/>
          <w:color w:val="231F20"/>
          <w:sz w:val="24"/>
          <w:szCs w:val="24"/>
        </w:rPr>
        <w:t>casi todos</w:t>
      </w:r>
      <w:r>
        <w:rPr>
          <w:rFonts w:ascii="Times New Roman" w:hAnsi="Times New Roman"/>
          <w:color w:val="231F20"/>
          <w:sz w:val="24"/>
          <w:szCs w:val="24"/>
        </w:rPr>
        <w:t xml:space="preserve"> </w:t>
      </w:r>
      <w:r w:rsidRPr="00812B6F">
        <w:rPr>
          <w:rFonts w:ascii="Times New Roman" w:hAnsi="Times New Roman"/>
          <w:color w:val="231F20"/>
          <w:sz w:val="24"/>
          <w:szCs w:val="24"/>
        </w:rPr>
        <w:t>los</w:t>
      </w:r>
      <w:r>
        <w:rPr>
          <w:rFonts w:ascii="Times New Roman" w:hAnsi="Times New Roman"/>
          <w:color w:val="231F20"/>
          <w:sz w:val="24"/>
          <w:szCs w:val="24"/>
        </w:rPr>
        <w:t xml:space="preserve"> </w:t>
      </w:r>
      <w:r w:rsidRPr="00812B6F">
        <w:rPr>
          <w:rFonts w:ascii="Times New Roman" w:hAnsi="Times New Roman"/>
          <w:color w:val="231F20"/>
          <w:sz w:val="24"/>
          <w:szCs w:val="24"/>
        </w:rPr>
        <w:t>municipios</w:t>
      </w:r>
      <w:r>
        <w:rPr>
          <w:rFonts w:ascii="Times New Roman" w:hAnsi="Times New Roman"/>
          <w:color w:val="231F20"/>
          <w:sz w:val="24"/>
          <w:szCs w:val="24"/>
        </w:rPr>
        <w:t xml:space="preserve"> </w:t>
      </w:r>
      <w:r w:rsidRPr="00812B6F">
        <w:rPr>
          <w:rFonts w:ascii="Times New Roman" w:hAnsi="Times New Roman"/>
          <w:color w:val="231F20"/>
          <w:sz w:val="24"/>
          <w:szCs w:val="24"/>
        </w:rPr>
        <w:t>del</w:t>
      </w:r>
      <w:r>
        <w:rPr>
          <w:rFonts w:ascii="Times New Roman" w:hAnsi="Times New Roman"/>
          <w:color w:val="231F20"/>
          <w:sz w:val="24"/>
          <w:szCs w:val="24"/>
        </w:rPr>
        <w:t xml:space="preserve"> </w:t>
      </w:r>
      <w:r w:rsidRPr="00812B6F">
        <w:rPr>
          <w:rFonts w:ascii="Times New Roman" w:hAnsi="Times New Roman"/>
          <w:color w:val="231F20"/>
          <w:sz w:val="24"/>
          <w:szCs w:val="24"/>
        </w:rPr>
        <w:t>Quindío.</w:t>
      </w:r>
      <w:r>
        <w:rPr>
          <w:rFonts w:ascii="Times New Roman" w:hAnsi="Times New Roman"/>
          <w:color w:val="231F20"/>
          <w:sz w:val="24"/>
          <w:szCs w:val="24"/>
        </w:rPr>
        <w:t xml:space="preserve"> </w:t>
      </w:r>
      <w:r w:rsidRPr="00812B6F">
        <w:rPr>
          <w:rFonts w:ascii="Times New Roman" w:hAnsi="Times New Roman"/>
          <w:color w:val="231F20"/>
          <w:sz w:val="24"/>
          <w:szCs w:val="24"/>
        </w:rPr>
        <w:t>Pero</w:t>
      </w:r>
      <w:r>
        <w:rPr>
          <w:rFonts w:ascii="Times New Roman" w:hAnsi="Times New Roman"/>
          <w:color w:val="231F20"/>
          <w:sz w:val="24"/>
          <w:szCs w:val="24"/>
        </w:rPr>
        <w:t xml:space="preserve"> </w:t>
      </w:r>
      <w:r w:rsidRPr="00812B6F">
        <w:rPr>
          <w:rFonts w:ascii="Times New Roman" w:hAnsi="Times New Roman"/>
          <w:color w:val="231F20"/>
          <w:sz w:val="24"/>
          <w:szCs w:val="24"/>
        </w:rPr>
        <w:t>además</w:t>
      </w:r>
      <w:r>
        <w:rPr>
          <w:rFonts w:ascii="Times New Roman" w:hAnsi="Times New Roman"/>
          <w:color w:val="231F20"/>
          <w:sz w:val="24"/>
          <w:szCs w:val="24"/>
        </w:rPr>
        <w:t xml:space="preserve"> </w:t>
      </w:r>
      <w:r w:rsidRPr="00812B6F">
        <w:rPr>
          <w:rFonts w:ascii="Times New Roman" w:hAnsi="Times New Roman"/>
          <w:color w:val="231F20"/>
          <w:sz w:val="24"/>
          <w:szCs w:val="24"/>
        </w:rPr>
        <w:t>del</w:t>
      </w:r>
      <w:r>
        <w:rPr>
          <w:rFonts w:ascii="Times New Roman" w:hAnsi="Times New Roman"/>
          <w:color w:val="231F20"/>
          <w:sz w:val="24"/>
          <w:szCs w:val="24"/>
        </w:rPr>
        <w:t xml:space="preserve"> </w:t>
      </w:r>
      <w:r w:rsidRPr="00812B6F">
        <w:rPr>
          <w:rFonts w:ascii="Times New Roman" w:hAnsi="Times New Roman"/>
          <w:color w:val="231F20"/>
          <w:sz w:val="24"/>
          <w:szCs w:val="24"/>
        </w:rPr>
        <w:t>conocimiento</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la</w:t>
      </w:r>
      <w:r>
        <w:rPr>
          <w:rFonts w:ascii="Times New Roman" w:hAnsi="Times New Roman"/>
          <w:color w:val="231F20"/>
          <w:sz w:val="24"/>
          <w:szCs w:val="24"/>
        </w:rPr>
        <w:t xml:space="preserve"> </w:t>
      </w:r>
      <w:r w:rsidRPr="00812B6F">
        <w:rPr>
          <w:rFonts w:ascii="Times New Roman" w:hAnsi="Times New Roman"/>
          <w:color w:val="231F20"/>
          <w:sz w:val="24"/>
          <w:szCs w:val="24"/>
        </w:rPr>
        <w:t>cultura</w:t>
      </w:r>
      <w:r>
        <w:rPr>
          <w:rFonts w:ascii="Times New Roman" w:hAnsi="Times New Roman"/>
          <w:color w:val="231F20"/>
          <w:sz w:val="24"/>
          <w:szCs w:val="24"/>
        </w:rPr>
        <w:t xml:space="preserve"> </w:t>
      </w:r>
      <w:r w:rsidRPr="00812B6F">
        <w:rPr>
          <w:rFonts w:ascii="Times New Roman" w:hAnsi="Times New Roman"/>
          <w:color w:val="231F20"/>
          <w:sz w:val="24"/>
          <w:szCs w:val="24"/>
        </w:rPr>
        <w:t>cafetera, el turismo rural implica</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varios temas complementarios que tienen</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que ver con la rutina diaria del trabajador</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y</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de</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quien</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si</w:t>
      </w:r>
      <w:r w:rsidR="00780A76">
        <w:rPr>
          <w:rFonts w:ascii="Times New Roman" w:hAnsi="Times New Roman"/>
          <w:color w:val="231F20"/>
          <w:sz w:val="24"/>
          <w:szCs w:val="24"/>
        </w:rPr>
        <w:t xml:space="preserve"> i</w:t>
      </w:r>
      <w:r w:rsidRPr="00812B6F">
        <w:rPr>
          <w:rFonts w:ascii="Times New Roman" w:hAnsi="Times New Roman"/>
          <w:color w:val="231F20"/>
          <w:sz w:val="24"/>
          <w:szCs w:val="24"/>
        </w:rPr>
        <w:t>dearon</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la</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forma</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demostrar una parte de Colombia a través de las costumbres y las tradiciones.</w:t>
      </w:r>
    </w:p>
    <w:p w:rsidR="001E71CF" w:rsidRPr="00812B6F" w:rsidRDefault="001E71CF" w:rsidP="001E71CF">
      <w:pPr>
        <w:pStyle w:val="Sinespaciado"/>
        <w:spacing w:line="360" w:lineRule="auto"/>
        <w:rPr>
          <w:rFonts w:ascii="Times New Roman" w:hAnsi="Times New Roman"/>
          <w:color w:val="231F20"/>
          <w:sz w:val="24"/>
          <w:szCs w:val="24"/>
        </w:rPr>
      </w:pPr>
    </w:p>
    <w:p w:rsidR="001E71CF" w:rsidRPr="00780A76" w:rsidRDefault="00780A76" w:rsidP="00780A76">
      <w:pPr>
        <w:pStyle w:val="Ttulo2"/>
        <w:rPr>
          <w:rFonts w:ascii="Times New Roman" w:hAnsi="Times New Roman" w:cs="Times New Roman"/>
          <w:color w:val="auto"/>
          <w:sz w:val="30"/>
          <w:szCs w:val="30"/>
        </w:rPr>
      </w:pPr>
      <w:bookmarkStart w:id="96" w:name="_Toc406754350"/>
      <w:r w:rsidRPr="00780A76">
        <w:rPr>
          <w:rFonts w:ascii="Times New Roman" w:hAnsi="Times New Roman" w:cs="Times New Roman"/>
          <w:color w:val="auto"/>
          <w:sz w:val="30"/>
          <w:szCs w:val="30"/>
        </w:rPr>
        <w:t xml:space="preserve">12.6 </w:t>
      </w:r>
      <w:r w:rsidR="001E71CF" w:rsidRPr="00780A76">
        <w:rPr>
          <w:rFonts w:ascii="Times New Roman" w:hAnsi="Times New Roman" w:cs="Times New Roman"/>
          <w:color w:val="auto"/>
          <w:sz w:val="30"/>
          <w:szCs w:val="30"/>
        </w:rPr>
        <w:t>Parques temáticos</w:t>
      </w:r>
      <w:bookmarkEnd w:id="96"/>
    </w:p>
    <w:p w:rsidR="001E71CF" w:rsidRPr="00812B6F" w:rsidRDefault="001E71CF" w:rsidP="001E71CF">
      <w:pPr>
        <w:pStyle w:val="Sinespaciado"/>
        <w:spacing w:line="360" w:lineRule="auto"/>
        <w:rPr>
          <w:rFonts w:ascii="Times New Roman" w:hAnsi="Times New Roman"/>
          <w:color w:val="231F20"/>
          <w:sz w:val="24"/>
          <w:szCs w:val="24"/>
        </w:rPr>
      </w:pPr>
    </w:p>
    <w:p w:rsidR="001E71C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t>Pionero en el desarrollo de estos complejos</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turísticos, el departamento del Quindío</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concentra gran parte de su potencial</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con el ofrecimiento de los parques Nacional</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del Café en Montenegro y el Nacional</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la</w:t>
      </w:r>
      <w:r>
        <w:rPr>
          <w:rFonts w:ascii="Times New Roman" w:hAnsi="Times New Roman"/>
          <w:color w:val="231F20"/>
          <w:sz w:val="24"/>
          <w:szCs w:val="24"/>
        </w:rPr>
        <w:t xml:space="preserve"> </w:t>
      </w:r>
      <w:r w:rsidRPr="00812B6F">
        <w:rPr>
          <w:rFonts w:ascii="Times New Roman" w:hAnsi="Times New Roman"/>
          <w:color w:val="231F20"/>
          <w:sz w:val="24"/>
          <w:szCs w:val="24"/>
        </w:rPr>
        <w:t>Cultura</w:t>
      </w:r>
      <w:r>
        <w:rPr>
          <w:rFonts w:ascii="Times New Roman" w:hAnsi="Times New Roman"/>
          <w:color w:val="231F20"/>
          <w:sz w:val="24"/>
          <w:szCs w:val="24"/>
        </w:rPr>
        <w:t xml:space="preserve"> </w:t>
      </w:r>
      <w:r w:rsidRPr="00812B6F">
        <w:rPr>
          <w:rFonts w:ascii="Times New Roman" w:hAnsi="Times New Roman"/>
          <w:color w:val="231F20"/>
          <w:sz w:val="24"/>
          <w:szCs w:val="24"/>
        </w:rPr>
        <w:t>Agropecuaria</w:t>
      </w:r>
      <w:r>
        <w:rPr>
          <w:rFonts w:ascii="Times New Roman" w:hAnsi="Times New Roman"/>
          <w:color w:val="231F20"/>
          <w:sz w:val="24"/>
          <w:szCs w:val="24"/>
        </w:rPr>
        <w:t xml:space="preserve"> </w:t>
      </w:r>
      <w:proofErr w:type="spellStart"/>
      <w:r w:rsidRPr="00812B6F">
        <w:rPr>
          <w:rFonts w:ascii="Times New Roman" w:hAnsi="Times New Roman"/>
          <w:color w:val="231F20"/>
          <w:sz w:val="24"/>
          <w:szCs w:val="24"/>
        </w:rPr>
        <w:t>Panaca</w:t>
      </w:r>
      <w:proofErr w:type="spellEnd"/>
      <w:r>
        <w:rPr>
          <w:rFonts w:ascii="Times New Roman" w:hAnsi="Times New Roman"/>
          <w:color w:val="231F20"/>
          <w:sz w:val="24"/>
          <w:szCs w:val="24"/>
        </w:rPr>
        <w:t xml:space="preserve"> </w:t>
      </w:r>
      <w:r w:rsidRPr="00812B6F">
        <w:rPr>
          <w:rFonts w:ascii="Times New Roman" w:hAnsi="Times New Roman"/>
          <w:color w:val="231F20"/>
          <w:sz w:val="24"/>
          <w:szCs w:val="24"/>
        </w:rPr>
        <w:t>en</w:t>
      </w:r>
      <w:r>
        <w:rPr>
          <w:rFonts w:ascii="Times New Roman" w:hAnsi="Times New Roman"/>
          <w:color w:val="231F20"/>
          <w:sz w:val="24"/>
          <w:szCs w:val="24"/>
        </w:rPr>
        <w:t xml:space="preserve"> </w:t>
      </w:r>
      <w:r w:rsidRPr="00812B6F">
        <w:rPr>
          <w:rFonts w:ascii="Times New Roman" w:hAnsi="Times New Roman"/>
          <w:color w:val="231F20"/>
          <w:sz w:val="24"/>
          <w:szCs w:val="24"/>
        </w:rPr>
        <w:t>Quimbaya;</w:t>
      </w:r>
      <w:r>
        <w:rPr>
          <w:rFonts w:ascii="Times New Roman" w:hAnsi="Times New Roman"/>
          <w:color w:val="231F20"/>
          <w:sz w:val="24"/>
          <w:szCs w:val="24"/>
        </w:rPr>
        <w:t xml:space="preserve"> </w:t>
      </w:r>
      <w:r w:rsidRPr="00812B6F">
        <w:rPr>
          <w:rFonts w:ascii="Times New Roman" w:hAnsi="Times New Roman"/>
          <w:color w:val="231F20"/>
          <w:sz w:val="24"/>
          <w:szCs w:val="24"/>
        </w:rPr>
        <w:t>así</w:t>
      </w:r>
      <w:r>
        <w:rPr>
          <w:rFonts w:ascii="Times New Roman" w:hAnsi="Times New Roman"/>
          <w:color w:val="231F20"/>
          <w:sz w:val="24"/>
          <w:szCs w:val="24"/>
        </w:rPr>
        <w:t xml:space="preserve"> </w:t>
      </w:r>
      <w:r w:rsidRPr="00812B6F">
        <w:rPr>
          <w:rFonts w:ascii="Times New Roman" w:hAnsi="Times New Roman"/>
          <w:color w:val="231F20"/>
          <w:sz w:val="24"/>
          <w:szCs w:val="24"/>
        </w:rPr>
        <w:t>mismo,</w:t>
      </w:r>
      <w:r>
        <w:rPr>
          <w:rFonts w:ascii="Times New Roman" w:hAnsi="Times New Roman"/>
          <w:color w:val="231F20"/>
          <w:sz w:val="24"/>
          <w:szCs w:val="24"/>
        </w:rPr>
        <w:t xml:space="preserve"> </w:t>
      </w:r>
      <w:r w:rsidRPr="00812B6F">
        <w:rPr>
          <w:rFonts w:ascii="Times New Roman" w:hAnsi="Times New Roman"/>
          <w:color w:val="231F20"/>
          <w:sz w:val="24"/>
          <w:szCs w:val="24"/>
        </w:rPr>
        <w:t>con</w:t>
      </w:r>
      <w:r>
        <w:rPr>
          <w:rFonts w:ascii="Times New Roman" w:hAnsi="Times New Roman"/>
          <w:color w:val="231F20"/>
          <w:sz w:val="24"/>
          <w:szCs w:val="24"/>
        </w:rPr>
        <w:t xml:space="preserve"> </w:t>
      </w:r>
      <w:r w:rsidRPr="00812B6F">
        <w:rPr>
          <w:rFonts w:ascii="Times New Roman" w:hAnsi="Times New Roman"/>
          <w:color w:val="231F20"/>
          <w:sz w:val="24"/>
          <w:szCs w:val="24"/>
        </w:rPr>
        <w:t>el</w:t>
      </w:r>
      <w:r>
        <w:rPr>
          <w:rFonts w:ascii="Times New Roman" w:hAnsi="Times New Roman"/>
          <w:color w:val="231F20"/>
          <w:sz w:val="24"/>
          <w:szCs w:val="24"/>
        </w:rPr>
        <w:t xml:space="preserve"> </w:t>
      </w:r>
      <w:r w:rsidRPr="00812B6F">
        <w:rPr>
          <w:rFonts w:ascii="Times New Roman" w:hAnsi="Times New Roman"/>
          <w:color w:val="231F20"/>
          <w:sz w:val="24"/>
          <w:szCs w:val="24"/>
        </w:rPr>
        <w:t>Jardín</w:t>
      </w:r>
      <w:r>
        <w:rPr>
          <w:rFonts w:ascii="Times New Roman" w:hAnsi="Times New Roman"/>
          <w:color w:val="231F20"/>
          <w:sz w:val="24"/>
          <w:szCs w:val="24"/>
        </w:rPr>
        <w:t xml:space="preserve"> </w:t>
      </w:r>
      <w:r w:rsidRPr="00812B6F">
        <w:rPr>
          <w:rFonts w:ascii="Times New Roman" w:hAnsi="Times New Roman"/>
          <w:color w:val="231F20"/>
          <w:sz w:val="24"/>
          <w:szCs w:val="24"/>
        </w:rPr>
        <w:t>Botánico</w:t>
      </w:r>
      <w:r>
        <w:rPr>
          <w:rFonts w:ascii="Times New Roman" w:hAnsi="Times New Roman"/>
          <w:color w:val="231F20"/>
          <w:sz w:val="24"/>
          <w:szCs w:val="24"/>
        </w:rPr>
        <w:t xml:space="preserve"> </w:t>
      </w:r>
      <w:r w:rsidRPr="00812B6F">
        <w:rPr>
          <w:rFonts w:ascii="Times New Roman" w:hAnsi="Times New Roman"/>
          <w:color w:val="231F20"/>
          <w:sz w:val="24"/>
          <w:szCs w:val="24"/>
        </w:rPr>
        <w:t>del</w:t>
      </w:r>
      <w:r>
        <w:rPr>
          <w:rFonts w:ascii="Times New Roman" w:hAnsi="Times New Roman"/>
          <w:color w:val="231F20"/>
          <w:sz w:val="24"/>
          <w:szCs w:val="24"/>
        </w:rPr>
        <w:t xml:space="preserve"> </w:t>
      </w:r>
      <w:r w:rsidRPr="00812B6F">
        <w:rPr>
          <w:rFonts w:ascii="Times New Roman" w:hAnsi="Times New Roman"/>
          <w:color w:val="231F20"/>
          <w:sz w:val="24"/>
          <w:szCs w:val="24"/>
        </w:rPr>
        <w:t>Quindío</w:t>
      </w:r>
      <w:r>
        <w:rPr>
          <w:rFonts w:ascii="Times New Roman" w:hAnsi="Times New Roman"/>
          <w:color w:val="231F20"/>
          <w:sz w:val="24"/>
          <w:szCs w:val="24"/>
        </w:rPr>
        <w:t xml:space="preserve"> </w:t>
      </w:r>
      <w:r w:rsidRPr="00812B6F">
        <w:rPr>
          <w:rFonts w:ascii="Times New Roman" w:hAnsi="Times New Roman"/>
          <w:color w:val="231F20"/>
          <w:sz w:val="24"/>
          <w:szCs w:val="24"/>
        </w:rPr>
        <w:t>y</w:t>
      </w:r>
      <w:r>
        <w:rPr>
          <w:rFonts w:ascii="Times New Roman" w:hAnsi="Times New Roman"/>
          <w:color w:val="231F20"/>
          <w:sz w:val="24"/>
          <w:szCs w:val="24"/>
        </w:rPr>
        <w:t xml:space="preserve"> </w:t>
      </w:r>
      <w:r w:rsidRPr="00812B6F">
        <w:rPr>
          <w:rFonts w:ascii="Times New Roman" w:hAnsi="Times New Roman"/>
          <w:color w:val="231F20"/>
          <w:sz w:val="24"/>
          <w:szCs w:val="24"/>
        </w:rPr>
        <w:t>el</w:t>
      </w:r>
      <w:r>
        <w:rPr>
          <w:rFonts w:ascii="Times New Roman" w:hAnsi="Times New Roman"/>
          <w:color w:val="231F20"/>
          <w:sz w:val="24"/>
          <w:szCs w:val="24"/>
        </w:rPr>
        <w:t xml:space="preserve"> </w:t>
      </w:r>
      <w:r w:rsidRPr="00812B6F">
        <w:rPr>
          <w:rFonts w:ascii="Times New Roman" w:hAnsi="Times New Roman"/>
          <w:color w:val="231F20"/>
          <w:sz w:val="24"/>
          <w:szCs w:val="24"/>
        </w:rPr>
        <w:t>parque</w:t>
      </w:r>
      <w:r>
        <w:rPr>
          <w:rFonts w:ascii="Times New Roman" w:hAnsi="Times New Roman"/>
          <w:color w:val="231F20"/>
          <w:sz w:val="24"/>
          <w:szCs w:val="24"/>
        </w:rPr>
        <w:t xml:space="preserve"> </w:t>
      </w:r>
      <w:r w:rsidRPr="00812B6F">
        <w:rPr>
          <w:rFonts w:ascii="Times New Roman" w:hAnsi="Times New Roman"/>
          <w:color w:val="231F20"/>
          <w:sz w:val="24"/>
          <w:szCs w:val="24"/>
        </w:rPr>
        <w:t>Recorrido</w:t>
      </w:r>
      <w:r>
        <w:rPr>
          <w:rFonts w:ascii="Times New Roman" w:hAnsi="Times New Roman"/>
          <w:color w:val="231F20"/>
          <w:sz w:val="24"/>
          <w:szCs w:val="24"/>
        </w:rPr>
        <w:t xml:space="preserve"> </w:t>
      </w:r>
      <w:r w:rsidRPr="00812B6F">
        <w:rPr>
          <w:rFonts w:ascii="Times New Roman" w:hAnsi="Times New Roman"/>
          <w:color w:val="231F20"/>
          <w:sz w:val="24"/>
          <w:szCs w:val="24"/>
        </w:rPr>
        <w:t>de la Cultura</w:t>
      </w:r>
      <w:r>
        <w:rPr>
          <w:rFonts w:ascii="Times New Roman" w:hAnsi="Times New Roman"/>
          <w:color w:val="231F20"/>
          <w:sz w:val="24"/>
          <w:szCs w:val="24"/>
        </w:rPr>
        <w:t xml:space="preserve"> </w:t>
      </w:r>
      <w:r w:rsidRPr="00812B6F">
        <w:rPr>
          <w:rFonts w:ascii="Times New Roman" w:hAnsi="Times New Roman"/>
          <w:color w:val="231F20"/>
          <w:sz w:val="24"/>
          <w:szCs w:val="24"/>
        </w:rPr>
        <w:t>Cafetera</w:t>
      </w:r>
      <w:r>
        <w:rPr>
          <w:rFonts w:ascii="Times New Roman" w:hAnsi="Times New Roman"/>
          <w:color w:val="231F20"/>
          <w:sz w:val="24"/>
          <w:szCs w:val="24"/>
        </w:rPr>
        <w:t xml:space="preserve"> </w:t>
      </w:r>
      <w:proofErr w:type="spellStart"/>
      <w:r w:rsidRPr="00812B6F">
        <w:rPr>
          <w:rFonts w:ascii="Times New Roman" w:hAnsi="Times New Roman"/>
          <w:color w:val="231F20"/>
          <w:sz w:val="24"/>
          <w:szCs w:val="24"/>
        </w:rPr>
        <w:t>Recuca</w:t>
      </w:r>
      <w:proofErr w:type="spellEnd"/>
      <w:r w:rsidRPr="00812B6F">
        <w:rPr>
          <w:rFonts w:ascii="Times New Roman" w:hAnsi="Times New Roman"/>
          <w:color w:val="231F20"/>
          <w:sz w:val="24"/>
          <w:szCs w:val="24"/>
        </w:rPr>
        <w:t>,</w:t>
      </w:r>
      <w:r>
        <w:rPr>
          <w:rFonts w:ascii="Times New Roman" w:hAnsi="Times New Roman"/>
          <w:color w:val="231F20"/>
          <w:sz w:val="24"/>
          <w:szCs w:val="24"/>
        </w:rPr>
        <w:t xml:space="preserve"> </w:t>
      </w:r>
      <w:r w:rsidRPr="00812B6F">
        <w:rPr>
          <w:rFonts w:ascii="Times New Roman" w:hAnsi="Times New Roman"/>
          <w:color w:val="231F20"/>
          <w:sz w:val="24"/>
          <w:szCs w:val="24"/>
        </w:rPr>
        <w:t>ambos</w:t>
      </w:r>
      <w:r>
        <w:rPr>
          <w:rFonts w:ascii="Times New Roman" w:hAnsi="Times New Roman"/>
          <w:color w:val="231F20"/>
          <w:sz w:val="24"/>
          <w:szCs w:val="24"/>
        </w:rPr>
        <w:t xml:space="preserve"> </w:t>
      </w:r>
      <w:r w:rsidRPr="00812B6F">
        <w:rPr>
          <w:rFonts w:ascii="Times New Roman" w:hAnsi="Times New Roman"/>
          <w:color w:val="231F20"/>
          <w:sz w:val="24"/>
          <w:szCs w:val="24"/>
        </w:rPr>
        <w:t>localizados</w:t>
      </w:r>
      <w:r>
        <w:rPr>
          <w:rFonts w:ascii="Times New Roman" w:hAnsi="Times New Roman"/>
          <w:color w:val="231F20"/>
          <w:sz w:val="24"/>
          <w:szCs w:val="24"/>
        </w:rPr>
        <w:t xml:space="preserve"> </w:t>
      </w:r>
      <w:r w:rsidRPr="00812B6F">
        <w:rPr>
          <w:rFonts w:ascii="Times New Roman" w:hAnsi="Times New Roman"/>
          <w:color w:val="231F20"/>
          <w:sz w:val="24"/>
          <w:szCs w:val="24"/>
        </w:rPr>
        <w:t>en</w:t>
      </w:r>
      <w:r>
        <w:rPr>
          <w:rFonts w:ascii="Times New Roman" w:hAnsi="Times New Roman"/>
          <w:color w:val="231F20"/>
          <w:sz w:val="24"/>
          <w:szCs w:val="24"/>
        </w:rPr>
        <w:t xml:space="preserve"> </w:t>
      </w:r>
      <w:r w:rsidRPr="00812B6F">
        <w:rPr>
          <w:rFonts w:ascii="Times New Roman" w:hAnsi="Times New Roman"/>
          <w:color w:val="231F20"/>
          <w:sz w:val="24"/>
          <w:szCs w:val="24"/>
        </w:rPr>
        <w:t>jurisdicción</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Calarcá.</w:t>
      </w:r>
    </w:p>
    <w:p w:rsidR="001E71CF" w:rsidRPr="00812B6F" w:rsidRDefault="001E71CF" w:rsidP="001E71CF">
      <w:pPr>
        <w:pStyle w:val="Sinespaciado"/>
        <w:spacing w:line="360" w:lineRule="auto"/>
        <w:ind w:firstLine="284"/>
        <w:rPr>
          <w:rFonts w:ascii="Times New Roman" w:hAnsi="Times New Roman"/>
          <w:color w:val="231F20"/>
          <w:sz w:val="24"/>
          <w:szCs w:val="24"/>
        </w:rPr>
      </w:pPr>
    </w:p>
    <w:p w:rsidR="001E71C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t>Además</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ser lugares de entretenimiento, estos</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espacios recrean en gran medida la naturaleza,</w:t>
      </w:r>
      <w:r>
        <w:rPr>
          <w:rFonts w:ascii="Times New Roman" w:hAnsi="Times New Roman"/>
          <w:color w:val="231F20"/>
          <w:sz w:val="24"/>
          <w:szCs w:val="24"/>
        </w:rPr>
        <w:t xml:space="preserve"> </w:t>
      </w:r>
      <w:r w:rsidRPr="00812B6F">
        <w:rPr>
          <w:rFonts w:ascii="Times New Roman" w:hAnsi="Times New Roman"/>
          <w:color w:val="231F20"/>
          <w:sz w:val="24"/>
          <w:szCs w:val="24"/>
        </w:rPr>
        <w:t>los</w:t>
      </w:r>
      <w:r>
        <w:rPr>
          <w:rFonts w:ascii="Times New Roman" w:hAnsi="Times New Roman"/>
          <w:color w:val="231F20"/>
          <w:sz w:val="24"/>
          <w:szCs w:val="24"/>
        </w:rPr>
        <w:t xml:space="preserve"> </w:t>
      </w:r>
      <w:r w:rsidRPr="00812B6F">
        <w:rPr>
          <w:rFonts w:ascii="Times New Roman" w:hAnsi="Times New Roman"/>
          <w:color w:val="231F20"/>
          <w:sz w:val="24"/>
          <w:szCs w:val="24"/>
        </w:rPr>
        <w:t>recursos,</w:t>
      </w:r>
      <w:r>
        <w:rPr>
          <w:rFonts w:ascii="Times New Roman" w:hAnsi="Times New Roman"/>
          <w:color w:val="231F20"/>
          <w:sz w:val="24"/>
          <w:szCs w:val="24"/>
        </w:rPr>
        <w:t xml:space="preserve"> </w:t>
      </w:r>
      <w:r w:rsidRPr="00812B6F">
        <w:rPr>
          <w:rFonts w:ascii="Times New Roman" w:hAnsi="Times New Roman"/>
          <w:color w:val="231F20"/>
          <w:sz w:val="24"/>
          <w:szCs w:val="24"/>
        </w:rPr>
        <w:t>la</w:t>
      </w:r>
      <w:r>
        <w:rPr>
          <w:rFonts w:ascii="Times New Roman" w:hAnsi="Times New Roman"/>
          <w:color w:val="231F20"/>
          <w:sz w:val="24"/>
          <w:szCs w:val="24"/>
        </w:rPr>
        <w:t xml:space="preserve"> </w:t>
      </w:r>
      <w:r w:rsidRPr="00812B6F">
        <w:rPr>
          <w:rFonts w:ascii="Times New Roman" w:hAnsi="Times New Roman"/>
          <w:color w:val="231F20"/>
          <w:sz w:val="24"/>
          <w:szCs w:val="24"/>
        </w:rPr>
        <w:t>economía</w:t>
      </w:r>
      <w:r>
        <w:rPr>
          <w:rFonts w:ascii="Times New Roman" w:hAnsi="Times New Roman"/>
          <w:color w:val="231F20"/>
          <w:sz w:val="24"/>
          <w:szCs w:val="24"/>
        </w:rPr>
        <w:t xml:space="preserve"> </w:t>
      </w:r>
      <w:r w:rsidRPr="00812B6F">
        <w:rPr>
          <w:rFonts w:ascii="Times New Roman" w:hAnsi="Times New Roman"/>
          <w:color w:val="231F20"/>
          <w:sz w:val="24"/>
          <w:szCs w:val="24"/>
        </w:rPr>
        <w:t>y</w:t>
      </w:r>
      <w:r>
        <w:rPr>
          <w:rFonts w:ascii="Times New Roman" w:hAnsi="Times New Roman"/>
          <w:color w:val="231F20"/>
          <w:sz w:val="24"/>
          <w:szCs w:val="24"/>
        </w:rPr>
        <w:t xml:space="preserve"> </w:t>
      </w:r>
      <w:r w:rsidRPr="00812B6F">
        <w:rPr>
          <w:rFonts w:ascii="Times New Roman" w:hAnsi="Times New Roman"/>
          <w:color w:val="231F20"/>
          <w:sz w:val="24"/>
          <w:szCs w:val="24"/>
        </w:rPr>
        <w:t>las</w:t>
      </w:r>
      <w:r>
        <w:rPr>
          <w:rFonts w:ascii="Times New Roman" w:hAnsi="Times New Roman"/>
          <w:color w:val="231F20"/>
          <w:sz w:val="24"/>
          <w:szCs w:val="24"/>
        </w:rPr>
        <w:t xml:space="preserve"> </w:t>
      </w:r>
      <w:r w:rsidRPr="00812B6F">
        <w:rPr>
          <w:rFonts w:ascii="Times New Roman" w:hAnsi="Times New Roman"/>
          <w:color w:val="231F20"/>
          <w:sz w:val="24"/>
          <w:szCs w:val="24"/>
        </w:rPr>
        <w:t>tradiciones</w:t>
      </w:r>
      <w:r>
        <w:rPr>
          <w:rFonts w:ascii="Times New Roman" w:hAnsi="Times New Roman"/>
          <w:color w:val="231F20"/>
          <w:sz w:val="24"/>
          <w:szCs w:val="24"/>
        </w:rPr>
        <w:t xml:space="preserve"> </w:t>
      </w:r>
      <w:proofErr w:type="spellStart"/>
      <w:r w:rsidRPr="00812B6F">
        <w:rPr>
          <w:rFonts w:ascii="Times New Roman" w:hAnsi="Times New Roman"/>
          <w:color w:val="231F20"/>
          <w:sz w:val="24"/>
          <w:szCs w:val="24"/>
        </w:rPr>
        <w:t>quindianas</w:t>
      </w:r>
      <w:proofErr w:type="spellEnd"/>
      <w:r w:rsidRPr="00812B6F">
        <w:rPr>
          <w:rFonts w:ascii="Times New Roman" w:hAnsi="Times New Roman"/>
          <w:color w:val="231F20"/>
          <w:sz w:val="24"/>
          <w:szCs w:val="24"/>
        </w:rPr>
        <w:t>.</w:t>
      </w:r>
    </w:p>
    <w:p w:rsidR="001E71CF" w:rsidRPr="00812B6F" w:rsidRDefault="001E71CF" w:rsidP="001E71CF">
      <w:pPr>
        <w:pStyle w:val="Sinespaciado"/>
        <w:spacing w:line="360" w:lineRule="auto"/>
        <w:ind w:firstLine="284"/>
        <w:rPr>
          <w:rFonts w:ascii="Times New Roman" w:hAnsi="Times New Roman"/>
          <w:color w:val="231F20"/>
          <w:sz w:val="24"/>
          <w:szCs w:val="24"/>
        </w:rPr>
      </w:pPr>
    </w:p>
    <w:p w:rsidR="001E71C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t>Es tan importante el aporte de los parques</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al sector turístico, que su visita es una actividad</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obligada en los planes de los viajeros,</w:t>
      </w:r>
      <w:r>
        <w:rPr>
          <w:rFonts w:ascii="Times New Roman" w:hAnsi="Times New Roman"/>
          <w:color w:val="231F20"/>
          <w:sz w:val="24"/>
          <w:szCs w:val="24"/>
        </w:rPr>
        <w:t xml:space="preserve"> </w:t>
      </w:r>
      <w:r w:rsidRPr="00812B6F">
        <w:rPr>
          <w:rFonts w:ascii="Times New Roman" w:hAnsi="Times New Roman"/>
          <w:color w:val="231F20"/>
          <w:sz w:val="24"/>
          <w:szCs w:val="24"/>
        </w:rPr>
        <w:t>quienes por su cuenta, o a través</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de agencias, reservan el tiempo necesario</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para obtener los servicios de los parques,</w:t>
      </w:r>
      <w:r>
        <w:rPr>
          <w:rFonts w:ascii="Times New Roman" w:hAnsi="Times New Roman"/>
          <w:color w:val="231F20"/>
          <w:sz w:val="24"/>
          <w:szCs w:val="24"/>
        </w:rPr>
        <w:t xml:space="preserve"> </w:t>
      </w:r>
      <w:r w:rsidRPr="00812B6F">
        <w:rPr>
          <w:rFonts w:ascii="Times New Roman" w:hAnsi="Times New Roman"/>
          <w:color w:val="231F20"/>
          <w:sz w:val="24"/>
          <w:szCs w:val="24"/>
        </w:rPr>
        <w:t>independientemente de que ya se</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hayan visitado en ocasiones anteriores.</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Porque, entre otras razones, dichos lugares</w:t>
      </w:r>
      <w:r>
        <w:rPr>
          <w:rFonts w:ascii="Times New Roman" w:hAnsi="Times New Roman"/>
          <w:color w:val="231F20"/>
          <w:sz w:val="24"/>
          <w:szCs w:val="24"/>
        </w:rPr>
        <w:t xml:space="preserve"> s</w:t>
      </w:r>
      <w:r w:rsidRPr="00812B6F">
        <w:rPr>
          <w:rFonts w:ascii="Times New Roman" w:hAnsi="Times New Roman"/>
          <w:color w:val="231F20"/>
          <w:sz w:val="24"/>
          <w:szCs w:val="24"/>
        </w:rPr>
        <w:t>e</w:t>
      </w:r>
      <w:r>
        <w:rPr>
          <w:rFonts w:ascii="Times New Roman" w:hAnsi="Times New Roman"/>
          <w:color w:val="231F20"/>
          <w:sz w:val="24"/>
          <w:szCs w:val="24"/>
        </w:rPr>
        <w:t xml:space="preserve"> </w:t>
      </w:r>
      <w:r w:rsidRPr="00812B6F">
        <w:rPr>
          <w:rFonts w:ascii="Times New Roman" w:hAnsi="Times New Roman"/>
          <w:color w:val="231F20"/>
          <w:sz w:val="24"/>
          <w:szCs w:val="24"/>
        </w:rPr>
        <w:t>renuevan</w:t>
      </w:r>
      <w:r>
        <w:rPr>
          <w:rFonts w:ascii="Times New Roman" w:hAnsi="Times New Roman"/>
          <w:color w:val="231F20"/>
          <w:sz w:val="24"/>
          <w:szCs w:val="24"/>
        </w:rPr>
        <w:t xml:space="preserve"> </w:t>
      </w:r>
      <w:r w:rsidRPr="00812B6F">
        <w:rPr>
          <w:rFonts w:ascii="Times New Roman" w:hAnsi="Times New Roman"/>
          <w:color w:val="231F20"/>
          <w:sz w:val="24"/>
          <w:szCs w:val="24"/>
        </w:rPr>
        <w:t>con</w:t>
      </w:r>
      <w:r>
        <w:rPr>
          <w:rFonts w:ascii="Times New Roman" w:hAnsi="Times New Roman"/>
          <w:color w:val="231F20"/>
          <w:sz w:val="24"/>
          <w:szCs w:val="24"/>
        </w:rPr>
        <w:t xml:space="preserve"> </w:t>
      </w:r>
      <w:r w:rsidRPr="00812B6F">
        <w:rPr>
          <w:rFonts w:ascii="Times New Roman" w:hAnsi="Times New Roman"/>
          <w:color w:val="231F20"/>
          <w:sz w:val="24"/>
          <w:szCs w:val="24"/>
        </w:rPr>
        <w:t>frecuencia</w:t>
      </w:r>
      <w:r>
        <w:rPr>
          <w:rFonts w:ascii="Times New Roman" w:hAnsi="Times New Roman"/>
          <w:color w:val="231F20"/>
          <w:sz w:val="24"/>
          <w:szCs w:val="24"/>
        </w:rPr>
        <w:t xml:space="preserve"> </w:t>
      </w:r>
      <w:r w:rsidRPr="00812B6F">
        <w:rPr>
          <w:rFonts w:ascii="Times New Roman" w:hAnsi="Times New Roman"/>
          <w:color w:val="231F20"/>
          <w:sz w:val="24"/>
          <w:szCs w:val="24"/>
        </w:rPr>
        <w:t>para</w:t>
      </w:r>
      <w:r>
        <w:rPr>
          <w:rFonts w:ascii="Times New Roman" w:hAnsi="Times New Roman"/>
          <w:color w:val="231F20"/>
          <w:sz w:val="24"/>
          <w:szCs w:val="24"/>
        </w:rPr>
        <w:t xml:space="preserve"> </w:t>
      </w:r>
      <w:r w:rsidRPr="00812B6F">
        <w:rPr>
          <w:rFonts w:ascii="Times New Roman" w:hAnsi="Times New Roman"/>
          <w:color w:val="231F20"/>
          <w:sz w:val="24"/>
          <w:szCs w:val="24"/>
        </w:rPr>
        <w:t>ofrecer</w:t>
      </w:r>
      <w:r>
        <w:rPr>
          <w:rFonts w:ascii="Times New Roman" w:hAnsi="Times New Roman"/>
          <w:color w:val="231F20"/>
          <w:sz w:val="24"/>
          <w:szCs w:val="24"/>
        </w:rPr>
        <w:t xml:space="preserve"> </w:t>
      </w:r>
      <w:r w:rsidRPr="00812B6F">
        <w:rPr>
          <w:rFonts w:ascii="Times New Roman" w:hAnsi="Times New Roman"/>
          <w:color w:val="231F20"/>
          <w:sz w:val="24"/>
          <w:szCs w:val="24"/>
        </w:rPr>
        <w:t>más</w:t>
      </w:r>
      <w:r>
        <w:rPr>
          <w:rFonts w:ascii="Times New Roman" w:hAnsi="Times New Roman"/>
          <w:color w:val="231F20"/>
          <w:sz w:val="24"/>
          <w:szCs w:val="24"/>
        </w:rPr>
        <w:t xml:space="preserve"> </w:t>
      </w:r>
      <w:r w:rsidRPr="00812B6F">
        <w:rPr>
          <w:rFonts w:ascii="Times New Roman" w:hAnsi="Times New Roman"/>
          <w:color w:val="231F20"/>
          <w:sz w:val="24"/>
          <w:szCs w:val="24"/>
        </w:rPr>
        <w:t>sorpresas a los visitantes.</w:t>
      </w:r>
    </w:p>
    <w:p w:rsidR="001E71CF" w:rsidRPr="00812B6F" w:rsidRDefault="001E71CF" w:rsidP="001E71CF">
      <w:pPr>
        <w:pStyle w:val="Sinespaciado"/>
        <w:spacing w:line="360" w:lineRule="auto"/>
        <w:ind w:firstLine="284"/>
        <w:rPr>
          <w:rFonts w:ascii="Times New Roman" w:hAnsi="Times New Roman"/>
          <w:color w:val="231F20"/>
          <w:sz w:val="24"/>
          <w:szCs w:val="24"/>
        </w:rPr>
      </w:pPr>
    </w:p>
    <w:p w:rsidR="001E71CF" w:rsidRDefault="001E71CF" w:rsidP="001E71CF">
      <w:pPr>
        <w:pStyle w:val="Sinespaciado"/>
        <w:spacing w:line="360" w:lineRule="auto"/>
        <w:ind w:firstLine="284"/>
        <w:rPr>
          <w:rFonts w:ascii="Times New Roman" w:hAnsi="Times New Roman"/>
          <w:color w:val="231F20"/>
          <w:sz w:val="24"/>
          <w:szCs w:val="24"/>
        </w:rPr>
      </w:pPr>
      <w:r w:rsidRPr="00812B6F">
        <w:rPr>
          <w:rFonts w:ascii="Times New Roman" w:hAnsi="Times New Roman"/>
          <w:color w:val="231F20"/>
          <w:sz w:val="24"/>
          <w:szCs w:val="24"/>
        </w:rPr>
        <w:t>El Quindío dispone de las instalaciones</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y la logística necesarias para la realización</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de convenciones empresariales.</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Hoteles, haciendas y centros vacacionales</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rodeados de viva naturaleza, reciben a menudo grupos importantes de personas, que simultáneamente  a su</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participación en eventos, asisten a los sitios</w:t>
      </w:r>
      <w:r>
        <w:rPr>
          <w:rFonts w:ascii="Times New Roman" w:hAnsi="Times New Roman"/>
          <w:color w:val="231F20"/>
          <w:sz w:val="24"/>
          <w:szCs w:val="24"/>
        </w:rPr>
        <w:t xml:space="preserve"> </w:t>
      </w:r>
      <w:r w:rsidRPr="00812B6F">
        <w:rPr>
          <w:rFonts w:ascii="Times New Roman" w:hAnsi="Times New Roman"/>
          <w:color w:val="231F20"/>
          <w:sz w:val="24"/>
          <w:szCs w:val="24"/>
        </w:rPr>
        <w:t>de interés del departamento.</w:t>
      </w:r>
      <w:r>
        <w:rPr>
          <w:rFonts w:ascii="Times New Roman" w:hAnsi="Times New Roman"/>
          <w:color w:val="231F20"/>
          <w:sz w:val="24"/>
          <w:szCs w:val="24"/>
        </w:rPr>
        <w:t xml:space="preserve"> </w:t>
      </w:r>
      <w:r w:rsidRPr="00812B6F">
        <w:rPr>
          <w:rFonts w:ascii="Times New Roman" w:hAnsi="Times New Roman"/>
          <w:color w:val="231F20"/>
          <w:sz w:val="24"/>
          <w:szCs w:val="24"/>
        </w:rPr>
        <w:t>Entre los diferentes recintos, está el moderno</w:t>
      </w:r>
      <w:r>
        <w:rPr>
          <w:rFonts w:ascii="Times New Roman" w:hAnsi="Times New Roman"/>
          <w:color w:val="231F20"/>
          <w:sz w:val="24"/>
          <w:szCs w:val="24"/>
        </w:rPr>
        <w:t xml:space="preserve"> </w:t>
      </w:r>
      <w:r w:rsidRPr="00812B6F">
        <w:rPr>
          <w:rFonts w:ascii="Times New Roman" w:hAnsi="Times New Roman"/>
          <w:color w:val="231F20"/>
          <w:sz w:val="24"/>
          <w:szCs w:val="24"/>
        </w:rPr>
        <w:t>Centro</w:t>
      </w:r>
      <w:r>
        <w:rPr>
          <w:rFonts w:ascii="Times New Roman" w:hAnsi="Times New Roman"/>
          <w:color w:val="231F20"/>
          <w:sz w:val="24"/>
          <w:szCs w:val="24"/>
        </w:rPr>
        <w:t xml:space="preserve"> </w:t>
      </w:r>
      <w:r w:rsidRPr="00812B6F">
        <w:rPr>
          <w:rFonts w:ascii="Times New Roman" w:hAnsi="Times New Roman"/>
          <w:color w:val="231F20"/>
          <w:sz w:val="24"/>
          <w:szCs w:val="24"/>
        </w:rPr>
        <w:t>Cultural</w:t>
      </w:r>
      <w:r>
        <w:rPr>
          <w:rFonts w:ascii="Times New Roman" w:hAnsi="Times New Roman"/>
          <w:color w:val="231F20"/>
          <w:sz w:val="24"/>
          <w:szCs w:val="24"/>
        </w:rPr>
        <w:t xml:space="preserve"> </w:t>
      </w:r>
      <w:r w:rsidRPr="00812B6F">
        <w:rPr>
          <w:rFonts w:ascii="Times New Roman" w:hAnsi="Times New Roman"/>
          <w:color w:val="231F20"/>
          <w:sz w:val="24"/>
          <w:szCs w:val="24"/>
        </w:rPr>
        <w:t>Metropolitano</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Armenia,</w:t>
      </w:r>
      <w:r>
        <w:rPr>
          <w:rFonts w:ascii="Times New Roman" w:hAnsi="Times New Roman"/>
          <w:color w:val="231F20"/>
          <w:sz w:val="24"/>
          <w:szCs w:val="24"/>
        </w:rPr>
        <w:t xml:space="preserve"> </w:t>
      </w:r>
      <w:r w:rsidRPr="00812B6F">
        <w:rPr>
          <w:rFonts w:ascii="Times New Roman" w:hAnsi="Times New Roman"/>
          <w:color w:val="231F20"/>
          <w:sz w:val="24"/>
          <w:szCs w:val="24"/>
        </w:rPr>
        <w:t>el más grande</w:t>
      </w:r>
      <w:r>
        <w:rPr>
          <w:rFonts w:ascii="Times New Roman" w:hAnsi="Times New Roman"/>
          <w:color w:val="231F20"/>
          <w:sz w:val="24"/>
          <w:szCs w:val="24"/>
        </w:rPr>
        <w:t xml:space="preserve"> </w:t>
      </w:r>
      <w:r w:rsidRPr="00812B6F">
        <w:rPr>
          <w:rFonts w:ascii="Times New Roman" w:hAnsi="Times New Roman"/>
          <w:color w:val="231F20"/>
          <w:sz w:val="24"/>
          <w:szCs w:val="24"/>
        </w:rPr>
        <w:t>de</w:t>
      </w:r>
      <w:r>
        <w:rPr>
          <w:rFonts w:ascii="Times New Roman" w:hAnsi="Times New Roman"/>
          <w:color w:val="231F20"/>
          <w:sz w:val="24"/>
          <w:szCs w:val="24"/>
        </w:rPr>
        <w:t xml:space="preserve"> </w:t>
      </w:r>
      <w:r w:rsidRPr="00812B6F">
        <w:rPr>
          <w:rFonts w:ascii="Times New Roman" w:hAnsi="Times New Roman"/>
          <w:color w:val="231F20"/>
          <w:sz w:val="24"/>
          <w:szCs w:val="24"/>
        </w:rPr>
        <w:t>la</w:t>
      </w:r>
      <w:r>
        <w:rPr>
          <w:rFonts w:ascii="Times New Roman" w:hAnsi="Times New Roman"/>
          <w:color w:val="231F20"/>
          <w:sz w:val="24"/>
          <w:szCs w:val="24"/>
        </w:rPr>
        <w:t xml:space="preserve"> </w:t>
      </w:r>
      <w:r w:rsidRPr="00812B6F">
        <w:rPr>
          <w:rFonts w:ascii="Times New Roman" w:hAnsi="Times New Roman"/>
          <w:color w:val="231F20"/>
          <w:sz w:val="24"/>
          <w:szCs w:val="24"/>
        </w:rPr>
        <w:t>zona</w:t>
      </w:r>
      <w:r>
        <w:rPr>
          <w:rFonts w:ascii="Times New Roman" w:hAnsi="Times New Roman"/>
          <w:color w:val="231F20"/>
          <w:sz w:val="24"/>
          <w:szCs w:val="24"/>
        </w:rPr>
        <w:t xml:space="preserve"> </w:t>
      </w:r>
      <w:r w:rsidRPr="00812B6F">
        <w:rPr>
          <w:rFonts w:ascii="Times New Roman" w:hAnsi="Times New Roman"/>
          <w:color w:val="231F20"/>
          <w:sz w:val="24"/>
          <w:szCs w:val="24"/>
        </w:rPr>
        <w:t>cafetera</w:t>
      </w:r>
      <w:r>
        <w:rPr>
          <w:rFonts w:ascii="Times New Roman" w:hAnsi="Times New Roman"/>
          <w:color w:val="231F20"/>
          <w:sz w:val="24"/>
          <w:szCs w:val="24"/>
        </w:rPr>
        <w:t xml:space="preserve"> </w:t>
      </w:r>
      <w:r w:rsidRPr="00812B6F">
        <w:rPr>
          <w:rFonts w:ascii="Times New Roman" w:hAnsi="Times New Roman"/>
          <w:color w:val="231F20"/>
          <w:sz w:val="24"/>
          <w:szCs w:val="24"/>
        </w:rPr>
        <w:t>con</w:t>
      </w:r>
      <w:r>
        <w:rPr>
          <w:rFonts w:ascii="Times New Roman" w:hAnsi="Times New Roman"/>
          <w:color w:val="231F20"/>
          <w:sz w:val="24"/>
          <w:szCs w:val="24"/>
        </w:rPr>
        <w:t xml:space="preserve"> </w:t>
      </w:r>
      <w:r w:rsidRPr="00812B6F">
        <w:rPr>
          <w:rFonts w:ascii="Times New Roman" w:hAnsi="Times New Roman"/>
          <w:color w:val="231F20"/>
          <w:sz w:val="24"/>
          <w:szCs w:val="24"/>
        </w:rPr>
        <w:t>capacidad para 1.400 personas en</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 xml:space="preserve">sus sofisticadas </w:t>
      </w:r>
      <w:r w:rsidRPr="00812B6F">
        <w:rPr>
          <w:rFonts w:ascii="Times New Roman" w:hAnsi="Times New Roman"/>
          <w:color w:val="231F20"/>
          <w:sz w:val="24"/>
          <w:szCs w:val="24"/>
        </w:rPr>
        <w:lastRenderedPageBreak/>
        <w:t>instalaciones de 15.500m2 de área total y un moderno auditorio de1.000 m2. Se obtienen aquí todas las ventajas para la reserva y desplazamiento de los</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visitantes hacia los hoteles urbanos y campestres escogidos, para que el viaje al</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Quindío sea a la vez una experiencia de</w:t>
      </w:r>
      <w:r w:rsidR="00780A76">
        <w:rPr>
          <w:rFonts w:ascii="Times New Roman" w:hAnsi="Times New Roman"/>
          <w:color w:val="231F20"/>
          <w:sz w:val="24"/>
          <w:szCs w:val="24"/>
        </w:rPr>
        <w:t xml:space="preserve"> </w:t>
      </w:r>
      <w:r w:rsidRPr="00812B6F">
        <w:rPr>
          <w:rFonts w:ascii="Times New Roman" w:hAnsi="Times New Roman"/>
          <w:color w:val="231F20"/>
          <w:sz w:val="24"/>
          <w:szCs w:val="24"/>
        </w:rPr>
        <w:t>negocios y entretención.</w:t>
      </w:r>
      <w:r w:rsidRPr="00812B6F">
        <w:rPr>
          <w:rStyle w:val="Refdenotaalpie"/>
          <w:rFonts w:ascii="Times New Roman" w:hAnsi="Times New Roman"/>
          <w:color w:val="231F20"/>
          <w:sz w:val="24"/>
          <w:szCs w:val="24"/>
        </w:rPr>
        <w:footnoteReference w:id="55"/>
      </w:r>
    </w:p>
    <w:p w:rsidR="001E71CF" w:rsidRPr="00812B6F" w:rsidRDefault="001E71CF" w:rsidP="001E71CF">
      <w:pPr>
        <w:pStyle w:val="Sinespaciado"/>
        <w:spacing w:line="360" w:lineRule="auto"/>
        <w:ind w:firstLine="284"/>
        <w:rPr>
          <w:rFonts w:ascii="Times New Roman" w:hAnsi="Times New Roman"/>
          <w:color w:val="231F20"/>
          <w:sz w:val="24"/>
          <w:szCs w:val="24"/>
        </w:rPr>
      </w:pPr>
    </w:p>
    <w:p w:rsidR="001E71CF" w:rsidRDefault="001E71CF" w:rsidP="001E71CF">
      <w:pPr>
        <w:pStyle w:val="Sinespaciado"/>
        <w:spacing w:line="360" w:lineRule="auto"/>
        <w:ind w:firstLine="284"/>
        <w:rPr>
          <w:rFonts w:ascii="Times New Roman" w:hAnsi="Times New Roman"/>
          <w:color w:val="000000"/>
          <w:sz w:val="24"/>
          <w:szCs w:val="24"/>
        </w:rPr>
      </w:pPr>
      <w:r w:rsidRPr="00812B6F">
        <w:rPr>
          <w:rFonts w:ascii="Times New Roman" w:hAnsi="Times New Roman"/>
          <w:color w:val="000000"/>
          <w:sz w:val="24"/>
          <w:szCs w:val="24"/>
        </w:rPr>
        <w:t>A nivel nacional cada vez es más relevante el turismo, el cual tiene que ser</w:t>
      </w:r>
      <w:r w:rsidR="00780A76">
        <w:rPr>
          <w:rFonts w:ascii="Times New Roman" w:hAnsi="Times New Roman"/>
          <w:color w:val="000000"/>
          <w:sz w:val="24"/>
          <w:szCs w:val="24"/>
        </w:rPr>
        <w:t xml:space="preserve"> </w:t>
      </w:r>
      <w:r w:rsidRPr="00812B6F">
        <w:rPr>
          <w:rFonts w:ascii="Times New Roman" w:hAnsi="Times New Roman"/>
          <w:color w:val="000000"/>
          <w:sz w:val="24"/>
          <w:szCs w:val="24"/>
        </w:rPr>
        <w:t>abordado de manera particular para poder desarrollarlo adecuadamente en cada</w:t>
      </w:r>
      <w:r w:rsidR="00780A76">
        <w:rPr>
          <w:rFonts w:ascii="Times New Roman" w:hAnsi="Times New Roman"/>
          <w:color w:val="000000"/>
          <w:sz w:val="24"/>
          <w:szCs w:val="24"/>
        </w:rPr>
        <w:t xml:space="preserve"> </w:t>
      </w:r>
      <w:r w:rsidRPr="00812B6F">
        <w:rPr>
          <w:rFonts w:ascii="Times New Roman" w:hAnsi="Times New Roman"/>
          <w:color w:val="000000"/>
          <w:sz w:val="24"/>
          <w:szCs w:val="24"/>
        </w:rPr>
        <w:t>lugar, y así potenciar los atractivos propios de cada una de las localidades.</w:t>
      </w:r>
      <w:r w:rsidR="00780A76">
        <w:rPr>
          <w:rFonts w:ascii="Times New Roman" w:hAnsi="Times New Roman"/>
          <w:color w:val="000000"/>
          <w:sz w:val="24"/>
          <w:szCs w:val="24"/>
        </w:rPr>
        <w:t xml:space="preserve"> </w:t>
      </w:r>
      <w:r w:rsidRPr="00812B6F">
        <w:rPr>
          <w:rFonts w:ascii="Times New Roman" w:hAnsi="Times New Roman"/>
          <w:color w:val="000000"/>
          <w:sz w:val="24"/>
          <w:szCs w:val="24"/>
        </w:rPr>
        <w:t>Con respecto a este tema se reconoce la importancia de la gestión local, tanto</w:t>
      </w:r>
      <w:r w:rsidR="00780A76">
        <w:rPr>
          <w:rFonts w:ascii="Times New Roman" w:hAnsi="Times New Roman"/>
          <w:color w:val="000000"/>
          <w:sz w:val="24"/>
          <w:szCs w:val="24"/>
        </w:rPr>
        <w:t xml:space="preserve"> </w:t>
      </w:r>
      <w:r w:rsidRPr="00812B6F">
        <w:rPr>
          <w:rFonts w:ascii="Times New Roman" w:hAnsi="Times New Roman"/>
          <w:color w:val="000000"/>
          <w:sz w:val="24"/>
          <w:szCs w:val="24"/>
        </w:rPr>
        <w:t>pública como privada, donde se debe integrar a la comunidad. Esto favorece la</w:t>
      </w:r>
      <w:r w:rsidR="00780A76">
        <w:rPr>
          <w:rFonts w:ascii="Times New Roman" w:hAnsi="Times New Roman"/>
          <w:color w:val="000000"/>
          <w:sz w:val="24"/>
          <w:szCs w:val="24"/>
        </w:rPr>
        <w:t xml:space="preserve"> </w:t>
      </w:r>
      <w:r w:rsidRPr="00812B6F">
        <w:rPr>
          <w:rFonts w:ascii="Times New Roman" w:hAnsi="Times New Roman"/>
          <w:color w:val="000000"/>
          <w:sz w:val="24"/>
          <w:szCs w:val="24"/>
        </w:rPr>
        <w:t>generación de empleo, construcción de infraestructura, creación de nuevos</w:t>
      </w:r>
      <w:r w:rsidR="00780A76">
        <w:rPr>
          <w:rFonts w:ascii="Times New Roman" w:hAnsi="Times New Roman"/>
          <w:color w:val="000000"/>
          <w:sz w:val="24"/>
          <w:szCs w:val="24"/>
        </w:rPr>
        <w:t xml:space="preserve"> </w:t>
      </w:r>
      <w:r w:rsidRPr="00812B6F">
        <w:rPr>
          <w:rFonts w:ascii="Times New Roman" w:hAnsi="Times New Roman"/>
          <w:color w:val="000000"/>
          <w:sz w:val="24"/>
          <w:szCs w:val="24"/>
        </w:rPr>
        <w:t>servicios, lo cual puede determinar un cambio de vida favorable en la población.</w:t>
      </w:r>
    </w:p>
    <w:p w:rsidR="001E71CF" w:rsidRPr="00812B6F" w:rsidRDefault="001E71CF" w:rsidP="001E71CF">
      <w:pPr>
        <w:pStyle w:val="Sinespaciado"/>
        <w:spacing w:line="360" w:lineRule="auto"/>
        <w:ind w:firstLine="284"/>
        <w:rPr>
          <w:rFonts w:ascii="Times New Roman" w:hAnsi="Times New Roman"/>
          <w:color w:val="000000"/>
          <w:sz w:val="24"/>
          <w:szCs w:val="24"/>
        </w:rPr>
      </w:pPr>
    </w:p>
    <w:p w:rsidR="001E71CF" w:rsidRDefault="001E71CF" w:rsidP="001E71CF">
      <w:pPr>
        <w:pStyle w:val="Sinespaciado"/>
        <w:spacing w:line="360" w:lineRule="auto"/>
        <w:ind w:firstLine="284"/>
        <w:rPr>
          <w:rFonts w:ascii="Times New Roman" w:hAnsi="Times New Roman"/>
          <w:color w:val="000000"/>
          <w:sz w:val="24"/>
          <w:szCs w:val="24"/>
        </w:rPr>
      </w:pPr>
      <w:r w:rsidRPr="00812B6F">
        <w:rPr>
          <w:rFonts w:ascii="Times New Roman" w:hAnsi="Times New Roman"/>
          <w:color w:val="000000"/>
          <w:sz w:val="24"/>
          <w:szCs w:val="24"/>
        </w:rPr>
        <w:t>También se aprecia la necesidad de hacer sostenible los procesos de producción y consumo, por lo que hay que tener presente las formas de usar y administrar el recurso natural y cultural por el cual se ve atraído el turista, así como los</w:t>
      </w:r>
      <w:r>
        <w:rPr>
          <w:rFonts w:ascii="Times New Roman" w:hAnsi="Times New Roman"/>
          <w:color w:val="000000"/>
          <w:sz w:val="24"/>
          <w:szCs w:val="24"/>
        </w:rPr>
        <w:t xml:space="preserve"> </w:t>
      </w:r>
      <w:r w:rsidRPr="00812B6F">
        <w:rPr>
          <w:rFonts w:ascii="Times New Roman" w:hAnsi="Times New Roman"/>
          <w:color w:val="000000"/>
          <w:sz w:val="24"/>
          <w:szCs w:val="24"/>
        </w:rPr>
        <w:t>métodos adecuados para lograrlo.</w:t>
      </w:r>
    </w:p>
    <w:p w:rsidR="001E71CF" w:rsidRPr="00812B6F" w:rsidRDefault="001E71CF" w:rsidP="001E71CF">
      <w:pPr>
        <w:pStyle w:val="Sinespaciado"/>
        <w:spacing w:line="360" w:lineRule="auto"/>
        <w:ind w:firstLine="284"/>
        <w:rPr>
          <w:rFonts w:ascii="Times New Roman" w:hAnsi="Times New Roman"/>
          <w:color w:val="000000"/>
          <w:sz w:val="24"/>
          <w:szCs w:val="24"/>
        </w:rPr>
      </w:pPr>
    </w:p>
    <w:p w:rsidR="001E71CF" w:rsidRDefault="001E71CF" w:rsidP="001E71CF">
      <w:pPr>
        <w:pStyle w:val="Sinespaciado"/>
        <w:spacing w:line="360" w:lineRule="auto"/>
        <w:ind w:firstLine="284"/>
        <w:rPr>
          <w:rFonts w:ascii="Times New Roman" w:hAnsi="Times New Roman"/>
          <w:color w:val="000000"/>
          <w:sz w:val="24"/>
          <w:szCs w:val="24"/>
        </w:rPr>
      </w:pPr>
      <w:r w:rsidRPr="00812B6F">
        <w:rPr>
          <w:rFonts w:ascii="Times New Roman" w:hAnsi="Times New Roman"/>
          <w:color w:val="000000"/>
          <w:sz w:val="24"/>
          <w:szCs w:val="24"/>
        </w:rPr>
        <w:t>Las autoridades locales son las encargadas de impulsar la actividad turística a</w:t>
      </w:r>
      <w:r w:rsidR="00780A76">
        <w:rPr>
          <w:rFonts w:ascii="Times New Roman" w:hAnsi="Times New Roman"/>
          <w:color w:val="000000"/>
          <w:sz w:val="24"/>
          <w:szCs w:val="24"/>
        </w:rPr>
        <w:t xml:space="preserve"> </w:t>
      </w:r>
      <w:r w:rsidRPr="00812B6F">
        <w:rPr>
          <w:rFonts w:ascii="Times New Roman" w:hAnsi="Times New Roman"/>
          <w:color w:val="000000"/>
          <w:sz w:val="24"/>
          <w:szCs w:val="24"/>
        </w:rPr>
        <w:t>través de una mirada integral y coherente con la estrategia de crecimiento del</w:t>
      </w:r>
      <w:r>
        <w:rPr>
          <w:rFonts w:ascii="Times New Roman" w:hAnsi="Times New Roman"/>
          <w:color w:val="000000"/>
          <w:sz w:val="24"/>
          <w:szCs w:val="24"/>
        </w:rPr>
        <w:t xml:space="preserve"> </w:t>
      </w:r>
      <w:r w:rsidRPr="00812B6F">
        <w:rPr>
          <w:rFonts w:ascii="Times New Roman" w:hAnsi="Times New Roman"/>
          <w:color w:val="000000"/>
          <w:sz w:val="24"/>
          <w:szCs w:val="24"/>
        </w:rPr>
        <w:t>turismo a nivel nacional.</w:t>
      </w:r>
    </w:p>
    <w:p w:rsidR="001E71CF" w:rsidRPr="00812B6F" w:rsidRDefault="001E71CF" w:rsidP="001E71CF">
      <w:pPr>
        <w:pStyle w:val="Sinespaciado"/>
        <w:spacing w:line="360" w:lineRule="auto"/>
        <w:ind w:firstLine="284"/>
        <w:rPr>
          <w:rFonts w:ascii="Times New Roman" w:hAnsi="Times New Roman"/>
          <w:sz w:val="24"/>
          <w:szCs w:val="24"/>
        </w:rPr>
      </w:pPr>
    </w:p>
    <w:p w:rsidR="001E71CF" w:rsidRDefault="001E71CF" w:rsidP="001E71CF">
      <w:pPr>
        <w:pStyle w:val="Sinespaciado"/>
        <w:spacing w:line="360" w:lineRule="auto"/>
        <w:ind w:firstLine="284"/>
        <w:rPr>
          <w:rFonts w:ascii="Times New Roman" w:eastAsia="Times New Roman" w:hAnsi="Times New Roman"/>
          <w:sz w:val="24"/>
          <w:szCs w:val="24"/>
          <w:lang w:eastAsia="es-ES_tradnl"/>
        </w:rPr>
      </w:pPr>
      <w:r w:rsidRPr="00812B6F">
        <w:rPr>
          <w:rFonts w:ascii="Times New Roman" w:eastAsia="Times New Roman" w:hAnsi="Times New Roman"/>
          <w:sz w:val="24"/>
          <w:szCs w:val="24"/>
          <w:lang w:eastAsia="es-ES_tradnl"/>
        </w:rPr>
        <w:t>Para planificar el desarrollo turístico del departamento, la Administración Departamental   en  su  plan  de  desarrollo  Quindío 2012- 2015, busca identificar oportunidades en los territorios quindianos</w:t>
      </w:r>
      <w:r>
        <w:rPr>
          <w:rFonts w:ascii="Times New Roman" w:eastAsia="Times New Roman" w:hAnsi="Times New Roman"/>
          <w:sz w:val="24"/>
          <w:szCs w:val="24"/>
          <w:lang w:eastAsia="es-ES_tradnl"/>
        </w:rPr>
        <w:t xml:space="preserve"> </w:t>
      </w:r>
      <w:r w:rsidRPr="00812B6F">
        <w:rPr>
          <w:rFonts w:ascii="Times New Roman" w:eastAsia="Times New Roman" w:hAnsi="Times New Roman"/>
          <w:sz w:val="24"/>
          <w:szCs w:val="24"/>
          <w:lang w:eastAsia="es-ES_tradnl"/>
        </w:rPr>
        <w:t xml:space="preserve">para intervenir en ellos y presentar su potencial a toda Colombia. A través delos Programas: </w:t>
      </w:r>
    </w:p>
    <w:p w:rsidR="001E71CF" w:rsidRPr="00812B6F" w:rsidRDefault="001E71CF" w:rsidP="009B398C">
      <w:pPr>
        <w:pStyle w:val="Sinespaciado"/>
        <w:numPr>
          <w:ilvl w:val="0"/>
          <w:numId w:val="5"/>
        </w:numPr>
        <w:spacing w:line="360" w:lineRule="auto"/>
        <w:rPr>
          <w:rFonts w:ascii="Times New Roman" w:eastAsia="Times New Roman" w:hAnsi="Times New Roman"/>
          <w:sz w:val="24"/>
          <w:szCs w:val="24"/>
          <w:lang w:eastAsia="es-ES_tradnl"/>
        </w:rPr>
      </w:pPr>
      <w:r w:rsidRPr="00812B6F">
        <w:rPr>
          <w:rFonts w:ascii="Times New Roman" w:eastAsia="Times New Roman" w:hAnsi="Times New Roman"/>
          <w:sz w:val="24"/>
          <w:szCs w:val="24"/>
          <w:lang w:eastAsia="es-ES_tradnl"/>
        </w:rPr>
        <w:t>Posicionamiento del Quindío como destino turístico de encanto</w:t>
      </w:r>
    </w:p>
    <w:p w:rsidR="001E71CF" w:rsidRPr="00812B6F" w:rsidRDefault="001E71CF" w:rsidP="009B398C">
      <w:pPr>
        <w:pStyle w:val="Sinespaciado"/>
        <w:numPr>
          <w:ilvl w:val="0"/>
          <w:numId w:val="5"/>
        </w:numPr>
        <w:spacing w:line="360" w:lineRule="auto"/>
        <w:rPr>
          <w:rFonts w:ascii="Times New Roman" w:eastAsia="Times New Roman" w:hAnsi="Times New Roman"/>
          <w:sz w:val="24"/>
          <w:szCs w:val="24"/>
          <w:lang w:eastAsia="es-ES_tradnl"/>
        </w:rPr>
      </w:pPr>
      <w:r w:rsidRPr="00812B6F">
        <w:rPr>
          <w:rFonts w:ascii="Times New Roman" w:eastAsia="Times New Roman" w:hAnsi="Times New Roman"/>
          <w:sz w:val="24"/>
          <w:szCs w:val="24"/>
          <w:lang w:eastAsia="es-ES_tradnl"/>
        </w:rPr>
        <w:t xml:space="preserve">Calidad  turística y  </w:t>
      </w:r>
    </w:p>
    <w:p w:rsidR="001E71CF" w:rsidRPr="00812B6F" w:rsidRDefault="001E71CF" w:rsidP="009B398C">
      <w:pPr>
        <w:pStyle w:val="Sinespaciado"/>
        <w:numPr>
          <w:ilvl w:val="0"/>
          <w:numId w:val="5"/>
        </w:numPr>
        <w:spacing w:line="360" w:lineRule="auto"/>
        <w:rPr>
          <w:rFonts w:ascii="Times New Roman" w:eastAsia="Times New Roman" w:hAnsi="Times New Roman"/>
          <w:sz w:val="24"/>
          <w:szCs w:val="24"/>
          <w:lang w:eastAsia="es-ES_tradnl"/>
        </w:rPr>
      </w:pPr>
      <w:r w:rsidRPr="00812B6F">
        <w:rPr>
          <w:rFonts w:ascii="Times New Roman" w:eastAsia="Times New Roman" w:hAnsi="Times New Roman"/>
          <w:sz w:val="24"/>
          <w:szCs w:val="24"/>
          <w:lang w:eastAsia="es-ES_tradnl"/>
        </w:rPr>
        <w:t>Clúster  de turismo</w:t>
      </w:r>
    </w:p>
    <w:p w:rsidR="001E71CF" w:rsidRDefault="001E71CF" w:rsidP="001E71CF">
      <w:pPr>
        <w:pStyle w:val="Sinespaciado"/>
        <w:spacing w:line="360" w:lineRule="auto"/>
        <w:rPr>
          <w:rFonts w:ascii="Times New Roman" w:eastAsia="Times New Roman" w:hAnsi="Times New Roman"/>
          <w:sz w:val="24"/>
          <w:szCs w:val="24"/>
          <w:lang w:eastAsia="es-ES_tradnl"/>
        </w:rPr>
      </w:pPr>
    </w:p>
    <w:p w:rsidR="001E71CF" w:rsidRDefault="001E71CF" w:rsidP="001E71CF">
      <w:pPr>
        <w:pStyle w:val="Sinespaciado"/>
        <w:spacing w:line="360" w:lineRule="auto"/>
        <w:ind w:firstLine="284"/>
        <w:rPr>
          <w:rFonts w:ascii="Times New Roman" w:eastAsia="Times New Roman" w:hAnsi="Times New Roman"/>
          <w:sz w:val="24"/>
          <w:szCs w:val="24"/>
          <w:lang w:eastAsia="es-ES_tradnl"/>
        </w:rPr>
      </w:pPr>
      <w:r w:rsidRPr="00812B6F">
        <w:rPr>
          <w:rFonts w:ascii="Times New Roman" w:eastAsia="Times New Roman" w:hAnsi="Times New Roman"/>
          <w:sz w:val="24"/>
          <w:szCs w:val="24"/>
          <w:lang w:eastAsia="es-ES_tradnl"/>
        </w:rPr>
        <w:t>A través de éste la secretaria de Industria Comercio y Turismo, se gestiona la implementación de planes y herramientas técnicas, aplicación de normas, obtención de estrategias, establecimiento e implementación de proyectos de mejora, formación, capacitación y acceso a recursos que redunden en buenas prácticas de calidad y sostenibilidad en el sector.</w:t>
      </w:r>
    </w:p>
    <w:p w:rsidR="002F5068" w:rsidRPr="00812B6F" w:rsidRDefault="002F5068" w:rsidP="001E71CF">
      <w:pPr>
        <w:pStyle w:val="Sinespaciado"/>
        <w:spacing w:line="360" w:lineRule="auto"/>
        <w:ind w:firstLine="284"/>
        <w:rPr>
          <w:rFonts w:ascii="Times New Roman" w:eastAsia="Times New Roman" w:hAnsi="Times New Roman"/>
          <w:sz w:val="24"/>
          <w:szCs w:val="24"/>
          <w:lang w:eastAsia="es-ES_tradnl"/>
        </w:rPr>
      </w:pPr>
    </w:p>
    <w:p w:rsidR="001E71CF" w:rsidRPr="00780A76" w:rsidRDefault="00780A76" w:rsidP="00780A76">
      <w:pPr>
        <w:pStyle w:val="Ttulo2"/>
        <w:rPr>
          <w:rFonts w:ascii="Times New Roman" w:hAnsi="Times New Roman" w:cs="Times New Roman"/>
          <w:color w:val="auto"/>
          <w:sz w:val="30"/>
          <w:szCs w:val="30"/>
        </w:rPr>
      </w:pPr>
      <w:bookmarkStart w:id="97" w:name="_Toc406754351"/>
      <w:r w:rsidRPr="00780A76">
        <w:rPr>
          <w:rFonts w:ascii="Times New Roman" w:hAnsi="Times New Roman" w:cs="Times New Roman"/>
          <w:color w:val="auto"/>
          <w:sz w:val="30"/>
          <w:szCs w:val="30"/>
        </w:rPr>
        <w:t xml:space="preserve">12.6 </w:t>
      </w:r>
      <w:r w:rsidR="001E71CF" w:rsidRPr="00780A76">
        <w:rPr>
          <w:rFonts w:ascii="Times New Roman" w:hAnsi="Times New Roman" w:cs="Times New Roman"/>
          <w:color w:val="auto"/>
          <w:sz w:val="30"/>
          <w:szCs w:val="30"/>
        </w:rPr>
        <w:t>Razones para visitar el Quindío</w:t>
      </w:r>
      <w:bookmarkEnd w:id="97"/>
    </w:p>
    <w:p w:rsidR="001E71CF" w:rsidRPr="00812B6F" w:rsidRDefault="001E71CF" w:rsidP="001E71CF">
      <w:pPr>
        <w:pStyle w:val="Sinespaciado"/>
        <w:spacing w:line="360" w:lineRule="auto"/>
        <w:rPr>
          <w:rFonts w:ascii="Times New Roman" w:hAnsi="Times New Roman"/>
          <w:b/>
          <w:sz w:val="24"/>
          <w:szCs w:val="24"/>
        </w:rPr>
      </w:pPr>
    </w:p>
    <w:p w:rsidR="001E71CF" w:rsidRPr="00812B6F" w:rsidRDefault="00E14B60" w:rsidP="001E71CF">
      <w:pPr>
        <w:pStyle w:val="Sinespaciado"/>
        <w:spacing w:line="360" w:lineRule="auto"/>
        <w:ind w:firstLine="284"/>
        <w:rPr>
          <w:rFonts w:ascii="Times New Roman" w:hAnsi="Times New Roman"/>
          <w:sz w:val="24"/>
          <w:szCs w:val="24"/>
          <w:lang w:eastAsia="es-ES_tradnl"/>
        </w:rPr>
      </w:pPr>
      <w:r>
        <w:rPr>
          <w:rFonts w:ascii="Times New Roman" w:hAnsi="Times New Roman"/>
          <w:sz w:val="24"/>
          <w:szCs w:val="24"/>
          <w:lang w:eastAsia="es-ES_tradnl"/>
        </w:rPr>
        <w:t>De acuerdo con la información consolidada por la Cámara de Comercio de Armenia y el Quindío, d</w:t>
      </w:r>
      <w:r w:rsidR="001E71CF" w:rsidRPr="00812B6F">
        <w:rPr>
          <w:rFonts w:ascii="Times New Roman" w:hAnsi="Times New Roman"/>
          <w:sz w:val="24"/>
          <w:szCs w:val="24"/>
          <w:lang w:eastAsia="es-ES_tradnl"/>
        </w:rPr>
        <w:t>entro de los motivos o argumentos que los turistas manifiestan para visitar al Quindío se resalta el descanso y visita a familiares en las temporadas de diciembre y enero (29,16%), semana santa (36,13%) y mitad de año (25%).  Para pasadía y turismo la temporada de mitad de año es la más frecuentada (38%).</w:t>
      </w:r>
    </w:p>
    <w:p w:rsidR="001E71CF" w:rsidRPr="00812B6F" w:rsidRDefault="001E71CF" w:rsidP="001E71CF">
      <w:pPr>
        <w:pStyle w:val="Sinespaciado"/>
        <w:spacing w:line="360" w:lineRule="auto"/>
        <w:rPr>
          <w:rFonts w:ascii="Times New Roman" w:hAnsi="Times New Roman"/>
          <w:sz w:val="24"/>
          <w:szCs w:val="24"/>
          <w:lang w:eastAsia="es-ES_tradnl"/>
        </w:rPr>
      </w:pPr>
    </w:p>
    <w:p w:rsidR="001E71CF" w:rsidRPr="00812B6F" w:rsidRDefault="001E71CF" w:rsidP="001E71CF">
      <w:pPr>
        <w:pStyle w:val="Sinespaciado"/>
        <w:spacing w:line="360" w:lineRule="auto"/>
        <w:ind w:firstLine="284"/>
        <w:rPr>
          <w:rFonts w:ascii="Times New Roman" w:hAnsi="Times New Roman"/>
          <w:sz w:val="24"/>
          <w:szCs w:val="24"/>
          <w:lang w:eastAsia="es-ES_tradnl"/>
        </w:rPr>
      </w:pPr>
      <w:r w:rsidRPr="00812B6F">
        <w:rPr>
          <w:rFonts w:ascii="Times New Roman" w:hAnsi="Times New Roman"/>
          <w:sz w:val="24"/>
          <w:szCs w:val="24"/>
          <w:lang w:eastAsia="es-ES_tradnl"/>
        </w:rPr>
        <w:t xml:space="preserve">El municipio más visitado es Armenia, con mayor afluencia de turistas en la temporada de semana santa (44,29%), le siguen Montenegro (24,11%) y Quimbaya (11,11%) en temporada de diciembre – enero. </w:t>
      </w:r>
    </w:p>
    <w:p w:rsidR="001E71CF" w:rsidRDefault="001E71CF" w:rsidP="001E71CF">
      <w:pPr>
        <w:pStyle w:val="Sinespaciado"/>
        <w:rPr>
          <w:rFonts w:ascii="Times New Roman" w:hAnsi="Times New Roman"/>
          <w:sz w:val="24"/>
          <w:szCs w:val="24"/>
        </w:rPr>
      </w:pPr>
    </w:p>
    <w:p w:rsidR="00780A76" w:rsidRDefault="00780A76" w:rsidP="001E71CF">
      <w:pPr>
        <w:pStyle w:val="Sinespaciado"/>
        <w:rPr>
          <w:rFonts w:ascii="Times New Roman" w:hAnsi="Times New Roman"/>
          <w:sz w:val="24"/>
          <w:szCs w:val="24"/>
        </w:rPr>
      </w:pPr>
    </w:p>
    <w:p w:rsidR="001E71CF" w:rsidRPr="001A6ECE" w:rsidRDefault="001E71CF" w:rsidP="001E71CF">
      <w:pPr>
        <w:pStyle w:val="Sinespaciado"/>
        <w:rPr>
          <w:rFonts w:ascii="Times New Roman" w:hAnsi="Times New Roman"/>
          <w:sz w:val="24"/>
          <w:szCs w:val="24"/>
        </w:rPr>
      </w:pPr>
      <w:r>
        <w:rPr>
          <w:rFonts w:ascii="Times New Roman" w:hAnsi="Times New Roman"/>
          <w:sz w:val="24"/>
          <w:szCs w:val="24"/>
        </w:rPr>
        <w:t>Tabla</w:t>
      </w:r>
      <w:r w:rsidRPr="001A6ECE">
        <w:rPr>
          <w:rFonts w:ascii="Times New Roman" w:hAnsi="Times New Roman"/>
          <w:sz w:val="24"/>
          <w:szCs w:val="24"/>
        </w:rPr>
        <w:t xml:space="preserve"> 12.3</w:t>
      </w:r>
    </w:p>
    <w:p w:rsidR="001E71CF" w:rsidRDefault="001E71CF" w:rsidP="001E71CF">
      <w:pPr>
        <w:pStyle w:val="Sinespaciado"/>
        <w:rPr>
          <w:rFonts w:ascii="Times New Roman" w:hAnsi="Times New Roman"/>
          <w:sz w:val="24"/>
          <w:szCs w:val="24"/>
        </w:rPr>
      </w:pPr>
      <w:r w:rsidRPr="001A6ECE">
        <w:rPr>
          <w:rFonts w:ascii="Times New Roman" w:hAnsi="Times New Roman"/>
          <w:sz w:val="24"/>
          <w:szCs w:val="24"/>
        </w:rPr>
        <w:t>Razones  para  visitar  el  Quindío</w:t>
      </w:r>
    </w:p>
    <w:p w:rsidR="001E71CF" w:rsidRPr="001A6ECE" w:rsidRDefault="001E71CF" w:rsidP="001E71CF">
      <w:pPr>
        <w:pStyle w:val="Sinespaciado"/>
        <w:rPr>
          <w:rFonts w:ascii="Times New Roman" w:hAnsi="Times New Roman"/>
          <w:sz w:val="24"/>
          <w:szCs w:val="24"/>
        </w:rPr>
      </w:pPr>
    </w:p>
    <w:tbl>
      <w:tblPr>
        <w:tblW w:w="8415" w:type="dxa"/>
        <w:tblInd w:w="55" w:type="dxa"/>
        <w:tblCellMar>
          <w:left w:w="70" w:type="dxa"/>
          <w:right w:w="70" w:type="dxa"/>
        </w:tblCellMar>
        <w:tblLook w:val="04A0" w:firstRow="1" w:lastRow="0" w:firstColumn="1" w:lastColumn="0" w:noHBand="0" w:noVBand="1"/>
      </w:tblPr>
      <w:tblGrid>
        <w:gridCol w:w="2373"/>
        <w:gridCol w:w="1397"/>
        <w:gridCol w:w="146"/>
        <w:gridCol w:w="590"/>
        <w:gridCol w:w="1325"/>
        <w:gridCol w:w="373"/>
        <w:gridCol w:w="807"/>
        <w:gridCol w:w="1404"/>
      </w:tblGrid>
      <w:tr w:rsidR="001E71CF" w:rsidRPr="003125A6" w:rsidTr="002F5068">
        <w:trPr>
          <w:trHeight w:val="736"/>
          <w:tblHeader/>
        </w:trPr>
        <w:tc>
          <w:tcPr>
            <w:tcW w:w="2373" w:type="dxa"/>
            <w:tcBorders>
              <w:top w:val="single" w:sz="4" w:space="0" w:color="auto"/>
              <w:bottom w:val="single" w:sz="4" w:space="0" w:color="auto"/>
            </w:tcBorders>
            <w:shd w:val="clear" w:color="auto" w:fill="auto"/>
            <w:noWrap/>
            <w:vAlign w:val="center"/>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p>
        </w:tc>
        <w:tc>
          <w:tcPr>
            <w:tcW w:w="1543" w:type="dxa"/>
            <w:gridSpan w:val="2"/>
            <w:tcBorders>
              <w:top w:val="single" w:sz="4" w:space="0" w:color="auto"/>
              <w:bottom w:val="single" w:sz="4" w:space="0" w:color="auto"/>
            </w:tcBorders>
            <w:shd w:val="clear" w:color="auto" w:fill="auto"/>
            <w:noWrap/>
            <w:vAlign w:val="center"/>
          </w:tcPr>
          <w:p w:rsidR="001E71CF" w:rsidRPr="003125A6" w:rsidRDefault="001E71CF" w:rsidP="00780A76">
            <w:pPr>
              <w:pStyle w:val="Sinespaciado"/>
              <w:jc w:val="center"/>
              <w:rPr>
                <w:rFonts w:ascii="Times New Roman" w:eastAsia="Times New Roman" w:hAnsi="Times New Roman"/>
                <w:b/>
                <w:color w:val="000000"/>
                <w:sz w:val="20"/>
                <w:szCs w:val="20"/>
                <w:lang w:val="es-MX" w:eastAsia="es-MX"/>
              </w:rPr>
            </w:pPr>
            <w:r w:rsidRPr="003125A6">
              <w:rPr>
                <w:rFonts w:ascii="Times New Roman" w:eastAsia="Times New Roman" w:hAnsi="Times New Roman"/>
                <w:b/>
                <w:color w:val="000000"/>
                <w:sz w:val="20"/>
                <w:szCs w:val="20"/>
                <w:lang w:val="es-MX" w:eastAsia="es-MX"/>
              </w:rPr>
              <w:t>Temporada                        dic.-enero</w:t>
            </w:r>
          </w:p>
        </w:tc>
        <w:tc>
          <w:tcPr>
            <w:tcW w:w="2288" w:type="dxa"/>
            <w:gridSpan w:val="3"/>
            <w:tcBorders>
              <w:top w:val="single" w:sz="4" w:space="0" w:color="auto"/>
              <w:bottom w:val="single" w:sz="4" w:space="0" w:color="auto"/>
            </w:tcBorders>
            <w:shd w:val="clear" w:color="auto" w:fill="auto"/>
            <w:noWrap/>
            <w:vAlign w:val="center"/>
          </w:tcPr>
          <w:p w:rsidR="001E71CF" w:rsidRPr="003125A6" w:rsidRDefault="001E71CF" w:rsidP="00780A76">
            <w:pPr>
              <w:pStyle w:val="Sinespaciado"/>
              <w:jc w:val="center"/>
              <w:rPr>
                <w:rFonts w:ascii="Times New Roman" w:eastAsia="Times New Roman" w:hAnsi="Times New Roman"/>
                <w:b/>
                <w:color w:val="000000"/>
                <w:sz w:val="20"/>
                <w:szCs w:val="20"/>
                <w:lang w:val="es-MX" w:eastAsia="es-MX"/>
              </w:rPr>
            </w:pPr>
            <w:r w:rsidRPr="003125A6">
              <w:rPr>
                <w:rFonts w:ascii="Times New Roman" w:eastAsia="Times New Roman" w:hAnsi="Times New Roman"/>
                <w:b/>
                <w:color w:val="000000"/>
                <w:sz w:val="20"/>
                <w:szCs w:val="20"/>
                <w:lang w:val="es-MX" w:eastAsia="es-MX"/>
              </w:rPr>
              <w:t>Temporada semana santa</w:t>
            </w:r>
          </w:p>
        </w:tc>
        <w:tc>
          <w:tcPr>
            <w:tcW w:w="2211" w:type="dxa"/>
            <w:gridSpan w:val="2"/>
            <w:tcBorders>
              <w:top w:val="single" w:sz="4" w:space="0" w:color="auto"/>
              <w:bottom w:val="single" w:sz="4" w:space="0" w:color="auto"/>
            </w:tcBorders>
            <w:shd w:val="clear" w:color="auto" w:fill="auto"/>
            <w:noWrap/>
            <w:vAlign w:val="center"/>
          </w:tcPr>
          <w:p w:rsidR="001E71CF" w:rsidRPr="003125A6" w:rsidRDefault="001E71CF" w:rsidP="00780A76">
            <w:pPr>
              <w:pStyle w:val="Sinespaciado"/>
              <w:jc w:val="center"/>
              <w:rPr>
                <w:rFonts w:ascii="Times New Roman" w:eastAsia="Times New Roman" w:hAnsi="Times New Roman"/>
                <w:b/>
                <w:color w:val="000000"/>
                <w:sz w:val="20"/>
                <w:szCs w:val="20"/>
                <w:lang w:val="es-MX" w:eastAsia="es-MX"/>
              </w:rPr>
            </w:pPr>
            <w:r w:rsidRPr="003125A6">
              <w:rPr>
                <w:rFonts w:ascii="Times New Roman" w:eastAsia="Times New Roman" w:hAnsi="Times New Roman"/>
                <w:b/>
                <w:color w:val="000000"/>
                <w:sz w:val="20"/>
                <w:szCs w:val="20"/>
                <w:lang w:val="es-MX" w:eastAsia="es-MX"/>
              </w:rPr>
              <w:t>Temporada  mitad  de  año</w:t>
            </w:r>
          </w:p>
        </w:tc>
      </w:tr>
      <w:tr w:rsidR="001E71CF" w:rsidRPr="003125A6" w:rsidTr="002F5068">
        <w:trPr>
          <w:trHeight w:val="584"/>
        </w:trPr>
        <w:tc>
          <w:tcPr>
            <w:tcW w:w="2373" w:type="dxa"/>
            <w:tcBorders>
              <w:top w:val="nil"/>
              <w:bottom w:val="nil"/>
            </w:tcBorders>
            <w:shd w:val="clear" w:color="auto" w:fill="auto"/>
            <w:noWrap/>
            <w:vAlign w:val="bottom"/>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Descanso/visita  familiares</w:t>
            </w:r>
          </w:p>
        </w:tc>
        <w:tc>
          <w:tcPr>
            <w:tcW w:w="1397" w:type="dxa"/>
            <w:tcBorders>
              <w:top w:val="nil"/>
              <w:bottom w:val="nil"/>
            </w:tcBorders>
            <w:shd w:val="clear" w:color="auto" w:fill="auto"/>
            <w:vAlign w:val="center"/>
            <w:hideMark/>
          </w:tcPr>
          <w:p w:rsidR="001E71CF" w:rsidRPr="003125A6" w:rsidRDefault="001E71CF" w:rsidP="00575447">
            <w:pPr>
              <w:pStyle w:val="Sinespaciado"/>
              <w:spacing w:line="360" w:lineRule="aut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29.16</w:t>
            </w:r>
          </w:p>
        </w:tc>
        <w:tc>
          <w:tcPr>
            <w:tcW w:w="2061" w:type="dxa"/>
            <w:gridSpan w:val="3"/>
            <w:tcBorders>
              <w:top w:val="nil"/>
              <w:bottom w:val="nil"/>
            </w:tcBorders>
            <w:shd w:val="clear" w:color="auto" w:fill="auto"/>
            <w:vAlign w:val="center"/>
            <w:hideMark/>
          </w:tcPr>
          <w:p w:rsidR="001E71CF" w:rsidRPr="003125A6" w:rsidRDefault="001E71CF" w:rsidP="00575447">
            <w:pPr>
              <w:pStyle w:val="Sinespaciado"/>
              <w:spacing w:line="360" w:lineRule="aut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36.13</w:t>
            </w:r>
          </w:p>
        </w:tc>
        <w:tc>
          <w:tcPr>
            <w:tcW w:w="2584" w:type="dxa"/>
            <w:gridSpan w:val="3"/>
            <w:tcBorders>
              <w:top w:val="nil"/>
              <w:bottom w:val="nil"/>
            </w:tcBorders>
            <w:shd w:val="clear" w:color="auto" w:fill="auto"/>
            <w:vAlign w:val="center"/>
            <w:hideMark/>
          </w:tcPr>
          <w:p w:rsidR="001E71CF" w:rsidRPr="003125A6" w:rsidRDefault="001E71CF" w:rsidP="00575447">
            <w:pPr>
              <w:pStyle w:val="Sinespaciado"/>
              <w:spacing w:line="360" w:lineRule="aut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25</w:t>
            </w:r>
          </w:p>
        </w:tc>
      </w:tr>
      <w:tr w:rsidR="001E71CF" w:rsidRPr="003125A6" w:rsidTr="002F5068">
        <w:trPr>
          <w:trHeight w:val="353"/>
        </w:trPr>
        <w:tc>
          <w:tcPr>
            <w:tcW w:w="2373" w:type="dxa"/>
            <w:tcBorders>
              <w:top w:val="nil"/>
              <w:bottom w:val="nil"/>
            </w:tcBorders>
            <w:shd w:val="clear" w:color="auto" w:fill="auto"/>
            <w:noWrap/>
            <w:vAlign w:val="bottom"/>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Parques  Temáticos</w:t>
            </w:r>
          </w:p>
        </w:tc>
        <w:tc>
          <w:tcPr>
            <w:tcW w:w="1397" w:type="dxa"/>
            <w:tcBorders>
              <w:top w:val="nil"/>
              <w:bottom w:val="nil"/>
            </w:tcBorders>
            <w:shd w:val="clear" w:color="auto" w:fill="auto"/>
            <w:noWrap/>
            <w:vAlign w:val="center"/>
            <w:hideMark/>
          </w:tcPr>
          <w:p w:rsidR="001E71CF" w:rsidRPr="003125A6" w:rsidRDefault="001E71CF" w:rsidP="00575447">
            <w:pPr>
              <w:pStyle w:val="Sinespaciado"/>
              <w:spacing w:line="360" w:lineRule="aut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29.4</w:t>
            </w:r>
          </w:p>
        </w:tc>
        <w:tc>
          <w:tcPr>
            <w:tcW w:w="2061" w:type="dxa"/>
            <w:gridSpan w:val="3"/>
            <w:tcBorders>
              <w:top w:val="nil"/>
              <w:bottom w:val="nil"/>
            </w:tcBorders>
            <w:shd w:val="clear" w:color="auto" w:fill="auto"/>
            <w:noWrap/>
            <w:vAlign w:val="center"/>
            <w:hideMark/>
          </w:tcPr>
          <w:p w:rsidR="001E71CF" w:rsidRPr="003125A6" w:rsidRDefault="001E71CF" w:rsidP="00575447">
            <w:pPr>
              <w:pStyle w:val="Sinespaciado"/>
              <w:spacing w:line="360" w:lineRule="aut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15.39</w:t>
            </w:r>
          </w:p>
        </w:tc>
        <w:tc>
          <w:tcPr>
            <w:tcW w:w="2584" w:type="dxa"/>
            <w:gridSpan w:val="3"/>
            <w:tcBorders>
              <w:top w:val="nil"/>
              <w:bottom w:val="nil"/>
            </w:tcBorders>
            <w:shd w:val="clear" w:color="auto" w:fill="auto"/>
            <w:noWrap/>
            <w:vAlign w:val="center"/>
            <w:hideMark/>
          </w:tcPr>
          <w:p w:rsidR="001E71CF" w:rsidRPr="003125A6" w:rsidRDefault="001E71CF" w:rsidP="00575447">
            <w:pPr>
              <w:pStyle w:val="Sinespaciado"/>
              <w:spacing w:line="360" w:lineRule="aut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12</w:t>
            </w:r>
          </w:p>
        </w:tc>
      </w:tr>
      <w:tr w:rsidR="001E71CF" w:rsidRPr="003125A6" w:rsidTr="002F5068">
        <w:trPr>
          <w:trHeight w:val="353"/>
        </w:trPr>
        <w:tc>
          <w:tcPr>
            <w:tcW w:w="2373" w:type="dxa"/>
            <w:tcBorders>
              <w:top w:val="nil"/>
              <w:bottom w:val="nil"/>
            </w:tcBorders>
            <w:shd w:val="clear" w:color="auto" w:fill="auto"/>
            <w:noWrap/>
            <w:vAlign w:val="bottom"/>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Cultura  Cafetera</w:t>
            </w:r>
          </w:p>
        </w:tc>
        <w:tc>
          <w:tcPr>
            <w:tcW w:w="1397" w:type="dxa"/>
            <w:tcBorders>
              <w:top w:val="nil"/>
              <w:bottom w:val="nil"/>
            </w:tcBorders>
            <w:shd w:val="clear" w:color="auto" w:fill="auto"/>
            <w:noWrap/>
            <w:vAlign w:val="center"/>
            <w:hideMark/>
          </w:tcPr>
          <w:p w:rsidR="001E71CF" w:rsidRPr="003125A6" w:rsidRDefault="001E71CF" w:rsidP="00575447">
            <w:pPr>
              <w:pStyle w:val="Sinespaciado"/>
              <w:spacing w:line="360" w:lineRule="aut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11.57</w:t>
            </w:r>
          </w:p>
        </w:tc>
        <w:tc>
          <w:tcPr>
            <w:tcW w:w="2061" w:type="dxa"/>
            <w:gridSpan w:val="3"/>
            <w:tcBorders>
              <w:top w:val="nil"/>
              <w:bottom w:val="nil"/>
            </w:tcBorders>
            <w:shd w:val="clear" w:color="auto" w:fill="auto"/>
            <w:noWrap/>
            <w:vAlign w:val="center"/>
            <w:hideMark/>
          </w:tcPr>
          <w:p w:rsidR="001E71CF" w:rsidRPr="003125A6" w:rsidRDefault="001E71CF" w:rsidP="00575447">
            <w:pPr>
              <w:pStyle w:val="Sinespaciado"/>
              <w:spacing w:line="360" w:lineRule="aut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12.98</w:t>
            </w:r>
          </w:p>
        </w:tc>
        <w:tc>
          <w:tcPr>
            <w:tcW w:w="2584" w:type="dxa"/>
            <w:gridSpan w:val="3"/>
            <w:tcBorders>
              <w:top w:val="nil"/>
              <w:bottom w:val="nil"/>
            </w:tcBorders>
            <w:shd w:val="clear" w:color="auto" w:fill="auto"/>
            <w:noWrap/>
            <w:vAlign w:val="center"/>
            <w:hideMark/>
          </w:tcPr>
          <w:p w:rsidR="001E71CF" w:rsidRPr="003125A6" w:rsidRDefault="001E71CF" w:rsidP="00575447">
            <w:pPr>
              <w:pStyle w:val="Sinespaciado"/>
              <w:spacing w:line="360" w:lineRule="auto"/>
              <w:jc w:val="center"/>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13</w:t>
            </w:r>
          </w:p>
        </w:tc>
      </w:tr>
      <w:tr w:rsidR="001E71CF" w:rsidRPr="003125A6" w:rsidTr="002F5068">
        <w:trPr>
          <w:trHeight w:val="353"/>
        </w:trPr>
        <w:tc>
          <w:tcPr>
            <w:tcW w:w="2373" w:type="dxa"/>
            <w:tcBorders>
              <w:top w:val="nil"/>
              <w:bottom w:val="nil"/>
            </w:tcBorders>
            <w:shd w:val="clear" w:color="auto" w:fill="auto"/>
            <w:noWrap/>
            <w:vAlign w:val="bottom"/>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Turismo Rural</w:t>
            </w:r>
          </w:p>
        </w:tc>
        <w:tc>
          <w:tcPr>
            <w:tcW w:w="2133" w:type="dxa"/>
            <w:gridSpan w:val="3"/>
            <w:tcBorders>
              <w:top w:val="nil"/>
              <w:bottom w:val="nil"/>
            </w:tcBorders>
            <w:shd w:val="clear" w:color="auto" w:fill="auto"/>
            <w:noWrap/>
            <w:vAlign w:val="center"/>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 xml:space="preserve">         9.67</w:t>
            </w:r>
          </w:p>
        </w:tc>
        <w:tc>
          <w:tcPr>
            <w:tcW w:w="2505" w:type="dxa"/>
            <w:gridSpan w:val="3"/>
            <w:tcBorders>
              <w:top w:val="nil"/>
              <w:bottom w:val="nil"/>
            </w:tcBorders>
            <w:shd w:val="clear" w:color="auto" w:fill="auto"/>
            <w:noWrap/>
            <w:vAlign w:val="center"/>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10.05</w:t>
            </w:r>
          </w:p>
        </w:tc>
        <w:tc>
          <w:tcPr>
            <w:tcW w:w="1404" w:type="dxa"/>
            <w:tcBorders>
              <w:top w:val="nil"/>
              <w:bottom w:val="nil"/>
            </w:tcBorders>
            <w:shd w:val="clear" w:color="auto" w:fill="auto"/>
            <w:noWrap/>
            <w:vAlign w:val="center"/>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7</w:t>
            </w:r>
          </w:p>
        </w:tc>
      </w:tr>
      <w:tr w:rsidR="001E71CF" w:rsidRPr="003125A6" w:rsidTr="002F5068">
        <w:trPr>
          <w:trHeight w:val="353"/>
        </w:trPr>
        <w:tc>
          <w:tcPr>
            <w:tcW w:w="2373" w:type="dxa"/>
            <w:tcBorders>
              <w:top w:val="nil"/>
              <w:bottom w:val="nil"/>
            </w:tcBorders>
            <w:shd w:val="clear" w:color="000000" w:fill="FFFFFF"/>
            <w:noWrap/>
            <w:vAlign w:val="bottom"/>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Pasadía/Turismo  Aventura</w:t>
            </w:r>
          </w:p>
        </w:tc>
        <w:tc>
          <w:tcPr>
            <w:tcW w:w="2133" w:type="dxa"/>
            <w:gridSpan w:val="3"/>
            <w:tcBorders>
              <w:top w:val="nil"/>
              <w:bottom w:val="nil"/>
            </w:tcBorders>
            <w:shd w:val="clear" w:color="000000" w:fill="FFFFFF"/>
            <w:noWrap/>
            <w:vAlign w:val="center"/>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 xml:space="preserve">       14.25</w:t>
            </w:r>
          </w:p>
        </w:tc>
        <w:tc>
          <w:tcPr>
            <w:tcW w:w="2505" w:type="dxa"/>
            <w:gridSpan w:val="3"/>
            <w:tcBorders>
              <w:top w:val="nil"/>
              <w:bottom w:val="nil"/>
            </w:tcBorders>
            <w:shd w:val="clear" w:color="000000" w:fill="FFFFFF"/>
            <w:noWrap/>
            <w:vAlign w:val="center"/>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20.01</w:t>
            </w:r>
          </w:p>
        </w:tc>
        <w:tc>
          <w:tcPr>
            <w:tcW w:w="1404" w:type="dxa"/>
            <w:tcBorders>
              <w:top w:val="nil"/>
              <w:bottom w:val="nil"/>
            </w:tcBorders>
            <w:shd w:val="clear" w:color="000000" w:fill="FFFFFF"/>
            <w:noWrap/>
            <w:vAlign w:val="center"/>
            <w:hideMark/>
          </w:tcPr>
          <w:p w:rsidR="001E71CF" w:rsidRPr="003125A6" w:rsidRDefault="001E71CF" w:rsidP="00575447">
            <w:pPr>
              <w:pStyle w:val="Sinespaciado"/>
              <w:spacing w:line="360" w:lineRule="auto"/>
              <w:ind w:left="-138"/>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3 8</w:t>
            </w:r>
          </w:p>
        </w:tc>
      </w:tr>
      <w:tr w:rsidR="001E71CF" w:rsidRPr="003125A6" w:rsidTr="002F5068">
        <w:trPr>
          <w:trHeight w:val="353"/>
        </w:trPr>
        <w:tc>
          <w:tcPr>
            <w:tcW w:w="2373" w:type="dxa"/>
            <w:tcBorders>
              <w:top w:val="nil"/>
              <w:bottom w:val="single" w:sz="4" w:space="0" w:color="auto"/>
            </w:tcBorders>
            <w:shd w:val="clear" w:color="auto" w:fill="auto"/>
            <w:noWrap/>
            <w:vAlign w:val="bottom"/>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Otro</w:t>
            </w:r>
          </w:p>
        </w:tc>
        <w:tc>
          <w:tcPr>
            <w:tcW w:w="2133" w:type="dxa"/>
            <w:gridSpan w:val="3"/>
            <w:tcBorders>
              <w:top w:val="nil"/>
              <w:bottom w:val="single" w:sz="4" w:space="0" w:color="auto"/>
            </w:tcBorders>
            <w:shd w:val="clear" w:color="auto" w:fill="auto"/>
            <w:noWrap/>
            <w:vAlign w:val="center"/>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 xml:space="preserve">        5.95</w:t>
            </w:r>
          </w:p>
        </w:tc>
        <w:tc>
          <w:tcPr>
            <w:tcW w:w="2505" w:type="dxa"/>
            <w:gridSpan w:val="3"/>
            <w:tcBorders>
              <w:top w:val="nil"/>
              <w:bottom w:val="single" w:sz="4" w:space="0" w:color="auto"/>
            </w:tcBorders>
            <w:shd w:val="clear" w:color="auto" w:fill="auto"/>
            <w:noWrap/>
            <w:vAlign w:val="center"/>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 xml:space="preserve"> 5.44</w:t>
            </w:r>
          </w:p>
        </w:tc>
        <w:tc>
          <w:tcPr>
            <w:tcW w:w="1404" w:type="dxa"/>
            <w:tcBorders>
              <w:top w:val="nil"/>
              <w:bottom w:val="single" w:sz="4" w:space="0" w:color="auto"/>
            </w:tcBorders>
            <w:shd w:val="clear" w:color="auto" w:fill="auto"/>
            <w:noWrap/>
            <w:vAlign w:val="center"/>
            <w:hideMark/>
          </w:tcPr>
          <w:p w:rsidR="001E71CF" w:rsidRPr="003125A6" w:rsidRDefault="001E71CF" w:rsidP="00575447">
            <w:pPr>
              <w:pStyle w:val="Sinespaciado"/>
              <w:spacing w:line="360" w:lineRule="auto"/>
              <w:rPr>
                <w:rFonts w:ascii="Times New Roman" w:eastAsia="Times New Roman" w:hAnsi="Times New Roman"/>
                <w:color w:val="000000"/>
                <w:sz w:val="20"/>
                <w:szCs w:val="20"/>
                <w:lang w:val="es-MX" w:eastAsia="es-MX"/>
              </w:rPr>
            </w:pPr>
            <w:r w:rsidRPr="003125A6">
              <w:rPr>
                <w:rFonts w:ascii="Times New Roman" w:eastAsia="Times New Roman" w:hAnsi="Times New Roman"/>
                <w:color w:val="000000"/>
                <w:sz w:val="20"/>
                <w:szCs w:val="20"/>
                <w:lang w:val="es-MX" w:eastAsia="es-MX"/>
              </w:rPr>
              <w:t>5</w:t>
            </w:r>
          </w:p>
        </w:tc>
      </w:tr>
    </w:tbl>
    <w:p w:rsidR="001E71CF" w:rsidRPr="001A6ECE" w:rsidRDefault="001E71CF" w:rsidP="001E71CF">
      <w:pPr>
        <w:pStyle w:val="Sinespaciado"/>
        <w:spacing w:line="360" w:lineRule="auto"/>
        <w:rPr>
          <w:rFonts w:ascii="Times New Roman" w:hAnsi="Times New Roman"/>
          <w:sz w:val="16"/>
          <w:szCs w:val="16"/>
        </w:rPr>
      </w:pPr>
      <w:r w:rsidRPr="001A6ECE">
        <w:rPr>
          <w:rFonts w:ascii="Times New Roman" w:eastAsia="Times New Roman" w:hAnsi="Times New Roman"/>
          <w:color w:val="000000"/>
          <w:sz w:val="16"/>
          <w:szCs w:val="16"/>
          <w:lang w:val="es-MX" w:eastAsia="es-MX"/>
        </w:rPr>
        <w:t>Fuente: Observatorio</w:t>
      </w:r>
      <w:r>
        <w:rPr>
          <w:rFonts w:ascii="Times New Roman" w:eastAsia="Times New Roman" w:hAnsi="Times New Roman"/>
          <w:color w:val="000000"/>
          <w:sz w:val="16"/>
          <w:szCs w:val="16"/>
          <w:lang w:val="es-MX" w:eastAsia="es-MX"/>
        </w:rPr>
        <w:t xml:space="preserve"> </w:t>
      </w:r>
      <w:r w:rsidRPr="001A6ECE">
        <w:rPr>
          <w:rFonts w:ascii="Times New Roman" w:eastAsia="Times New Roman" w:hAnsi="Times New Roman"/>
          <w:color w:val="000000"/>
          <w:sz w:val="16"/>
          <w:szCs w:val="16"/>
          <w:lang w:val="es-MX" w:eastAsia="es-MX"/>
        </w:rPr>
        <w:t>Turístico versión 26, Cámara de Comercio de Armenia</w:t>
      </w:r>
    </w:p>
    <w:p w:rsidR="001E71CF" w:rsidRPr="00812B6F" w:rsidRDefault="00780A76" w:rsidP="001E71CF">
      <w:pPr>
        <w:pStyle w:val="Sinespaciado"/>
        <w:rPr>
          <w:rFonts w:ascii="Times New Roman" w:hAnsi="Times New Roman"/>
          <w:sz w:val="24"/>
          <w:szCs w:val="24"/>
        </w:rPr>
      </w:pPr>
      <w:r>
        <w:rPr>
          <w:rFonts w:ascii="Times New Roman" w:hAnsi="Times New Roman"/>
          <w:sz w:val="24"/>
          <w:szCs w:val="24"/>
        </w:rPr>
        <w:lastRenderedPageBreak/>
        <w:t>Gráfico</w:t>
      </w:r>
      <w:r w:rsidR="001E71CF" w:rsidRPr="00812B6F">
        <w:rPr>
          <w:rFonts w:ascii="Times New Roman" w:hAnsi="Times New Roman"/>
          <w:sz w:val="24"/>
          <w:szCs w:val="24"/>
        </w:rPr>
        <w:t>12.3</w:t>
      </w:r>
    </w:p>
    <w:p w:rsidR="001E71CF" w:rsidRPr="00812B6F" w:rsidRDefault="001E71CF" w:rsidP="001E71CF">
      <w:pPr>
        <w:pStyle w:val="Sinespaciado"/>
        <w:rPr>
          <w:rFonts w:ascii="Times New Roman" w:hAnsi="Times New Roman"/>
          <w:sz w:val="24"/>
          <w:szCs w:val="24"/>
        </w:rPr>
      </w:pPr>
      <w:r w:rsidRPr="00812B6F">
        <w:rPr>
          <w:rFonts w:ascii="Times New Roman" w:hAnsi="Times New Roman"/>
          <w:sz w:val="24"/>
          <w:szCs w:val="24"/>
        </w:rPr>
        <w:t>Razones de Visita</w:t>
      </w:r>
    </w:p>
    <w:p w:rsidR="001E71CF" w:rsidRPr="00812B6F" w:rsidRDefault="001E71CF" w:rsidP="001E71CF">
      <w:pPr>
        <w:pStyle w:val="Sinespaciado"/>
        <w:rPr>
          <w:rFonts w:ascii="Times New Roman" w:hAnsi="Times New Roman"/>
          <w:sz w:val="24"/>
          <w:szCs w:val="24"/>
        </w:rPr>
      </w:pPr>
    </w:p>
    <w:p w:rsidR="001E71CF" w:rsidRDefault="001E71CF" w:rsidP="001E71CF">
      <w:pPr>
        <w:pStyle w:val="Sinespaciado"/>
        <w:spacing w:line="360" w:lineRule="auto"/>
        <w:rPr>
          <w:rFonts w:ascii="Times New Roman" w:eastAsia="Times New Roman" w:hAnsi="Times New Roman"/>
          <w:color w:val="000000"/>
          <w:sz w:val="16"/>
          <w:szCs w:val="16"/>
          <w:lang w:val="es-MX" w:eastAsia="es-MX"/>
        </w:rPr>
      </w:pPr>
      <w:r w:rsidRPr="00812B6F">
        <w:rPr>
          <w:rFonts w:ascii="Times New Roman" w:hAnsi="Times New Roman"/>
          <w:noProof/>
          <w:sz w:val="24"/>
          <w:szCs w:val="24"/>
          <w:lang w:val="es-CO" w:eastAsia="es-CO"/>
        </w:rPr>
        <w:drawing>
          <wp:inline distT="0" distB="0" distL="0" distR="0" wp14:anchorId="50CC57A8" wp14:editId="4A4BA5FE">
            <wp:extent cx="5600700" cy="3171825"/>
            <wp:effectExtent l="0" t="0" r="19050" b="9525"/>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E71CF" w:rsidRDefault="001E71CF" w:rsidP="001E71CF">
      <w:pPr>
        <w:pStyle w:val="Sinespaciado"/>
        <w:spacing w:line="360" w:lineRule="auto"/>
        <w:rPr>
          <w:rFonts w:ascii="Times New Roman" w:eastAsia="Times New Roman" w:hAnsi="Times New Roman"/>
          <w:color w:val="000000"/>
          <w:sz w:val="16"/>
          <w:szCs w:val="16"/>
          <w:lang w:val="es-MX" w:eastAsia="es-MX"/>
        </w:rPr>
      </w:pPr>
      <w:r w:rsidRPr="00033C23">
        <w:rPr>
          <w:rFonts w:ascii="Times New Roman" w:eastAsia="Times New Roman" w:hAnsi="Times New Roman"/>
          <w:color w:val="000000"/>
          <w:sz w:val="16"/>
          <w:szCs w:val="16"/>
          <w:lang w:val="es-MX" w:eastAsia="es-MX"/>
        </w:rPr>
        <w:t>Fuente: Observatorio Turístico versión 26, Cámara de Comercio de Armenia</w:t>
      </w:r>
    </w:p>
    <w:p w:rsidR="001E71CF" w:rsidRPr="00E0146C" w:rsidRDefault="001E71CF" w:rsidP="001E71CF">
      <w:pPr>
        <w:pStyle w:val="Sinespaciado"/>
        <w:spacing w:line="360" w:lineRule="auto"/>
        <w:rPr>
          <w:rFonts w:ascii="Times New Roman" w:eastAsia="Times New Roman" w:hAnsi="Times New Roman"/>
          <w:color w:val="000000"/>
          <w:sz w:val="24"/>
          <w:szCs w:val="24"/>
          <w:lang w:val="es-MX" w:eastAsia="es-MX"/>
        </w:rPr>
      </w:pPr>
    </w:p>
    <w:p w:rsidR="001E71CF" w:rsidRPr="00B639C4" w:rsidRDefault="001E71CF" w:rsidP="001E71CF">
      <w:pPr>
        <w:pStyle w:val="Sinespaciado"/>
        <w:rPr>
          <w:rFonts w:ascii="Times New Roman" w:hAnsi="Times New Roman"/>
          <w:sz w:val="24"/>
          <w:szCs w:val="24"/>
        </w:rPr>
      </w:pPr>
      <w:r w:rsidRPr="00B639C4">
        <w:rPr>
          <w:rFonts w:ascii="Times New Roman" w:hAnsi="Times New Roman"/>
          <w:sz w:val="24"/>
          <w:szCs w:val="24"/>
        </w:rPr>
        <w:t>Grafico 12.4</w:t>
      </w:r>
    </w:p>
    <w:p w:rsidR="001E71CF" w:rsidRPr="00B639C4" w:rsidRDefault="001E71CF" w:rsidP="001E71CF">
      <w:pPr>
        <w:pStyle w:val="Sinespaciado"/>
        <w:rPr>
          <w:rFonts w:ascii="Times New Roman" w:hAnsi="Times New Roman"/>
          <w:sz w:val="24"/>
          <w:szCs w:val="24"/>
        </w:rPr>
      </w:pPr>
      <w:r w:rsidRPr="00B639C4">
        <w:rPr>
          <w:rFonts w:ascii="Times New Roman" w:hAnsi="Times New Roman"/>
          <w:sz w:val="24"/>
          <w:szCs w:val="24"/>
        </w:rPr>
        <w:t>Municipio de Hospedaje</w:t>
      </w:r>
    </w:p>
    <w:p w:rsidR="001E71CF" w:rsidRPr="00812B6F" w:rsidRDefault="001E71CF" w:rsidP="001E71CF">
      <w:pPr>
        <w:pStyle w:val="Sinespaciado"/>
        <w:rPr>
          <w:rFonts w:ascii="Times New Roman" w:hAnsi="Times New Roman"/>
          <w:sz w:val="24"/>
          <w:szCs w:val="24"/>
        </w:rPr>
      </w:pPr>
    </w:p>
    <w:p w:rsidR="001E71CF" w:rsidRPr="00812B6F" w:rsidRDefault="001E71CF" w:rsidP="001E71CF">
      <w:pPr>
        <w:pStyle w:val="Sinespaciado"/>
        <w:spacing w:line="360" w:lineRule="auto"/>
        <w:rPr>
          <w:rFonts w:ascii="Times New Roman" w:hAnsi="Times New Roman"/>
          <w:sz w:val="24"/>
          <w:szCs w:val="24"/>
        </w:rPr>
      </w:pPr>
      <w:r w:rsidRPr="00812B6F">
        <w:rPr>
          <w:rFonts w:ascii="Times New Roman" w:hAnsi="Times New Roman"/>
          <w:noProof/>
          <w:sz w:val="24"/>
          <w:szCs w:val="24"/>
          <w:lang w:val="es-CO" w:eastAsia="es-CO"/>
        </w:rPr>
        <w:drawing>
          <wp:inline distT="0" distB="0" distL="0" distR="0" wp14:anchorId="532BD292" wp14:editId="533A07F3">
            <wp:extent cx="5505450" cy="2857500"/>
            <wp:effectExtent l="0" t="0" r="19050" b="1905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E71CF" w:rsidRPr="00812B6F" w:rsidRDefault="001E71CF" w:rsidP="001E71CF">
      <w:pPr>
        <w:pStyle w:val="Sinespaciado"/>
        <w:spacing w:line="360" w:lineRule="auto"/>
        <w:rPr>
          <w:rFonts w:ascii="Times New Roman" w:eastAsia="Times New Roman" w:hAnsi="Times New Roman"/>
          <w:color w:val="000000"/>
          <w:sz w:val="24"/>
          <w:szCs w:val="24"/>
          <w:lang w:val="es-MX" w:eastAsia="es-MX"/>
        </w:rPr>
      </w:pPr>
      <w:r w:rsidRPr="00072405">
        <w:rPr>
          <w:rFonts w:ascii="Times New Roman" w:eastAsia="Times New Roman" w:hAnsi="Times New Roman"/>
          <w:color w:val="000000"/>
          <w:sz w:val="16"/>
          <w:szCs w:val="16"/>
          <w:lang w:val="es-MX" w:eastAsia="es-MX"/>
        </w:rPr>
        <w:t>Fuente: Observatorio  Turístico  versión 26, Cámara  de   Comercio  de  Armenia</w:t>
      </w:r>
    </w:p>
    <w:p w:rsidR="001E71CF" w:rsidRPr="00812B6F" w:rsidRDefault="00A83CD2" w:rsidP="001E71CF">
      <w:pPr>
        <w:pStyle w:val="Sinespaciado"/>
        <w:spacing w:line="360" w:lineRule="auto"/>
        <w:rPr>
          <w:rFonts w:ascii="Times New Roman" w:hAnsi="Times New Roman"/>
          <w:sz w:val="24"/>
          <w:szCs w:val="24"/>
          <w:lang w:val="es-MX"/>
        </w:rPr>
      </w:pPr>
      <w:r>
        <w:rPr>
          <w:noProof/>
          <w:lang w:val="es-CO" w:eastAsia="es-CO"/>
        </w:rPr>
        <w:lastRenderedPageBreak/>
        <w:drawing>
          <wp:anchor distT="0" distB="0" distL="114300" distR="114300" simplePos="0" relativeHeight="251713536" behindDoc="0" locked="0" layoutInCell="1" allowOverlap="0" wp14:anchorId="562CB95D" wp14:editId="0CD017F4">
            <wp:simplePos x="0" y="0"/>
            <wp:positionH relativeFrom="page">
              <wp:posOffset>57150</wp:posOffset>
            </wp:positionH>
            <wp:positionV relativeFrom="page">
              <wp:posOffset>38100</wp:posOffset>
            </wp:positionV>
            <wp:extent cx="7722235" cy="10137775"/>
            <wp:effectExtent l="0" t="0" r="0" b="0"/>
            <wp:wrapNone/>
            <wp:docPr id="4128"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123"/>
                    <a:stretch>
                      <a:fillRect/>
                    </a:stretch>
                  </pic:blipFill>
                  <pic:spPr>
                    <a:xfrm>
                      <a:off x="0" y="0"/>
                      <a:ext cx="7722235" cy="10137775"/>
                    </a:xfrm>
                    <a:prstGeom prst="rect">
                      <a:avLst/>
                    </a:prstGeom>
                  </pic:spPr>
                </pic:pic>
              </a:graphicData>
            </a:graphic>
            <wp14:sizeRelV relativeFrom="margin">
              <wp14:pctHeight>0</wp14:pctHeight>
            </wp14:sizeRelV>
          </wp:anchor>
        </w:drawing>
      </w:r>
    </w:p>
    <w:p w:rsidR="001E71CF" w:rsidRPr="00812B6F" w:rsidRDefault="001E71CF" w:rsidP="001E71CF">
      <w:pPr>
        <w:pStyle w:val="Sinespaciado"/>
        <w:spacing w:line="360" w:lineRule="auto"/>
        <w:rPr>
          <w:rFonts w:ascii="Times New Roman" w:hAnsi="Times New Roman"/>
          <w:sz w:val="24"/>
          <w:szCs w:val="24"/>
          <w:lang w:val="es-MX"/>
        </w:rPr>
      </w:pPr>
    </w:p>
    <w:p w:rsidR="001E71CF" w:rsidRDefault="001E71CF"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Pr="006F37B7" w:rsidRDefault="006F37B7" w:rsidP="006F37B7">
      <w:pPr>
        <w:pStyle w:val="Ttulo1"/>
        <w:ind w:left="2124"/>
        <w:rPr>
          <w:rFonts w:ascii="Times New Roman" w:hAnsi="Times New Roman"/>
        </w:rPr>
      </w:pPr>
      <w:bookmarkStart w:id="98" w:name="_Toc406754352"/>
      <w:r w:rsidRPr="006F37B7">
        <w:rPr>
          <w:rFonts w:ascii="Times New Roman" w:hAnsi="Times New Roman"/>
        </w:rPr>
        <w:t>13.  Deporte y Recreación</w:t>
      </w:r>
      <w:bookmarkEnd w:id="98"/>
    </w:p>
    <w:p w:rsidR="001E71CF" w:rsidRPr="00812B6F" w:rsidRDefault="001E71CF" w:rsidP="001E71CF">
      <w:pPr>
        <w:pStyle w:val="Sinespaciado"/>
        <w:spacing w:line="360" w:lineRule="auto"/>
        <w:rPr>
          <w:rFonts w:ascii="Times New Roman" w:hAnsi="Times New Roman"/>
          <w:sz w:val="24"/>
          <w:szCs w:val="24"/>
        </w:rPr>
      </w:pPr>
    </w:p>
    <w:p w:rsidR="001E71CF" w:rsidRPr="00812B6F" w:rsidRDefault="001E71CF" w:rsidP="001E71CF">
      <w:pPr>
        <w:pStyle w:val="Sinespaciado"/>
        <w:spacing w:line="360" w:lineRule="auto"/>
        <w:rPr>
          <w:rFonts w:ascii="Times New Roman" w:hAnsi="Times New Roman"/>
          <w:sz w:val="24"/>
          <w:szCs w:val="24"/>
        </w:rPr>
      </w:pPr>
    </w:p>
    <w:p w:rsidR="001E71CF" w:rsidRPr="00812B6F" w:rsidRDefault="001E71CF" w:rsidP="001E71CF">
      <w:pPr>
        <w:pStyle w:val="Sinespaciado"/>
        <w:spacing w:line="360" w:lineRule="auto"/>
        <w:rPr>
          <w:rFonts w:ascii="Times New Roman" w:hAnsi="Times New Roman"/>
          <w:sz w:val="24"/>
          <w:szCs w:val="24"/>
        </w:rPr>
      </w:pPr>
    </w:p>
    <w:p w:rsidR="001E71CF" w:rsidRPr="00812B6F" w:rsidRDefault="001E71CF" w:rsidP="001E71CF">
      <w:pPr>
        <w:pStyle w:val="Sinespaciado"/>
        <w:spacing w:line="360" w:lineRule="auto"/>
        <w:rPr>
          <w:rFonts w:ascii="Times New Roman" w:hAnsi="Times New Roman"/>
          <w:sz w:val="24"/>
          <w:szCs w:val="24"/>
        </w:rPr>
      </w:pPr>
    </w:p>
    <w:p w:rsidR="001E71CF" w:rsidRDefault="001E71CF"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6F37B7" w:rsidRDefault="006F37B7" w:rsidP="001E71CF">
      <w:pPr>
        <w:pStyle w:val="Sinespaciado"/>
        <w:spacing w:line="360" w:lineRule="auto"/>
        <w:rPr>
          <w:rFonts w:ascii="Times New Roman" w:hAnsi="Times New Roman"/>
          <w:sz w:val="24"/>
          <w:szCs w:val="24"/>
        </w:rPr>
      </w:pPr>
    </w:p>
    <w:p w:rsidR="001C2EB1" w:rsidRPr="008272D0" w:rsidRDefault="001C2EB1" w:rsidP="001C2EB1">
      <w:pPr>
        <w:pStyle w:val="Sinespaciado"/>
        <w:tabs>
          <w:tab w:val="left" w:pos="284"/>
        </w:tabs>
        <w:spacing w:line="360" w:lineRule="auto"/>
        <w:ind w:firstLine="284"/>
        <w:rPr>
          <w:rFonts w:ascii="Times New Roman" w:eastAsia="Times New Roman" w:hAnsi="Times New Roman"/>
          <w:sz w:val="24"/>
          <w:szCs w:val="24"/>
          <w:lang w:eastAsia="es-CO"/>
        </w:rPr>
      </w:pPr>
      <w:r w:rsidRPr="008272D0">
        <w:rPr>
          <w:rFonts w:ascii="Times New Roman" w:hAnsi="Times New Roman"/>
          <w:sz w:val="24"/>
          <w:szCs w:val="24"/>
          <w:shd w:val="clear" w:color="auto" w:fill="FFFFFF"/>
        </w:rPr>
        <w:lastRenderedPageBreak/>
        <w:t>La búsqueda del bienestar y la calidad de vida como propósitos esenciales del Estado Social de Derecho</w:t>
      </w:r>
      <w:r w:rsidRPr="008272D0">
        <w:rPr>
          <w:rStyle w:val="Refdenotaalpie"/>
          <w:rFonts w:ascii="Times New Roman" w:hAnsi="Times New Roman"/>
          <w:sz w:val="24"/>
          <w:szCs w:val="24"/>
          <w:shd w:val="clear" w:color="auto" w:fill="FFFFFF"/>
        </w:rPr>
        <w:footnoteReference w:id="56"/>
      </w:r>
      <w:r w:rsidRPr="008272D0">
        <w:rPr>
          <w:rFonts w:ascii="Times New Roman" w:hAnsi="Times New Roman"/>
          <w:sz w:val="24"/>
          <w:szCs w:val="24"/>
          <w:shd w:val="clear" w:color="auto" w:fill="FFFFFF"/>
        </w:rPr>
        <w:t>, reconocen al deporte como un nuevo derecho social en el marco de los derechos humanos</w:t>
      </w:r>
      <w:r w:rsidRPr="008272D0">
        <w:rPr>
          <w:rStyle w:val="Refdenotaalpie"/>
          <w:rFonts w:ascii="Times New Roman" w:hAnsi="Times New Roman"/>
          <w:sz w:val="24"/>
          <w:szCs w:val="24"/>
          <w:shd w:val="clear" w:color="auto" w:fill="FFFFFF"/>
        </w:rPr>
        <w:footnoteReference w:id="57"/>
      </w:r>
      <w:r w:rsidRPr="008272D0">
        <w:rPr>
          <w:rFonts w:ascii="Times New Roman" w:hAnsi="Times New Roman"/>
          <w:sz w:val="24"/>
          <w:szCs w:val="24"/>
          <w:shd w:val="clear" w:color="auto" w:fill="FFFFFF"/>
        </w:rPr>
        <w:t>. Para garantizar este derecho es necesario promover la recreación y la actividad física en aquellas expresiones que contribuyan a los fines sociales del deporte.</w:t>
      </w:r>
      <w:r w:rsidR="006F54E4">
        <w:rPr>
          <w:rFonts w:ascii="Times New Roman" w:hAnsi="Times New Roman"/>
          <w:sz w:val="24"/>
          <w:szCs w:val="24"/>
          <w:shd w:val="clear" w:color="auto" w:fill="FFFFFF"/>
        </w:rPr>
        <w:t xml:space="preserve"> </w:t>
      </w:r>
      <w:r w:rsidRPr="008272D0">
        <w:rPr>
          <w:rFonts w:ascii="Times New Roman" w:eastAsia="Times New Roman" w:hAnsi="Times New Roman"/>
          <w:sz w:val="24"/>
          <w:szCs w:val="24"/>
          <w:lang w:eastAsia="es-CO"/>
        </w:rPr>
        <w:t xml:space="preserve">La concepción del Estado para contemplar este derecho reconoce simultáneamente que, con su promoción y fomento se incide positivamente en el bienestar, la educación, la salud, la cultura y el fortalecimiento del tejido social, la paz y la convivencia ciudadana. </w:t>
      </w:r>
    </w:p>
    <w:p w:rsidR="001C2EB1" w:rsidRPr="008272D0" w:rsidRDefault="001C2EB1" w:rsidP="001C2EB1">
      <w:pPr>
        <w:pStyle w:val="Sinespaciado"/>
        <w:tabs>
          <w:tab w:val="left" w:pos="284"/>
        </w:tabs>
        <w:spacing w:line="360" w:lineRule="auto"/>
        <w:ind w:firstLine="284"/>
        <w:rPr>
          <w:rFonts w:ascii="Times New Roman" w:hAnsi="Times New Roman"/>
          <w:sz w:val="24"/>
          <w:szCs w:val="24"/>
          <w:shd w:val="clear" w:color="auto" w:fill="FFFFFF"/>
        </w:rPr>
      </w:pPr>
    </w:p>
    <w:p w:rsidR="001C2EB1" w:rsidRPr="008272D0" w:rsidRDefault="001C2EB1" w:rsidP="001C2EB1">
      <w:pPr>
        <w:pStyle w:val="Sinespaciado"/>
        <w:tabs>
          <w:tab w:val="left" w:pos="284"/>
        </w:tabs>
        <w:spacing w:line="360" w:lineRule="auto"/>
        <w:ind w:firstLine="284"/>
        <w:rPr>
          <w:rFonts w:ascii="Times New Roman" w:hAnsi="Times New Roman"/>
          <w:sz w:val="24"/>
          <w:szCs w:val="24"/>
        </w:rPr>
      </w:pPr>
      <w:r w:rsidRPr="008272D0">
        <w:rPr>
          <w:rFonts w:ascii="Times New Roman" w:hAnsi="Times New Roman"/>
          <w:sz w:val="24"/>
          <w:szCs w:val="24"/>
          <w:shd w:val="clear" w:color="auto" w:fill="FFFFFF"/>
        </w:rPr>
        <w:t>En</w:t>
      </w:r>
      <w:r w:rsidRPr="008272D0">
        <w:rPr>
          <w:rFonts w:ascii="Times New Roman" w:hAnsi="Times New Roman"/>
          <w:sz w:val="24"/>
          <w:szCs w:val="24"/>
        </w:rPr>
        <w:t xml:space="preserve"> el momento, el departamento cuenta con una infraestructura para la práctica de la recreación y el deporte; es de anotar que existen polideportivos tanto en el área rural como urbana, además un coliseo en donde se pueden llevar a cabo actividades de esparcimiento, cultura y deporte. Entre tanto, distribuidos en todo el departamento se hallan ubicados 199 polideportivos que, en términos generales, están en buen estado; así mismo, todos los municipios cuentan  con  canchas de fútbol.</w:t>
      </w:r>
    </w:p>
    <w:p w:rsidR="001C2EB1" w:rsidRPr="008272D0" w:rsidRDefault="001C2EB1" w:rsidP="001C2EB1">
      <w:pPr>
        <w:pStyle w:val="Sinespaciado"/>
        <w:spacing w:line="360" w:lineRule="auto"/>
        <w:rPr>
          <w:rFonts w:ascii="Times New Roman" w:hAnsi="Times New Roman"/>
          <w:sz w:val="24"/>
          <w:szCs w:val="24"/>
        </w:rPr>
      </w:pPr>
    </w:p>
    <w:p w:rsidR="001C2EB1" w:rsidRPr="001C2EB1" w:rsidRDefault="001C2EB1" w:rsidP="001C2EB1">
      <w:pPr>
        <w:pStyle w:val="Ttulo2"/>
        <w:rPr>
          <w:rFonts w:ascii="Times New Roman" w:hAnsi="Times New Roman" w:cs="Times New Roman"/>
          <w:color w:val="auto"/>
          <w:sz w:val="30"/>
          <w:szCs w:val="30"/>
        </w:rPr>
      </w:pPr>
      <w:bookmarkStart w:id="99" w:name="_Toc406754353"/>
      <w:r w:rsidRPr="001C2EB1">
        <w:rPr>
          <w:rFonts w:ascii="Times New Roman" w:hAnsi="Times New Roman" w:cs="Times New Roman"/>
          <w:color w:val="auto"/>
          <w:sz w:val="30"/>
          <w:szCs w:val="30"/>
        </w:rPr>
        <w:t>13.1 Infraestructura Deportiva Departamental</w:t>
      </w:r>
      <w:bookmarkEnd w:id="99"/>
    </w:p>
    <w:p w:rsidR="001C2EB1" w:rsidRPr="008272D0" w:rsidRDefault="001C2EB1" w:rsidP="001C2EB1">
      <w:pPr>
        <w:pStyle w:val="Sinespaciado"/>
        <w:spacing w:line="360" w:lineRule="auto"/>
        <w:rPr>
          <w:rFonts w:ascii="Times New Roman" w:hAnsi="Times New Roman"/>
          <w:sz w:val="24"/>
          <w:szCs w:val="24"/>
        </w:rPr>
      </w:pPr>
    </w:p>
    <w:p w:rsidR="001C2EB1" w:rsidRPr="008272D0" w:rsidRDefault="001C2EB1" w:rsidP="001C2EB1">
      <w:pPr>
        <w:pStyle w:val="Sinespaciado"/>
        <w:spacing w:line="360" w:lineRule="auto"/>
        <w:ind w:firstLine="284"/>
        <w:rPr>
          <w:rFonts w:ascii="Times New Roman" w:hAnsi="Times New Roman"/>
          <w:sz w:val="24"/>
          <w:szCs w:val="24"/>
        </w:rPr>
      </w:pPr>
      <w:r w:rsidRPr="008272D0">
        <w:rPr>
          <w:rFonts w:ascii="Times New Roman" w:hAnsi="Times New Roman"/>
          <w:sz w:val="24"/>
          <w:szCs w:val="24"/>
        </w:rPr>
        <w:t xml:space="preserve">Aprovechando el estado de los escenarios deportivos, estos muy bien pueden ser aprovechados en la promoción de prácticas deportivas y recreacionales que contribuyen a la promoción de una vida saludable y a la prevención de consumo de sustancias psicoactivas y alcohol. </w:t>
      </w:r>
    </w:p>
    <w:p w:rsidR="001C2EB1" w:rsidRPr="008272D0" w:rsidRDefault="001C2EB1" w:rsidP="001C2EB1">
      <w:pPr>
        <w:pStyle w:val="Sinespaciado"/>
        <w:spacing w:line="360" w:lineRule="auto"/>
        <w:ind w:firstLine="284"/>
        <w:rPr>
          <w:rFonts w:ascii="Times New Roman" w:hAnsi="Times New Roman"/>
          <w:sz w:val="24"/>
          <w:szCs w:val="24"/>
        </w:rPr>
      </w:pPr>
    </w:p>
    <w:p w:rsidR="001C2EB1" w:rsidRPr="008272D0" w:rsidRDefault="001C2EB1" w:rsidP="001C2EB1">
      <w:pPr>
        <w:pStyle w:val="Sinespaciado"/>
        <w:spacing w:line="360" w:lineRule="auto"/>
        <w:ind w:firstLine="284"/>
        <w:rPr>
          <w:rFonts w:ascii="Times New Roman" w:hAnsi="Times New Roman"/>
          <w:sz w:val="24"/>
          <w:szCs w:val="24"/>
        </w:rPr>
      </w:pPr>
      <w:r w:rsidRPr="008272D0">
        <w:rPr>
          <w:rFonts w:ascii="Times New Roman" w:hAnsi="Times New Roman"/>
          <w:sz w:val="24"/>
          <w:szCs w:val="24"/>
        </w:rPr>
        <w:t>Actualmente  el  Departamento cuenta con 34  ligas  deportivas;   dentro  de  ellas,  solo  7 equivalentes al 20.6% se encuentran  al  día  con  los  requerimientos del orden  administrativo  y  jurídico,  el  número  de  afiliados  es  de  32000  aproximadamente,  de  los  cuales  el  60% corresponden  a  deportistas  afiliados  a  la  liga  de  futbol.</w:t>
      </w:r>
      <w:r w:rsidRPr="008272D0">
        <w:rPr>
          <w:rStyle w:val="Refdenotaalpie"/>
          <w:rFonts w:ascii="Times New Roman" w:hAnsi="Times New Roman"/>
          <w:sz w:val="24"/>
          <w:szCs w:val="24"/>
        </w:rPr>
        <w:footnoteReference w:id="58"/>
      </w:r>
    </w:p>
    <w:p w:rsidR="001C2EB1" w:rsidRPr="008272D0" w:rsidRDefault="001C2EB1" w:rsidP="001C2EB1">
      <w:pPr>
        <w:pStyle w:val="Sinespaciado"/>
        <w:spacing w:line="360" w:lineRule="auto"/>
        <w:ind w:firstLine="284"/>
        <w:rPr>
          <w:rFonts w:ascii="Times New Roman" w:hAnsi="Times New Roman"/>
          <w:sz w:val="24"/>
          <w:szCs w:val="24"/>
        </w:rPr>
      </w:pPr>
    </w:p>
    <w:p w:rsidR="001C2EB1" w:rsidRPr="008272D0" w:rsidRDefault="001C2EB1" w:rsidP="001C2EB1">
      <w:pPr>
        <w:pStyle w:val="Sinespaciado"/>
        <w:spacing w:line="360" w:lineRule="auto"/>
        <w:ind w:firstLine="284"/>
        <w:rPr>
          <w:rFonts w:ascii="Times New Roman" w:hAnsi="Times New Roman"/>
          <w:sz w:val="24"/>
          <w:szCs w:val="24"/>
        </w:rPr>
      </w:pPr>
      <w:r w:rsidRPr="008272D0">
        <w:rPr>
          <w:rFonts w:ascii="Times New Roman" w:hAnsi="Times New Roman"/>
          <w:sz w:val="24"/>
          <w:szCs w:val="24"/>
        </w:rPr>
        <w:t>En  el  plan  de  desarrollo  2012-2015  en  el  articulado  de recreación  y  actividad  física se  plantea  en  el  componente  estratégico tres programas:</w:t>
      </w:r>
    </w:p>
    <w:p w:rsidR="001C2EB1" w:rsidRPr="008272D0" w:rsidRDefault="001C2EB1" w:rsidP="001C2EB1">
      <w:pPr>
        <w:pStyle w:val="Sinespaciado"/>
        <w:spacing w:line="360" w:lineRule="auto"/>
        <w:rPr>
          <w:rFonts w:ascii="Times New Roman" w:hAnsi="Times New Roman"/>
          <w:sz w:val="24"/>
          <w:szCs w:val="24"/>
        </w:rPr>
      </w:pPr>
    </w:p>
    <w:p w:rsidR="001C2EB1" w:rsidRPr="008272D0" w:rsidRDefault="001C2EB1" w:rsidP="009B398C">
      <w:pPr>
        <w:pStyle w:val="Sinespaciado"/>
        <w:numPr>
          <w:ilvl w:val="0"/>
          <w:numId w:val="7"/>
        </w:numPr>
        <w:spacing w:line="360" w:lineRule="auto"/>
        <w:rPr>
          <w:rFonts w:ascii="Times New Roman" w:hAnsi="Times New Roman"/>
          <w:sz w:val="24"/>
          <w:szCs w:val="24"/>
        </w:rPr>
      </w:pPr>
      <w:r w:rsidRPr="008272D0">
        <w:rPr>
          <w:rFonts w:ascii="Times New Roman" w:hAnsi="Times New Roman"/>
          <w:sz w:val="24"/>
          <w:szCs w:val="24"/>
        </w:rPr>
        <w:t>Rescate del deporte asociado orientado a altos logros.</w:t>
      </w:r>
    </w:p>
    <w:p w:rsidR="001C2EB1" w:rsidRPr="008272D0" w:rsidRDefault="001C2EB1" w:rsidP="009B398C">
      <w:pPr>
        <w:pStyle w:val="Sinespaciado"/>
        <w:numPr>
          <w:ilvl w:val="0"/>
          <w:numId w:val="7"/>
        </w:numPr>
        <w:spacing w:line="360" w:lineRule="auto"/>
        <w:rPr>
          <w:rFonts w:ascii="Times New Roman" w:hAnsi="Times New Roman"/>
          <w:sz w:val="24"/>
          <w:szCs w:val="24"/>
        </w:rPr>
      </w:pPr>
      <w:r w:rsidRPr="008272D0">
        <w:rPr>
          <w:rFonts w:ascii="Times New Roman" w:hAnsi="Times New Roman"/>
          <w:sz w:val="24"/>
          <w:szCs w:val="24"/>
        </w:rPr>
        <w:t>La recreación base social</w:t>
      </w:r>
    </w:p>
    <w:p w:rsidR="001C2EB1" w:rsidRPr="008272D0" w:rsidRDefault="001C2EB1" w:rsidP="009B398C">
      <w:pPr>
        <w:pStyle w:val="Sinespaciado"/>
        <w:numPr>
          <w:ilvl w:val="0"/>
          <w:numId w:val="7"/>
        </w:numPr>
        <w:spacing w:line="360" w:lineRule="auto"/>
        <w:rPr>
          <w:rFonts w:ascii="Times New Roman" w:hAnsi="Times New Roman"/>
          <w:sz w:val="24"/>
          <w:szCs w:val="24"/>
        </w:rPr>
      </w:pPr>
      <w:r w:rsidRPr="008272D0">
        <w:rPr>
          <w:rFonts w:ascii="Times New Roman" w:hAnsi="Times New Roman"/>
          <w:sz w:val="24"/>
          <w:szCs w:val="24"/>
        </w:rPr>
        <w:t>Actividad física, salud y productividad</w:t>
      </w:r>
    </w:p>
    <w:p w:rsidR="001C2EB1" w:rsidRPr="008272D0" w:rsidRDefault="001C2EB1" w:rsidP="001C2EB1">
      <w:pPr>
        <w:pStyle w:val="Sinespaciado"/>
        <w:spacing w:line="360" w:lineRule="auto"/>
        <w:rPr>
          <w:rFonts w:ascii="Times New Roman" w:hAnsi="Times New Roman"/>
          <w:sz w:val="24"/>
          <w:szCs w:val="24"/>
        </w:rPr>
      </w:pPr>
    </w:p>
    <w:p w:rsidR="001C2EB1" w:rsidRPr="008272D0" w:rsidRDefault="001C2EB1" w:rsidP="001C2EB1">
      <w:pPr>
        <w:pStyle w:val="Sinespaciado"/>
        <w:spacing w:line="360" w:lineRule="auto"/>
        <w:ind w:firstLine="284"/>
        <w:rPr>
          <w:rFonts w:ascii="Times New Roman" w:hAnsi="Times New Roman"/>
          <w:color w:val="000000"/>
          <w:sz w:val="24"/>
          <w:szCs w:val="24"/>
          <w:lang w:eastAsia="es-CO"/>
        </w:rPr>
      </w:pPr>
      <w:r w:rsidRPr="008272D0">
        <w:rPr>
          <w:rFonts w:ascii="Times New Roman" w:hAnsi="Times New Roman"/>
          <w:sz w:val="24"/>
          <w:szCs w:val="24"/>
        </w:rPr>
        <w:t xml:space="preserve">Enfocado  en  estos  tres  objetivos,  el gobierno   departamental   a  través  de  INDEPORTES Quindío, viene realizando diversos programas deportivos; entre ellos el </w:t>
      </w:r>
      <w:r w:rsidRPr="008272D0">
        <w:rPr>
          <w:rFonts w:ascii="Times New Roman" w:hAnsi="Times New Roman"/>
          <w:color w:val="000000"/>
          <w:sz w:val="24"/>
          <w:szCs w:val="24"/>
          <w:lang w:eastAsia="es-CO"/>
        </w:rPr>
        <w:t>programa nacional “Hábitos y estilos de Vida Saludable”, lo que  permitió en el 2011 la contratación de 1 gestor y 6 Monitores los cuales trabajaban dos municipios, incrementando así el número de personas que realizan actividad física en 11.588 personas  impactadas, se aumentaron los espacios públicos comunitarios destinados</w:t>
      </w:r>
      <w:r w:rsidR="00575447">
        <w:rPr>
          <w:rFonts w:ascii="Times New Roman" w:hAnsi="Times New Roman"/>
          <w:color w:val="000000"/>
          <w:sz w:val="24"/>
          <w:szCs w:val="24"/>
          <w:lang w:eastAsia="es-CO"/>
        </w:rPr>
        <w:t xml:space="preserve"> </w:t>
      </w:r>
      <w:r w:rsidRPr="008272D0">
        <w:rPr>
          <w:rFonts w:ascii="Times New Roman" w:hAnsi="Times New Roman"/>
          <w:color w:val="000000"/>
          <w:sz w:val="24"/>
          <w:szCs w:val="24"/>
          <w:lang w:eastAsia="es-CO"/>
        </w:rPr>
        <w:t xml:space="preserve">a la práctica de actividad física y se empiezan a crear las redes de actividad física municipales (6).   </w:t>
      </w:r>
    </w:p>
    <w:p w:rsidR="001C2EB1" w:rsidRPr="008272D0" w:rsidRDefault="001C2EB1" w:rsidP="001C2EB1">
      <w:pPr>
        <w:pStyle w:val="Sinespaciado"/>
        <w:spacing w:line="360" w:lineRule="auto"/>
        <w:rPr>
          <w:rFonts w:ascii="Times New Roman" w:hAnsi="Times New Roman"/>
          <w:color w:val="000000"/>
          <w:sz w:val="24"/>
          <w:szCs w:val="24"/>
          <w:lang w:eastAsia="es-CO"/>
        </w:rPr>
      </w:pPr>
    </w:p>
    <w:p w:rsidR="001C2EB1" w:rsidRPr="008272D0" w:rsidRDefault="001C2EB1" w:rsidP="001C2EB1">
      <w:pPr>
        <w:pStyle w:val="Sinespaciado"/>
        <w:spacing w:line="360" w:lineRule="auto"/>
        <w:ind w:firstLine="284"/>
        <w:rPr>
          <w:rFonts w:ascii="Times New Roman" w:hAnsi="Times New Roman"/>
          <w:sz w:val="24"/>
          <w:szCs w:val="24"/>
          <w:lang w:eastAsia="es-CO"/>
        </w:rPr>
      </w:pPr>
      <w:r w:rsidRPr="008272D0">
        <w:rPr>
          <w:rFonts w:ascii="Times New Roman" w:hAnsi="Times New Roman"/>
          <w:color w:val="000000"/>
          <w:sz w:val="24"/>
          <w:szCs w:val="24"/>
          <w:lang w:eastAsia="es-CO"/>
        </w:rPr>
        <w:t>En el 2012, de acuerdo al recurso cofinanciado se contrató 1 gestor y 12 monitores (uno para cada municipio), lo que  intensifico la practica regular en nuestro departamento en casi todos los  ciclos vitales y segmentos poblacionales con un promedio de 16734 personas impactadas, con las siguientes estrategias:</w:t>
      </w:r>
    </w:p>
    <w:p w:rsidR="001C2EB1" w:rsidRPr="008272D0" w:rsidRDefault="001C2EB1" w:rsidP="001C2EB1">
      <w:pPr>
        <w:pStyle w:val="Sinespaciado"/>
        <w:spacing w:line="360" w:lineRule="auto"/>
        <w:rPr>
          <w:rFonts w:ascii="Times New Roman" w:hAnsi="Times New Roman"/>
          <w:color w:val="000000"/>
          <w:sz w:val="24"/>
          <w:szCs w:val="24"/>
          <w:lang w:eastAsia="es-CO"/>
        </w:rPr>
      </w:pPr>
    </w:p>
    <w:p w:rsidR="001C2EB1" w:rsidRPr="008272D0" w:rsidRDefault="001C2EB1" w:rsidP="009B398C">
      <w:pPr>
        <w:pStyle w:val="Sinespaciado"/>
        <w:numPr>
          <w:ilvl w:val="0"/>
          <w:numId w:val="6"/>
        </w:numPr>
        <w:spacing w:line="360" w:lineRule="auto"/>
        <w:ind w:left="284" w:hanging="284"/>
        <w:rPr>
          <w:rFonts w:ascii="Times New Roman" w:hAnsi="Times New Roman"/>
          <w:color w:val="000000"/>
          <w:sz w:val="24"/>
          <w:szCs w:val="24"/>
        </w:rPr>
      </w:pPr>
      <w:r w:rsidRPr="008272D0">
        <w:rPr>
          <w:rFonts w:ascii="Times New Roman" w:hAnsi="Times New Roman"/>
          <w:color w:val="000000"/>
          <w:sz w:val="24"/>
          <w:szCs w:val="24"/>
        </w:rPr>
        <w:t>Capacitación a líderes comunitarios en actividad física (conferencias,  charlas, foros)</w:t>
      </w:r>
    </w:p>
    <w:p w:rsidR="001C2EB1" w:rsidRPr="008272D0" w:rsidRDefault="001C2EB1" w:rsidP="009B398C">
      <w:pPr>
        <w:pStyle w:val="Sinespaciado"/>
        <w:numPr>
          <w:ilvl w:val="0"/>
          <w:numId w:val="6"/>
        </w:numPr>
        <w:spacing w:line="360" w:lineRule="auto"/>
        <w:ind w:left="284" w:hanging="284"/>
        <w:rPr>
          <w:rFonts w:ascii="Times New Roman" w:hAnsi="Times New Roman"/>
          <w:color w:val="000000"/>
          <w:sz w:val="24"/>
          <w:szCs w:val="24"/>
        </w:rPr>
      </w:pPr>
      <w:r w:rsidRPr="008272D0">
        <w:rPr>
          <w:rFonts w:ascii="Times New Roman" w:hAnsi="Times New Roman"/>
          <w:color w:val="000000"/>
          <w:sz w:val="24"/>
          <w:szCs w:val="24"/>
        </w:rPr>
        <w:t xml:space="preserve">Aplicación de Módulos de valoración y asesorías en Actividad Física y  estilos de vida saludable </w:t>
      </w:r>
    </w:p>
    <w:p w:rsidR="001C2EB1" w:rsidRPr="008272D0" w:rsidRDefault="001C2EB1" w:rsidP="009B398C">
      <w:pPr>
        <w:pStyle w:val="Sinespaciado"/>
        <w:numPr>
          <w:ilvl w:val="0"/>
          <w:numId w:val="6"/>
        </w:numPr>
        <w:spacing w:line="360" w:lineRule="auto"/>
        <w:ind w:left="284" w:hanging="284"/>
        <w:rPr>
          <w:rFonts w:ascii="Times New Roman" w:hAnsi="Times New Roman"/>
          <w:sz w:val="24"/>
          <w:szCs w:val="24"/>
        </w:rPr>
      </w:pPr>
      <w:r w:rsidRPr="008272D0">
        <w:rPr>
          <w:rFonts w:ascii="Times New Roman" w:hAnsi="Times New Roman"/>
          <w:color w:val="000000"/>
          <w:sz w:val="24"/>
          <w:szCs w:val="24"/>
        </w:rPr>
        <w:t>Asesoría y seguimiento a grupos organizados de actividad física teniendo  en cuenta los avances obtenidos en temas de salud física, corporal  y mental</w:t>
      </w:r>
    </w:p>
    <w:p w:rsidR="001C2EB1" w:rsidRPr="008272D0" w:rsidRDefault="001C2EB1" w:rsidP="009B398C">
      <w:pPr>
        <w:pStyle w:val="Sinespaciado"/>
        <w:numPr>
          <w:ilvl w:val="0"/>
          <w:numId w:val="6"/>
        </w:numPr>
        <w:spacing w:line="360" w:lineRule="auto"/>
        <w:ind w:left="284" w:hanging="284"/>
        <w:rPr>
          <w:rFonts w:ascii="Times New Roman" w:hAnsi="Times New Roman"/>
          <w:sz w:val="24"/>
          <w:szCs w:val="24"/>
        </w:rPr>
      </w:pPr>
      <w:r w:rsidRPr="008272D0">
        <w:rPr>
          <w:rFonts w:ascii="Times New Roman" w:hAnsi="Times New Roman"/>
          <w:color w:val="000000"/>
          <w:sz w:val="24"/>
          <w:szCs w:val="24"/>
        </w:rPr>
        <w:t>Divulgación por medios publicitarios, el objeto de la estrategia “PALPITA QUINDIO” y los beneficios a todos los niveles que ésta nos aporta</w:t>
      </w:r>
    </w:p>
    <w:p w:rsidR="001C2EB1" w:rsidRPr="008272D0" w:rsidRDefault="001C2EB1" w:rsidP="009B398C">
      <w:pPr>
        <w:pStyle w:val="Sinespaciado"/>
        <w:numPr>
          <w:ilvl w:val="0"/>
          <w:numId w:val="6"/>
        </w:numPr>
        <w:spacing w:line="360" w:lineRule="auto"/>
        <w:ind w:left="284" w:hanging="284"/>
        <w:rPr>
          <w:rFonts w:ascii="Times New Roman" w:hAnsi="Times New Roman"/>
          <w:sz w:val="24"/>
          <w:szCs w:val="24"/>
        </w:rPr>
      </w:pPr>
      <w:r w:rsidRPr="008272D0">
        <w:rPr>
          <w:rFonts w:ascii="Times New Roman" w:hAnsi="Times New Roman"/>
          <w:color w:val="000000"/>
          <w:sz w:val="24"/>
          <w:szCs w:val="24"/>
        </w:rPr>
        <w:t>Motivación a las instituciones educativas del departamento con su personal de docentes  y administrativos sobre el programa que se está realizando.</w:t>
      </w:r>
    </w:p>
    <w:p w:rsidR="001C2EB1" w:rsidRPr="008272D0" w:rsidRDefault="001C2EB1" w:rsidP="001C2EB1">
      <w:pPr>
        <w:pStyle w:val="Sinespaciado"/>
        <w:spacing w:line="360" w:lineRule="auto"/>
        <w:ind w:firstLine="284"/>
        <w:rPr>
          <w:rFonts w:ascii="Times New Roman" w:hAnsi="Times New Roman"/>
          <w:color w:val="000000"/>
          <w:sz w:val="24"/>
          <w:szCs w:val="24"/>
        </w:rPr>
      </w:pPr>
      <w:r w:rsidRPr="008272D0">
        <w:rPr>
          <w:rFonts w:ascii="Times New Roman" w:hAnsi="Times New Roman"/>
          <w:color w:val="000000"/>
          <w:sz w:val="24"/>
          <w:szCs w:val="24"/>
        </w:rPr>
        <w:lastRenderedPageBreak/>
        <w:t>Creación de espacios deportivos y recreativos en diferentes instituciones y empresas del departamento, como objeto del programa de salud ocupacional  Y trabajo intersectorial:  8  municipios de 12 en el departamento los cuales han creado por medio de resolución la Red de Actividad Física la cual apoya en la promoción, divulgación, acompañamiento y organización de eventos los cuales requieren de una logística compleja, promocionando el programa  con todos sus benéficos y un comité departamental de HEVS conformado por las  siguientes instituciones:</w:t>
      </w:r>
    </w:p>
    <w:p w:rsidR="001C2EB1" w:rsidRPr="008272D0" w:rsidRDefault="001C2EB1" w:rsidP="001C2EB1">
      <w:pPr>
        <w:pStyle w:val="Sinespaciado"/>
        <w:spacing w:line="360" w:lineRule="auto"/>
        <w:ind w:firstLine="709"/>
        <w:rPr>
          <w:rFonts w:ascii="Times New Roman" w:hAnsi="Times New Roman"/>
          <w:sz w:val="24"/>
          <w:szCs w:val="24"/>
          <w:lang w:eastAsia="es-CO"/>
        </w:rPr>
      </w:pPr>
    </w:p>
    <w:p w:rsidR="001C2EB1" w:rsidRPr="008272D0" w:rsidRDefault="001C2EB1" w:rsidP="009B398C">
      <w:pPr>
        <w:pStyle w:val="Sinespaciado"/>
        <w:numPr>
          <w:ilvl w:val="0"/>
          <w:numId w:val="8"/>
        </w:numPr>
        <w:spacing w:line="360" w:lineRule="auto"/>
        <w:rPr>
          <w:rFonts w:ascii="Times New Roman" w:hAnsi="Times New Roman"/>
          <w:color w:val="000000"/>
          <w:sz w:val="24"/>
          <w:szCs w:val="24"/>
        </w:rPr>
      </w:pPr>
      <w:r w:rsidRPr="008272D0">
        <w:rPr>
          <w:rFonts w:ascii="Times New Roman" w:hAnsi="Times New Roman"/>
          <w:color w:val="000000"/>
          <w:sz w:val="24"/>
          <w:szCs w:val="24"/>
        </w:rPr>
        <w:t>Batallón de Servicios No 8 de Armenia</w:t>
      </w:r>
    </w:p>
    <w:p w:rsidR="001C2EB1" w:rsidRPr="008272D0" w:rsidRDefault="001C2EB1" w:rsidP="009B398C">
      <w:pPr>
        <w:pStyle w:val="Sinespaciado"/>
        <w:numPr>
          <w:ilvl w:val="0"/>
          <w:numId w:val="8"/>
        </w:numPr>
        <w:spacing w:line="360" w:lineRule="auto"/>
        <w:rPr>
          <w:rFonts w:ascii="Times New Roman" w:hAnsi="Times New Roman"/>
          <w:color w:val="000000"/>
          <w:sz w:val="24"/>
          <w:szCs w:val="24"/>
        </w:rPr>
      </w:pPr>
      <w:r w:rsidRPr="008272D0">
        <w:rPr>
          <w:rFonts w:ascii="Times New Roman" w:hAnsi="Times New Roman"/>
          <w:color w:val="000000"/>
          <w:sz w:val="24"/>
          <w:szCs w:val="24"/>
        </w:rPr>
        <w:t>ICBF</w:t>
      </w:r>
    </w:p>
    <w:p w:rsidR="001C2EB1" w:rsidRPr="008272D0" w:rsidRDefault="001C2EB1" w:rsidP="009B398C">
      <w:pPr>
        <w:pStyle w:val="Sinespaciado"/>
        <w:numPr>
          <w:ilvl w:val="0"/>
          <w:numId w:val="8"/>
        </w:numPr>
        <w:spacing w:line="360" w:lineRule="auto"/>
        <w:rPr>
          <w:rFonts w:ascii="Times New Roman" w:hAnsi="Times New Roman"/>
          <w:color w:val="000000"/>
          <w:sz w:val="24"/>
          <w:szCs w:val="24"/>
        </w:rPr>
      </w:pPr>
      <w:r w:rsidRPr="008272D0">
        <w:rPr>
          <w:rFonts w:ascii="Times New Roman" w:hAnsi="Times New Roman"/>
          <w:color w:val="000000"/>
          <w:sz w:val="24"/>
          <w:szCs w:val="24"/>
        </w:rPr>
        <w:t>IMDERA</w:t>
      </w:r>
    </w:p>
    <w:p w:rsidR="001C2EB1" w:rsidRPr="008272D0" w:rsidRDefault="001C2EB1" w:rsidP="009B398C">
      <w:pPr>
        <w:pStyle w:val="Sinespaciado"/>
        <w:numPr>
          <w:ilvl w:val="0"/>
          <w:numId w:val="8"/>
        </w:numPr>
        <w:spacing w:line="360" w:lineRule="auto"/>
        <w:rPr>
          <w:rFonts w:ascii="Times New Roman" w:hAnsi="Times New Roman"/>
          <w:color w:val="000000"/>
          <w:sz w:val="24"/>
          <w:szCs w:val="24"/>
        </w:rPr>
      </w:pPr>
      <w:r w:rsidRPr="008272D0">
        <w:rPr>
          <w:rFonts w:ascii="Times New Roman" w:hAnsi="Times New Roman"/>
          <w:color w:val="000000"/>
          <w:sz w:val="24"/>
          <w:szCs w:val="24"/>
        </w:rPr>
        <w:t>Instituto Seccional de Salud del Quindío</w:t>
      </w:r>
    </w:p>
    <w:p w:rsidR="001C2EB1" w:rsidRPr="008272D0" w:rsidRDefault="001C2EB1" w:rsidP="009B398C">
      <w:pPr>
        <w:pStyle w:val="Sinespaciado"/>
        <w:numPr>
          <w:ilvl w:val="0"/>
          <w:numId w:val="8"/>
        </w:numPr>
        <w:spacing w:line="360" w:lineRule="auto"/>
        <w:rPr>
          <w:rFonts w:ascii="Times New Roman" w:hAnsi="Times New Roman"/>
          <w:color w:val="000000"/>
          <w:sz w:val="24"/>
          <w:szCs w:val="24"/>
        </w:rPr>
      </w:pPr>
      <w:r w:rsidRPr="008272D0">
        <w:rPr>
          <w:rFonts w:ascii="Times New Roman" w:hAnsi="Times New Roman"/>
          <w:color w:val="000000"/>
          <w:sz w:val="24"/>
          <w:szCs w:val="24"/>
        </w:rPr>
        <w:t>Secretaria de Cultura</w:t>
      </w:r>
    </w:p>
    <w:p w:rsidR="001C2EB1" w:rsidRPr="008272D0" w:rsidRDefault="001C2EB1" w:rsidP="009B398C">
      <w:pPr>
        <w:pStyle w:val="Sinespaciado"/>
        <w:numPr>
          <w:ilvl w:val="0"/>
          <w:numId w:val="8"/>
        </w:numPr>
        <w:spacing w:line="360" w:lineRule="auto"/>
        <w:rPr>
          <w:rFonts w:ascii="Times New Roman" w:hAnsi="Times New Roman"/>
          <w:color w:val="000000"/>
          <w:sz w:val="24"/>
          <w:szCs w:val="24"/>
        </w:rPr>
      </w:pPr>
      <w:r w:rsidRPr="008272D0">
        <w:rPr>
          <w:rFonts w:ascii="Times New Roman" w:hAnsi="Times New Roman"/>
          <w:color w:val="000000"/>
          <w:sz w:val="24"/>
          <w:szCs w:val="24"/>
        </w:rPr>
        <w:t>Secretaría de Desarrollo Social</w:t>
      </w:r>
    </w:p>
    <w:p w:rsidR="001C2EB1" w:rsidRPr="008272D0" w:rsidRDefault="001C2EB1" w:rsidP="009B398C">
      <w:pPr>
        <w:pStyle w:val="Sinespaciado"/>
        <w:numPr>
          <w:ilvl w:val="0"/>
          <w:numId w:val="8"/>
        </w:numPr>
        <w:spacing w:line="360" w:lineRule="auto"/>
        <w:rPr>
          <w:rFonts w:ascii="Times New Roman" w:hAnsi="Times New Roman"/>
          <w:color w:val="000000"/>
          <w:sz w:val="24"/>
          <w:szCs w:val="24"/>
        </w:rPr>
      </w:pPr>
      <w:r w:rsidRPr="008272D0">
        <w:rPr>
          <w:rFonts w:ascii="Times New Roman" w:hAnsi="Times New Roman"/>
          <w:color w:val="000000"/>
          <w:sz w:val="24"/>
          <w:szCs w:val="24"/>
        </w:rPr>
        <w:t>Secretaria de educación Departamental</w:t>
      </w:r>
    </w:p>
    <w:p w:rsidR="001C2EB1" w:rsidRPr="008272D0" w:rsidRDefault="001C2EB1" w:rsidP="009B398C">
      <w:pPr>
        <w:pStyle w:val="Sinespaciado"/>
        <w:numPr>
          <w:ilvl w:val="0"/>
          <w:numId w:val="9"/>
        </w:numPr>
        <w:spacing w:line="360" w:lineRule="auto"/>
        <w:rPr>
          <w:rFonts w:ascii="Times New Roman" w:hAnsi="Times New Roman"/>
          <w:color w:val="000000"/>
          <w:sz w:val="24"/>
          <w:szCs w:val="24"/>
        </w:rPr>
      </w:pPr>
      <w:r w:rsidRPr="008272D0">
        <w:rPr>
          <w:rFonts w:ascii="Times New Roman" w:hAnsi="Times New Roman"/>
          <w:color w:val="000000"/>
          <w:sz w:val="24"/>
          <w:szCs w:val="24"/>
        </w:rPr>
        <w:t>Secretaria de familia</w:t>
      </w:r>
    </w:p>
    <w:p w:rsidR="001C2EB1" w:rsidRPr="008272D0" w:rsidRDefault="001C2EB1" w:rsidP="009B398C">
      <w:pPr>
        <w:pStyle w:val="Sinespaciado"/>
        <w:numPr>
          <w:ilvl w:val="0"/>
          <w:numId w:val="9"/>
        </w:numPr>
        <w:spacing w:line="360" w:lineRule="auto"/>
        <w:rPr>
          <w:rFonts w:ascii="Times New Roman" w:hAnsi="Times New Roman"/>
          <w:sz w:val="24"/>
          <w:szCs w:val="24"/>
        </w:rPr>
      </w:pPr>
      <w:r w:rsidRPr="008272D0">
        <w:rPr>
          <w:rFonts w:ascii="Times New Roman" w:hAnsi="Times New Roman"/>
          <w:color w:val="000000"/>
          <w:sz w:val="24"/>
          <w:szCs w:val="24"/>
        </w:rPr>
        <w:t xml:space="preserve">Universidad del Quindío </w:t>
      </w:r>
    </w:p>
    <w:p w:rsidR="001C2EB1" w:rsidRPr="008272D0" w:rsidRDefault="001C2EB1" w:rsidP="001C2EB1">
      <w:pPr>
        <w:pStyle w:val="Sinespaciado"/>
        <w:spacing w:line="360" w:lineRule="auto"/>
        <w:ind w:firstLine="709"/>
        <w:rPr>
          <w:rFonts w:ascii="Times New Roman" w:hAnsi="Times New Roman"/>
          <w:color w:val="000000"/>
          <w:sz w:val="24"/>
          <w:szCs w:val="24"/>
          <w:lang w:eastAsia="es-CO"/>
        </w:rPr>
      </w:pPr>
    </w:p>
    <w:p w:rsidR="001C2EB1" w:rsidRPr="008272D0" w:rsidRDefault="001C2EB1" w:rsidP="001C2EB1">
      <w:pPr>
        <w:pStyle w:val="Sinespaciado"/>
        <w:spacing w:line="360" w:lineRule="auto"/>
        <w:ind w:firstLine="284"/>
        <w:rPr>
          <w:rFonts w:ascii="Times New Roman" w:hAnsi="Times New Roman"/>
          <w:sz w:val="24"/>
          <w:szCs w:val="24"/>
        </w:rPr>
      </w:pPr>
      <w:r w:rsidRPr="008272D0">
        <w:rPr>
          <w:rFonts w:ascii="Times New Roman" w:hAnsi="Times New Roman"/>
          <w:color w:val="000000"/>
          <w:sz w:val="24"/>
          <w:szCs w:val="24"/>
          <w:lang w:eastAsia="es-CO"/>
        </w:rPr>
        <w:t xml:space="preserve">En el año 2013 se contrata un gestor y diecisiete monitores, doce con recursos de COLDEPORTES y cinco con recursos del instituto, atendiendo 57 grupos regulares con un aproximado de 1.963 personas, realizando 1 evento masivo por mesen cada municipio con un mínimo de 100 personas </w:t>
      </w:r>
      <w:proofErr w:type="spellStart"/>
      <w:r w:rsidRPr="008272D0">
        <w:rPr>
          <w:rFonts w:ascii="Times New Roman" w:hAnsi="Times New Roman"/>
          <w:color w:val="000000"/>
          <w:sz w:val="24"/>
          <w:szCs w:val="24"/>
          <w:lang w:eastAsia="es-CO"/>
        </w:rPr>
        <w:t>beneficiadas.De</w:t>
      </w:r>
      <w:proofErr w:type="spellEnd"/>
      <w:r w:rsidRPr="008272D0">
        <w:rPr>
          <w:rFonts w:ascii="Times New Roman" w:hAnsi="Times New Roman"/>
          <w:color w:val="000000"/>
          <w:sz w:val="24"/>
          <w:szCs w:val="24"/>
          <w:lang w:eastAsia="es-CO"/>
        </w:rPr>
        <w:t xml:space="preserve"> acuerdo a las directrices de COLDEPORTES, los monitores crean grupos regulares como mínimo 3, se realizan eventos masivos por municipio, se crean 12 redes de actividad física municipal y se trabajan 4 ámbitos: laboral, salud, educativo y  comunitario. </w:t>
      </w:r>
      <w:r w:rsidRPr="008272D0">
        <w:rPr>
          <w:rStyle w:val="Refdenotaalpie"/>
          <w:rFonts w:ascii="Times New Roman" w:hAnsi="Times New Roman"/>
          <w:color w:val="000000"/>
          <w:sz w:val="24"/>
          <w:szCs w:val="24"/>
          <w:lang w:eastAsia="es-CO"/>
        </w:rPr>
        <w:footnoteReference w:id="59"/>
      </w:r>
    </w:p>
    <w:p w:rsidR="001C2EB1" w:rsidRPr="008272D0" w:rsidRDefault="001C2EB1" w:rsidP="001C2EB1">
      <w:pPr>
        <w:pStyle w:val="Sinespaciado"/>
        <w:spacing w:line="360" w:lineRule="auto"/>
        <w:ind w:firstLine="709"/>
        <w:rPr>
          <w:rFonts w:ascii="Times New Roman" w:hAnsi="Times New Roman"/>
          <w:sz w:val="24"/>
          <w:szCs w:val="24"/>
        </w:rPr>
      </w:pPr>
    </w:p>
    <w:p w:rsidR="001C2EB1" w:rsidRDefault="001C2EB1" w:rsidP="001C2EB1">
      <w:pPr>
        <w:pStyle w:val="Sinespaciado"/>
        <w:spacing w:line="360" w:lineRule="auto"/>
        <w:ind w:firstLine="284"/>
        <w:rPr>
          <w:rFonts w:ascii="Times New Roman" w:hAnsi="Times New Roman"/>
          <w:sz w:val="24"/>
          <w:szCs w:val="24"/>
        </w:rPr>
      </w:pPr>
      <w:r w:rsidRPr="008272D0">
        <w:rPr>
          <w:rFonts w:ascii="Times New Roman" w:hAnsi="Times New Roman"/>
          <w:sz w:val="24"/>
          <w:szCs w:val="24"/>
        </w:rPr>
        <w:t>Se resalta la importancia que tienen los ríos y quebradas en la región, donde las personas especialmente del área urbana se desplazan con alguna frecuencia con el objeto de desarrollar actividades recreativas que incluyen la natación y caminatas ecológicas.</w:t>
      </w:r>
    </w:p>
    <w:p w:rsidR="001C2EB1" w:rsidRPr="008272D0" w:rsidRDefault="001C2EB1" w:rsidP="001C2EB1">
      <w:pPr>
        <w:spacing w:line="360" w:lineRule="auto"/>
        <w:rPr>
          <w:b/>
          <w:sz w:val="30"/>
          <w:szCs w:val="30"/>
        </w:rPr>
        <w:sectPr w:rsidR="001C2EB1" w:rsidRPr="008272D0" w:rsidSect="00575447">
          <w:headerReference w:type="default" r:id="rId124"/>
          <w:pgSz w:w="12240" w:h="15840"/>
          <w:pgMar w:top="1701" w:right="1701" w:bottom="1701" w:left="1843" w:header="709" w:footer="709" w:gutter="0"/>
          <w:cols w:space="708"/>
          <w:docGrid w:linePitch="360"/>
        </w:sectPr>
      </w:pPr>
    </w:p>
    <w:p w:rsidR="001C2EB1" w:rsidRPr="00DB3407" w:rsidRDefault="001C2EB1" w:rsidP="001C2EB1">
      <w:pPr>
        <w:pStyle w:val="Sinespaciado"/>
        <w:tabs>
          <w:tab w:val="center" w:pos="6219"/>
          <w:tab w:val="left" w:pos="7215"/>
        </w:tabs>
        <w:rPr>
          <w:rFonts w:ascii="Times New Roman" w:hAnsi="Times New Roman"/>
          <w:sz w:val="24"/>
          <w:szCs w:val="24"/>
          <w:lang w:eastAsia="es-CO"/>
        </w:rPr>
      </w:pPr>
      <w:r w:rsidRPr="00DB3407">
        <w:rPr>
          <w:rFonts w:ascii="Times New Roman" w:hAnsi="Times New Roman"/>
          <w:sz w:val="24"/>
          <w:szCs w:val="24"/>
          <w:lang w:eastAsia="es-CO"/>
        </w:rPr>
        <w:lastRenderedPageBreak/>
        <w:t>Tabla 13.1</w:t>
      </w:r>
    </w:p>
    <w:p w:rsidR="001C2EB1" w:rsidRPr="00DB3407" w:rsidRDefault="001C2EB1" w:rsidP="001C2EB1">
      <w:pPr>
        <w:pStyle w:val="Sinespaciado"/>
        <w:tabs>
          <w:tab w:val="center" w:pos="6219"/>
          <w:tab w:val="left" w:pos="7215"/>
        </w:tabs>
        <w:rPr>
          <w:rFonts w:ascii="Times New Roman" w:hAnsi="Times New Roman"/>
          <w:sz w:val="24"/>
          <w:szCs w:val="24"/>
          <w:lang w:eastAsia="es-CO"/>
        </w:rPr>
      </w:pPr>
      <w:r w:rsidRPr="00DB3407">
        <w:rPr>
          <w:rFonts w:ascii="Times New Roman" w:hAnsi="Times New Roman"/>
          <w:sz w:val="24"/>
          <w:szCs w:val="24"/>
          <w:lang w:eastAsia="es-CO"/>
        </w:rPr>
        <w:t>Infraestructura Deportiva</w:t>
      </w:r>
    </w:p>
    <w:p w:rsidR="001C2EB1" w:rsidRPr="00DB3407" w:rsidRDefault="001C2EB1" w:rsidP="001C2EB1">
      <w:pPr>
        <w:pStyle w:val="Sinespaciado"/>
        <w:tabs>
          <w:tab w:val="center" w:pos="6219"/>
          <w:tab w:val="left" w:pos="7215"/>
        </w:tabs>
        <w:rPr>
          <w:rFonts w:ascii="Times New Roman" w:hAnsi="Times New Roman"/>
          <w:sz w:val="24"/>
          <w:szCs w:val="24"/>
          <w:lang w:eastAsia="es-CO"/>
        </w:rPr>
      </w:pPr>
      <w:r w:rsidRPr="00DB3407">
        <w:rPr>
          <w:rFonts w:ascii="Times New Roman" w:hAnsi="Times New Roman"/>
          <w:sz w:val="24"/>
          <w:szCs w:val="24"/>
          <w:lang w:eastAsia="es-CO"/>
        </w:rPr>
        <w:t>Inventario de Escenarios Deportivos en el Departamento del Quindío</w:t>
      </w:r>
    </w:p>
    <w:p w:rsidR="001C2EB1" w:rsidRPr="00DB3407" w:rsidRDefault="001C2EB1" w:rsidP="001C2EB1">
      <w:pPr>
        <w:pStyle w:val="Sinespaciado"/>
        <w:jc w:val="center"/>
        <w:rPr>
          <w:rFonts w:ascii="Times New Roman" w:hAnsi="Times New Roman"/>
          <w:sz w:val="24"/>
          <w:szCs w:val="24"/>
          <w:lang w:eastAsia="es-CO"/>
        </w:rPr>
      </w:pPr>
    </w:p>
    <w:tbl>
      <w:tblPr>
        <w:tblStyle w:val="Listaclara-nfasis5"/>
        <w:tblW w:w="12595" w:type="dxa"/>
        <w:tblBorders>
          <w:top w:val="none" w:sz="0" w:space="0" w:color="auto"/>
          <w:left w:val="none" w:sz="0" w:space="0" w:color="auto"/>
          <w:bottom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1318"/>
        <w:gridCol w:w="784"/>
        <w:gridCol w:w="717"/>
        <w:gridCol w:w="755"/>
        <w:gridCol w:w="451"/>
        <w:gridCol w:w="752"/>
        <w:gridCol w:w="901"/>
        <w:gridCol w:w="752"/>
        <w:gridCol w:w="752"/>
        <w:gridCol w:w="602"/>
        <w:gridCol w:w="751"/>
        <w:gridCol w:w="902"/>
        <w:gridCol w:w="752"/>
        <w:gridCol w:w="602"/>
        <w:gridCol w:w="751"/>
        <w:gridCol w:w="1053"/>
      </w:tblGrid>
      <w:tr w:rsidR="00CB6798" w:rsidRPr="008272D0" w:rsidTr="006A35E7">
        <w:trPr>
          <w:cnfStyle w:val="100000000000" w:firstRow="1" w:lastRow="0" w:firstColumn="0" w:lastColumn="0" w:oddVBand="0" w:evenVBand="0" w:oddHBand="0" w:evenHBand="0" w:firstRowFirstColumn="0" w:firstRowLastColumn="0" w:lastRowFirstColumn="0" w:lastRowLastColumn="0"/>
          <w:cantSplit/>
          <w:trHeight w:val="1960"/>
        </w:trPr>
        <w:tc>
          <w:tcPr>
            <w:cnfStyle w:val="001000000000" w:firstRow="0" w:lastRow="0" w:firstColumn="1" w:lastColumn="0" w:oddVBand="0" w:evenVBand="0" w:oddHBand="0" w:evenHBand="0" w:firstRowFirstColumn="0" w:firstRowLastColumn="0" w:lastRowFirstColumn="0" w:lastRowLastColumn="0"/>
            <w:tcW w:w="1318"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rPr>
                <w:bCs w:val="0"/>
                <w:color w:val="auto"/>
                <w:sz w:val="16"/>
                <w:szCs w:val="21"/>
              </w:rPr>
            </w:pPr>
            <w:r w:rsidRPr="008272D0">
              <w:rPr>
                <w:bCs w:val="0"/>
                <w:color w:val="auto"/>
                <w:sz w:val="16"/>
                <w:szCs w:val="21"/>
              </w:rPr>
              <w:t>MUNICIPIOS</w:t>
            </w:r>
            <w:r w:rsidRPr="008272D0">
              <w:rPr>
                <w:bCs w:val="0"/>
                <w:color w:val="auto"/>
                <w:sz w:val="16"/>
                <w:szCs w:val="21"/>
              </w:rPr>
              <w:br/>
            </w:r>
          </w:p>
        </w:tc>
        <w:tc>
          <w:tcPr>
            <w:tcW w:w="784"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CANCHA FÚTBOL</w:t>
            </w:r>
          </w:p>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w:t>
            </w:r>
          </w:p>
        </w:tc>
        <w:tc>
          <w:tcPr>
            <w:tcW w:w="717"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PISTA ATLÉTICA</w:t>
            </w:r>
          </w:p>
        </w:tc>
        <w:tc>
          <w:tcPr>
            <w:tcW w:w="755"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PLACA POLIDEPORTIVA</w:t>
            </w:r>
          </w:p>
        </w:tc>
        <w:tc>
          <w:tcPr>
            <w:tcW w:w="451"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PISCINA</w:t>
            </w:r>
          </w:p>
        </w:tc>
        <w:tc>
          <w:tcPr>
            <w:tcW w:w="752"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COLISEO</w:t>
            </w:r>
          </w:p>
        </w:tc>
        <w:tc>
          <w:tcPr>
            <w:tcW w:w="901"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PARQUE INFANTIL</w:t>
            </w:r>
          </w:p>
        </w:tc>
        <w:tc>
          <w:tcPr>
            <w:tcW w:w="752"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PISTA PATINAJE</w:t>
            </w:r>
          </w:p>
        </w:tc>
        <w:tc>
          <w:tcPr>
            <w:tcW w:w="752"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PISTA BICIROS</w:t>
            </w:r>
          </w:p>
        </w:tc>
        <w:tc>
          <w:tcPr>
            <w:tcW w:w="602"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GIMNASIO</w:t>
            </w:r>
          </w:p>
        </w:tc>
        <w:tc>
          <w:tcPr>
            <w:tcW w:w="751"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BALONCESTO</w:t>
            </w:r>
          </w:p>
        </w:tc>
        <w:tc>
          <w:tcPr>
            <w:tcW w:w="902"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MINIFÚTBOL</w:t>
            </w:r>
          </w:p>
        </w:tc>
        <w:tc>
          <w:tcPr>
            <w:tcW w:w="752" w:type="dxa"/>
            <w:tcBorders>
              <w:top w:val="single" w:sz="2" w:space="0" w:color="auto"/>
              <w:bottom w:val="single" w:sz="4" w:space="0" w:color="auto"/>
            </w:tcBorders>
            <w:shd w:val="clear" w:color="auto" w:fill="FFFFFF" w:themeFill="background1"/>
            <w:textDirection w:val="btLr"/>
            <w:vAlign w:val="center"/>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VOLEIVOL</w:t>
            </w:r>
          </w:p>
        </w:tc>
        <w:tc>
          <w:tcPr>
            <w:tcW w:w="602"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TENIS CAMPO</w:t>
            </w:r>
          </w:p>
        </w:tc>
        <w:tc>
          <w:tcPr>
            <w:tcW w:w="751"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GIMNASIA</w:t>
            </w:r>
          </w:p>
        </w:tc>
        <w:tc>
          <w:tcPr>
            <w:tcW w:w="1053" w:type="dxa"/>
            <w:tcBorders>
              <w:top w:val="single" w:sz="2" w:space="0" w:color="auto"/>
              <w:bottom w:val="single" w:sz="4" w:space="0" w:color="auto"/>
            </w:tcBorders>
            <w:shd w:val="clear" w:color="auto" w:fill="FFFFFF" w:themeFill="background1"/>
            <w:textDirection w:val="btLr"/>
            <w:vAlign w:val="center"/>
            <w:hideMark/>
          </w:tcPr>
          <w:p w:rsidR="001C2EB1" w:rsidRPr="008272D0" w:rsidRDefault="001C2EB1" w:rsidP="00E95C46">
            <w:pPr>
              <w:ind w:left="113" w:right="113"/>
              <w:jc w:val="center"/>
              <w:cnfStyle w:val="100000000000" w:firstRow="1" w:lastRow="0" w:firstColumn="0" w:lastColumn="0" w:oddVBand="0" w:evenVBand="0" w:oddHBand="0" w:evenHBand="0" w:firstRowFirstColumn="0" w:firstRowLastColumn="0" w:lastRowFirstColumn="0" w:lastRowLastColumn="0"/>
              <w:rPr>
                <w:bCs w:val="0"/>
                <w:color w:val="auto"/>
                <w:sz w:val="16"/>
                <w:szCs w:val="21"/>
              </w:rPr>
            </w:pPr>
            <w:r w:rsidRPr="008272D0">
              <w:rPr>
                <w:color w:val="auto"/>
                <w:sz w:val="16"/>
                <w:szCs w:val="21"/>
              </w:rPr>
              <w:t>CICLISMO</w:t>
            </w:r>
          </w:p>
        </w:tc>
      </w:tr>
      <w:tr w:rsidR="00CB6798" w:rsidRPr="008272D0" w:rsidTr="006A35E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8" w:type="dxa"/>
            <w:tcBorders>
              <w:top w:val="single" w:sz="4" w:space="0" w:color="auto"/>
              <w:left w:val="none" w:sz="0" w:space="0" w:color="auto"/>
              <w:bottom w:val="none" w:sz="0" w:space="0" w:color="auto"/>
            </w:tcBorders>
            <w:shd w:val="clear" w:color="auto" w:fill="FFFFFF" w:themeFill="background1"/>
            <w:hideMark/>
          </w:tcPr>
          <w:p w:rsidR="001C2EB1" w:rsidRPr="008272D0" w:rsidRDefault="001C2EB1" w:rsidP="00575447">
            <w:pPr>
              <w:rPr>
                <w:bCs w:val="0"/>
                <w:sz w:val="16"/>
                <w:szCs w:val="21"/>
              </w:rPr>
            </w:pPr>
            <w:r w:rsidRPr="008272D0">
              <w:rPr>
                <w:bCs w:val="0"/>
                <w:sz w:val="16"/>
                <w:szCs w:val="21"/>
              </w:rPr>
              <w:t>TOTAL DEPTO</w:t>
            </w:r>
          </w:p>
        </w:tc>
        <w:tc>
          <w:tcPr>
            <w:tcW w:w="784"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717"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755"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451"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752"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901"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752"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752"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602"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751"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902"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752"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602"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751" w:type="dxa"/>
            <w:tcBorders>
              <w:top w:val="single" w:sz="4" w:space="0" w:color="auto"/>
              <w:bottom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c>
          <w:tcPr>
            <w:tcW w:w="1053" w:type="dxa"/>
            <w:tcBorders>
              <w:top w:val="single" w:sz="4" w:space="0" w:color="auto"/>
              <w:bottom w:val="none" w:sz="0" w:space="0" w:color="auto"/>
              <w:right w:val="none" w:sz="0" w:space="0" w:color="auto"/>
            </w:tcBorders>
            <w:shd w:val="clear" w:color="auto" w:fill="FFFFFF" w:themeFill="background1"/>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rPr>
                <w:b/>
                <w:bCs/>
                <w:sz w:val="16"/>
                <w:szCs w:val="21"/>
              </w:rPr>
            </w:pPr>
          </w:p>
        </w:tc>
      </w:tr>
      <w:tr w:rsidR="001C2EB1" w:rsidRPr="008272D0" w:rsidTr="006A35E7">
        <w:trPr>
          <w:trHeight w:val="275"/>
        </w:trPr>
        <w:tc>
          <w:tcPr>
            <w:cnfStyle w:val="001000000000" w:firstRow="0" w:lastRow="0" w:firstColumn="1" w:lastColumn="0" w:oddVBand="0" w:evenVBand="0" w:oddHBand="0" w:evenHBand="0" w:firstRowFirstColumn="0" w:firstRowLastColumn="0" w:lastRowFirstColumn="0" w:lastRowLastColumn="0"/>
            <w:tcW w:w="1318" w:type="dxa"/>
            <w:shd w:val="clear" w:color="auto" w:fill="FFFFFF" w:themeFill="background1"/>
            <w:hideMark/>
          </w:tcPr>
          <w:p w:rsidR="001C2EB1" w:rsidRPr="008272D0" w:rsidRDefault="001C2EB1" w:rsidP="00575447">
            <w:pPr>
              <w:rPr>
                <w:b w:val="0"/>
                <w:bCs w:val="0"/>
                <w:sz w:val="16"/>
                <w:szCs w:val="21"/>
              </w:rPr>
            </w:pPr>
          </w:p>
          <w:p w:rsidR="001C2EB1" w:rsidRPr="008272D0" w:rsidRDefault="001C2EB1" w:rsidP="00575447">
            <w:pPr>
              <w:rPr>
                <w:b w:val="0"/>
                <w:bCs w:val="0"/>
                <w:sz w:val="16"/>
                <w:szCs w:val="21"/>
              </w:rPr>
            </w:pPr>
            <w:r w:rsidRPr="008272D0">
              <w:rPr>
                <w:b w:val="0"/>
                <w:bCs w:val="0"/>
                <w:sz w:val="16"/>
                <w:szCs w:val="21"/>
              </w:rPr>
              <w:t>ARMENIA</w:t>
            </w:r>
          </w:p>
        </w:tc>
        <w:tc>
          <w:tcPr>
            <w:tcW w:w="784"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r w:rsidRPr="008272D0">
              <w:rPr>
                <w:b/>
                <w:bCs/>
                <w:sz w:val="16"/>
                <w:szCs w:val="21"/>
              </w:rPr>
              <w:t>16</w:t>
            </w:r>
          </w:p>
        </w:tc>
        <w:tc>
          <w:tcPr>
            <w:tcW w:w="717"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r w:rsidRPr="008272D0">
              <w:rPr>
                <w:b/>
                <w:bCs/>
                <w:sz w:val="16"/>
                <w:szCs w:val="21"/>
              </w:rPr>
              <w:t>1</w:t>
            </w:r>
          </w:p>
        </w:tc>
        <w:tc>
          <w:tcPr>
            <w:tcW w:w="755"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r w:rsidRPr="008272D0">
              <w:rPr>
                <w:b/>
                <w:bCs/>
                <w:sz w:val="16"/>
                <w:szCs w:val="21"/>
              </w:rPr>
              <w:t>98</w:t>
            </w:r>
          </w:p>
        </w:tc>
        <w:tc>
          <w:tcPr>
            <w:tcW w:w="451"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tc>
        <w:tc>
          <w:tcPr>
            <w:tcW w:w="752"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r w:rsidRPr="008272D0">
              <w:rPr>
                <w:b/>
                <w:bCs/>
                <w:sz w:val="16"/>
                <w:szCs w:val="21"/>
              </w:rPr>
              <w:t>4</w:t>
            </w:r>
          </w:p>
        </w:tc>
        <w:tc>
          <w:tcPr>
            <w:tcW w:w="901"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tc>
        <w:tc>
          <w:tcPr>
            <w:tcW w:w="752"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tc>
        <w:tc>
          <w:tcPr>
            <w:tcW w:w="752"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tc>
        <w:tc>
          <w:tcPr>
            <w:tcW w:w="602"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tc>
        <w:tc>
          <w:tcPr>
            <w:tcW w:w="751"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tc>
        <w:tc>
          <w:tcPr>
            <w:tcW w:w="902"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tc>
        <w:tc>
          <w:tcPr>
            <w:tcW w:w="752"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tc>
        <w:tc>
          <w:tcPr>
            <w:tcW w:w="602"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r w:rsidRPr="008272D0">
              <w:rPr>
                <w:b/>
                <w:bCs/>
                <w:sz w:val="16"/>
                <w:szCs w:val="21"/>
              </w:rPr>
              <w:t>1</w:t>
            </w:r>
          </w:p>
        </w:tc>
        <w:tc>
          <w:tcPr>
            <w:tcW w:w="751"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tc>
        <w:tc>
          <w:tcPr>
            <w:tcW w:w="1053"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b/>
                <w:bCs/>
                <w:sz w:val="16"/>
                <w:szCs w:val="21"/>
              </w:rPr>
            </w:pPr>
          </w:p>
        </w:tc>
      </w:tr>
      <w:tr w:rsidR="00CB6798" w:rsidRPr="008272D0" w:rsidTr="006A35E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318" w:type="dxa"/>
            <w:tcBorders>
              <w:top w:val="none" w:sz="0" w:space="0" w:color="auto"/>
              <w:left w:val="none" w:sz="0" w:space="0" w:color="auto"/>
              <w:bottom w:val="none" w:sz="0" w:space="0" w:color="auto"/>
            </w:tcBorders>
            <w:shd w:val="clear" w:color="auto" w:fill="FFFFFF" w:themeFill="background1"/>
          </w:tcPr>
          <w:p w:rsidR="001C2EB1" w:rsidRPr="008272D0" w:rsidRDefault="001C2EB1" w:rsidP="00575447">
            <w:pPr>
              <w:spacing w:line="270" w:lineRule="atLeast"/>
              <w:rPr>
                <w:b w:val="0"/>
                <w:sz w:val="16"/>
                <w:szCs w:val="20"/>
              </w:rPr>
            </w:pPr>
            <w:r w:rsidRPr="008272D0">
              <w:rPr>
                <w:b w:val="0"/>
                <w:sz w:val="16"/>
                <w:szCs w:val="20"/>
              </w:rPr>
              <w:t>CALARCA</w:t>
            </w:r>
          </w:p>
        </w:tc>
        <w:tc>
          <w:tcPr>
            <w:tcW w:w="784"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4</w:t>
            </w:r>
          </w:p>
        </w:tc>
        <w:tc>
          <w:tcPr>
            <w:tcW w:w="717"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5"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16</w:t>
            </w:r>
          </w:p>
        </w:tc>
        <w:tc>
          <w:tcPr>
            <w:tcW w:w="4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90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9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1053" w:type="dxa"/>
            <w:tcBorders>
              <w:top w:val="none" w:sz="0" w:space="0" w:color="auto"/>
              <w:bottom w:val="none" w:sz="0" w:space="0" w:color="auto"/>
              <w:right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r>
      <w:tr w:rsidR="001C2EB1" w:rsidRPr="008272D0" w:rsidTr="00575447">
        <w:trPr>
          <w:trHeight w:val="301"/>
        </w:trPr>
        <w:tc>
          <w:tcPr>
            <w:cnfStyle w:val="001000000000" w:firstRow="0" w:lastRow="0" w:firstColumn="1" w:lastColumn="0" w:oddVBand="0" w:evenVBand="0" w:oddHBand="0" w:evenHBand="0" w:firstRowFirstColumn="0" w:firstRowLastColumn="0" w:lastRowFirstColumn="0" w:lastRowLastColumn="0"/>
            <w:tcW w:w="1318" w:type="dxa"/>
            <w:shd w:val="clear" w:color="auto" w:fill="FFFFFF" w:themeFill="background1"/>
          </w:tcPr>
          <w:p w:rsidR="001C2EB1" w:rsidRPr="008272D0" w:rsidRDefault="001C2EB1" w:rsidP="00575447">
            <w:pPr>
              <w:spacing w:line="270" w:lineRule="atLeast"/>
              <w:rPr>
                <w:b w:val="0"/>
                <w:sz w:val="16"/>
                <w:szCs w:val="20"/>
              </w:rPr>
            </w:pPr>
            <w:r w:rsidRPr="008272D0">
              <w:rPr>
                <w:b w:val="0"/>
                <w:sz w:val="16"/>
                <w:szCs w:val="20"/>
              </w:rPr>
              <w:t>CIRCASIA</w:t>
            </w:r>
          </w:p>
        </w:tc>
        <w:tc>
          <w:tcPr>
            <w:tcW w:w="784"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r w:rsidRPr="008272D0">
              <w:rPr>
                <w:sz w:val="16"/>
                <w:szCs w:val="20"/>
              </w:rPr>
              <w:t>1</w:t>
            </w:r>
          </w:p>
        </w:tc>
        <w:tc>
          <w:tcPr>
            <w:tcW w:w="717"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5"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r w:rsidRPr="008272D0">
              <w:rPr>
                <w:sz w:val="16"/>
                <w:szCs w:val="20"/>
              </w:rPr>
              <w:t>8</w:t>
            </w:r>
          </w:p>
        </w:tc>
        <w:tc>
          <w:tcPr>
            <w:tcW w:w="4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90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6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9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6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1053"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r>
      <w:tr w:rsidR="00CB6798" w:rsidRPr="008272D0" w:rsidTr="006A35E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18" w:type="dxa"/>
            <w:tcBorders>
              <w:top w:val="none" w:sz="0" w:space="0" w:color="auto"/>
              <w:left w:val="none" w:sz="0" w:space="0" w:color="auto"/>
              <w:bottom w:val="none" w:sz="0" w:space="0" w:color="auto"/>
            </w:tcBorders>
            <w:shd w:val="clear" w:color="auto" w:fill="FFFFFF" w:themeFill="background1"/>
          </w:tcPr>
          <w:p w:rsidR="001C2EB1" w:rsidRPr="008272D0" w:rsidRDefault="001C2EB1" w:rsidP="00575447">
            <w:pPr>
              <w:spacing w:line="270" w:lineRule="atLeast"/>
              <w:rPr>
                <w:b w:val="0"/>
                <w:sz w:val="16"/>
                <w:szCs w:val="20"/>
              </w:rPr>
            </w:pPr>
            <w:r w:rsidRPr="008272D0">
              <w:rPr>
                <w:b w:val="0"/>
                <w:sz w:val="16"/>
                <w:szCs w:val="20"/>
              </w:rPr>
              <w:t>FILANDIA</w:t>
            </w:r>
          </w:p>
        </w:tc>
        <w:tc>
          <w:tcPr>
            <w:tcW w:w="784"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13</w:t>
            </w:r>
          </w:p>
        </w:tc>
        <w:tc>
          <w:tcPr>
            <w:tcW w:w="717"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5"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27</w:t>
            </w:r>
          </w:p>
        </w:tc>
        <w:tc>
          <w:tcPr>
            <w:tcW w:w="4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w:t>
            </w: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90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24</w:t>
            </w: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w:t>
            </w:r>
          </w:p>
        </w:tc>
        <w:tc>
          <w:tcPr>
            <w:tcW w:w="9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1053" w:type="dxa"/>
            <w:tcBorders>
              <w:top w:val="none" w:sz="0" w:space="0" w:color="auto"/>
              <w:bottom w:val="none" w:sz="0" w:space="0" w:color="auto"/>
              <w:right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r>
      <w:tr w:rsidR="001C2EB1" w:rsidRPr="008272D0" w:rsidTr="00575447">
        <w:trPr>
          <w:trHeight w:val="295"/>
        </w:trPr>
        <w:tc>
          <w:tcPr>
            <w:cnfStyle w:val="001000000000" w:firstRow="0" w:lastRow="0" w:firstColumn="1" w:lastColumn="0" w:oddVBand="0" w:evenVBand="0" w:oddHBand="0" w:evenHBand="0" w:firstRowFirstColumn="0" w:firstRowLastColumn="0" w:lastRowFirstColumn="0" w:lastRowLastColumn="0"/>
            <w:tcW w:w="1318" w:type="dxa"/>
            <w:shd w:val="clear" w:color="auto" w:fill="FFFFFF" w:themeFill="background1"/>
          </w:tcPr>
          <w:p w:rsidR="001C2EB1" w:rsidRPr="008272D0" w:rsidRDefault="001C2EB1" w:rsidP="00575447">
            <w:pPr>
              <w:spacing w:line="270" w:lineRule="atLeast"/>
              <w:rPr>
                <w:b w:val="0"/>
                <w:sz w:val="16"/>
                <w:szCs w:val="20"/>
              </w:rPr>
            </w:pPr>
            <w:r w:rsidRPr="008272D0">
              <w:rPr>
                <w:b w:val="0"/>
                <w:sz w:val="16"/>
                <w:szCs w:val="20"/>
              </w:rPr>
              <w:t>SALENTO</w:t>
            </w:r>
          </w:p>
        </w:tc>
        <w:tc>
          <w:tcPr>
            <w:tcW w:w="784"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r w:rsidRPr="008272D0">
              <w:rPr>
                <w:sz w:val="16"/>
                <w:szCs w:val="20"/>
              </w:rPr>
              <w:t>1</w:t>
            </w:r>
          </w:p>
        </w:tc>
        <w:tc>
          <w:tcPr>
            <w:tcW w:w="717"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5"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r w:rsidRPr="008272D0">
              <w:rPr>
                <w:sz w:val="16"/>
                <w:szCs w:val="20"/>
              </w:rPr>
              <w:t>7</w:t>
            </w:r>
          </w:p>
        </w:tc>
        <w:tc>
          <w:tcPr>
            <w:tcW w:w="4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90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6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9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6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1053"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r>
      <w:tr w:rsidR="00CB6798" w:rsidRPr="008272D0" w:rsidTr="006A35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8" w:type="dxa"/>
            <w:tcBorders>
              <w:top w:val="none" w:sz="0" w:space="0" w:color="auto"/>
              <w:left w:val="none" w:sz="0" w:space="0" w:color="auto"/>
              <w:bottom w:val="none" w:sz="0" w:space="0" w:color="auto"/>
            </w:tcBorders>
            <w:shd w:val="clear" w:color="auto" w:fill="FFFFFF" w:themeFill="background1"/>
          </w:tcPr>
          <w:p w:rsidR="001C2EB1" w:rsidRPr="008272D0" w:rsidRDefault="001C2EB1" w:rsidP="00575447">
            <w:pPr>
              <w:spacing w:line="270" w:lineRule="atLeast"/>
              <w:rPr>
                <w:b w:val="0"/>
                <w:sz w:val="16"/>
                <w:szCs w:val="20"/>
              </w:rPr>
            </w:pPr>
            <w:r w:rsidRPr="008272D0">
              <w:rPr>
                <w:b w:val="0"/>
                <w:sz w:val="16"/>
                <w:szCs w:val="20"/>
              </w:rPr>
              <w:t>LA TEBAIDA</w:t>
            </w:r>
          </w:p>
        </w:tc>
        <w:tc>
          <w:tcPr>
            <w:tcW w:w="784"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2</w:t>
            </w:r>
          </w:p>
        </w:tc>
        <w:tc>
          <w:tcPr>
            <w:tcW w:w="717"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5"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10</w:t>
            </w:r>
          </w:p>
        </w:tc>
        <w:tc>
          <w:tcPr>
            <w:tcW w:w="4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w:t>
            </w: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w:t>
            </w:r>
          </w:p>
        </w:tc>
        <w:tc>
          <w:tcPr>
            <w:tcW w:w="90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9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w:t>
            </w:r>
          </w:p>
        </w:tc>
        <w:tc>
          <w:tcPr>
            <w:tcW w:w="7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1053" w:type="dxa"/>
            <w:tcBorders>
              <w:top w:val="none" w:sz="0" w:space="0" w:color="auto"/>
              <w:bottom w:val="none" w:sz="0" w:space="0" w:color="auto"/>
              <w:right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r>
      <w:tr w:rsidR="001C2EB1" w:rsidRPr="008272D0" w:rsidTr="00575447">
        <w:trPr>
          <w:trHeight w:val="272"/>
        </w:trPr>
        <w:tc>
          <w:tcPr>
            <w:cnfStyle w:val="001000000000" w:firstRow="0" w:lastRow="0" w:firstColumn="1" w:lastColumn="0" w:oddVBand="0" w:evenVBand="0" w:oddHBand="0" w:evenHBand="0" w:firstRowFirstColumn="0" w:firstRowLastColumn="0" w:lastRowFirstColumn="0" w:lastRowLastColumn="0"/>
            <w:tcW w:w="1318" w:type="dxa"/>
            <w:shd w:val="clear" w:color="auto" w:fill="FFFFFF" w:themeFill="background1"/>
          </w:tcPr>
          <w:p w:rsidR="001C2EB1" w:rsidRPr="008272D0" w:rsidRDefault="001C2EB1" w:rsidP="00575447">
            <w:pPr>
              <w:spacing w:line="270" w:lineRule="atLeast"/>
              <w:rPr>
                <w:b w:val="0"/>
                <w:sz w:val="16"/>
                <w:szCs w:val="20"/>
              </w:rPr>
            </w:pPr>
            <w:r w:rsidRPr="008272D0">
              <w:rPr>
                <w:b w:val="0"/>
                <w:sz w:val="16"/>
                <w:szCs w:val="20"/>
              </w:rPr>
              <w:t>GENOVA</w:t>
            </w:r>
          </w:p>
        </w:tc>
        <w:tc>
          <w:tcPr>
            <w:tcW w:w="784"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r w:rsidRPr="008272D0">
              <w:rPr>
                <w:sz w:val="16"/>
                <w:szCs w:val="20"/>
              </w:rPr>
              <w:t>2</w:t>
            </w:r>
          </w:p>
        </w:tc>
        <w:tc>
          <w:tcPr>
            <w:tcW w:w="717"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5"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r w:rsidRPr="008272D0">
              <w:rPr>
                <w:sz w:val="16"/>
                <w:szCs w:val="20"/>
              </w:rPr>
              <w:t>3</w:t>
            </w:r>
          </w:p>
        </w:tc>
        <w:tc>
          <w:tcPr>
            <w:tcW w:w="4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90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6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9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6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1053"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r>
      <w:tr w:rsidR="00CB6798" w:rsidRPr="008272D0" w:rsidTr="006A35E7">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318" w:type="dxa"/>
            <w:tcBorders>
              <w:top w:val="none" w:sz="0" w:space="0" w:color="auto"/>
              <w:left w:val="none" w:sz="0" w:space="0" w:color="auto"/>
              <w:bottom w:val="none" w:sz="0" w:space="0" w:color="auto"/>
            </w:tcBorders>
            <w:shd w:val="clear" w:color="auto" w:fill="FFFFFF" w:themeFill="background1"/>
          </w:tcPr>
          <w:p w:rsidR="001C2EB1" w:rsidRPr="008272D0" w:rsidRDefault="001C2EB1" w:rsidP="00575447">
            <w:pPr>
              <w:spacing w:line="270" w:lineRule="atLeast"/>
              <w:rPr>
                <w:b w:val="0"/>
                <w:sz w:val="16"/>
                <w:szCs w:val="20"/>
              </w:rPr>
            </w:pPr>
            <w:r w:rsidRPr="008272D0">
              <w:rPr>
                <w:b w:val="0"/>
                <w:sz w:val="16"/>
                <w:szCs w:val="20"/>
              </w:rPr>
              <w:t>PIJAO</w:t>
            </w:r>
          </w:p>
        </w:tc>
        <w:tc>
          <w:tcPr>
            <w:tcW w:w="784"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w:t>
            </w:r>
          </w:p>
        </w:tc>
        <w:tc>
          <w:tcPr>
            <w:tcW w:w="717"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5"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4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w:t>
            </w:r>
          </w:p>
        </w:tc>
        <w:tc>
          <w:tcPr>
            <w:tcW w:w="90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9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1053" w:type="dxa"/>
            <w:tcBorders>
              <w:top w:val="none" w:sz="0" w:space="0" w:color="auto"/>
              <w:bottom w:val="none" w:sz="0" w:space="0" w:color="auto"/>
              <w:right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r>
      <w:tr w:rsidR="001C2EB1" w:rsidRPr="008272D0" w:rsidTr="00575447">
        <w:trPr>
          <w:trHeight w:val="410"/>
        </w:trPr>
        <w:tc>
          <w:tcPr>
            <w:cnfStyle w:val="001000000000" w:firstRow="0" w:lastRow="0" w:firstColumn="1" w:lastColumn="0" w:oddVBand="0" w:evenVBand="0" w:oddHBand="0" w:evenHBand="0" w:firstRowFirstColumn="0" w:firstRowLastColumn="0" w:lastRowFirstColumn="0" w:lastRowLastColumn="0"/>
            <w:tcW w:w="1318" w:type="dxa"/>
            <w:shd w:val="clear" w:color="auto" w:fill="FFFFFF" w:themeFill="background1"/>
          </w:tcPr>
          <w:p w:rsidR="001C2EB1" w:rsidRPr="008272D0" w:rsidRDefault="001C2EB1" w:rsidP="00575447">
            <w:pPr>
              <w:spacing w:line="270" w:lineRule="atLeast"/>
              <w:rPr>
                <w:b w:val="0"/>
                <w:sz w:val="16"/>
                <w:szCs w:val="20"/>
              </w:rPr>
            </w:pPr>
            <w:r w:rsidRPr="008272D0">
              <w:rPr>
                <w:b w:val="0"/>
                <w:sz w:val="16"/>
                <w:szCs w:val="20"/>
              </w:rPr>
              <w:t>QUIMBAYA</w:t>
            </w:r>
          </w:p>
        </w:tc>
        <w:tc>
          <w:tcPr>
            <w:tcW w:w="784"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r w:rsidRPr="008272D0">
              <w:rPr>
                <w:sz w:val="16"/>
                <w:szCs w:val="20"/>
              </w:rPr>
              <w:t>3</w:t>
            </w:r>
          </w:p>
        </w:tc>
        <w:tc>
          <w:tcPr>
            <w:tcW w:w="717"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5"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r w:rsidRPr="008272D0">
              <w:rPr>
                <w:sz w:val="16"/>
                <w:szCs w:val="20"/>
              </w:rPr>
              <w:t>15</w:t>
            </w:r>
          </w:p>
        </w:tc>
        <w:tc>
          <w:tcPr>
            <w:tcW w:w="4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90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6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9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6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1053"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r>
      <w:tr w:rsidR="00CB6798" w:rsidRPr="008272D0" w:rsidTr="006A35E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18" w:type="dxa"/>
            <w:tcBorders>
              <w:top w:val="none" w:sz="0" w:space="0" w:color="auto"/>
              <w:left w:val="none" w:sz="0" w:space="0" w:color="auto"/>
              <w:bottom w:val="none" w:sz="0" w:space="0" w:color="auto"/>
            </w:tcBorders>
            <w:shd w:val="clear" w:color="auto" w:fill="FFFFFF" w:themeFill="background1"/>
          </w:tcPr>
          <w:p w:rsidR="001C2EB1" w:rsidRPr="008272D0" w:rsidRDefault="001C2EB1" w:rsidP="00575447">
            <w:pPr>
              <w:spacing w:line="270" w:lineRule="atLeast"/>
              <w:rPr>
                <w:b w:val="0"/>
                <w:sz w:val="16"/>
                <w:szCs w:val="20"/>
              </w:rPr>
            </w:pPr>
            <w:r w:rsidRPr="008272D0">
              <w:rPr>
                <w:b w:val="0"/>
                <w:sz w:val="16"/>
                <w:szCs w:val="20"/>
              </w:rPr>
              <w:t>M/NEGRO</w:t>
            </w:r>
          </w:p>
        </w:tc>
        <w:tc>
          <w:tcPr>
            <w:tcW w:w="784"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2</w:t>
            </w:r>
          </w:p>
        </w:tc>
        <w:tc>
          <w:tcPr>
            <w:tcW w:w="717"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5"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13</w:t>
            </w:r>
          </w:p>
        </w:tc>
        <w:tc>
          <w:tcPr>
            <w:tcW w:w="4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90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9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1053" w:type="dxa"/>
            <w:tcBorders>
              <w:top w:val="none" w:sz="0" w:space="0" w:color="auto"/>
              <w:bottom w:val="none" w:sz="0" w:space="0" w:color="auto"/>
              <w:right w:val="none" w:sz="0" w:space="0" w:color="auto"/>
            </w:tcBorders>
            <w:shd w:val="clear" w:color="auto" w:fill="FFFFFF" w:themeFill="background1"/>
          </w:tcPr>
          <w:p w:rsidR="001C2EB1" w:rsidRPr="008272D0" w:rsidRDefault="001C2EB1" w:rsidP="00575447">
            <w:pPr>
              <w:spacing w:line="270" w:lineRule="atLeast"/>
              <w:jc w:val="center"/>
              <w:cnfStyle w:val="000000100000" w:firstRow="0" w:lastRow="0" w:firstColumn="0" w:lastColumn="0" w:oddVBand="0" w:evenVBand="0" w:oddHBand="1" w:evenHBand="0" w:firstRowFirstColumn="0" w:firstRowLastColumn="0" w:lastRowFirstColumn="0" w:lastRowLastColumn="0"/>
              <w:rPr>
                <w:sz w:val="16"/>
                <w:szCs w:val="20"/>
              </w:rPr>
            </w:pPr>
          </w:p>
        </w:tc>
      </w:tr>
      <w:tr w:rsidR="001C2EB1" w:rsidRPr="008272D0" w:rsidTr="006A35E7">
        <w:trPr>
          <w:trHeight w:val="320"/>
        </w:trPr>
        <w:tc>
          <w:tcPr>
            <w:cnfStyle w:val="001000000000" w:firstRow="0" w:lastRow="0" w:firstColumn="1" w:lastColumn="0" w:oddVBand="0" w:evenVBand="0" w:oddHBand="0" w:evenHBand="0" w:firstRowFirstColumn="0" w:firstRowLastColumn="0" w:lastRowFirstColumn="0" w:lastRowLastColumn="0"/>
            <w:tcW w:w="1318" w:type="dxa"/>
            <w:shd w:val="clear" w:color="auto" w:fill="FFFFFF" w:themeFill="background1"/>
          </w:tcPr>
          <w:p w:rsidR="001C2EB1" w:rsidRPr="008272D0" w:rsidRDefault="001C2EB1" w:rsidP="00575447">
            <w:pPr>
              <w:spacing w:line="270" w:lineRule="atLeast"/>
              <w:rPr>
                <w:b w:val="0"/>
                <w:sz w:val="16"/>
                <w:szCs w:val="20"/>
              </w:rPr>
            </w:pPr>
            <w:r w:rsidRPr="008272D0">
              <w:rPr>
                <w:b w:val="0"/>
                <w:sz w:val="16"/>
                <w:szCs w:val="20"/>
              </w:rPr>
              <w:t>B/NAVISTA</w:t>
            </w:r>
          </w:p>
        </w:tc>
        <w:tc>
          <w:tcPr>
            <w:tcW w:w="784"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r w:rsidRPr="008272D0">
              <w:rPr>
                <w:sz w:val="16"/>
                <w:szCs w:val="20"/>
              </w:rPr>
              <w:t>1</w:t>
            </w:r>
          </w:p>
        </w:tc>
        <w:tc>
          <w:tcPr>
            <w:tcW w:w="717"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5"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4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r w:rsidRPr="008272D0">
              <w:rPr>
                <w:sz w:val="16"/>
                <w:szCs w:val="20"/>
              </w:rPr>
              <w:t>1</w:t>
            </w:r>
          </w:p>
        </w:tc>
        <w:tc>
          <w:tcPr>
            <w:tcW w:w="90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6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9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602"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751"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c>
          <w:tcPr>
            <w:tcW w:w="1053" w:type="dxa"/>
            <w:shd w:val="clear" w:color="auto" w:fill="FFFFFF" w:themeFill="background1"/>
          </w:tcPr>
          <w:p w:rsidR="001C2EB1" w:rsidRPr="008272D0" w:rsidRDefault="001C2EB1" w:rsidP="00575447">
            <w:pPr>
              <w:spacing w:line="270" w:lineRule="atLeast"/>
              <w:jc w:val="center"/>
              <w:cnfStyle w:val="000000000000" w:firstRow="0" w:lastRow="0" w:firstColumn="0" w:lastColumn="0" w:oddVBand="0" w:evenVBand="0" w:oddHBand="0" w:evenHBand="0" w:firstRowFirstColumn="0" w:firstRowLastColumn="0" w:lastRowFirstColumn="0" w:lastRowLastColumn="0"/>
              <w:rPr>
                <w:sz w:val="16"/>
                <w:szCs w:val="20"/>
              </w:rPr>
            </w:pPr>
          </w:p>
        </w:tc>
      </w:tr>
      <w:tr w:rsidR="00CB6798" w:rsidRPr="008272D0" w:rsidTr="006A35E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18" w:type="dxa"/>
            <w:tcBorders>
              <w:top w:val="none" w:sz="0" w:space="0" w:color="auto"/>
              <w:left w:val="none" w:sz="0" w:space="0" w:color="auto"/>
              <w:bottom w:val="single" w:sz="4" w:space="0" w:color="auto"/>
            </w:tcBorders>
            <w:shd w:val="clear" w:color="auto" w:fill="FFFFFF" w:themeFill="background1"/>
          </w:tcPr>
          <w:p w:rsidR="001C2EB1" w:rsidRPr="008272D0" w:rsidRDefault="001C2EB1" w:rsidP="00575447">
            <w:pPr>
              <w:rPr>
                <w:b w:val="0"/>
                <w:bCs w:val="0"/>
                <w:sz w:val="16"/>
                <w:szCs w:val="21"/>
              </w:rPr>
            </w:pPr>
          </w:p>
          <w:p w:rsidR="001C2EB1" w:rsidRPr="008272D0" w:rsidRDefault="001C2EB1" w:rsidP="00575447">
            <w:pPr>
              <w:rPr>
                <w:b w:val="0"/>
                <w:bCs w:val="0"/>
                <w:sz w:val="16"/>
                <w:szCs w:val="21"/>
              </w:rPr>
            </w:pPr>
            <w:r w:rsidRPr="008272D0">
              <w:rPr>
                <w:b w:val="0"/>
                <w:bCs w:val="0"/>
                <w:sz w:val="16"/>
                <w:szCs w:val="21"/>
              </w:rPr>
              <w:t>CORDOBA</w:t>
            </w:r>
          </w:p>
        </w:tc>
        <w:tc>
          <w:tcPr>
            <w:tcW w:w="784"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b/>
                <w:bCs/>
                <w:sz w:val="16"/>
                <w:szCs w:val="21"/>
              </w:rPr>
            </w:pPr>
          </w:p>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b/>
                <w:bCs/>
                <w:sz w:val="16"/>
                <w:szCs w:val="21"/>
              </w:rPr>
            </w:pPr>
            <w:r w:rsidRPr="008272D0">
              <w:rPr>
                <w:b/>
                <w:bCs/>
                <w:sz w:val="16"/>
                <w:szCs w:val="21"/>
              </w:rPr>
              <w:t>1</w:t>
            </w:r>
          </w:p>
        </w:tc>
        <w:tc>
          <w:tcPr>
            <w:tcW w:w="717"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b/>
                <w:bCs/>
                <w:sz w:val="16"/>
                <w:szCs w:val="21"/>
              </w:rPr>
            </w:pPr>
          </w:p>
        </w:tc>
        <w:tc>
          <w:tcPr>
            <w:tcW w:w="755"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p>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r w:rsidRPr="008272D0">
              <w:rPr>
                <w:sz w:val="16"/>
                <w:szCs w:val="20"/>
              </w:rPr>
              <w:t>2</w:t>
            </w:r>
          </w:p>
        </w:tc>
        <w:tc>
          <w:tcPr>
            <w:tcW w:w="451"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b/>
                <w:bCs/>
                <w:sz w:val="16"/>
                <w:szCs w:val="21"/>
              </w:rPr>
            </w:pPr>
          </w:p>
        </w:tc>
        <w:tc>
          <w:tcPr>
            <w:tcW w:w="752"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b/>
                <w:bCs/>
                <w:sz w:val="16"/>
                <w:szCs w:val="21"/>
              </w:rPr>
            </w:pPr>
          </w:p>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b/>
                <w:bCs/>
                <w:sz w:val="16"/>
                <w:szCs w:val="21"/>
              </w:rPr>
            </w:pPr>
            <w:r w:rsidRPr="008272D0">
              <w:rPr>
                <w:b/>
                <w:bCs/>
                <w:sz w:val="16"/>
                <w:szCs w:val="21"/>
              </w:rPr>
              <w:t>1</w:t>
            </w:r>
          </w:p>
        </w:tc>
        <w:tc>
          <w:tcPr>
            <w:tcW w:w="901"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b/>
                <w:bCs/>
                <w:sz w:val="16"/>
                <w:szCs w:val="21"/>
              </w:rPr>
            </w:pPr>
          </w:p>
        </w:tc>
        <w:tc>
          <w:tcPr>
            <w:tcW w:w="752"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902"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2"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602"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751" w:type="dxa"/>
            <w:tcBorders>
              <w:top w:val="none" w:sz="0" w:space="0" w:color="auto"/>
              <w:bottom w:val="single" w:sz="4"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p>
        </w:tc>
        <w:tc>
          <w:tcPr>
            <w:tcW w:w="1053" w:type="dxa"/>
            <w:tcBorders>
              <w:top w:val="none" w:sz="0" w:space="0" w:color="auto"/>
              <w:bottom w:val="single" w:sz="4" w:space="0" w:color="auto"/>
              <w:right w:val="none" w:sz="0"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16"/>
                <w:szCs w:val="20"/>
              </w:rPr>
            </w:pPr>
          </w:p>
        </w:tc>
      </w:tr>
      <w:tr w:rsidR="001C2EB1" w:rsidRPr="008272D0" w:rsidTr="006A35E7">
        <w:trPr>
          <w:trHeight w:val="254"/>
        </w:trPr>
        <w:tc>
          <w:tcPr>
            <w:cnfStyle w:val="001000000000" w:firstRow="0" w:lastRow="0" w:firstColumn="1" w:lastColumn="0" w:oddVBand="0" w:evenVBand="0" w:oddHBand="0" w:evenHBand="0" w:firstRowFirstColumn="0" w:firstRowLastColumn="0" w:lastRowFirstColumn="0" w:lastRowLastColumn="0"/>
            <w:tcW w:w="12595" w:type="dxa"/>
            <w:gridSpan w:val="16"/>
            <w:tcBorders>
              <w:top w:val="single" w:sz="4" w:space="0" w:color="auto"/>
            </w:tcBorders>
            <w:shd w:val="clear" w:color="auto" w:fill="FFFFFF" w:themeFill="background1"/>
          </w:tcPr>
          <w:p w:rsidR="001C2EB1" w:rsidRPr="008272D0" w:rsidRDefault="001C2EB1" w:rsidP="00575447">
            <w:pPr>
              <w:pStyle w:val="Default"/>
              <w:rPr>
                <w:rFonts w:ascii="Times New Roman" w:hAnsi="Times New Roman" w:cs="Times New Roman"/>
                <w:b w:val="0"/>
                <w:bCs w:val="0"/>
                <w:sz w:val="16"/>
                <w:szCs w:val="16"/>
              </w:rPr>
            </w:pPr>
          </w:p>
          <w:p w:rsidR="001C2EB1" w:rsidRPr="008272D0" w:rsidRDefault="001C2EB1" w:rsidP="00575447">
            <w:pPr>
              <w:pStyle w:val="Default"/>
              <w:rPr>
                <w:rFonts w:ascii="Times New Roman" w:eastAsia="Times New Roman" w:hAnsi="Times New Roman" w:cs="Times New Roman"/>
                <w:sz w:val="16"/>
                <w:szCs w:val="16"/>
              </w:rPr>
            </w:pPr>
            <w:r w:rsidRPr="008272D0">
              <w:rPr>
                <w:rFonts w:ascii="Times New Roman" w:hAnsi="Times New Roman" w:cs="Times New Roman"/>
                <w:b w:val="0"/>
                <w:bCs w:val="0"/>
                <w:sz w:val="16"/>
                <w:szCs w:val="16"/>
              </w:rPr>
              <w:t>* Se incluyen los estadios de cada municipio</w:t>
            </w:r>
          </w:p>
        </w:tc>
      </w:tr>
    </w:tbl>
    <w:p w:rsidR="001C2EB1" w:rsidRPr="008272D0" w:rsidRDefault="001C2EB1" w:rsidP="001C2EB1">
      <w:pPr>
        <w:rPr>
          <w:sz w:val="16"/>
          <w:szCs w:val="16"/>
        </w:rPr>
      </w:pPr>
      <w:r w:rsidRPr="008272D0">
        <w:rPr>
          <w:sz w:val="16"/>
          <w:szCs w:val="16"/>
        </w:rPr>
        <w:t>Fuente: INDEPORTES  Quindío</w:t>
      </w:r>
    </w:p>
    <w:p w:rsidR="001C2EB1" w:rsidRPr="008272D0" w:rsidRDefault="001C2EB1" w:rsidP="001C2EB1">
      <w:pPr>
        <w:pStyle w:val="Default"/>
        <w:rPr>
          <w:rFonts w:ascii="Times New Roman" w:hAnsi="Times New Roman" w:cs="Times New Roman"/>
          <w:b/>
          <w:bCs/>
        </w:rPr>
      </w:pPr>
    </w:p>
    <w:p w:rsidR="001C2EB1" w:rsidRPr="008272D0" w:rsidRDefault="001C2EB1" w:rsidP="001C2EB1">
      <w:pPr>
        <w:pStyle w:val="Default"/>
        <w:rPr>
          <w:rFonts w:ascii="Times New Roman" w:hAnsi="Times New Roman" w:cs="Times New Roman"/>
          <w:b/>
          <w:bCs/>
        </w:rPr>
      </w:pPr>
    </w:p>
    <w:p w:rsidR="001C2EB1" w:rsidRPr="008272D0" w:rsidRDefault="001C2EB1" w:rsidP="001C2EB1">
      <w:pPr>
        <w:pStyle w:val="Default"/>
        <w:rPr>
          <w:rFonts w:ascii="Times New Roman" w:hAnsi="Times New Roman" w:cs="Times New Roman"/>
          <w:b/>
          <w:bCs/>
        </w:rPr>
      </w:pPr>
    </w:p>
    <w:p w:rsidR="001C2EB1" w:rsidRPr="008272D0" w:rsidRDefault="001C2EB1" w:rsidP="001C2EB1">
      <w:pPr>
        <w:pStyle w:val="Default"/>
        <w:rPr>
          <w:rFonts w:ascii="Times New Roman" w:hAnsi="Times New Roman" w:cs="Times New Roman"/>
          <w:bCs/>
        </w:rPr>
      </w:pPr>
      <w:r w:rsidRPr="008272D0">
        <w:rPr>
          <w:rFonts w:ascii="Times New Roman" w:hAnsi="Times New Roman" w:cs="Times New Roman"/>
          <w:bCs/>
        </w:rPr>
        <w:lastRenderedPageBreak/>
        <w:t>Tabla 13.2</w:t>
      </w:r>
    </w:p>
    <w:p w:rsidR="001C2EB1" w:rsidRPr="008272D0" w:rsidRDefault="001C2EB1" w:rsidP="001C2EB1">
      <w:pPr>
        <w:pStyle w:val="Default"/>
        <w:rPr>
          <w:rFonts w:ascii="Times New Roman" w:hAnsi="Times New Roman" w:cs="Times New Roman"/>
          <w:bCs/>
        </w:rPr>
      </w:pPr>
      <w:r w:rsidRPr="008272D0">
        <w:rPr>
          <w:rFonts w:ascii="Times New Roman" w:hAnsi="Times New Roman" w:cs="Times New Roman"/>
          <w:bCs/>
        </w:rPr>
        <w:t>Ocupación de Escenarios</w:t>
      </w:r>
    </w:p>
    <w:p w:rsidR="001C2EB1" w:rsidRDefault="001C2EB1" w:rsidP="001C2EB1">
      <w:pPr>
        <w:pStyle w:val="Default"/>
        <w:rPr>
          <w:rFonts w:ascii="Times New Roman" w:hAnsi="Times New Roman" w:cs="Times New Roman"/>
          <w:bCs/>
        </w:rPr>
      </w:pPr>
      <w:r w:rsidRPr="008272D0">
        <w:rPr>
          <w:rFonts w:ascii="Times New Roman" w:hAnsi="Times New Roman" w:cs="Times New Roman"/>
          <w:bCs/>
        </w:rPr>
        <w:t>Utilización de Escenarios en la ciudad de Armenia</w:t>
      </w:r>
    </w:p>
    <w:p w:rsidR="00575447" w:rsidRPr="008272D0" w:rsidRDefault="00575447" w:rsidP="001C2EB1">
      <w:pPr>
        <w:pStyle w:val="Default"/>
        <w:rPr>
          <w:rFonts w:ascii="Times New Roman" w:hAnsi="Times New Roman" w:cs="Times New Roman"/>
          <w:bCs/>
        </w:rPr>
      </w:pPr>
    </w:p>
    <w:tbl>
      <w:tblPr>
        <w:tblStyle w:val="Listaclara-nfasis5"/>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8612"/>
        <w:gridCol w:w="2785"/>
      </w:tblGrid>
      <w:tr w:rsidR="001C2EB1" w:rsidRPr="008272D0" w:rsidTr="000914D3">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612" w:type="dxa"/>
            <w:tcBorders>
              <w:top w:val="single" w:sz="4" w:space="0" w:color="auto"/>
              <w:bottom w:val="single" w:sz="4" w:space="0" w:color="auto"/>
            </w:tcBorders>
            <w:shd w:val="clear" w:color="auto" w:fill="FFFFFF" w:themeFill="background1"/>
            <w:vAlign w:val="center"/>
            <w:hideMark/>
          </w:tcPr>
          <w:p w:rsidR="001C2EB1" w:rsidRPr="000914D3" w:rsidRDefault="001C2EB1" w:rsidP="000914D3">
            <w:pPr>
              <w:rPr>
                <w:color w:val="auto"/>
                <w:sz w:val="21"/>
                <w:szCs w:val="21"/>
              </w:rPr>
            </w:pPr>
            <w:r w:rsidRPr="000914D3">
              <w:rPr>
                <w:color w:val="auto"/>
                <w:sz w:val="21"/>
                <w:szCs w:val="21"/>
              </w:rPr>
              <w:t>ESCENARIOS DEPORTIVOS</w:t>
            </w:r>
          </w:p>
        </w:tc>
        <w:tc>
          <w:tcPr>
            <w:tcW w:w="2785" w:type="dxa"/>
            <w:tcBorders>
              <w:top w:val="single" w:sz="4" w:space="0" w:color="auto"/>
              <w:bottom w:val="single" w:sz="4" w:space="0" w:color="auto"/>
            </w:tcBorders>
            <w:shd w:val="clear" w:color="auto" w:fill="FFFFFF" w:themeFill="background1"/>
            <w:vAlign w:val="center"/>
            <w:hideMark/>
          </w:tcPr>
          <w:p w:rsidR="001C2EB1" w:rsidRPr="000914D3" w:rsidRDefault="001C2EB1" w:rsidP="00575447">
            <w:pPr>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0914D3">
              <w:rPr>
                <w:color w:val="auto"/>
                <w:sz w:val="21"/>
                <w:szCs w:val="21"/>
              </w:rPr>
              <w:t>UTILIZACIÓN %</w:t>
            </w:r>
          </w:p>
        </w:tc>
      </w:tr>
      <w:tr w:rsidR="001C2EB1" w:rsidRPr="008272D0" w:rsidTr="000914D3">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612" w:type="dxa"/>
            <w:tcBorders>
              <w:top w:val="single" w:sz="4" w:space="0" w:color="auto"/>
              <w:left w:val="none" w:sz="0" w:space="0" w:color="auto"/>
              <w:bottom w:val="none" w:sz="0" w:space="0" w:color="auto"/>
            </w:tcBorders>
            <w:shd w:val="clear" w:color="auto" w:fill="FFFFFF" w:themeFill="background1"/>
          </w:tcPr>
          <w:p w:rsidR="001C2EB1" w:rsidRPr="008272D0" w:rsidRDefault="001C2EB1" w:rsidP="00575447">
            <w:pPr>
              <w:rPr>
                <w:sz w:val="20"/>
                <w:szCs w:val="20"/>
              </w:rPr>
            </w:pPr>
            <w:r w:rsidRPr="008272D0">
              <w:rPr>
                <w:sz w:val="20"/>
                <w:szCs w:val="20"/>
              </w:rPr>
              <w:t>Coliseo de la Patria</w:t>
            </w:r>
          </w:p>
        </w:tc>
        <w:tc>
          <w:tcPr>
            <w:tcW w:w="2785" w:type="dxa"/>
            <w:tcBorders>
              <w:top w:val="single" w:sz="4" w:space="0" w:color="auto"/>
              <w:bottom w:val="none" w:sz="0" w:space="0" w:color="auto"/>
              <w:right w:val="none" w:sz="0"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272D0">
              <w:rPr>
                <w:sz w:val="20"/>
                <w:szCs w:val="20"/>
              </w:rPr>
              <w:t>65</w:t>
            </w:r>
          </w:p>
        </w:tc>
      </w:tr>
      <w:tr w:rsidR="001C2EB1" w:rsidRPr="008272D0" w:rsidTr="00575447">
        <w:trPr>
          <w:trHeight w:val="438"/>
        </w:trPr>
        <w:tc>
          <w:tcPr>
            <w:cnfStyle w:val="001000000000" w:firstRow="0" w:lastRow="0" w:firstColumn="1" w:lastColumn="0" w:oddVBand="0" w:evenVBand="0" w:oddHBand="0" w:evenHBand="0" w:firstRowFirstColumn="0" w:firstRowLastColumn="0" w:lastRowFirstColumn="0" w:lastRowLastColumn="0"/>
            <w:tcW w:w="8612" w:type="dxa"/>
            <w:shd w:val="clear" w:color="auto" w:fill="FFFFFF" w:themeFill="background1"/>
          </w:tcPr>
          <w:p w:rsidR="001C2EB1" w:rsidRPr="008272D0" w:rsidRDefault="001C2EB1" w:rsidP="00575447">
            <w:pPr>
              <w:rPr>
                <w:sz w:val="20"/>
                <w:szCs w:val="20"/>
              </w:rPr>
            </w:pPr>
            <w:r w:rsidRPr="008272D0">
              <w:rPr>
                <w:sz w:val="20"/>
                <w:szCs w:val="20"/>
              </w:rPr>
              <w:t>Cancha la Isabela</w:t>
            </w:r>
          </w:p>
        </w:tc>
        <w:tc>
          <w:tcPr>
            <w:tcW w:w="2785" w:type="dxa"/>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272D0">
              <w:rPr>
                <w:sz w:val="20"/>
                <w:szCs w:val="20"/>
              </w:rPr>
              <w:t>75</w:t>
            </w:r>
          </w:p>
        </w:tc>
      </w:tr>
      <w:tr w:rsidR="001C2EB1" w:rsidRPr="008272D0" w:rsidTr="000914D3">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612" w:type="dxa"/>
            <w:tcBorders>
              <w:top w:val="none" w:sz="0" w:space="0" w:color="auto"/>
              <w:left w:val="none" w:sz="0" w:space="0" w:color="auto"/>
              <w:bottom w:val="none" w:sz="0" w:space="0" w:color="auto"/>
            </w:tcBorders>
            <w:shd w:val="clear" w:color="auto" w:fill="FFFFFF" w:themeFill="background1"/>
          </w:tcPr>
          <w:p w:rsidR="001C2EB1" w:rsidRPr="008272D0" w:rsidRDefault="001C2EB1" w:rsidP="00575447">
            <w:pPr>
              <w:rPr>
                <w:sz w:val="20"/>
                <w:szCs w:val="20"/>
              </w:rPr>
            </w:pPr>
            <w:r w:rsidRPr="008272D0">
              <w:rPr>
                <w:sz w:val="20"/>
                <w:szCs w:val="20"/>
              </w:rPr>
              <w:t>Cancha del Paraíso</w:t>
            </w:r>
          </w:p>
        </w:tc>
        <w:tc>
          <w:tcPr>
            <w:tcW w:w="2785" w:type="dxa"/>
            <w:tcBorders>
              <w:top w:val="none" w:sz="0" w:space="0" w:color="auto"/>
              <w:bottom w:val="none" w:sz="0" w:space="0" w:color="auto"/>
              <w:right w:val="none" w:sz="0" w:space="0" w:color="auto"/>
            </w:tcBorders>
            <w:shd w:val="clear" w:color="auto" w:fill="FFFFFF" w:themeFill="background1"/>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272D0">
              <w:rPr>
                <w:sz w:val="20"/>
                <w:szCs w:val="20"/>
              </w:rPr>
              <w:t>80</w:t>
            </w:r>
          </w:p>
        </w:tc>
      </w:tr>
      <w:tr w:rsidR="001C2EB1" w:rsidRPr="008272D0" w:rsidTr="000914D3">
        <w:trPr>
          <w:trHeight w:val="438"/>
        </w:trPr>
        <w:tc>
          <w:tcPr>
            <w:cnfStyle w:val="001000000000" w:firstRow="0" w:lastRow="0" w:firstColumn="1" w:lastColumn="0" w:oddVBand="0" w:evenVBand="0" w:oddHBand="0" w:evenHBand="0" w:firstRowFirstColumn="0" w:firstRowLastColumn="0" w:lastRowFirstColumn="0" w:lastRowLastColumn="0"/>
            <w:tcW w:w="8612" w:type="dxa"/>
            <w:tcBorders>
              <w:bottom w:val="single" w:sz="4" w:space="0" w:color="auto"/>
            </w:tcBorders>
            <w:shd w:val="clear" w:color="auto" w:fill="FFFFFF" w:themeFill="background1"/>
          </w:tcPr>
          <w:p w:rsidR="001C2EB1" w:rsidRPr="008272D0" w:rsidRDefault="001C2EB1" w:rsidP="00575447">
            <w:pPr>
              <w:rPr>
                <w:sz w:val="20"/>
                <w:szCs w:val="20"/>
              </w:rPr>
            </w:pPr>
            <w:r w:rsidRPr="008272D0">
              <w:rPr>
                <w:sz w:val="20"/>
                <w:szCs w:val="20"/>
              </w:rPr>
              <w:t>Cancha del Placer</w:t>
            </w:r>
          </w:p>
        </w:tc>
        <w:tc>
          <w:tcPr>
            <w:tcW w:w="2785" w:type="dxa"/>
            <w:tcBorders>
              <w:bottom w:val="single" w:sz="4" w:space="0" w:color="auto"/>
            </w:tcBorders>
            <w:shd w:val="clear" w:color="auto" w:fill="FFFFFF" w:themeFill="background1"/>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272D0">
              <w:rPr>
                <w:sz w:val="20"/>
                <w:szCs w:val="20"/>
              </w:rPr>
              <w:t>75</w:t>
            </w:r>
          </w:p>
        </w:tc>
      </w:tr>
    </w:tbl>
    <w:p w:rsidR="001C2EB1" w:rsidRPr="008272D0" w:rsidRDefault="001C2EB1" w:rsidP="001C2EB1">
      <w:r w:rsidRPr="008272D0">
        <w:rPr>
          <w:sz w:val="20"/>
          <w:szCs w:val="20"/>
        </w:rPr>
        <w:t>Fuente: INDEPORTES  Quindío</w:t>
      </w:r>
    </w:p>
    <w:p w:rsidR="001C2EB1" w:rsidRPr="008272D0" w:rsidRDefault="001C2EB1" w:rsidP="001C2EB1">
      <w:pPr>
        <w:pStyle w:val="Sinespaciado"/>
        <w:jc w:val="center"/>
        <w:rPr>
          <w:rFonts w:ascii="Times New Roman" w:eastAsia="Times New Roman" w:hAnsi="Times New Roman"/>
          <w:lang w:eastAsia="es-CO"/>
        </w:rPr>
      </w:pPr>
    </w:p>
    <w:p w:rsidR="001C2EB1" w:rsidRDefault="001C2EB1" w:rsidP="001C2EB1">
      <w:pPr>
        <w:pStyle w:val="Sinespaciado"/>
        <w:jc w:val="center"/>
        <w:rPr>
          <w:rFonts w:ascii="Times New Roman" w:eastAsia="Times New Roman" w:hAnsi="Times New Roman"/>
          <w:lang w:eastAsia="es-CO"/>
        </w:rPr>
      </w:pPr>
    </w:p>
    <w:p w:rsidR="00294CD2" w:rsidRPr="008272D0" w:rsidRDefault="00294CD2" w:rsidP="001C2EB1">
      <w:pPr>
        <w:pStyle w:val="Sinespaciado"/>
        <w:jc w:val="center"/>
        <w:rPr>
          <w:rFonts w:ascii="Times New Roman" w:eastAsia="Times New Roman" w:hAnsi="Times New Roman"/>
          <w:lang w:eastAsia="es-CO"/>
        </w:rPr>
      </w:pPr>
    </w:p>
    <w:p w:rsidR="001C2EB1" w:rsidRPr="008272D0" w:rsidRDefault="001C2EB1" w:rsidP="001C2EB1">
      <w:pPr>
        <w:pStyle w:val="Sinespaciado"/>
        <w:rPr>
          <w:rFonts w:ascii="Times New Roman" w:eastAsia="Times New Roman" w:hAnsi="Times New Roman"/>
          <w:sz w:val="24"/>
          <w:szCs w:val="24"/>
          <w:lang w:eastAsia="es-CO"/>
        </w:rPr>
      </w:pPr>
      <w:r w:rsidRPr="008272D0">
        <w:rPr>
          <w:rFonts w:ascii="Times New Roman" w:eastAsia="Times New Roman" w:hAnsi="Times New Roman"/>
          <w:sz w:val="24"/>
          <w:szCs w:val="24"/>
          <w:lang w:eastAsia="es-CO"/>
        </w:rPr>
        <w:t>Tabla 13.3</w:t>
      </w:r>
    </w:p>
    <w:p w:rsidR="001C2EB1" w:rsidRPr="008272D0" w:rsidRDefault="001C2EB1" w:rsidP="001C2EB1">
      <w:pPr>
        <w:pStyle w:val="Sinespaciado"/>
        <w:rPr>
          <w:rFonts w:ascii="Times New Roman" w:eastAsia="Times New Roman" w:hAnsi="Times New Roman"/>
          <w:sz w:val="24"/>
          <w:szCs w:val="24"/>
          <w:lang w:eastAsia="es-CO"/>
        </w:rPr>
      </w:pPr>
      <w:r w:rsidRPr="008272D0">
        <w:rPr>
          <w:rFonts w:ascii="Times New Roman" w:eastAsia="Times New Roman" w:hAnsi="Times New Roman"/>
          <w:sz w:val="24"/>
          <w:szCs w:val="24"/>
          <w:lang w:eastAsia="es-CO"/>
        </w:rPr>
        <w:t>Utilización  de  escenarios  deportivos</w:t>
      </w:r>
      <w:r w:rsidR="002F6657">
        <w:rPr>
          <w:rFonts w:ascii="Times New Roman" w:eastAsia="Times New Roman" w:hAnsi="Times New Roman"/>
          <w:sz w:val="24"/>
          <w:szCs w:val="24"/>
          <w:lang w:eastAsia="es-CO"/>
        </w:rPr>
        <w:t xml:space="preserve"> en Armenia</w:t>
      </w:r>
    </w:p>
    <w:tbl>
      <w:tblPr>
        <w:tblStyle w:val="Listaclara-nfasis5"/>
        <w:tblW w:w="7763"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5670"/>
        <w:gridCol w:w="167"/>
        <w:gridCol w:w="684"/>
        <w:gridCol w:w="1242"/>
      </w:tblGrid>
      <w:tr w:rsidR="001C2EB1" w:rsidRPr="008272D0" w:rsidTr="00575447">
        <w:trPr>
          <w:cnfStyle w:val="100000000000" w:firstRow="1" w:lastRow="0" w:firstColumn="0" w:lastColumn="0" w:oddVBand="0" w:evenVBand="0" w:oddHBand="0" w:evenHBand="0" w:firstRowFirstColumn="0" w:firstRowLastColumn="0" w:lastRowFirstColumn="0" w:lastRowLastColumn="0"/>
          <w:trHeight w:val="661"/>
          <w:tblHeader/>
        </w:trPr>
        <w:tc>
          <w:tcPr>
            <w:cnfStyle w:val="001000000000" w:firstRow="0" w:lastRow="0" w:firstColumn="1" w:lastColumn="0" w:oddVBand="0" w:evenVBand="0" w:oddHBand="0" w:evenHBand="0" w:firstRowFirstColumn="0" w:firstRowLastColumn="0" w:lastRowFirstColumn="0" w:lastRowLastColumn="0"/>
            <w:tcW w:w="7763" w:type="dxa"/>
            <w:gridSpan w:val="4"/>
            <w:tcBorders>
              <w:top w:val="single" w:sz="4" w:space="0" w:color="auto"/>
              <w:bottom w:val="single" w:sz="4" w:space="0" w:color="auto"/>
            </w:tcBorders>
            <w:shd w:val="clear" w:color="auto" w:fill="FFFFFF" w:themeFill="background1"/>
            <w:hideMark/>
          </w:tcPr>
          <w:p w:rsidR="001C2EB1" w:rsidRPr="008272D0" w:rsidRDefault="001C2EB1" w:rsidP="00575447">
            <w:pPr>
              <w:rPr>
                <w:color w:val="auto"/>
              </w:rPr>
            </w:pPr>
          </w:p>
          <w:p w:rsidR="001C2EB1" w:rsidRPr="008272D0" w:rsidRDefault="001C2EB1" w:rsidP="00575447">
            <w:r w:rsidRPr="008272D0">
              <w:rPr>
                <w:color w:val="auto"/>
              </w:rPr>
              <w:t>ESCENARIO DEPORTIVO                          %de utilización</w:t>
            </w:r>
            <w:r w:rsidRPr="008272D0">
              <w:t> </w:t>
            </w:r>
          </w:p>
        </w:tc>
      </w:tr>
      <w:tr w:rsidR="001C2EB1" w:rsidRPr="008272D0" w:rsidTr="00575447">
        <w:trPr>
          <w:gridAfter w:val="1"/>
          <w:cnfStyle w:val="000000100000" w:firstRow="0" w:lastRow="0" w:firstColumn="0" w:lastColumn="0" w:oddVBand="0" w:evenVBand="0" w:oddHBand="1" w:evenHBand="0" w:firstRowFirstColumn="0" w:firstRowLastColumn="0" w:lastRowFirstColumn="0" w:lastRowLastColumn="0"/>
          <w:wAfter w:w="1242" w:type="dxa"/>
          <w:trHeight w:val="273"/>
        </w:trPr>
        <w:tc>
          <w:tcPr>
            <w:cnfStyle w:val="001000000000" w:firstRow="0" w:lastRow="0" w:firstColumn="1" w:lastColumn="0" w:oddVBand="0" w:evenVBand="0" w:oddHBand="0" w:evenHBand="0" w:firstRowFirstColumn="0" w:firstRowLastColumn="0" w:lastRowFirstColumn="0" w:lastRowLastColumn="0"/>
            <w:tcW w:w="5837" w:type="dxa"/>
            <w:gridSpan w:val="2"/>
            <w:tcBorders>
              <w:top w:val="single" w:sz="4" w:space="0" w:color="auto"/>
              <w:left w:val="none" w:sz="0" w:space="0" w:color="auto"/>
              <w:bottom w:val="none" w:sz="0" w:space="0" w:color="auto"/>
            </w:tcBorders>
            <w:shd w:val="clear" w:color="auto" w:fill="FFFFFF" w:themeFill="background1"/>
            <w:vAlign w:val="center"/>
            <w:hideMark/>
          </w:tcPr>
          <w:p w:rsidR="001C2EB1" w:rsidRPr="008272D0" w:rsidRDefault="001C2EB1" w:rsidP="00575447">
            <w:pPr>
              <w:rPr>
                <w:b w:val="0"/>
              </w:rPr>
            </w:pPr>
            <w:r w:rsidRPr="008272D0">
              <w:rPr>
                <w:b w:val="0"/>
              </w:rPr>
              <w:t>Placas Polideportivas </w:t>
            </w:r>
          </w:p>
        </w:tc>
        <w:tc>
          <w:tcPr>
            <w:tcW w:w="684" w:type="dxa"/>
            <w:tcBorders>
              <w:top w:val="single" w:sz="4" w:space="0" w:color="auto"/>
              <w:bottom w:val="none" w:sz="0" w:space="0" w:color="auto"/>
              <w:right w:val="none" w:sz="0" w:space="0" w:color="auto"/>
            </w:tcBorders>
            <w:shd w:val="clear" w:color="auto" w:fill="FFFFFF" w:themeFill="background1"/>
            <w:vAlign w:val="center"/>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pPr>
            <w:r w:rsidRPr="008272D0">
              <w:t>20</w:t>
            </w:r>
          </w:p>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pPr>
          </w:p>
        </w:tc>
      </w:tr>
      <w:tr w:rsidR="001C2EB1" w:rsidRPr="008272D0" w:rsidTr="00575447">
        <w:trPr>
          <w:gridAfter w:val="1"/>
          <w:wAfter w:w="1242" w:type="dxa"/>
          <w:trHeight w:val="291"/>
        </w:trPr>
        <w:tc>
          <w:tcPr>
            <w:cnfStyle w:val="001000000000" w:firstRow="0" w:lastRow="0" w:firstColumn="1" w:lastColumn="0" w:oddVBand="0" w:evenVBand="0" w:oddHBand="0" w:evenHBand="0" w:firstRowFirstColumn="0" w:firstRowLastColumn="0" w:lastRowFirstColumn="0" w:lastRowLastColumn="0"/>
            <w:tcW w:w="5837" w:type="dxa"/>
            <w:gridSpan w:val="2"/>
            <w:shd w:val="clear" w:color="auto" w:fill="FFFFFF" w:themeFill="background1"/>
            <w:vAlign w:val="center"/>
            <w:hideMark/>
          </w:tcPr>
          <w:p w:rsidR="001C2EB1" w:rsidRPr="008272D0" w:rsidRDefault="001C2EB1" w:rsidP="00575447">
            <w:pPr>
              <w:rPr>
                <w:b w:val="0"/>
              </w:rPr>
            </w:pPr>
            <w:r w:rsidRPr="008272D0">
              <w:rPr>
                <w:b w:val="0"/>
              </w:rPr>
              <w:t>Pistas de Patinaje</w:t>
            </w:r>
          </w:p>
        </w:tc>
        <w:tc>
          <w:tcPr>
            <w:tcW w:w="684" w:type="dxa"/>
            <w:shd w:val="clear" w:color="auto" w:fill="FFFFFF" w:themeFill="background1"/>
            <w:vAlign w:val="center"/>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pPr>
            <w:r w:rsidRPr="008272D0">
              <w:t>100</w:t>
            </w:r>
          </w:p>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pPr>
          </w:p>
        </w:tc>
      </w:tr>
      <w:tr w:rsidR="001C2EB1" w:rsidRPr="008272D0" w:rsidTr="00575447">
        <w:trPr>
          <w:gridAfter w:val="1"/>
          <w:cnfStyle w:val="000000100000" w:firstRow="0" w:lastRow="0" w:firstColumn="0" w:lastColumn="0" w:oddVBand="0" w:evenVBand="0" w:oddHBand="1" w:evenHBand="0" w:firstRowFirstColumn="0" w:firstRowLastColumn="0" w:lastRowFirstColumn="0" w:lastRowLastColumn="0"/>
          <w:wAfter w:w="1242" w:type="dxa"/>
          <w:trHeight w:val="266"/>
        </w:trPr>
        <w:tc>
          <w:tcPr>
            <w:cnfStyle w:val="001000000000" w:firstRow="0" w:lastRow="0" w:firstColumn="1" w:lastColumn="0" w:oddVBand="0" w:evenVBand="0" w:oddHBand="0" w:evenHBand="0" w:firstRowFirstColumn="0" w:firstRowLastColumn="0" w:lastRowFirstColumn="0" w:lastRowLastColumn="0"/>
            <w:tcW w:w="5837" w:type="dxa"/>
            <w:gridSpan w:val="2"/>
            <w:tcBorders>
              <w:top w:val="none" w:sz="0" w:space="0" w:color="auto"/>
              <w:left w:val="none" w:sz="0" w:space="0" w:color="auto"/>
              <w:bottom w:val="none" w:sz="0" w:space="0" w:color="auto"/>
            </w:tcBorders>
            <w:shd w:val="clear" w:color="auto" w:fill="FFFFFF" w:themeFill="background1"/>
            <w:vAlign w:val="center"/>
            <w:hideMark/>
          </w:tcPr>
          <w:p w:rsidR="001C2EB1" w:rsidRPr="008272D0" w:rsidRDefault="001C2EB1" w:rsidP="00575447">
            <w:pPr>
              <w:rPr>
                <w:b w:val="0"/>
              </w:rPr>
            </w:pPr>
            <w:r w:rsidRPr="008272D0">
              <w:rPr>
                <w:b w:val="0"/>
              </w:rPr>
              <w:t>Canchas de fútbol </w:t>
            </w:r>
          </w:p>
        </w:tc>
        <w:tc>
          <w:tcPr>
            <w:tcW w:w="684" w:type="dxa"/>
            <w:tcBorders>
              <w:top w:val="none" w:sz="0" w:space="0" w:color="auto"/>
              <w:bottom w:val="none" w:sz="0" w:space="0" w:color="auto"/>
              <w:right w:val="none" w:sz="0" w:space="0" w:color="auto"/>
            </w:tcBorders>
            <w:shd w:val="clear" w:color="auto" w:fill="FFFFFF" w:themeFill="background1"/>
            <w:vAlign w:val="center"/>
          </w:tcPr>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pPr>
            <w:r w:rsidRPr="008272D0">
              <w:t>40</w:t>
            </w:r>
          </w:p>
          <w:p w:rsidR="001C2EB1" w:rsidRPr="008272D0" w:rsidRDefault="001C2EB1" w:rsidP="00575447">
            <w:pPr>
              <w:jc w:val="center"/>
              <w:cnfStyle w:val="000000100000" w:firstRow="0" w:lastRow="0" w:firstColumn="0" w:lastColumn="0" w:oddVBand="0" w:evenVBand="0" w:oddHBand="1" w:evenHBand="0" w:firstRowFirstColumn="0" w:firstRowLastColumn="0" w:lastRowFirstColumn="0" w:lastRowLastColumn="0"/>
            </w:pPr>
          </w:p>
        </w:tc>
      </w:tr>
      <w:tr w:rsidR="001C2EB1" w:rsidRPr="008272D0" w:rsidTr="00575447">
        <w:trPr>
          <w:gridAfter w:val="1"/>
          <w:wAfter w:w="1242" w:type="dxa"/>
          <w:trHeight w:val="451"/>
        </w:trPr>
        <w:tc>
          <w:tcPr>
            <w:cnfStyle w:val="001000000000" w:firstRow="0" w:lastRow="0" w:firstColumn="1" w:lastColumn="0" w:oddVBand="0" w:evenVBand="0" w:oddHBand="0" w:evenHBand="0" w:firstRowFirstColumn="0" w:firstRowLastColumn="0" w:lastRowFirstColumn="0" w:lastRowLastColumn="0"/>
            <w:tcW w:w="5837" w:type="dxa"/>
            <w:gridSpan w:val="2"/>
            <w:shd w:val="clear" w:color="auto" w:fill="FFFFFF" w:themeFill="background1"/>
            <w:vAlign w:val="center"/>
            <w:hideMark/>
          </w:tcPr>
          <w:p w:rsidR="001C2EB1" w:rsidRPr="008272D0" w:rsidRDefault="001C2EB1" w:rsidP="00575447">
            <w:pPr>
              <w:rPr>
                <w:b w:val="0"/>
              </w:rPr>
            </w:pPr>
            <w:r w:rsidRPr="008272D0">
              <w:rPr>
                <w:b w:val="0"/>
              </w:rPr>
              <w:t>Pistas de Trote </w:t>
            </w:r>
          </w:p>
        </w:tc>
        <w:tc>
          <w:tcPr>
            <w:tcW w:w="684" w:type="dxa"/>
            <w:shd w:val="clear" w:color="auto" w:fill="FFFFFF" w:themeFill="background1"/>
            <w:vAlign w:val="center"/>
          </w:tcPr>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pPr>
            <w:r w:rsidRPr="008272D0">
              <w:t>100</w:t>
            </w:r>
          </w:p>
          <w:p w:rsidR="001C2EB1" w:rsidRPr="008272D0" w:rsidRDefault="001C2EB1" w:rsidP="00575447">
            <w:pPr>
              <w:jc w:val="center"/>
              <w:cnfStyle w:val="000000000000" w:firstRow="0" w:lastRow="0" w:firstColumn="0" w:lastColumn="0" w:oddVBand="0" w:evenVBand="0" w:oddHBand="0" w:evenHBand="0" w:firstRowFirstColumn="0" w:firstRowLastColumn="0" w:lastRowFirstColumn="0" w:lastRowLastColumn="0"/>
            </w:pPr>
          </w:p>
        </w:tc>
      </w:tr>
      <w:tr w:rsidR="001C2EB1" w:rsidRPr="008272D0" w:rsidTr="0057544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bottom w:val="single" w:sz="4" w:space="0" w:color="auto"/>
            </w:tcBorders>
            <w:shd w:val="clear" w:color="auto" w:fill="FFFFFF" w:themeFill="background1"/>
            <w:vAlign w:val="center"/>
            <w:hideMark/>
          </w:tcPr>
          <w:p w:rsidR="001C2EB1" w:rsidRPr="008272D0" w:rsidRDefault="001C2EB1" w:rsidP="00575447">
            <w:pPr>
              <w:rPr>
                <w:b w:val="0"/>
              </w:rPr>
            </w:pPr>
            <w:r w:rsidRPr="008272D0">
              <w:rPr>
                <w:b w:val="0"/>
              </w:rPr>
              <w:t>Coliseos </w:t>
            </w:r>
          </w:p>
        </w:tc>
        <w:tc>
          <w:tcPr>
            <w:tcW w:w="2093" w:type="dxa"/>
            <w:gridSpan w:val="3"/>
            <w:tcBorders>
              <w:top w:val="none" w:sz="0" w:space="0" w:color="auto"/>
              <w:bottom w:val="single" w:sz="4" w:space="0" w:color="auto"/>
              <w:right w:val="none" w:sz="0" w:space="0" w:color="auto"/>
            </w:tcBorders>
            <w:shd w:val="clear" w:color="auto" w:fill="FFFFFF" w:themeFill="background1"/>
            <w:vAlign w:val="center"/>
          </w:tcPr>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pPr>
            <w:r w:rsidRPr="008272D0">
              <w:t xml:space="preserve">   100</w:t>
            </w:r>
          </w:p>
          <w:p w:rsidR="001C2EB1" w:rsidRPr="008272D0" w:rsidRDefault="001C2EB1" w:rsidP="00575447">
            <w:pPr>
              <w:cnfStyle w:val="000000100000" w:firstRow="0" w:lastRow="0" w:firstColumn="0" w:lastColumn="0" w:oddVBand="0" w:evenVBand="0" w:oddHBand="1" w:evenHBand="0" w:firstRowFirstColumn="0" w:firstRowLastColumn="0" w:lastRowFirstColumn="0" w:lastRowLastColumn="0"/>
            </w:pPr>
          </w:p>
        </w:tc>
      </w:tr>
    </w:tbl>
    <w:p w:rsidR="001C2EB1" w:rsidRDefault="001C2EB1" w:rsidP="001C2EB1">
      <w:pPr>
        <w:pStyle w:val="Sinespaciado"/>
        <w:rPr>
          <w:rFonts w:ascii="Times New Roman" w:eastAsia="Times New Roman" w:hAnsi="Times New Roman"/>
          <w:sz w:val="16"/>
          <w:szCs w:val="16"/>
          <w:lang w:eastAsia="es-CO"/>
        </w:rPr>
      </w:pPr>
      <w:r w:rsidRPr="008272D0">
        <w:rPr>
          <w:rFonts w:ascii="Times New Roman" w:eastAsia="Times New Roman" w:hAnsi="Times New Roman"/>
          <w:sz w:val="16"/>
          <w:szCs w:val="16"/>
          <w:lang w:eastAsia="es-CO"/>
        </w:rPr>
        <w:t>Fuente: INDEPORTES Quindío</w:t>
      </w:r>
    </w:p>
    <w:p w:rsidR="002F6657" w:rsidRDefault="002F6657" w:rsidP="001C2EB1">
      <w:pPr>
        <w:pStyle w:val="Sinespaciado"/>
        <w:rPr>
          <w:rFonts w:ascii="Times New Roman" w:hAnsi="Times New Roman"/>
          <w:sz w:val="16"/>
          <w:szCs w:val="16"/>
        </w:rPr>
        <w:sectPr w:rsidR="002F6657" w:rsidSect="00575447">
          <w:pgSz w:w="15840" w:h="12240" w:orient="landscape"/>
          <w:pgMar w:top="1701" w:right="1701" w:bottom="1701" w:left="1701" w:header="709" w:footer="709" w:gutter="0"/>
          <w:cols w:space="708"/>
          <w:docGrid w:linePitch="360"/>
        </w:sectPr>
      </w:pPr>
    </w:p>
    <w:p w:rsidR="002F6657" w:rsidRDefault="003F5ED3" w:rsidP="001C2EB1">
      <w:pPr>
        <w:pStyle w:val="Sinespaciado"/>
        <w:rPr>
          <w:rFonts w:ascii="Times New Roman" w:hAnsi="Times New Roman"/>
          <w:sz w:val="16"/>
          <w:szCs w:val="16"/>
        </w:rPr>
      </w:pPr>
      <w:r>
        <w:rPr>
          <w:noProof/>
          <w:lang w:val="es-CO" w:eastAsia="es-CO"/>
        </w:rPr>
        <w:lastRenderedPageBreak/>
        <w:drawing>
          <wp:anchor distT="0" distB="0" distL="114300" distR="114300" simplePos="0" relativeHeight="251715584" behindDoc="0" locked="0" layoutInCell="1" allowOverlap="0" wp14:anchorId="751A4AD0" wp14:editId="0CB50753">
            <wp:simplePos x="0" y="0"/>
            <wp:positionH relativeFrom="page">
              <wp:posOffset>19050</wp:posOffset>
            </wp:positionH>
            <wp:positionV relativeFrom="page">
              <wp:posOffset>19050</wp:posOffset>
            </wp:positionV>
            <wp:extent cx="7920990" cy="10087610"/>
            <wp:effectExtent l="0" t="0" r="3810" b="8890"/>
            <wp:wrapNone/>
            <wp:docPr id="4129"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125"/>
                    <a:stretch>
                      <a:fillRect/>
                    </a:stretch>
                  </pic:blipFill>
                  <pic:spPr>
                    <a:xfrm>
                      <a:off x="0" y="0"/>
                      <a:ext cx="7920990" cy="10087610"/>
                    </a:xfrm>
                    <a:prstGeom prst="rect">
                      <a:avLst/>
                    </a:prstGeom>
                  </pic:spPr>
                </pic:pic>
              </a:graphicData>
            </a:graphic>
            <wp14:sizeRelH relativeFrom="margin">
              <wp14:pctWidth>0</wp14:pctWidth>
            </wp14:sizeRelH>
            <wp14:sizeRelV relativeFrom="margin">
              <wp14:pctHeight>0</wp14:pctHeight>
            </wp14:sizeRelV>
          </wp:anchor>
        </w:drawing>
      </w: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45508B" w:rsidRDefault="0045508B" w:rsidP="001C2EB1">
      <w:pPr>
        <w:pStyle w:val="Sinespaciado"/>
        <w:rPr>
          <w:rFonts w:ascii="Times New Roman" w:hAnsi="Times New Roman"/>
          <w:sz w:val="16"/>
          <w:szCs w:val="16"/>
        </w:rPr>
      </w:pPr>
    </w:p>
    <w:p w:rsidR="0045508B" w:rsidRDefault="0045508B" w:rsidP="001C2EB1">
      <w:pPr>
        <w:pStyle w:val="Sinespaciado"/>
        <w:rPr>
          <w:rFonts w:ascii="Times New Roman" w:hAnsi="Times New Roman"/>
          <w:sz w:val="16"/>
          <w:szCs w:val="16"/>
        </w:rPr>
      </w:pPr>
    </w:p>
    <w:p w:rsidR="0045508B" w:rsidRDefault="0045508B" w:rsidP="001C2EB1">
      <w:pPr>
        <w:pStyle w:val="Sinespaciado"/>
        <w:rPr>
          <w:rFonts w:ascii="Times New Roman" w:hAnsi="Times New Roman"/>
          <w:sz w:val="16"/>
          <w:szCs w:val="16"/>
        </w:rPr>
      </w:pPr>
    </w:p>
    <w:p w:rsidR="0045508B" w:rsidRDefault="0045508B" w:rsidP="001C2EB1">
      <w:pPr>
        <w:pStyle w:val="Sinespaciado"/>
        <w:rPr>
          <w:rFonts w:ascii="Times New Roman" w:hAnsi="Times New Roman"/>
          <w:sz w:val="16"/>
          <w:szCs w:val="16"/>
        </w:rPr>
      </w:pPr>
    </w:p>
    <w:p w:rsidR="0045508B" w:rsidRDefault="0045508B"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561C81" w:rsidRDefault="00561C81"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16"/>
          <w:szCs w:val="16"/>
        </w:rPr>
      </w:pPr>
    </w:p>
    <w:p w:rsidR="002C46B6" w:rsidRDefault="002C46B6" w:rsidP="001C2EB1">
      <w:pPr>
        <w:pStyle w:val="Sinespaciado"/>
        <w:rPr>
          <w:rFonts w:ascii="Times New Roman" w:hAnsi="Times New Roman"/>
          <w:sz w:val="24"/>
          <w:szCs w:val="16"/>
        </w:rPr>
      </w:pPr>
    </w:p>
    <w:p w:rsidR="002C46B6" w:rsidRDefault="002C46B6" w:rsidP="001C2EB1">
      <w:pPr>
        <w:pStyle w:val="Sinespaciado"/>
        <w:rPr>
          <w:rFonts w:ascii="Times New Roman" w:hAnsi="Times New Roman"/>
          <w:sz w:val="24"/>
          <w:szCs w:val="16"/>
        </w:rPr>
      </w:pPr>
    </w:p>
    <w:p w:rsidR="002C46B6" w:rsidRDefault="002C46B6" w:rsidP="001C2EB1">
      <w:pPr>
        <w:pStyle w:val="Sinespaciado"/>
        <w:rPr>
          <w:rFonts w:ascii="Times New Roman" w:hAnsi="Times New Roman"/>
          <w:sz w:val="24"/>
          <w:szCs w:val="16"/>
        </w:rPr>
      </w:pPr>
    </w:p>
    <w:p w:rsidR="002C46B6" w:rsidRDefault="002C46B6" w:rsidP="002C46B6">
      <w:pPr>
        <w:pStyle w:val="Ttulo1"/>
        <w:ind w:left="2832"/>
        <w:rPr>
          <w:rFonts w:ascii="Times New Roman" w:hAnsi="Times New Roman"/>
        </w:rPr>
      </w:pPr>
      <w:bookmarkStart w:id="100" w:name="_Toc406754354"/>
      <w:r w:rsidRPr="002C46B6">
        <w:rPr>
          <w:rFonts w:ascii="Times New Roman" w:hAnsi="Times New Roman"/>
        </w:rPr>
        <w:t xml:space="preserve">14 </w:t>
      </w:r>
      <w:r>
        <w:rPr>
          <w:rFonts w:ascii="Times New Roman" w:hAnsi="Times New Roman"/>
        </w:rPr>
        <w:t xml:space="preserve"> </w:t>
      </w:r>
      <w:r w:rsidRPr="002C46B6">
        <w:rPr>
          <w:rFonts w:ascii="Times New Roman" w:hAnsi="Times New Roman"/>
        </w:rPr>
        <w:t>Salud</w:t>
      </w:r>
      <w:bookmarkEnd w:id="100"/>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2C46B6" w:rsidRDefault="002C46B6" w:rsidP="002C46B6">
      <w:pPr>
        <w:rPr>
          <w:lang w:val="es-ES"/>
        </w:rPr>
      </w:pPr>
    </w:p>
    <w:p w:rsidR="00D36E27" w:rsidRDefault="00D36E27" w:rsidP="00041934">
      <w:pPr>
        <w:spacing w:line="360" w:lineRule="auto"/>
        <w:ind w:firstLine="284"/>
        <w:jc w:val="both"/>
      </w:pPr>
      <w:r>
        <w:lastRenderedPageBreak/>
        <w:t>De acuerdo con el artículo 48 de la constitución nacional de Colombia la seguridad social es “un servicio público, de carácter obligatorio el cual se presta bajo la dirección, coordinación y control del estado, según los principios de eficiencia, universalidad y solidaridad en los términos que establezca la ley”</w:t>
      </w:r>
      <w:r>
        <w:rPr>
          <w:rStyle w:val="Refdenotaalpie"/>
        </w:rPr>
        <w:footnoteReference w:id="60"/>
      </w:r>
      <w:r>
        <w:t xml:space="preserve"> garantiza el derecho que tiene todo individuo a la protección de salud ya sea de forma individual o colectiva, siendo sus resultados indicadores de condiciones de vida, desarrollo y bienestar de todos los sectores de  la sociedad.</w:t>
      </w:r>
    </w:p>
    <w:p w:rsidR="00D36E27" w:rsidRDefault="00D36E27" w:rsidP="00D36E27">
      <w:pPr>
        <w:spacing w:line="360" w:lineRule="auto"/>
        <w:jc w:val="both"/>
      </w:pPr>
    </w:p>
    <w:p w:rsidR="00D36E27" w:rsidRDefault="00D36E27" w:rsidP="00D32A14">
      <w:pPr>
        <w:spacing w:line="360" w:lineRule="auto"/>
        <w:ind w:firstLine="284"/>
        <w:jc w:val="both"/>
      </w:pPr>
      <w:r>
        <w:t xml:space="preserve">Con relación a la salud pública, </w:t>
      </w:r>
      <w:r w:rsidRPr="00634A5B">
        <w:t>El banco Mundial ha reportado</w:t>
      </w:r>
      <w:r>
        <w:t xml:space="preserve"> una disminución en la mortalidad</w:t>
      </w:r>
      <w:r w:rsidRPr="00634A5B">
        <w:t xml:space="preserve"> </w:t>
      </w:r>
      <w:r>
        <w:t xml:space="preserve">materna al pasar de 170 muertes de mujeres por cada 100.000 niños que nacían en el año 1990, a 92 muertes con el mismo patrón de nacimiento en el año 2010.  En mortalidad infantil, el país ha disminuido considerablemente en los últimos 50 años al pasar de </w:t>
      </w:r>
      <w:r w:rsidR="00161EDA">
        <w:t xml:space="preserve"> 118 niños</w:t>
      </w:r>
      <w:r>
        <w:t xml:space="preserve"> que morían por cada 1000 menores de 5 años en 1965, a 18 muertes en el año 2011.</w:t>
      </w:r>
    </w:p>
    <w:p w:rsidR="00D36E27" w:rsidRDefault="00D36E27" w:rsidP="00D36E27">
      <w:pPr>
        <w:tabs>
          <w:tab w:val="left" w:pos="5775"/>
        </w:tabs>
        <w:spacing w:line="360" w:lineRule="auto"/>
        <w:jc w:val="both"/>
      </w:pPr>
      <w:r>
        <w:tab/>
      </w:r>
    </w:p>
    <w:p w:rsidR="00D36E27" w:rsidRPr="00FF0359" w:rsidRDefault="00D36E27" w:rsidP="00D36E27">
      <w:pPr>
        <w:spacing w:line="360" w:lineRule="auto"/>
        <w:jc w:val="both"/>
        <w:rPr>
          <w:b/>
          <w:i/>
        </w:rPr>
      </w:pPr>
      <w:r w:rsidRPr="009A3ABB">
        <w:t xml:space="preserve">     Por lo anterior, se debe</w:t>
      </w:r>
      <w:r>
        <w:t xml:space="preserve"> continuar con los</w:t>
      </w:r>
      <w:r w:rsidRPr="009A3ABB">
        <w:t xml:space="preserve"> esfuerzos para aumentar la calidad de los servicios en salud, creando incentivos, por medio de la promoción y prevención  de enfermedades</w:t>
      </w:r>
      <w:r>
        <w:t xml:space="preserve">; así mismo, se debe buscar mejorar la calidad, cobertura y pertinencia mediante el uso más eficiente de los recursos. Para esto a nivel departamental  el </w:t>
      </w:r>
      <w:r w:rsidRPr="0074120C">
        <w:rPr>
          <w:b/>
        </w:rPr>
        <w:t xml:space="preserve"> Plan de Desarrollo 2012-2015</w:t>
      </w:r>
      <w:r>
        <w:t xml:space="preserve"> ha establecido una política llamada </w:t>
      </w:r>
      <w:r w:rsidRPr="00E66808">
        <w:rPr>
          <w:b/>
          <w:i/>
        </w:rPr>
        <w:t>“Salud humanizada y</w:t>
      </w:r>
      <w:r>
        <w:t xml:space="preserve"> </w:t>
      </w:r>
      <w:r w:rsidRPr="00E66808">
        <w:rPr>
          <w:b/>
          <w:i/>
        </w:rPr>
        <w:t>equitativa para todos”</w:t>
      </w:r>
      <w:r>
        <w:t xml:space="preserve"> la cual cuenta con cuatro programas.</w:t>
      </w:r>
      <w:r>
        <w:rPr>
          <w:b/>
          <w:i/>
        </w:rPr>
        <w:t xml:space="preserve"> </w:t>
      </w:r>
      <w:r w:rsidRPr="00255032">
        <w:t xml:space="preserve">Para </w:t>
      </w:r>
      <w:r>
        <w:t>dar cumplimiento a estos cuatro</w:t>
      </w:r>
      <w:r w:rsidRPr="00255032">
        <w:t xml:space="preserve"> programas se ha impuesto grandes retos, tales como: Lograr la universalización del aseguramiento, mejorar la capacidad de las IPS públicas y la articulación  de la red en todos los niveles,  fortalecer la vigilancia en salud pública y  los programas de promoción y prevención, entre otros.</w:t>
      </w:r>
    </w:p>
    <w:p w:rsidR="00D36E27" w:rsidRDefault="00D36E27" w:rsidP="00D36E27">
      <w:pPr>
        <w:spacing w:line="360" w:lineRule="auto"/>
        <w:jc w:val="both"/>
      </w:pPr>
    </w:p>
    <w:p w:rsidR="00D415C6" w:rsidRDefault="00D415C6" w:rsidP="00D36E27">
      <w:pPr>
        <w:spacing w:line="360" w:lineRule="auto"/>
        <w:jc w:val="both"/>
      </w:pPr>
    </w:p>
    <w:p w:rsidR="00D415C6" w:rsidRDefault="00D415C6" w:rsidP="00D36E27">
      <w:pPr>
        <w:spacing w:line="360" w:lineRule="auto"/>
        <w:jc w:val="both"/>
      </w:pPr>
    </w:p>
    <w:p w:rsidR="00D36E27" w:rsidRPr="00D415C6" w:rsidRDefault="00D36E27" w:rsidP="00D415C6">
      <w:pPr>
        <w:pStyle w:val="Ttulo2"/>
        <w:rPr>
          <w:rFonts w:ascii="Times New Roman" w:hAnsi="Times New Roman" w:cs="Times New Roman"/>
          <w:color w:val="auto"/>
          <w:sz w:val="30"/>
          <w:szCs w:val="30"/>
        </w:rPr>
      </w:pPr>
      <w:r w:rsidRPr="00D415C6">
        <w:rPr>
          <w:rFonts w:ascii="Times New Roman" w:hAnsi="Times New Roman" w:cs="Times New Roman"/>
          <w:color w:val="auto"/>
          <w:sz w:val="30"/>
          <w:szCs w:val="30"/>
        </w:rPr>
        <w:lastRenderedPageBreak/>
        <w:t xml:space="preserve">    </w:t>
      </w:r>
      <w:bookmarkStart w:id="101" w:name="_Toc406754355"/>
      <w:r w:rsidRPr="00D415C6">
        <w:rPr>
          <w:rFonts w:ascii="Times New Roman" w:hAnsi="Times New Roman" w:cs="Times New Roman"/>
          <w:color w:val="auto"/>
          <w:sz w:val="30"/>
          <w:szCs w:val="30"/>
        </w:rPr>
        <w:t>14.1    Estadísticas Vitales</w:t>
      </w:r>
      <w:bookmarkEnd w:id="101"/>
    </w:p>
    <w:p w:rsidR="00D36E27" w:rsidRDefault="00D36E27" w:rsidP="00D36E27"/>
    <w:p w:rsidR="0045508B" w:rsidRDefault="0045508B" w:rsidP="00D36E27"/>
    <w:p w:rsidR="00D36E27" w:rsidRPr="006D4B02" w:rsidRDefault="00D36E27" w:rsidP="00D36E27">
      <w:pPr>
        <w:rPr>
          <w:b/>
          <w:sz w:val="30"/>
          <w:szCs w:val="30"/>
        </w:rPr>
      </w:pPr>
      <w:bookmarkStart w:id="102" w:name="_Toc406754356"/>
      <w:r w:rsidRPr="00D415C6">
        <w:rPr>
          <w:rStyle w:val="Ttulo2Car"/>
          <w:rFonts w:ascii="Times New Roman" w:hAnsi="Times New Roman" w:cs="Times New Roman"/>
          <w:color w:val="auto"/>
          <w:sz w:val="30"/>
          <w:szCs w:val="30"/>
        </w:rPr>
        <w:t>14</w:t>
      </w:r>
      <w:r w:rsidR="00D415C6" w:rsidRPr="00D415C6">
        <w:rPr>
          <w:rStyle w:val="Ttulo2Car"/>
          <w:rFonts w:ascii="Times New Roman" w:hAnsi="Times New Roman" w:cs="Times New Roman"/>
          <w:color w:val="auto"/>
          <w:sz w:val="30"/>
          <w:szCs w:val="30"/>
        </w:rPr>
        <w:t>.1.1</w:t>
      </w:r>
      <w:r w:rsidRPr="00D415C6">
        <w:rPr>
          <w:rStyle w:val="Ttulo2Car"/>
          <w:rFonts w:ascii="Times New Roman" w:hAnsi="Times New Roman" w:cs="Times New Roman"/>
          <w:color w:val="auto"/>
          <w:sz w:val="30"/>
          <w:szCs w:val="30"/>
        </w:rPr>
        <w:t xml:space="preserve"> Mortalidad Infantil</w:t>
      </w:r>
      <w:bookmarkEnd w:id="102"/>
    </w:p>
    <w:p w:rsidR="00D36E27" w:rsidRPr="004F62A5" w:rsidRDefault="00D36E27" w:rsidP="00D36E27">
      <w:pPr>
        <w:rPr>
          <w:b/>
        </w:rPr>
      </w:pPr>
    </w:p>
    <w:p w:rsidR="00D36E27" w:rsidRDefault="00D36E27" w:rsidP="00D36E27">
      <w:pPr>
        <w:spacing w:line="360" w:lineRule="auto"/>
        <w:jc w:val="both"/>
      </w:pPr>
      <w:r w:rsidRPr="004F62A5">
        <w:t xml:space="preserve"> </w:t>
      </w:r>
      <w:r>
        <w:t xml:space="preserve">     </w:t>
      </w:r>
      <w:r w:rsidRPr="004F62A5">
        <w:t>La tasa de mortalidad infantil (TMI), corresponde al número de muertes en menores de un año por cada mil nacidos vivos en ese mismo periodo. Su cálculo se realiza teniendo en cuen</w:t>
      </w:r>
      <w:r>
        <w:t>ta el número t</w:t>
      </w:r>
      <w:r w:rsidRPr="004F62A5">
        <w:t xml:space="preserve">otal de muertes en niños menores de un año durante un periodo dado </w:t>
      </w:r>
      <w:r>
        <w:t xml:space="preserve">sobre el número </w:t>
      </w:r>
      <w:r w:rsidRPr="004F62A5">
        <w:t xml:space="preserve"> total de nacidos vivos durante el mismo periodo de tiempo por mil.</w:t>
      </w:r>
      <w:r w:rsidR="001E790F">
        <w:t xml:space="preserve"> </w:t>
      </w:r>
      <w:r>
        <w:t>La tasa de Mortalidad según el lugar de ocurrencia consiste en el número de muertes en menores de 1 año, por cada mil nacidos vivos, en el lugar de residencia de la madre, en el momento del nacimiento del feto muerto.</w:t>
      </w:r>
    </w:p>
    <w:p w:rsidR="00D36E27" w:rsidRPr="004F62A5" w:rsidRDefault="00D36E27" w:rsidP="00D36E27">
      <w:pPr>
        <w:spacing w:line="360" w:lineRule="auto"/>
        <w:jc w:val="both"/>
      </w:pPr>
    </w:p>
    <w:p w:rsidR="00D36E27" w:rsidRPr="001E790F" w:rsidRDefault="001E790F" w:rsidP="009F382D">
      <w:pPr>
        <w:jc w:val="both"/>
      </w:pPr>
      <w:r>
        <w:t>Tabla</w:t>
      </w:r>
      <w:r w:rsidR="00D36E27" w:rsidRPr="001E790F">
        <w:t>14.1</w:t>
      </w:r>
    </w:p>
    <w:p w:rsidR="00D36E27" w:rsidRPr="001E790F" w:rsidRDefault="00D36E27" w:rsidP="001E790F">
      <w:r w:rsidRPr="001E790F">
        <w:t>Tasa de mortalidad Infantil por Municipio  en menores de cinco años</w:t>
      </w:r>
    </w:p>
    <w:p w:rsidR="00D36E27" w:rsidRPr="001E790F" w:rsidRDefault="00D36E27" w:rsidP="001E790F">
      <w:r w:rsidRPr="001E790F">
        <w:t>2009-2011</w:t>
      </w:r>
    </w:p>
    <w:tbl>
      <w:tblPr>
        <w:tblW w:w="4900" w:type="dxa"/>
        <w:tblCellMar>
          <w:left w:w="70" w:type="dxa"/>
          <w:right w:w="70" w:type="dxa"/>
        </w:tblCellMar>
        <w:tblLook w:val="04A0" w:firstRow="1" w:lastRow="0" w:firstColumn="1" w:lastColumn="0" w:noHBand="0" w:noVBand="1"/>
      </w:tblPr>
      <w:tblGrid>
        <w:gridCol w:w="2407"/>
        <w:gridCol w:w="831"/>
        <w:gridCol w:w="831"/>
        <w:gridCol w:w="831"/>
      </w:tblGrid>
      <w:tr w:rsidR="00D36E27" w:rsidRPr="003E2358" w:rsidTr="001E790F">
        <w:trPr>
          <w:trHeight w:val="315"/>
        </w:trPr>
        <w:tc>
          <w:tcPr>
            <w:tcW w:w="2407" w:type="dxa"/>
            <w:tcBorders>
              <w:top w:val="single" w:sz="4" w:space="0" w:color="auto"/>
              <w:left w:val="nil"/>
              <w:bottom w:val="single" w:sz="4" w:space="0" w:color="auto"/>
              <w:right w:val="nil"/>
            </w:tcBorders>
            <w:shd w:val="clear" w:color="auto" w:fill="auto"/>
            <w:noWrap/>
            <w:vAlign w:val="center"/>
            <w:hideMark/>
          </w:tcPr>
          <w:p w:rsidR="00D36E27" w:rsidRPr="003E2358" w:rsidRDefault="00D36E27" w:rsidP="001E790F">
            <w:pPr>
              <w:jc w:val="center"/>
              <w:rPr>
                <w:b/>
                <w:bCs/>
                <w:color w:val="000000"/>
                <w:sz w:val="20"/>
                <w:szCs w:val="20"/>
                <w:lang w:eastAsia="es-ES"/>
              </w:rPr>
            </w:pPr>
            <w:r w:rsidRPr="003E2358">
              <w:rPr>
                <w:b/>
                <w:bCs/>
                <w:color w:val="000000"/>
                <w:sz w:val="20"/>
                <w:szCs w:val="20"/>
                <w:lang w:eastAsia="es-ES"/>
              </w:rPr>
              <w:t>Municipio</w:t>
            </w:r>
          </w:p>
        </w:tc>
        <w:tc>
          <w:tcPr>
            <w:tcW w:w="831" w:type="dxa"/>
            <w:tcBorders>
              <w:top w:val="single" w:sz="4" w:space="0" w:color="auto"/>
              <w:left w:val="nil"/>
              <w:bottom w:val="single" w:sz="4" w:space="0" w:color="auto"/>
              <w:right w:val="nil"/>
            </w:tcBorders>
            <w:shd w:val="clear" w:color="auto" w:fill="auto"/>
            <w:noWrap/>
            <w:vAlign w:val="center"/>
            <w:hideMark/>
          </w:tcPr>
          <w:p w:rsidR="00D36E27" w:rsidRPr="003E2358" w:rsidRDefault="00D36E27" w:rsidP="001E790F">
            <w:pPr>
              <w:jc w:val="center"/>
              <w:rPr>
                <w:b/>
                <w:bCs/>
                <w:color w:val="000000"/>
                <w:sz w:val="20"/>
                <w:szCs w:val="20"/>
                <w:lang w:eastAsia="es-ES"/>
              </w:rPr>
            </w:pPr>
            <w:r w:rsidRPr="003E2358">
              <w:rPr>
                <w:b/>
                <w:bCs/>
                <w:color w:val="000000"/>
                <w:sz w:val="20"/>
                <w:szCs w:val="20"/>
                <w:lang w:eastAsia="es-ES"/>
              </w:rPr>
              <w:t>2009</w:t>
            </w:r>
          </w:p>
        </w:tc>
        <w:tc>
          <w:tcPr>
            <w:tcW w:w="831" w:type="dxa"/>
            <w:tcBorders>
              <w:top w:val="single" w:sz="4" w:space="0" w:color="auto"/>
              <w:left w:val="nil"/>
              <w:bottom w:val="single" w:sz="4" w:space="0" w:color="auto"/>
              <w:right w:val="nil"/>
            </w:tcBorders>
            <w:shd w:val="clear" w:color="auto" w:fill="auto"/>
            <w:noWrap/>
            <w:vAlign w:val="center"/>
            <w:hideMark/>
          </w:tcPr>
          <w:p w:rsidR="00D36E27" w:rsidRPr="003E2358" w:rsidRDefault="00D36E27" w:rsidP="001E790F">
            <w:pPr>
              <w:jc w:val="center"/>
              <w:rPr>
                <w:b/>
                <w:bCs/>
                <w:color w:val="000000"/>
                <w:sz w:val="20"/>
                <w:szCs w:val="20"/>
                <w:lang w:eastAsia="es-ES"/>
              </w:rPr>
            </w:pPr>
            <w:r w:rsidRPr="003E2358">
              <w:rPr>
                <w:b/>
                <w:bCs/>
                <w:color w:val="000000"/>
                <w:sz w:val="20"/>
                <w:szCs w:val="20"/>
                <w:lang w:eastAsia="es-ES"/>
              </w:rPr>
              <w:t>2010</w:t>
            </w:r>
          </w:p>
        </w:tc>
        <w:tc>
          <w:tcPr>
            <w:tcW w:w="831" w:type="dxa"/>
            <w:tcBorders>
              <w:top w:val="single" w:sz="4" w:space="0" w:color="auto"/>
              <w:left w:val="nil"/>
              <w:bottom w:val="single" w:sz="4" w:space="0" w:color="auto"/>
              <w:right w:val="nil"/>
            </w:tcBorders>
            <w:shd w:val="clear" w:color="auto" w:fill="auto"/>
            <w:noWrap/>
            <w:vAlign w:val="center"/>
            <w:hideMark/>
          </w:tcPr>
          <w:p w:rsidR="00D36E27" w:rsidRPr="003E2358" w:rsidRDefault="00D36E27" w:rsidP="001E790F">
            <w:pPr>
              <w:jc w:val="center"/>
              <w:rPr>
                <w:b/>
                <w:bCs/>
                <w:color w:val="000000"/>
                <w:sz w:val="20"/>
                <w:szCs w:val="20"/>
                <w:lang w:eastAsia="es-ES"/>
              </w:rPr>
            </w:pPr>
            <w:r w:rsidRPr="003E2358">
              <w:rPr>
                <w:b/>
                <w:bCs/>
                <w:color w:val="000000"/>
                <w:sz w:val="20"/>
                <w:szCs w:val="20"/>
                <w:lang w:eastAsia="es-ES"/>
              </w:rPr>
              <w:t>2011</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Armenia</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11,21</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10,83</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10,54</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Buenavista</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14,33</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13,84</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12,74</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Calarcá</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14,25</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13,76</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13,30</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Circasia</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14,49</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13,99</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13,99</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Córdoba</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14,69</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14,19</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13,35</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Filandia</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12,31</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11,89</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11,89</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Génova</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19,11</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18,95</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18,79</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La tebaida</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14,62</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14,12</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14,12</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Montenegro</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16,56</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16,35</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16,35</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Pijao</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23,20</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22,4</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21,71</w:t>
            </w:r>
          </w:p>
        </w:tc>
      </w:tr>
      <w:tr w:rsidR="00D36E27" w:rsidRPr="003E2358" w:rsidTr="001E790F">
        <w:trPr>
          <w:trHeight w:val="300"/>
        </w:trPr>
        <w:tc>
          <w:tcPr>
            <w:tcW w:w="2407" w:type="dxa"/>
            <w:tcBorders>
              <w:top w:val="nil"/>
              <w:left w:val="nil"/>
              <w:bottom w:val="nil"/>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Quimbaya</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16,71</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16,14</w:t>
            </w:r>
          </w:p>
        </w:tc>
        <w:tc>
          <w:tcPr>
            <w:tcW w:w="831" w:type="dxa"/>
            <w:tcBorders>
              <w:top w:val="nil"/>
              <w:left w:val="nil"/>
              <w:bottom w:val="nil"/>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15,94</w:t>
            </w:r>
          </w:p>
        </w:tc>
      </w:tr>
      <w:tr w:rsidR="00D36E27" w:rsidRPr="003E2358" w:rsidTr="001E790F">
        <w:trPr>
          <w:trHeight w:val="300"/>
        </w:trPr>
        <w:tc>
          <w:tcPr>
            <w:tcW w:w="2407" w:type="dxa"/>
            <w:tcBorders>
              <w:top w:val="nil"/>
              <w:left w:val="nil"/>
              <w:bottom w:val="single" w:sz="4" w:space="0" w:color="auto"/>
              <w:right w:val="nil"/>
            </w:tcBorders>
            <w:shd w:val="clear" w:color="auto" w:fill="auto"/>
            <w:noWrap/>
            <w:vAlign w:val="bottom"/>
            <w:hideMark/>
          </w:tcPr>
          <w:p w:rsidR="00D36E27" w:rsidRPr="00FF0359" w:rsidRDefault="00D36E27" w:rsidP="001E790F">
            <w:pPr>
              <w:rPr>
                <w:bCs/>
                <w:color w:val="000000"/>
                <w:sz w:val="20"/>
                <w:szCs w:val="20"/>
                <w:lang w:eastAsia="es-ES"/>
              </w:rPr>
            </w:pPr>
            <w:r w:rsidRPr="00FF0359">
              <w:rPr>
                <w:bCs/>
                <w:color w:val="000000"/>
                <w:sz w:val="20"/>
                <w:szCs w:val="20"/>
                <w:lang w:eastAsia="es-ES"/>
              </w:rPr>
              <w:t>Salento</w:t>
            </w:r>
          </w:p>
        </w:tc>
        <w:tc>
          <w:tcPr>
            <w:tcW w:w="831" w:type="dxa"/>
            <w:tcBorders>
              <w:top w:val="nil"/>
              <w:left w:val="nil"/>
              <w:bottom w:val="single" w:sz="4" w:space="0" w:color="auto"/>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14,51</w:t>
            </w:r>
          </w:p>
        </w:tc>
        <w:tc>
          <w:tcPr>
            <w:tcW w:w="831" w:type="dxa"/>
            <w:tcBorders>
              <w:top w:val="nil"/>
              <w:left w:val="nil"/>
              <w:bottom w:val="single" w:sz="4" w:space="0" w:color="auto"/>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14,02</w:t>
            </w:r>
          </w:p>
        </w:tc>
        <w:tc>
          <w:tcPr>
            <w:tcW w:w="831" w:type="dxa"/>
            <w:tcBorders>
              <w:top w:val="nil"/>
              <w:left w:val="nil"/>
              <w:bottom w:val="single" w:sz="4" w:space="0" w:color="auto"/>
              <w:right w:val="nil"/>
            </w:tcBorders>
            <w:shd w:val="clear" w:color="auto" w:fill="auto"/>
            <w:noWrap/>
            <w:vAlign w:val="bottom"/>
            <w:hideMark/>
          </w:tcPr>
          <w:p w:rsidR="00D36E27" w:rsidRPr="00FF0359" w:rsidRDefault="00D36E27" w:rsidP="001E790F">
            <w:pPr>
              <w:jc w:val="center"/>
              <w:rPr>
                <w:color w:val="000000"/>
                <w:sz w:val="20"/>
                <w:szCs w:val="20"/>
                <w:lang w:eastAsia="es-ES"/>
              </w:rPr>
            </w:pPr>
            <w:r w:rsidRPr="00FF0359">
              <w:rPr>
                <w:color w:val="000000"/>
                <w:sz w:val="20"/>
                <w:szCs w:val="20"/>
                <w:lang w:eastAsia="es-ES"/>
              </w:rPr>
              <w:t>12,62</w:t>
            </w:r>
          </w:p>
        </w:tc>
      </w:tr>
      <w:tr w:rsidR="00D36E27" w:rsidRPr="003E2358" w:rsidTr="001E790F">
        <w:trPr>
          <w:trHeight w:val="310"/>
        </w:trPr>
        <w:tc>
          <w:tcPr>
            <w:tcW w:w="2407" w:type="dxa"/>
            <w:tcBorders>
              <w:top w:val="single" w:sz="4" w:space="0" w:color="auto"/>
              <w:left w:val="nil"/>
              <w:bottom w:val="single" w:sz="4" w:space="0" w:color="auto"/>
              <w:right w:val="nil"/>
            </w:tcBorders>
            <w:shd w:val="clear" w:color="auto" w:fill="auto"/>
            <w:noWrap/>
            <w:vAlign w:val="center"/>
            <w:hideMark/>
          </w:tcPr>
          <w:p w:rsidR="00D36E27" w:rsidRPr="003E2358" w:rsidRDefault="00D36E27" w:rsidP="001E790F">
            <w:pPr>
              <w:jc w:val="center"/>
              <w:rPr>
                <w:b/>
                <w:bCs/>
                <w:color w:val="000000"/>
                <w:sz w:val="20"/>
                <w:szCs w:val="20"/>
                <w:lang w:eastAsia="es-ES"/>
              </w:rPr>
            </w:pPr>
            <w:r w:rsidRPr="003E2358">
              <w:rPr>
                <w:b/>
                <w:bCs/>
                <w:color w:val="000000"/>
                <w:sz w:val="20"/>
                <w:szCs w:val="20"/>
                <w:lang w:eastAsia="es-ES"/>
              </w:rPr>
              <w:t>Quindío</w:t>
            </w:r>
          </w:p>
        </w:tc>
        <w:tc>
          <w:tcPr>
            <w:tcW w:w="831" w:type="dxa"/>
            <w:tcBorders>
              <w:top w:val="single" w:sz="4" w:space="0" w:color="auto"/>
              <w:left w:val="nil"/>
              <w:bottom w:val="single" w:sz="4" w:space="0" w:color="auto"/>
              <w:right w:val="nil"/>
            </w:tcBorders>
            <w:shd w:val="clear" w:color="auto" w:fill="auto"/>
            <w:noWrap/>
            <w:vAlign w:val="center"/>
            <w:hideMark/>
          </w:tcPr>
          <w:p w:rsidR="00D36E27" w:rsidRPr="003E2358" w:rsidRDefault="00D36E27" w:rsidP="001E790F">
            <w:pPr>
              <w:jc w:val="center"/>
              <w:rPr>
                <w:b/>
                <w:bCs/>
                <w:color w:val="000000"/>
                <w:sz w:val="20"/>
                <w:szCs w:val="20"/>
                <w:lang w:eastAsia="es-ES"/>
              </w:rPr>
            </w:pPr>
            <w:r w:rsidRPr="003E2358">
              <w:rPr>
                <w:b/>
                <w:bCs/>
                <w:color w:val="000000"/>
                <w:sz w:val="20"/>
                <w:szCs w:val="20"/>
                <w:lang w:eastAsia="es-ES"/>
              </w:rPr>
              <w:t>13,42</w:t>
            </w:r>
          </w:p>
        </w:tc>
        <w:tc>
          <w:tcPr>
            <w:tcW w:w="831" w:type="dxa"/>
            <w:tcBorders>
              <w:top w:val="single" w:sz="4" w:space="0" w:color="auto"/>
              <w:left w:val="nil"/>
              <w:bottom w:val="single" w:sz="4" w:space="0" w:color="auto"/>
              <w:right w:val="nil"/>
            </w:tcBorders>
            <w:shd w:val="clear" w:color="auto" w:fill="auto"/>
            <w:noWrap/>
            <w:vAlign w:val="center"/>
            <w:hideMark/>
          </w:tcPr>
          <w:p w:rsidR="00D36E27" w:rsidRPr="003E2358" w:rsidRDefault="00D36E27" w:rsidP="001E790F">
            <w:pPr>
              <w:jc w:val="center"/>
              <w:rPr>
                <w:b/>
                <w:bCs/>
                <w:color w:val="000000"/>
                <w:sz w:val="20"/>
                <w:szCs w:val="20"/>
                <w:lang w:eastAsia="es-ES"/>
              </w:rPr>
            </w:pPr>
            <w:r w:rsidRPr="003E2358">
              <w:rPr>
                <w:b/>
                <w:bCs/>
                <w:color w:val="000000"/>
                <w:sz w:val="20"/>
                <w:szCs w:val="20"/>
                <w:lang w:eastAsia="es-ES"/>
              </w:rPr>
              <w:t>13,01</w:t>
            </w:r>
          </w:p>
        </w:tc>
        <w:tc>
          <w:tcPr>
            <w:tcW w:w="831" w:type="dxa"/>
            <w:tcBorders>
              <w:top w:val="single" w:sz="4" w:space="0" w:color="auto"/>
              <w:left w:val="nil"/>
              <w:bottom w:val="single" w:sz="4" w:space="0" w:color="auto"/>
              <w:right w:val="nil"/>
            </w:tcBorders>
            <w:shd w:val="clear" w:color="auto" w:fill="auto"/>
            <w:noWrap/>
            <w:vAlign w:val="center"/>
            <w:hideMark/>
          </w:tcPr>
          <w:p w:rsidR="00D36E27" w:rsidRPr="003E2358" w:rsidRDefault="00D36E27" w:rsidP="001E790F">
            <w:pPr>
              <w:jc w:val="center"/>
              <w:rPr>
                <w:b/>
                <w:bCs/>
                <w:color w:val="000000"/>
                <w:sz w:val="20"/>
                <w:szCs w:val="20"/>
                <w:lang w:eastAsia="es-ES"/>
              </w:rPr>
            </w:pPr>
            <w:r w:rsidRPr="003E2358">
              <w:rPr>
                <w:b/>
                <w:bCs/>
                <w:color w:val="000000"/>
                <w:sz w:val="20"/>
                <w:szCs w:val="20"/>
                <w:lang w:eastAsia="es-ES"/>
              </w:rPr>
              <w:t>12,4</w:t>
            </w:r>
          </w:p>
        </w:tc>
      </w:tr>
    </w:tbl>
    <w:p w:rsidR="00D36E27" w:rsidRPr="003F6161" w:rsidRDefault="00D36E27" w:rsidP="00D36E27">
      <w:r w:rsidRPr="00FF0359">
        <w:rPr>
          <w:sz w:val="18"/>
          <w:szCs w:val="18"/>
        </w:rPr>
        <w:t>Fuente: Estadísticas Vitales. Secretaria de Salud</w:t>
      </w:r>
      <w:r>
        <w:t>.</w:t>
      </w:r>
    </w:p>
    <w:p w:rsidR="001E790F" w:rsidRDefault="00D36E27" w:rsidP="00D36E27">
      <w:pPr>
        <w:spacing w:line="360" w:lineRule="auto"/>
        <w:jc w:val="both"/>
      </w:pPr>
      <w:r>
        <w:t xml:space="preserve">    </w:t>
      </w:r>
    </w:p>
    <w:p w:rsidR="00D36E27" w:rsidRDefault="00D36E27" w:rsidP="00692FCD">
      <w:pPr>
        <w:spacing w:line="360" w:lineRule="auto"/>
        <w:ind w:firstLine="284"/>
        <w:jc w:val="both"/>
      </w:pPr>
      <w:r>
        <w:t xml:space="preserve"> En el Quindío la tasa de mortalidad  en menores de cinco años ha venido presentando una importante disminución, las estadísticas vitales  evidencian que para el año 2009 la tasa fue de 13,42 por </w:t>
      </w:r>
      <w:proofErr w:type="spellStart"/>
      <w:r>
        <w:t>mnv</w:t>
      </w:r>
      <w:proofErr w:type="spellEnd"/>
      <w:r>
        <w:t xml:space="preserve"> (mil nacidos vivos), en tanto que en los años 2010 y 2011 presentó una disminución del 13,01% y 12.4% respectivamente. Estos resultados evidencian que la </w:t>
      </w:r>
      <w:r>
        <w:lastRenderedPageBreak/>
        <w:t>tasa de mortalidad del Quindío se encuentra por debajo de la media nacional  la cual se ubicó para el 2011 en 17.78.</w:t>
      </w:r>
    </w:p>
    <w:p w:rsidR="00692FCD" w:rsidRDefault="00692FCD" w:rsidP="00692FCD">
      <w:pPr>
        <w:spacing w:line="360" w:lineRule="auto"/>
        <w:ind w:firstLine="284"/>
        <w:jc w:val="both"/>
      </w:pPr>
    </w:p>
    <w:p w:rsidR="00D36E27" w:rsidRDefault="00D36E27" w:rsidP="00692FCD">
      <w:pPr>
        <w:spacing w:line="360" w:lineRule="auto"/>
        <w:ind w:firstLine="284"/>
        <w:jc w:val="both"/>
      </w:pPr>
      <w:r>
        <w:t xml:space="preserve">A nivel Municipal, se han venido presentando unas tasas decrecientes en los municipios de Armenia, Buenavista, Calarcá, Córdoba, Génova, Pijao, Quimbaya y Salento. Los municipios de Circasia (13,99), Filandia (11,89), la Tebaida (14,12) y Montenegro (16,35) no presentan ninguna variación al pasar del año 2010 a 2011. La tasa de mortalidad más baja para el año 2011 la presenta el municipio de Armenia, con el 10,54, en tanto que la más alta corresponde a Pijao con el 21,71 para la misma vigencia.  Es de aclarar que  los datos de estadísticas vitales más actualizadas corresponden al año 2011, según el </w:t>
      </w:r>
      <w:r w:rsidR="008F5FB2">
        <w:t>DANE</w:t>
      </w:r>
      <w:r>
        <w:t>.</w:t>
      </w:r>
    </w:p>
    <w:p w:rsidR="00D36E27" w:rsidRDefault="00D36E27" w:rsidP="00D36E27">
      <w:pPr>
        <w:spacing w:line="360" w:lineRule="auto"/>
        <w:jc w:val="both"/>
      </w:pPr>
    </w:p>
    <w:p w:rsidR="00D36E27" w:rsidRDefault="00D36E27" w:rsidP="00D36E27">
      <w:pPr>
        <w:jc w:val="center"/>
      </w:pPr>
    </w:p>
    <w:p w:rsidR="00D36E27" w:rsidRPr="001961EE" w:rsidRDefault="00D36E27" w:rsidP="00692FCD">
      <w:r w:rsidRPr="001961EE">
        <w:t xml:space="preserve">Gráfico </w:t>
      </w:r>
      <w:r>
        <w:t>14.1</w:t>
      </w:r>
    </w:p>
    <w:p w:rsidR="00D36E27" w:rsidRDefault="00D36E27" w:rsidP="00692FCD">
      <w:pPr>
        <w:rPr>
          <w:b/>
        </w:rPr>
      </w:pPr>
      <w:r>
        <w:rPr>
          <w:b/>
        </w:rPr>
        <w:t>Tasa de mortalidad infantil por municipio</w:t>
      </w:r>
    </w:p>
    <w:p w:rsidR="00D36E27" w:rsidRDefault="00D36E27" w:rsidP="00692FCD">
      <w:r w:rsidRPr="00CE4613">
        <w:t>2009 – 2011</w:t>
      </w:r>
    </w:p>
    <w:p w:rsidR="00D36E27" w:rsidRDefault="00D36E27" w:rsidP="00D36E27">
      <w:pPr>
        <w:jc w:val="center"/>
      </w:pPr>
    </w:p>
    <w:p w:rsidR="00D36E27" w:rsidRDefault="00D36E27" w:rsidP="00692FCD">
      <w:pPr>
        <w:rPr>
          <w:b/>
        </w:rPr>
      </w:pPr>
      <w:r>
        <w:rPr>
          <w:noProof/>
        </w:rPr>
        <w:drawing>
          <wp:inline distT="0" distB="0" distL="0" distR="0" wp14:anchorId="677C444F" wp14:editId="25558762">
            <wp:extent cx="4787660" cy="2725947"/>
            <wp:effectExtent l="0" t="0" r="13335" b="1778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E4353" w:rsidRDefault="00692FCD" w:rsidP="00D36E27">
      <w:pPr>
        <w:rPr>
          <w:b/>
        </w:rPr>
      </w:pPr>
      <w:r>
        <w:rPr>
          <w:b/>
        </w:rPr>
        <w:t xml:space="preserve">  </w:t>
      </w:r>
    </w:p>
    <w:p w:rsidR="00D36E27" w:rsidRPr="009E4C89" w:rsidRDefault="00D36E27" w:rsidP="00D36E27">
      <w:pPr>
        <w:rPr>
          <w:b/>
        </w:rPr>
      </w:pPr>
      <w:r>
        <w:rPr>
          <w:b/>
        </w:rPr>
        <w:t xml:space="preserve"> </w:t>
      </w:r>
      <w:r w:rsidRPr="009E4C89">
        <w:t>Fuente</w:t>
      </w:r>
      <w:r w:rsidRPr="009E4C89">
        <w:rPr>
          <w:sz w:val="18"/>
          <w:szCs w:val="18"/>
        </w:rPr>
        <w:t xml:space="preserve">: </w:t>
      </w:r>
      <w:r w:rsidR="008F5FB2">
        <w:rPr>
          <w:sz w:val="18"/>
          <w:szCs w:val="18"/>
        </w:rPr>
        <w:t>DANE</w:t>
      </w:r>
      <w:r w:rsidRPr="009E4C89">
        <w:rPr>
          <w:sz w:val="18"/>
          <w:szCs w:val="18"/>
        </w:rPr>
        <w:t xml:space="preserve"> Visor TMI</w:t>
      </w:r>
      <w:r w:rsidRPr="00142C17">
        <w:rPr>
          <w:b/>
          <w:sz w:val="18"/>
          <w:szCs w:val="18"/>
        </w:rPr>
        <w:t>.</w:t>
      </w:r>
    </w:p>
    <w:p w:rsidR="00D36E27" w:rsidRDefault="00D36E27" w:rsidP="00D36E27">
      <w:pPr>
        <w:rPr>
          <w:b/>
        </w:rPr>
      </w:pPr>
    </w:p>
    <w:p w:rsidR="001E4353" w:rsidRDefault="001E4353" w:rsidP="009C7E8F">
      <w:pPr>
        <w:spacing w:line="360" w:lineRule="auto"/>
        <w:ind w:firstLine="284"/>
        <w:jc w:val="both"/>
      </w:pPr>
    </w:p>
    <w:p w:rsidR="001E4353" w:rsidRDefault="001E4353" w:rsidP="009C7E8F">
      <w:pPr>
        <w:spacing w:line="360" w:lineRule="auto"/>
        <w:ind w:firstLine="284"/>
        <w:jc w:val="both"/>
      </w:pPr>
    </w:p>
    <w:p w:rsidR="00D36E27" w:rsidRDefault="00D36E27" w:rsidP="009C7E8F">
      <w:pPr>
        <w:spacing w:line="360" w:lineRule="auto"/>
        <w:ind w:firstLine="284"/>
        <w:jc w:val="both"/>
      </w:pPr>
      <w:r w:rsidRPr="00661514">
        <w:lastRenderedPageBreak/>
        <w:t>Para</w:t>
      </w:r>
      <w:r>
        <w:rPr>
          <w:b/>
        </w:rPr>
        <w:t xml:space="preserve"> </w:t>
      </w:r>
      <w:r>
        <w:t>el año 2015 los objetivos del milenio han establecido como meta de mortalidad infantil el 16,7 por cada mil nacidos vivos, para el año 2011 diez municipios de departamento (Armenia, Buenavista, Calarcá, Circasia, Córdoba, Filandia, La Tebaida, Montenegro, Quimbaya y Salento) han logrado tasa por debajo de la establecida para el 2015. Por su parte municipios como  Génova y Pijao deben prestar mayor atención en el avance del logro de dicha meta, ya que al 2011 sus tasas de mortalidad se encuentran por encima de la media nacional.</w:t>
      </w:r>
    </w:p>
    <w:p w:rsidR="009C7E8F" w:rsidRDefault="009C7E8F" w:rsidP="009C7E8F">
      <w:pPr>
        <w:spacing w:line="360" w:lineRule="auto"/>
        <w:ind w:firstLine="284"/>
        <w:jc w:val="both"/>
      </w:pPr>
    </w:p>
    <w:p w:rsidR="00D36E27" w:rsidRPr="009C7E8F" w:rsidRDefault="009C7E8F" w:rsidP="009C7E8F">
      <w:pPr>
        <w:ind w:left="284"/>
      </w:pPr>
      <w:r>
        <w:t>Tabla</w:t>
      </w:r>
      <w:r w:rsidR="00D36E27" w:rsidRPr="009C7E8F">
        <w:t xml:space="preserve"> 14.2</w:t>
      </w:r>
    </w:p>
    <w:p w:rsidR="00D36E27" w:rsidRPr="009C7E8F" w:rsidRDefault="009C7E8F" w:rsidP="009C7E8F">
      <w:pPr>
        <w:ind w:left="284"/>
      </w:pPr>
      <w:r>
        <w:t>Mortalida</w:t>
      </w:r>
      <w:r w:rsidR="00D36E27" w:rsidRPr="009C7E8F">
        <w:t xml:space="preserve">d </w:t>
      </w:r>
      <w:r>
        <w:t xml:space="preserve"> </w:t>
      </w:r>
      <w:r w:rsidR="00D36E27" w:rsidRPr="009C7E8F">
        <w:t>por Municipios. Número de casos</w:t>
      </w:r>
    </w:p>
    <w:p w:rsidR="00D36E27" w:rsidRPr="009C7E8F" w:rsidRDefault="00D36E27" w:rsidP="009C7E8F">
      <w:pPr>
        <w:ind w:left="284"/>
      </w:pPr>
      <w:r w:rsidRPr="009C7E8F">
        <w:t>2009-2011</w:t>
      </w:r>
    </w:p>
    <w:tbl>
      <w:tblPr>
        <w:tblpPr w:leftFromText="141" w:rightFromText="141" w:vertAnchor="text" w:horzAnchor="page" w:tblpX="1" w:tblpY="292"/>
        <w:tblW w:w="11912" w:type="dxa"/>
        <w:tblCellMar>
          <w:left w:w="70" w:type="dxa"/>
          <w:right w:w="70" w:type="dxa"/>
        </w:tblCellMar>
        <w:tblLook w:val="04A0" w:firstRow="1" w:lastRow="0" w:firstColumn="1" w:lastColumn="0" w:noHBand="0" w:noVBand="1"/>
      </w:tblPr>
      <w:tblGrid>
        <w:gridCol w:w="10746"/>
        <w:gridCol w:w="1166"/>
      </w:tblGrid>
      <w:tr w:rsidR="00D36E27" w:rsidRPr="005F5E2C" w:rsidTr="001E790F">
        <w:trPr>
          <w:trHeight w:val="249"/>
        </w:trPr>
        <w:tc>
          <w:tcPr>
            <w:tcW w:w="9253" w:type="dxa"/>
            <w:tcBorders>
              <w:top w:val="nil"/>
              <w:left w:val="nil"/>
              <w:bottom w:val="nil"/>
              <w:right w:val="nil"/>
            </w:tcBorders>
            <w:shd w:val="clear" w:color="auto" w:fill="auto"/>
            <w:noWrap/>
            <w:vAlign w:val="bottom"/>
          </w:tcPr>
          <w:tbl>
            <w:tblPr>
              <w:tblW w:w="8606" w:type="dxa"/>
              <w:tblInd w:w="2000" w:type="dxa"/>
              <w:tblCellMar>
                <w:left w:w="70" w:type="dxa"/>
                <w:right w:w="70" w:type="dxa"/>
              </w:tblCellMar>
              <w:tblLook w:val="04A0" w:firstRow="1" w:lastRow="0" w:firstColumn="1" w:lastColumn="0" w:noHBand="0" w:noVBand="1"/>
            </w:tblPr>
            <w:tblGrid>
              <w:gridCol w:w="1927"/>
              <w:gridCol w:w="607"/>
              <w:gridCol w:w="710"/>
              <w:gridCol w:w="711"/>
              <w:gridCol w:w="631"/>
              <w:gridCol w:w="632"/>
              <w:gridCol w:w="633"/>
              <w:gridCol w:w="918"/>
              <w:gridCol w:w="918"/>
              <w:gridCol w:w="919"/>
            </w:tblGrid>
            <w:tr w:rsidR="00D36E27" w:rsidRPr="00FC6E74" w:rsidTr="00406000">
              <w:trPr>
                <w:trHeight w:val="103"/>
              </w:trPr>
              <w:tc>
                <w:tcPr>
                  <w:tcW w:w="1927" w:type="dxa"/>
                  <w:tcBorders>
                    <w:top w:val="single" w:sz="4" w:space="0" w:color="auto"/>
                    <w:left w:val="nil"/>
                    <w:bottom w:val="nil"/>
                    <w:right w:val="nil"/>
                  </w:tcBorders>
                  <w:shd w:val="clear" w:color="auto" w:fill="auto"/>
                  <w:noWrap/>
                  <w:vAlign w:val="bottom"/>
                  <w:hideMark/>
                </w:tcPr>
                <w:p w:rsidR="00D36E27" w:rsidRPr="00FC6E74" w:rsidRDefault="00D36E27" w:rsidP="001E790F">
                  <w:pPr>
                    <w:framePr w:hSpace="141" w:wrap="around" w:vAnchor="text" w:hAnchor="page" w:x="1" w:y="292"/>
                    <w:ind w:left="356"/>
                    <w:rPr>
                      <w:sz w:val="18"/>
                      <w:szCs w:val="18"/>
                      <w:lang w:eastAsia="es-ES"/>
                    </w:rPr>
                  </w:pPr>
                </w:p>
              </w:tc>
              <w:tc>
                <w:tcPr>
                  <w:tcW w:w="2028" w:type="dxa"/>
                  <w:gridSpan w:val="3"/>
                  <w:vMerge w:val="restart"/>
                  <w:tcBorders>
                    <w:top w:val="single" w:sz="4" w:space="0" w:color="auto"/>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MORT.MATERNA</w:t>
                  </w:r>
                </w:p>
              </w:tc>
              <w:tc>
                <w:tcPr>
                  <w:tcW w:w="1896" w:type="dxa"/>
                  <w:gridSpan w:val="3"/>
                  <w:vMerge w:val="restart"/>
                  <w:tcBorders>
                    <w:top w:val="single" w:sz="4" w:space="0" w:color="auto"/>
                    <w:left w:val="nil"/>
                    <w:bottom w:val="nil"/>
                    <w:right w:val="nil"/>
                  </w:tcBorders>
                  <w:shd w:val="clear" w:color="auto" w:fill="auto"/>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MORT. EN &lt; DE 1 AÑO</w:t>
                  </w:r>
                </w:p>
              </w:tc>
              <w:tc>
                <w:tcPr>
                  <w:tcW w:w="2755" w:type="dxa"/>
                  <w:gridSpan w:val="3"/>
                  <w:vMerge w:val="restart"/>
                  <w:tcBorders>
                    <w:top w:val="single" w:sz="4" w:space="0" w:color="auto"/>
                    <w:left w:val="nil"/>
                    <w:bottom w:val="nil"/>
                    <w:right w:val="nil"/>
                  </w:tcBorders>
                  <w:shd w:val="clear" w:color="auto" w:fill="auto"/>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MORTALIDAD EN &lt; DE  5 AÑOS</w:t>
                  </w:r>
                </w:p>
              </w:tc>
            </w:tr>
            <w:tr w:rsidR="00D36E27" w:rsidRPr="00FC6E74" w:rsidTr="00406000">
              <w:trPr>
                <w:trHeight w:val="339"/>
              </w:trPr>
              <w:tc>
                <w:tcPr>
                  <w:tcW w:w="1927" w:type="dxa"/>
                  <w:tcBorders>
                    <w:top w:val="nil"/>
                    <w:left w:val="nil"/>
                    <w:bottom w:val="nil"/>
                    <w:right w:val="nil"/>
                  </w:tcBorders>
                  <w:shd w:val="clear" w:color="auto" w:fill="auto"/>
                  <w:noWrap/>
                  <w:vAlign w:val="bottom"/>
                  <w:hideMark/>
                </w:tcPr>
                <w:p w:rsidR="00D36E27" w:rsidRPr="00FC6E74" w:rsidRDefault="00D36E27" w:rsidP="001E790F">
                  <w:pPr>
                    <w:framePr w:hSpace="141" w:wrap="around" w:vAnchor="text" w:hAnchor="page" w:x="1" w:y="292"/>
                    <w:jc w:val="center"/>
                    <w:rPr>
                      <w:b/>
                      <w:bCs/>
                      <w:color w:val="000000"/>
                      <w:sz w:val="18"/>
                      <w:szCs w:val="18"/>
                      <w:lang w:eastAsia="es-ES"/>
                    </w:rPr>
                  </w:pPr>
                </w:p>
              </w:tc>
              <w:tc>
                <w:tcPr>
                  <w:tcW w:w="2028" w:type="dxa"/>
                  <w:gridSpan w:val="3"/>
                  <w:vMerge/>
                  <w:tcBorders>
                    <w:top w:val="nil"/>
                    <w:left w:val="nil"/>
                    <w:bottom w:val="nil"/>
                    <w:right w:val="nil"/>
                  </w:tcBorders>
                  <w:vAlign w:val="center"/>
                  <w:hideMark/>
                </w:tcPr>
                <w:p w:rsidR="00D36E27" w:rsidRPr="00FC6E74" w:rsidRDefault="00D36E27" w:rsidP="001E790F">
                  <w:pPr>
                    <w:framePr w:hSpace="141" w:wrap="around" w:vAnchor="text" w:hAnchor="page" w:x="1" w:y="292"/>
                    <w:rPr>
                      <w:b/>
                      <w:bCs/>
                      <w:color w:val="000000"/>
                      <w:sz w:val="18"/>
                      <w:szCs w:val="18"/>
                      <w:lang w:eastAsia="es-ES"/>
                    </w:rPr>
                  </w:pPr>
                </w:p>
              </w:tc>
              <w:tc>
                <w:tcPr>
                  <w:tcW w:w="1896" w:type="dxa"/>
                  <w:gridSpan w:val="3"/>
                  <w:vMerge/>
                  <w:tcBorders>
                    <w:top w:val="nil"/>
                    <w:left w:val="nil"/>
                    <w:bottom w:val="nil"/>
                    <w:right w:val="nil"/>
                  </w:tcBorders>
                  <w:vAlign w:val="center"/>
                  <w:hideMark/>
                </w:tcPr>
                <w:p w:rsidR="00D36E27" w:rsidRPr="00FC6E74" w:rsidRDefault="00D36E27" w:rsidP="001E790F">
                  <w:pPr>
                    <w:framePr w:hSpace="141" w:wrap="around" w:vAnchor="text" w:hAnchor="page" w:x="1" w:y="292"/>
                    <w:rPr>
                      <w:b/>
                      <w:bCs/>
                      <w:color w:val="000000"/>
                      <w:sz w:val="18"/>
                      <w:szCs w:val="18"/>
                      <w:lang w:eastAsia="es-ES"/>
                    </w:rPr>
                  </w:pPr>
                </w:p>
              </w:tc>
              <w:tc>
                <w:tcPr>
                  <w:tcW w:w="2755" w:type="dxa"/>
                  <w:gridSpan w:val="3"/>
                  <w:vMerge/>
                  <w:tcBorders>
                    <w:top w:val="nil"/>
                    <w:left w:val="nil"/>
                    <w:bottom w:val="nil"/>
                    <w:right w:val="nil"/>
                  </w:tcBorders>
                  <w:vAlign w:val="center"/>
                  <w:hideMark/>
                </w:tcPr>
                <w:p w:rsidR="00D36E27" w:rsidRPr="00FC6E74" w:rsidRDefault="00D36E27" w:rsidP="001E790F">
                  <w:pPr>
                    <w:framePr w:hSpace="141" w:wrap="around" w:vAnchor="text" w:hAnchor="page" w:x="1" w:y="292"/>
                    <w:rPr>
                      <w:b/>
                      <w:bCs/>
                      <w:color w:val="000000"/>
                      <w:sz w:val="18"/>
                      <w:szCs w:val="18"/>
                      <w:lang w:eastAsia="es-ES"/>
                    </w:rPr>
                  </w:pPr>
                </w:p>
              </w:tc>
            </w:tr>
            <w:tr w:rsidR="00D36E27" w:rsidRPr="00FC6E74" w:rsidTr="00406000">
              <w:trPr>
                <w:trHeight w:val="356"/>
              </w:trPr>
              <w:tc>
                <w:tcPr>
                  <w:tcW w:w="1927"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MUNICIPIOS</w:t>
                  </w:r>
                </w:p>
              </w:tc>
              <w:tc>
                <w:tcPr>
                  <w:tcW w:w="607"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2009</w:t>
                  </w:r>
                </w:p>
              </w:tc>
              <w:tc>
                <w:tcPr>
                  <w:tcW w:w="710"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2010</w:t>
                  </w:r>
                </w:p>
              </w:tc>
              <w:tc>
                <w:tcPr>
                  <w:tcW w:w="711"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2011</w:t>
                  </w:r>
                </w:p>
              </w:tc>
              <w:tc>
                <w:tcPr>
                  <w:tcW w:w="631"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2009</w:t>
                  </w:r>
                </w:p>
              </w:tc>
              <w:tc>
                <w:tcPr>
                  <w:tcW w:w="632"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2010</w:t>
                  </w:r>
                </w:p>
              </w:tc>
              <w:tc>
                <w:tcPr>
                  <w:tcW w:w="632"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2011</w:t>
                  </w:r>
                </w:p>
              </w:tc>
              <w:tc>
                <w:tcPr>
                  <w:tcW w:w="918"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2009</w:t>
                  </w:r>
                </w:p>
              </w:tc>
              <w:tc>
                <w:tcPr>
                  <w:tcW w:w="918"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2010</w:t>
                  </w:r>
                </w:p>
              </w:tc>
              <w:tc>
                <w:tcPr>
                  <w:tcW w:w="918"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b/>
                      <w:bCs/>
                      <w:color w:val="000000"/>
                      <w:sz w:val="18"/>
                      <w:szCs w:val="18"/>
                      <w:lang w:eastAsia="es-ES"/>
                    </w:rPr>
                  </w:pPr>
                  <w:r w:rsidRPr="00FC6E74">
                    <w:rPr>
                      <w:b/>
                      <w:bCs/>
                      <w:color w:val="000000"/>
                      <w:sz w:val="18"/>
                      <w:szCs w:val="18"/>
                      <w:lang w:eastAsia="es-ES"/>
                    </w:rPr>
                    <w:t>2011</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ARMENIA</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56</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43</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41</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65</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51</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44</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BUENAVISTA</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CALARCA</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16</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20</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7</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19</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20</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11</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CIRCASIA</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5</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CORDOBA</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FILANDIA</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3</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5</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5</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GENOVA</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LA TEBAIDA</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10</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7</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9</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11</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8</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9</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MONTENEGRO</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8</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11</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7</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PIJAO</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r>
            <w:tr w:rsidR="00D36E27" w:rsidRPr="00FC6E74" w:rsidTr="00260F8B">
              <w:trPr>
                <w:trHeight w:val="339"/>
              </w:trPr>
              <w:tc>
                <w:tcPr>
                  <w:tcW w:w="1927" w:type="dxa"/>
                  <w:tcBorders>
                    <w:top w:val="nil"/>
                    <w:left w:val="nil"/>
                    <w:bottom w:val="nil"/>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QUIMBAYA</w:t>
                  </w:r>
                </w:p>
              </w:tc>
              <w:tc>
                <w:tcPr>
                  <w:tcW w:w="607"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1"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6</w:t>
                  </w:r>
                </w:p>
              </w:tc>
              <w:tc>
                <w:tcPr>
                  <w:tcW w:w="632"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4</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7</w:t>
                  </w:r>
                </w:p>
              </w:tc>
              <w:tc>
                <w:tcPr>
                  <w:tcW w:w="918" w:type="dxa"/>
                  <w:tcBorders>
                    <w:top w:val="nil"/>
                    <w:left w:val="nil"/>
                    <w:bottom w:val="nil"/>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5</w:t>
                  </w:r>
                </w:p>
              </w:tc>
            </w:tr>
            <w:tr w:rsidR="00D36E27" w:rsidRPr="00FC6E74" w:rsidTr="00260F8B">
              <w:trPr>
                <w:trHeight w:val="356"/>
              </w:trPr>
              <w:tc>
                <w:tcPr>
                  <w:tcW w:w="1927" w:type="dxa"/>
                  <w:tcBorders>
                    <w:top w:val="nil"/>
                    <w:left w:val="nil"/>
                    <w:bottom w:val="single" w:sz="8" w:space="0" w:color="auto"/>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SALENTO</w:t>
                  </w:r>
                </w:p>
              </w:tc>
              <w:tc>
                <w:tcPr>
                  <w:tcW w:w="607" w:type="dxa"/>
                  <w:tcBorders>
                    <w:top w:val="nil"/>
                    <w:left w:val="nil"/>
                    <w:bottom w:val="single" w:sz="8" w:space="0" w:color="auto"/>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nil"/>
                    <w:left w:val="nil"/>
                    <w:bottom w:val="single" w:sz="8" w:space="0" w:color="auto"/>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1" w:type="dxa"/>
                  <w:tcBorders>
                    <w:top w:val="nil"/>
                    <w:left w:val="nil"/>
                    <w:bottom w:val="single" w:sz="8" w:space="0" w:color="auto"/>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1" w:type="dxa"/>
                  <w:tcBorders>
                    <w:top w:val="nil"/>
                    <w:left w:val="nil"/>
                    <w:bottom w:val="single" w:sz="8" w:space="0" w:color="auto"/>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c>
                <w:tcPr>
                  <w:tcW w:w="632" w:type="dxa"/>
                  <w:tcBorders>
                    <w:top w:val="nil"/>
                    <w:left w:val="nil"/>
                    <w:bottom w:val="single" w:sz="8" w:space="0" w:color="auto"/>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632" w:type="dxa"/>
                  <w:tcBorders>
                    <w:top w:val="nil"/>
                    <w:left w:val="nil"/>
                    <w:bottom w:val="single" w:sz="8" w:space="0" w:color="auto"/>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c>
                <w:tcPr>
                  <w:tcW w:w="918" w:type="dxa"/>
                  <w:tcBorders>
                    <w:top w:val="nil"/>
                    <w:left w:val="nil"/>
                    <w:bottom w:val="single" w:sz="8" w:space="0" w:color="auto"/>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2</w:t>
                  </w:r>
                </w:p>
              </w:tc>
              <w:tc>
                <w:tcPr>
                  <w:tcW w:w="918" w:type="dxa"/>
                  <w:tcBorders>
                    <w:top w:val="nil"/>
                    <w:left w:val="nil"/>
                    <w:bottom w:val="single" w:sz="8" w:space="0" w:color="auto"/>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918" w:type="dxa"/>
                  <w:tcBorders>
                    <w:top w:val="nil"/>
                    <w:left w:val="nil"/>
                    <w:bottom w:val="single" w:sz="8" w:space="0" w:color="auto"/>
                    <w:right w:val="nil"/>
                  </w:tcBorders>
                  <w:shd w:val="clear" w:color="auto" w:fill="auto"/>
                  <w:noWrap/>
                  <w:vAlign w:val="center"/>
                  <w:hideMark/>
                </w:tcPr>
                <w:p w:rsidR="00D36E27" w:rsidRPr="00FC6E74" w:rsidRDefault="00D36E27" w:rsidP="00260F8B">
                  <w:pPr>
                    <w:framePr w:hSpace="141" w:wrap="around" w:vAnchor="text" w:hAnchor="page" w:x="1" w:y="292"/>
                    <w:jc w:val="center"/>
                    <w:rPr>
                      <w:color w:val="000000"/>
                      <w:sz w:val="18"/>
                      <w:szCs w:val="18"/>
                      <w:lang w:eastAsia="es-ES"/>
                    </w:rPr>
                  </w:pPr>
                  <w:r w:rsidRPr="00FC6E74">
                    <w:rPr>
                      <w:color w:val="000000"/>
                      <w:sz w:val="18"/>
                      <w:szCs w:val="18"/>
                      <w:lang w:eastAsia="es-ES"/>
                    </w:rPr>
                    <w:t>1</w:t>
                  </w:r>
                </w:p>
              </w:tc>
            </w:tr>
            <w:tr w:rsidR="00D36E27" w:rsidRPr="00FC6E74" w:rsidTr="00406000">
              <w:trPr>
                <w:trHeight w:val="356"/>
              </w:trPr>
              <w:tc>
                <w:tcPr>
                  <w:tcW w:w="1927" w:type="dxa"/>
                  <w:tcBorders>
                    <w:top w:val="single" w:sz="8" w:space="0" w:color="auto"/>
                    <w:left w:val="nil"/>
                    <w:bottom w:val="single" w:sz="4" w:space="0" w:color="auto"/>
                    <w:right w:val="nil"/>
                  </w:tcBorders>
                  <w:shd w:val="clear" w:color="auto" w:fill="auto"/>
                  <w:noWrap/>
                  <w:vAlign w:val="center"/>
                  <w:hideMark/>
                </w:tcPr>
                <w:p w:rsidR="00D36E27" w:rsidRPr="00FC6E74" w:rsidRDefault="00D36E27" w:rsidP="001E790F">
                  <w:pPr>
                    <w:framePr w:hSpace="141" w:wrap="around" w:vAnchor="text" w:hAnchor="page" w:x="1" w:y="292"/>
                    <w:rPr>
                      <w:color w:val="000000"/>
                      <w:sz w:val="18"/>
                      <w:szCs w:val="18"/>
                      <w:lang w:eastAsia="es-ES"/>
                    </w:rPr>
                  </w:pPr>
                  <w:r w:rsidRPr="00FC6E74">
                    <w:rPr>
                      <w:color w:val="000000"/>
                      <w:sz w:val="18"/>
                      <w:szCs w:val="18"/>
                      <w:lang w:eastAsia="es-ES"/>
                    </w:rPr>
                    <w:t>QUINDIO</w:t>
                  </w:r>
                </w:p>
              </w:tc>
              <w:tc>
                <w:tcPr>
                  <w:tcW w:w="607" w:type="dxa"/>
                  <w:tcBorders>
                    <w:top w:val="single" w:sz="8" w:space="0" w:color="auto"/>
                    <w:left w:val="nil"/>
                    <w:bottom w:val="single" w:sz="4"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color w:val="000000"/>
                      <w:sz w:val="18"/>
                      <w:szCs w:val="18"/>
                      <w:lang w:eastAsia="es-ES"/>
                    </w:rPr>
                  </w:pPr>
                  <w:r w:rsidRPr="00FC6E74">
                    <w:rPr>
                      <w:color w:val="000000"/>
                      <w:sz w:val="18"/>
                      <w:szCs w:val="18"/>
                      <w:lang w:eastAsia="es-ES"/>
                    </w:rPr>
                    <w:t>0</w:t>
                  </w:r>
                </w:p>
              </w:tc>
              <w:tc>
                <w:tcPr>
                  <w:tcW w:w="710" w:type="dxa"/>
                  <w:tcBorders>
                    <w:top w:val="single" w:sz="8" w:space="0" w:color="auto"/>
                    <w:left w:val="nil"/>
                    <w:bottom w:val="single" w:sz="4"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color w:val="000000"/>
                      <w:sz w:val="18"/>
                      <w:szCs w:val="18"/>
                      <w:lang w:eastAsia="es-ES"/>
                    </w:rPr>
                  </w:pPr>
                  <w:r w:rsidRPr="00FC6E74">
                    <w:rPr>
                      <w:color w:val="000000"/>
                      <w:sz w:val="18"/>
                      <w:szCs w:val="18"/>
                      <w:lang w:eastAsia="es-ES"/>
                    </w:rPr>
                    <w:t>4</w:t>
                  </w:r>
                </w:p>
              </w:tc>
              <w:tc>
                <w:tcPr>
                  <w:tcW w:w="711" w:type="dxa"/>
                  <w:tcBorders>
                    <w:top w:val="single" w:sz="8" w:space="0" w:color="auto"/>
                    <w:left w:val="nil"/>
                    <w:bottom w:val="single" w:sz="4"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color w:val="000000"/>
                      <w:sz w:val="18"/>
                      <w:szCs w:val="18"/>
                      <w:lang w:eastAsia="es-ES"/>
                    </w:rPr>
                  </w:pPr>
                  <w:r w:rsidRPr="00FC6E74">
                    <w:rPr>
                      <w:color w:val="000000"/>
                      <w:sz w:val="18"/>
                      <w:szCs w:val="18"/>
                      <w:lang w:eastAsia="es-ES"/>
                    </w:rPr>
                    <w:t>2</w:t>
                  </w:r>
                </w:p>
              </w:tc>
              <w:tc>
                <w:tcPr>
                  <w:tcW w:w="631" w:type="dxa"/>
                  <w:tcBorders>
                    <w:top w:val="single" w:sz="8" w:space="0" w:color="auto"/>
                    <w:left w:val="nil"/>
                    <w:bottom w:val="single" w:sz="4"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color w:val="000000"/>
                      <w:sz w:val="18"/>
                      <w:szCs w:val="18"/>
                      <w:lang w:eastAsia="es-ES"/>
                    </w:rPr>
                  </w:pPr>
                  <w:r w:rsidRPr="00FC6E74">
                    <w:rPr>
                      <w:color w:val="000000"/>
                      <w:sz w:val="18"/>
                      <w:szCs w:val="18"/>
                      <w:lang w:eastAsia="es-ES"/>
                    </w:rPr>
                    <w:t>103</w:t>
                  </w:r>
                </w:p>
              </w:tc>
              <w:tc>
                <w:tcPr>
                  <w:tcW w:w="632" w:type="dxa"/>
                  <w:tcBorders>
                    <w:top w:val="single" w:sz="8" w:space="0" w:color="auto"/>
                    <w:left w:val="nil"/>
                    <w:bottom w:val="single" w:sz="4"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color w:val="000000"/>
                      <w:sz w:val="18"/>
                      <w:szCs w:val="18"/>
                      <w:lang w:eastAsia="es-ES"/>
                    </w:rPr>
                  </w:pPr>
                  <w:r w:rsidRPr="00FC6E74">
                    <w:rPr>
                      <w:color w:val="000000"/>
                      <w:sz w:val="18"/>
                      <w:szCs w:val="18"/>
                      <w:lang w:eastAsia="es-ES"/>
                    </w:rPr>
                    <w:t>86</w:t>
                  </w:r>
                </w:p>
              </w:tc>
              <w:tc>
                <w:tcPr>
                  <w:tcW w:w="632" w:type="dxa"/>
                  <w:tcBorders>
                    <w:top w:val="single" w:sz="8" w:space="0" w:color="auto"/>
                    <w:left w:val="nil"/>
                    <w:bottom w:val="single" w:sz="4"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color w:val="000000"/>
                      <w:sz w:val="18"/>
                      <w:szCs w:val="18"/>
                      <w:lang w:eastAsia="es-ES"/>
                    </w:rPr>
                  </w:pPr>
                  <w:r w:rsidRPr="00FC6E74">
                    <w:rPr>
                      <w:color w:val="000000"/>
                      <w:sz w:val="18"/>
                      <w:szCs w:val="18"/>
                      <w:lang w:eastAsia="es-ES"/>
                    </w:rPr>
                    <w:t>76</w:t>
                  </w:r>
                </w:p>
              </w:tc>
              <w:tc>
                <w:tcPr>
                  <w:tcW w:w="918" w:type="dxa"/>
                  <w:tcBorders>
                    <w:top w:val="single" w:sz="8" w:space="0" w:color="auto"/>
                    <w:left w:val="nil"/>
                    <w:bottom w:val="single" w:sz="4"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color w:val="000000"/>
                      <w:sz w:val="18"/>
                      <w:szCs w:val="18"/>
                      <w:lang w:eastAsia="es-ES"/>
                    </w:rPr>
                  </w:pPr>
                  <w:r w:rsidRPr="00FC6E74">
                    <w:rPr>
                      <w:color w:val="000000"/>
                      <w:sz w:val="18"/>
                      <w:szCs w:val="18"/>
                      <w:lang w:eastAsia="es-ES"/>
                    </w:rPr>
                    <w:t>121</w:t>
                  </w:r>
                </w:p>
              </w:tc>
              <w:tc>
                <w:tcPr>
                  <w:tcW w:w="918" w:type="dxa"/>
                  <w:tcBorders>
                    <w:top w:val="single" w:sz="8" w:space="0" w:color="auto"/>
                    <w:left w:val="nil"/>
                    <w:bottom w:val="single" w:sz="4"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color w:val="000000"/>
                      <w:sz w:val="18"/>
                      <w:szCs w:val="18"/>
                      <w:lang w:eastAsia="es-ES"/>
                    </w:rPr>
                  </w:pPr>
                  <w:r w:rsidRPr="00FC6E74">
                    <w:rPr>
                      <w:color w:val="000000"/>
                      <w:sz w:val="18"/>
                      <w:szCs w:val="18"/>
                      <w:lang w:eastAsia="es-ES"/>
                    </w:rPr>
                    <w:t>97</w:t>
                  </w:r>
                </w:p>
              </w:tc>
              <w:tc>
                <w:tcPr>
                  <w:tcW w:w="918" w:type="dxa"/>
                  <w:tcBorders>
                    <w:top w:val="single" w:sz="8" w:space="0" w:color="auto"/>
                    <w:left w:val="nil"/>
                    <w:bottom w:val="single" w:sz="4" w:space="0" w:color="auto"/>
                    <w:right w:val="nil"/>
                  </w:tcBorders>
                  <w:shd w:val="clear" w:color="auto" w:fill="auto"/>
                  <w:noWrap/>
                  <w:vAlign w:val="center"/>
                  <w:hideMark/>
                </w:tcPr>
                <w:p w:rsidR="00D36E27" w:rsidRPr="00FC6E74" w:rsidRDefault="00D36E27" w:rsidP="001E790F">
                  <w:pPr>
                    <w:framePr w:hSpace="141" w:wrap="around" w:vAnchor="text" w:hAnchor="page" w:x="1" w:y="292"/>
                    <w:jc w:val="center"/>
                    <w:rPr>
                      <w:color w:val="000000"/>
                      <w:sz w:val="18"/>
                      <w:szCs w:val="18"/>
                      <w:lang w:eastAsia="es-ES"/>
                    </w:rPr>
                  </w:pPr>
                  <w:r w:rsidRPr="00FC6E74">
                    <w:rPr>
                      <w:color w:val="000000"/>
                      <w:sz w:val="18"/>
                      <w:szCs w:val="18"/>
                      <w:lang w:eastAsia="es-ES"/>
                    </w:rPr>
                    <w:t>89</w:t>
                  </w:r>
                </w:p>
              </w:tc>
            </w:tr>
          </w:tbl>
          <w:p w:rsidR="00D36E27" w:rsidRPr="005F5E2C" w:rsidRDefault="00D36E27" w:rsidP="001E790F">
            <w:pPr>
              <w:rPr>
                <w:lang w:eastAsia="es-ES"/>
              </w:rPr>
            </w:pPr>
          </w:p>
        </w:tc>
        <w:tc>
          <w:tcPr>
            <w:tcW w:w="2659" w:type="dxa"/>
            <w:tcBorders>
              <w:top w:val="nil"/>
              <w:left w:val="nil"/>
              <w:bottom w:val="nil"/>
              <w:right w:val="nil"/>
            </w:tcBorders>
            <w:shd w:val="clear" w:color="auto" w:fill="auto"/>
            <w:vAlign w:val="center"/>
          </w:tcPr>
          <w:p w:rsidR="00D36E27" w:rsidRPr="005F5E2C" w:rsidRDefault="00D36E27" w:rsidP="001E790F">
            <w:pPr>
              <w:rPr>
                <w:lang w:eastAsia="es-ES"/>
              </w:rPr>
            </w:pPr>
          </w:p>
        </w:tc>
      </w:tr>
    </w:tbl>
    <w:p w:rsidR="00D36E27" w:rsidRDefault="00D36E27" w:rsidP="00D36E27">
      <w:pPr>
        <w:jc w:val="center"/>
        <w:rPr>
          <w:rFonts w:eastAsia="Adobe Gothic Std B"/>
          <w:color w:val="000000"/>
          <w:lang w:eastAsia="es-ES"/>
        </w:rPr>
      </w:pPr>
    </w:p>
    <w:p w:rsidR="00D36E27" w:rsidRPr="00EA02C0" w:rsidRDefault="00D36E27" w:rsidP="00D36E27">
      <w:pPr>
        <w:rPr>
          <w:rFonts w:eastAsia="Adobe Gothic Std B"/>
          <w:color w:val="000000"/>
          <w:sz w:val="16"/>
          <w:szCs w:val="16"/>
          <w:lang w:eastAsia="es-ES"/>
        </w:rPr>
      </w:pPr>
      <w:r>
        <w:rPr>
          <w:rFonts w:eastAsia="Adobe Gothic Std B"/>
          <w:color w:val="000000"/>
          <w:lang w:eastAsia="es-ES"/>
        </w:rPr>
        <w:t xml:space="preserve">      </w:t>
      </w:r>
      <w:r w:rsidRPr="00EA02C0">
        <w:rPr>
          <w:rFonts w:eastAsia="Adobe Gothic Std B"/>
          <w:color w:val="000000"/>
          <w:sz w:val="16"/>
          <w:szCs w:val="16"/>
          <w:lang w:eastAsia="es-ES"/>
        </w:rPr>
        <w:t xml:space="preserve">   Fuente: Secretaria Departamental de Salud. </w:t>
      </w:r>
      <w:r w:rsidR="008F5FB2">
        <w:rPr>
          <w:rFonts w:eastAsia="Adobe Gothic Std B"/>
          <w:color w:val="000000"/>
          <w:sz w:val="16"/>
          <w:szCs w:val="16"/>
          <w:lang w:eastAsia="es-ES"/>
        </w:rPr>
        <w:t>DANE</w:t>
      </w:r>
      <w:r w:rsidRPr="00EA02C0">
        <w:rPr>
          <w:rFonts w:eastAsia="Adobe Gothic Std B"/>
          <w:color w:val="000000"/>
          <w:sz w:val="16"/>
          <w:szCs w:val="16"/>
          <w:lang w:eastAsia="es-ES"/>
        </w:rPr>
        <w:t>.</w:t>
      </w:r>
    </w:p>
    <w:p w:rsidR="00D36E27" w:rsidRDefault="00D36E27" w:rsidP="00D36E27">
      <w:pPr>
        <w:rPr>
          <w:rFonts w:eastAsia="Adobe Gothic Std B"/>
          <w:color w:val="000000"/>
          <w:lang w:eastAsia="es-ES"/>
        </w:rPr>
      </w:pPr>
    </w:p>
    <w:p w:rsidR="00D36E27" w:rsidRDefault="00D36E27" w:rsidP="00D36E27">
      <w:pPr>
        <w:rPr>
          <w:rFonts w:eastAsia="Adobe Gothic Std B"/>
          <w:color w:val="000000"/>
          <w:lang w:eastAsia="es-ES"/>
        </w:rPr>
      </w:pPr>
    </w:p>
    <w:p w:rsidR="00D36E27" w:rsidRDefault="00D36E27" w:rsidP="00D36E27">
      <w:pPr>
        <w:spacing w:line="360" w:lineRule="auto"/>
        <w:jc w:val="both"/>
      </w:pPr>
      <w:r>
        <w:t xml:space="preserve">     La mortalidad infantil  en menores de un año en el departamento del Quindío</w:t>
      </w:r>
      <w:r w:rsidR="00EC51A8">
        <w:t>,</w:t>
      </w:r>
      <w:r>
        <w:t xml:space="preserve"> presenta</w:t>
      </w:r>
      <w:r w:rsidR="00EC51A8">
        <w:t xml:space="preserve"> un comportamiento decreciente </w:t>
      </w:r>
      <w:r>
        <w:t>al</w:t>
      </w:r>
      <w:r w:rsidR="00EC51A8">
        <w:t xml:space="preserve"> pasar de 103 casos en el 2009 a </w:t>
      </w:r>
      <w:r>
        <w:t xml:space="preserve">76 casos en el año 2011, situación similar se presenta en la mortalidad de menores de cinco años, donde en el </w:t>
      </w:r>
      <w:r w:rsidR="00EC51A8">
        <w:t xml:space="preserve">2009 se evidenciaron 121 casos </w:t>
      </w:r>
      <w:r>
        <w:t xml:space="preserve">y en el año 2011 bajaron a 89 casos de mortalidad, es de destacar </w:t>
      </w:r>
      <w:r>
        <w:lastRenderedPageBreak/>
        <w:t>el municipio de Buenavista</w:t>
      </w:r>
      <w:r w:rsidR="00EC51A8">
        <w:t>,</w:t>
      </w:r>
      <w:r>
        <w:t xml:space="preserve"> donde no se presentaron muertes en el periodo del 2009 al 2011 y los municipios de Córdoba y Salento que presentaron un caso en el 2011.</w:t>
      </w:r>
    </w:p>
    <w:p w:rsidR="00406000" w:rsidRDefault="00406000" w:rsidP="00D36E27">
      <w:pPr>
        <w:spacing w:line="360" w:lineRule="auto"/>
        <w:jc w:val="both"/>
      </w:pPr>
    </w:p>
    <w:p w:rsidR="00D36E27" w:rsidRDefault="00D36E27" w:rsidP="00D36E27">
      <w:pPr>
        <w:spacing w:line="360" w:lineRule="auto"/>
        <w:jc w:val="both"/>
      </w:pPr>
      <w:r>
        <w:t xml:space="preserve">     De los 76 casos de mortalidad en menores de un año en el 2011, 41 muertes corresponden a la ciudad de Armenia, 9 a la T</w:t>
      </w:r>
      <w:r w:rsidR="00A14728">
        <w:t>ebaida, 7 a Calarcá.</w:t>
      </w:r>
      <w:r>
        <w:t xml:space="preserve"> La mortalidad en menores de 5 años</w:t>
      </w:r>
      <w:r w:rsidR="00A14728">
        <w:t>,</w:t>
      </w:r>
      <w:r>
        <w:t xml:space="preserve"> presenta 89 casos en 2011 de los cuales 44 casos corresponden a Armenia, 11 a Calarcá, 9 a la Tebaida y a Montenegro y menos de cinco casos en el resto de los municipios.</w:t>
      </w:r>
    </w:p>
    <w:p w:rsidR="00D36E27" w:rsidRDefault="00D36E27" w:rsidP="00D36E27">
      <w:pPr>
        <w:spacing w:line="360" w:lineRule="auto"/>
        <w:jc w:val="both"/>
      </w:pPr>
    </w:p>
    <w:p w:rsidR="00D36E27" w:rsidRDefault="00D36E27" w:rsidP="00D36E27">
      <w:pPr>
        <w:spacing w:line="360" w:lineRule="auto"/>
        <w:jc w:val="both"/>
      </w:pPr>
      <w:r>
        <w:t xml:space="preserve">     Según los registros de la Secretaría Departamental de Salud,  las principales  causas de mortalidad infantil en menores de un año y cinco años de edad, son:</w:t>
      </w:r>
    </w:p>
    <w:p w:rsidR="009C7E8F" w:rsidRPr="009F382D" w:rsidRDefault="009C7E8F" w:rsidP="00D36E27">
      <w:pPr>
        <w:spacing w:line="360" w:lineRule="auto"/>
        <w:jc w:val="both"/>
        <w:rPr>
          <w:sz w:val="22"/>
        </w:rPr>
      </w:pPr>
    </w:p>
    <w:p w:rsidR="00D36E27" w:rsidRDefault="00D36E27" w:rsidP="00D36E27">
      <w:pPr>
        <w:pStyle w:val="Prrafodelista"/>
        <w:numPr>
          <w:ilvl w:val="0"/>
          <w:numId w:val="10"/>
        </w:numPr>
        <w:spacing w:after="160" w:line="360" w:lineRule="auto"/>
        <w:jc w:val="both"/>
      </w:pPr>
      <w:r>
        <w:t>T</w:t>
      </w:r>
      <w:r w:rsidRPr="006324C9">
        <w:t>rastornos respiratorios</w:t>
      </w:r>
      <w:r>
        <w:t xml:space="preserve"> específicos</w:t>
      </w:r>
      <w:r w:rsidRPr="006324C9">
        <w:t xml:space="preserve"> d</w:t>
      </w:r>
      <w:r>
        <w:t>el periodo perinatal.</w:t>
      </w:r>
    </w:p>
    <w:p w:rsidR="00D36E27" w:rsidRDefault="00D36E27" w:rsidP="00D36E27">
      <w:pPr>
        <w:pStyle w:val="Prrafodelista"/>
        <w:numPr>
          <w:ilvl w:val="0"/>
          <w:numId w:val="10"/>
        </w:numPr>
        <w:spacing w:after="160" w:line="360" w:lineRule="auto"/>
        <w:jc w:val="both"/>
      </w:pPr>
      <w:r w:rsidRPr="009B4DD2">
        <w:t>Malformaciones congénitas, deformaciones o anomalías congénitas.</w:t>
      </w:r>
    </w:p>
    <w:p w:rsidR="00D36E27" w:rsidRDefault="00D36E27" w:rsidP="00D36E27">
      <w:pPr>
        <w:pStyle w:val="Prrafodelista"/>
        <w:numPr>
          <w:ilvl w:val="0"/>
          <w:numId w:val="10"/>
        </w:numPr>
        <w:spacing w:after="160" w:line="360" w:lineRule="auto"/>
        <w:jc w:val="both"/>
      </w:pPr>
      <w:r w:rsidRPr="009B4DD2">
        <w:t>Malformaciones congénitas del sistema circulatorio.</w:t>
      </w:r>
    </w:p>
    <w:p w:rsidR="00D36E27" w:rsidRDefault="00D36E27" w:rsidP="00D36E27">
      <w:pPr>
        <w:pStyle w:val="Prrafodelista"/>
        <w:numPr>
          <w:ilvl w:val="0"/>
          <w:numId w:val="10"/>
        </w:numPr>
        <w:spacing w:after="160" w:line="360" w:lineRule="auto"/>
        <w:jc w:val="both"/>
      </w:pPr>
      <w:r w:rsidRPr="009B4DD2">
        <w:t>Infecciones específicas del período perinatal.</w:t>
      </w:r>
    </w:p>
    <w:p w:rsidR="00D36E27" w:rsidRDefault="00D36E27" w:rsidP="00D36E27">
      <w:pPr>
        <w:pStyle w:val="Prrafodelista"/>
        <w:numPr>
          <w:ilvl w:val="0"/>
          <w:numId w:val="10"/>
        </w:numPr>
        <w:spacing w:after="160" w:line="360" w:lineRule="auto"/>
        <w:jc w:val="both"/>
      </w:pPr>
      <w:r w:rsidRPr="009B4DD2">
        <w:t>Neumonía.</w:t>
      </w:r>
    </w:p>
    <w:p w:rsidR="00D36E27" w:rsidRDefault="00D36E27" w:rsidP="00D36E27">
      <w:pPr>
        <w:pStyle w:val="Prrafodelista"/>
        <w:numPr>
          <w:ilvl w:val="0"/>
          <w:numId w:val="10"/>
        </w:numPr>
        <w:spacing w:after="160" w:line="360" w:lineRule="auto"/>
        <w:jc w:val="both"/>
      </w:pPr>
      <w:r w:rsidRPr="009B4DD2">
        <w:t>Accidentes que obstruyen la respiración.</w:t>
      </w:r>
    </w:p>
    <w:p w:rsidR="00D36E27" w:rsidRDefault="00D36E27" w:rsidP="00D36E27">
      <w:pPr>
        <w:pStyle w:val="Prrafodelista"/>
        <w:numPr>
          <w:ilvl w:val="0"/>
          <w:numId w:val="10"/>
        </w:numPr>
        <w:spacing w:after="160" w:line="360" w:lineRule="auto"/>
        <w:jc w:val="both"/>
      </w:pPr>
      <w:r w:rsidRPr="009B4DD2">
        <w:t>Feto o recién nacido afectado por complicaciones obstétricas y traumatismo del nacimiento.</w:t>
      </w:r>
    </w:p>
    <w:p w:rsidR="00D36E27" w:rsidRDefault="00D36E27" w:rsidP="00D36E27">
      <w:pPr>
        <w:pStyle w:val="Prrafodelista"/>
        <w:numPr>
          <w:ilvl w:val="0"/>
          <w:numId w:val="10"/>
        </w:numPr>
        <w:spacing w:after="160" w:line="360" w:lineRule="auto"/>
        <w:jc w:val="both"/>
      </w:pPr>
      <w:r w:rsidRPr="009B4DD2">
        <w:t>Epilepsia y otros trastornos episódicos y paroxísticos.</w:t>
      </w:r>
    </w:p>
    <w:p w:rsidR="00D36E27" w:rsidRDefault="00D36E27" w:rsidP="00D36E27">
      <w:pPr>
        <w:pStyle w:val="Prrafodelista"/>
        <w:numPr>
          <w:ilvl w:val="0"/>
          <w:numId w:val="10"/>
        </w:numPr>
        <w:spacing w:after="160" w:line="360" w:lineRule="auto"/>
        <w:jc w:val="both"/>
      </w:pPr>
      <w:r w:rsidRPr="009B4DD2">
        <w:t>Ahogamiento y sumersión accidental.</w:t>
      </w:r>
    </w:p>
    <w:p w:rsidR="00D36E27" w:rsidRDefault="00D36E27" w:rsidP="00D36E27">
      <w:pPr>
        <w:pStyle w:val="Prrafodelista"/>
        <w:numPr>
          <w:ilvl w:val="0"/>
          <w:numId w:val="10"/>
        </w:numPr>
        <w:spacing w:after="160" w:line="360" w:lineRule="auto"/>
        <w:jc w:val="both"/>
      </w:pPr>
      <w:r w:rsidRPr="009B4DD2">
        <w:t>Tumor maligno del encéfalo, del ojo y de otras partes del sistema nervioso central.</w:t>
      </w:r>
    </w:p>
    <w:p w:rsidR="00D36E27" w:rsidRDefault="00D36E27" w:rsidP="00D36E27">
      <w:pPr>
        <w:pStyle w:val="Prrafodelista"/>
        <w:spacing w:line="360" w:lineRule="auto"/>
        <w:ind w:left="0"/>
        <w:jc w:val="both"/>
      </w:pPr>
    </w:p>
    <w:p w:rsidR="009C7E8F" w:rsidRDefault="009C7E8F" w:rsidP="00D36E27">
      <w:pPr>
        <w:ind w:right="140"/>
        <w:jc w:val="center"/>
      </w:pPr>
    </w:p>
    <w:p w:rsidR="001E4353" w:rsidRDefault="001E4353" w:rsidP="00D36E27">
      <w:pPr>
        <w:ind w:right="140"/>
        <w:jc w:val="center"/>
      </w:pPr>
    </w:p>
    <w:p w:rsidR="001E4353" w:rsidRDefault="001E4353" w:rsidP="00D36E27">
      <w:pPr>
        <w:ind w:right="140"/>
        <w:jc w:val="center"/>
      </w:pPr>
    </w:p>
    <w:p w:rsidR="002605C4" w:rsidRDefault="002605C4" w:rsidP="00D36E27">
      <w:pPr>
        <w:ind w:right="140"/>
        <w:jc w:val="center"/>
      </w:pPr>
    </w:p>
    <w:p w:rsidR="002605C4" w:rsidRDefault="002605C4" w:rsidP="00D36E27">
      <w:pPr>
        <w:ind w:right="140"/>
        <w:jc w:val="center"/>
      </w:pPr>
    </w:p>
    <w:p w:rsidR="002605C4" w:rsidRDefault="002605C4" w:rsidP="00D36E27">
      <w:pPr>
        <w:ind w:right="140"/>
        <w:jc w:val="center"/>
      </w:pPr>
    </w:p>
    <w:p w:rsidR="001E4353" w:rsidRDefault="001E4353" w:rsidP="00D36E27">
      <w:pPr>
        <w:ind w:right="140"/>
        <w:jc w:val="center"/>
      </w:pPr>
    </w:p>
    <w:p w:rsidR="001E4353" w:rsidRDefault="001E4353" w:rsidP="00D36E27">
      <w:pPr>
        <w:ind w:right="140"/>
        <w:jc w:val="center"/>
      </w:pPr>
    </w:p>
    <w:p w:rsidR="00D36E27" w:rsidRPr="009C7E8F" w:rsidRDefault="00D36E27" w:rsidP="009C7E8F">
      <w:pPr>
        <w:ind w:right="140"/>
      </w:pPr>
      <w:r w:rsidRPr="009C7E8F">
        <w:lastRenderedPageBreak/>
        <w:t>Gráfico 14.2</w:t>
      </w:r>
    </w:p>
    <w:p w:rsidR="00D36E27" w:rsidRPr="009C7E8F" w:rsidRDefault="00D36E27" w:rsidP="009C7E8F">
      <w:pPr>
        <w:ind w:right="140"/>
      </w:pPr>
      <w:r w:rsidRPr="009C7E8F">
        <w:t>Mortalidad por cáncer de cuello uterino y mama</w:t>
      </w:r>
    </w:p>
    <w:p w:rsidR="00D36E27" w:rsidRPr="009C7E8F" w:rsidRDefault="00D36E27" w:rsidP="009C7E8F">
      <w:pPr>
        <w:ind w:right="140"/>
      </w:pPr>
      <w:r w:rsidRPr="009C7E8F">
        <w:t>2011 – 2013p</w:t>
      </w:r>
    </w:p>
    <w:p w:rsidR="00D36E27" w:rsidRPr="009C7E8F" w:rsidRDefault="00D36E27" w:rsidP="009C7E8F">
      <w:pPr>
        <w:ind w:right="140"/>
      </w:pPr>
    </w:p>
    <w:p w:rsidR="007D6A1C" w:rsidRDefault="007D6A1C" w:rsidP="007D6A1C">
      <w:pPr>
        <w:spacing w:line="360" w:lineRule="auto"/>
        <w:ind w:right="140"/>
      </w:pPr>
      <w:r>
        <w:rPr>
          <w:noProof/>
        </w:rPr>
        <w:drawing>
          <wp:inline distT="0" distB="0" distL="0" distR="0" wp14:anchorId="15049682" wp14:editId="6C0EB7A4">
            <wp:extent cx="2876550" cy="2000250"/>
            <wp:effectExtent l="0" t="0" r="19050" b="1905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00D36E27">
        <w:tab/>
      </w:r>
      <w:r w:rsidR="00D36E27">
        <w:tab/>
      </w:r>
      <w:r w:rsidR="00D36E27">
        <w:tab/>
      </w:r>
    </w:p>
    <w:p w:rsidR="00D36E27" w:rsidRPr="007D6A1C" w:rsidRDefault="00D36E27" w:rsidP="007D6A1C">
      <w:pPr>
        <w:spacing w:line="360" w:lineRule="auto"/>
        <w:ind w:right="140"/>
      </w:pPr>
      <w:r w:rsidRPr="007B524A">
        <w:rPr>
          <w:sz w:val="18"/>
          <w:szCs w:val="18"/>
        </w:rPr>
        <w:t>Fuente: Secretaria de Salud Departamental.</w:t>
      </w:r>
    </w:p>
    <w:p w:rsidR="00D36E27" w:rsidRDefault="00D36E27" w:rsidP="00D36E27">
      <w:pPr>
        <w:spacing w:line="360" w:lineRule="auto"/>
        <w:jc w:val="both"/>
      </w:pPr>
    </w:p>
    <w:p w:rsidR="00D36E27" w:rsidRDefault="00D36E27" w:rsidP="00D36E27">
      <w:pPr>
        <w:spacing w:line="360" w:lineRule="auto"/>
        <w:jc w:val="both"/>
      </w:pPr>
      <w:r>
        <w:t xml:space="preserve">      El cáncer de cuello uterino, es el causante del mayor número de muertes en mujeres que padecen de esta enfermedad, el departamento del Quindío presentó un descenso en la mortalidad de cáncer por cuello uterino  de 4 casos entre 2011 (55) y 2013 (51); así mismo, el cáncer de mama  descendió en 10 casos al pasar de 28 en el 2011 a 18 casos en el 2013, gracias a los controles establecidos en  donde se debe realizar citologías permanentes a mujeres con edades inferiores a 60 años, de igual manera se debe practicar  una mamografía a mujeres mayores de 40 años de edad, con el fin de diagnosticar a tiempo este tipo de patologías.</w:t>
      </w:r>
    </w:p>
    <w:p w:rsidR="00D36E27" w:rsidRDefault="00D36E27" w:rsidP="00D36E27">
      <w:pPr>
        <w:pStyle w:val="Prrafodelista"/>
        <w:spacing w:line="360" w:lineRule="auto"/>
        <w:ind w:left="0"/>
        <w:jc w:val="both"/>
      </w:pPr>
    </w:p>
    <w:p w:rsidR="00D36E27" w:rsidRPr="007B524A" w:rsidRDefault="00D36E27" w:rsidP="00D36E27">
      <w:pPr>
        <w:pStyle w:val="Prrafodelista"/>
        <w:spacing w:line="360" w:lineRule="auto"/>
        <w:ind w:left="0"/>
        <w:jc w:val="both"/>
        <w:rPr>
          <w:b/>
          <w:sz w:val="30"/>
          <w:szCs w:val="30"/>
        </w:rPr>
      </w:pPr>
      <w:bookmarkStart w:id="103" w:name="_Toc406754357"/>
      <w:r w:rsidRPr="007D6A1C">
        <w:rPr>
          <w:rStyle w:val="Ttulo2Car"/>
          <w:rFonts w:ascii="Times New Roman" w:hAnsi="Times New Roman" w:cs="Times New Roman"/>
          <w:color w:val="auto"/>
          <w:sz w:val="30"/>
          <w:szCs w:val="30"/>
        </w:rPr>
        <w:t>14.2   Coberturas de Vacunación</w:t>
      </w:r>
      <w:bookmarkEnd w:id="103"/>
    </w:p>
    <w:p w:rsidR="00D36E27" w:rsidRDefault="00D36E27" w:rsidP="00D36E27">
      <w:pPr>
        <w:pStyle w:val="Prrafodelista"/>
        <w:spacing w:line="360" w:lineRule="auto"/>
        <w:ind w:left="0"/>
        <w:jc w:val="both"/>
      </w:pPr>
      <w:r>
        <w:t xml:space="preserve">          </w:t>
      </w:r>
    </w:p>
    <w:p w:rsidR="00D36E27" w:rsidRDefault="00D36E27" w:rsidP="007D6A1C">
      <w:pPr>
        <w:pStyle w:val="Prrafodelista"/>
        <w:spacing w:line="360" w:lineRule="auto"/>
        <w:ind w:left="0" w:firstLine="284"/>
        <w:jc w:val="both"/>
      </w:pPr>
      <w:r>
        <w:t>La cobertura en vacunación se define como “El porcentaje de la población que ha sido vacunada en un periodo determinado, se calcula por tipo de vacuna, número de dosis, grupo de edad y por regiones de un país”</w:t>
      </w:r>
      <w:r>
        <w:rPr>
          <w:rStyle w:val="Refdenotaalpie"/>
        </w:rPr>
        <w:footnoteReference w:id="61"/>
      </w:r>
      <w:r>
        <w:t>. Su cálculo se realiza teniendo en cuenta la población a ser vacunada sobre el número de dosis a aplicar.</w:t>
      </w:r>
    </w:p>
    <w:p w:rsidR="00D36E27" w:rsidRDefault="00D36E27" w:rsidP="00D36E27">
      <w:pPr>
        <w:jc w:val="center"/>
      </w:pPr>
    </w:p>
    <w:p w:rsidR="00D36E27" w:rsidRPr="007D6A1C" w:rsidRDefault="00607479" w:rsidP="007D6A1C">
      <w:r>
        <w:lastRenderedPageBreak/>
        <w:t>Tabla</w:t>
      </w:r>
      <w:r w:rsidR="00D36E27" w:rsidRPr="007D6A1C">
        <w:t xml:space="preserve"> 14.3</w:t>
      </w:r>
    </w:p>
    <w:p w:rsidR="00D36E27" w:rsidRPr="007D6A1C" w:rsidRDefault="00D36E27" w:rsidP="007D6A1C">
      <w:r w:rsidRPr="007D6A1C">
        <w:t>Cobertura en Vacunación BCG, DPT y TRIPLE VIRAL</w:t>
      </w:r>
    </w:p>
    <w:p w:rsidR="00D36E27" w:rsidRPr="007D6A1C" w:rsidRDefault="00D36E27" w:rsidP="007D6A1C">
      <w:r w:rsidRPr="007D6A1C">
        <w:t>2013</w:t>
      </w:r>
    </w:p>
    <w:tbl>
      <w:tblPr>
        <w:tblpPr w:leftFromText="141" w:rightFromText="141" w:vertAnchor="text" w:horzAnchor="margin" w:tblpY="155"/>
        <w:tblW w:w="5993" w:type="dxa"/>
        <w:tblCellMar>
          <w:left w:w="70" w:type="dxa"/>
          <w:right w:w="70" w:type="dxa"/>
        </w:tblCellMar>
        <w:tblLook w:val="04A0" w:firstRow="1" w:lastRow="0" w:firstColumn="1" w:lastColumn="0" w:noHBand="0" w:noVBand="1"/>
      </w:tblPr>
      <w:tblGrid>
        <w:gridCol w:w="1820"/>
        <w:gridCol w:w="1299"/>
        <w:gridCol w:w="1533"/>
        <w:gridCol w:w="1341"/>
      </w:tblGrid>
      <w:tr w:rsidR="00D36E27" w:rsidRPr="00516893" w:rsidTr="007D6A1C">
        <w:trPr>
          <w:trHeight w:val="421"/>
        </w:trPr>
        <w:tc>
          <w:tcPr>
            <w:tcW w:w="1820" w:type="dxa"/>
            <w:tcBorders>
              <w:top w:val="single" w:sz="4" w:space="0" w:color="auto"/>
              <w:left w:val="nil"/>
              <w:bottom w:val="single" w:sz="4" w:space="0" w:color="auto"/>
              <w:right w:val="nil"/>
            </w:tcBorders>
            <w:shd w:val="clear" w:color="auto" w:fill="auto"/>
            <w:noWrap/>
            <w:vAlign w:val="center"/>
            <w:hideMark/>
          </w:tcPr>
          <w:p w:rsidR="00D36E27" w:rsidRPr="007D6A1C" w:rsidRDefault="00D36E27" w:rsidP="007D6A1C">
            <w:pPr>
              <w:jc w:val="center"/>
              <w:rPr>
                <w:b/>
                <w:sz w:val="18"/>
                <w:szCs w:val="18"/>
                <w:lang w:eastAsia="es-ES"/>
              </w:rPr>
            </w:pPr>
            <w:r w:rsidRPr="007D6A1C">
              <w:rPr>
                <w:b/>
                <w:sz w:val="18"/>
                <w:szCs w:val="18"/>
                <w:lang w:eastAsia="es-ES"/>
              </w:rPr>
              <w:t>MUNICIPIO</w:t>
            </w:r>
          </w:p>
        </w:tc>
        <w:tc>
          <w:tcPr>
            <w:tcW w:w="1299" w:type="dxa"/>
            <w:tcBorders>
              <w:top w:val="single" w:sz="4" w:space="0" w:color="auto"/>
              <w:left w:val="nil"/>
              <w:bottom w:val="single" w:sz="4" w:space="0" w:color="auto"/>
              <w:right w:val="nil"/>
            </w:tcBorders>
            <w:shd w:val="clear" w:color="auto" w:fill="auto"/>
            <w:noWrap/>
            <w:vAlign w:val="center"/>
            <w:hideMark/>
          </w:tcPr>
          <w:p w:rsidR="00D36E27" w:rsidRPr="007D6A1C" w:rsidRDefault="00D36E27" w:rsidP="007D6A1C">
            <w:pPr>
              <w:jc w:val="center"/>
              <w:rPr>
                <w:b/>
                <w:color w:val="000000"/>
                <w:sz w:val="18"/>
                <w:szCs w:val="18"/>
                <w:lang w:eastAsia="es-ES"/>
              </w:rPr>
            </w:pPr>
            <w:r w:rsidRPr="007D6A1C">
              <w:rPr>
                <w:b/>
                <w:color w:val="000000"/>
                <w:sz w:val="18"/>
                <w:szCs w:val="18"/>
                <w:lang w:eastAsia="es-ES"/>
              </w:rPr>
              <w:t>BCG &lt; 1 AÑO</w:t>
            </w:r>
          </w:p>
        </w:tc>
        <w:tc>
          <w:tcPr>
            <w:tcW w:w="1533" w:type="dxa"/>
            <w:tcBorders>
              <w:top w:val="single" w:sz="4" w:space="0" w:color="auto"/>
              <w:left w:val="nil"/>
              <w:bottom w:val="single" w:sz="4" w:space="0" w:color="auto"/>
              <w:right w:val="nil"/>
            </w:tcBorders>
            <w:shd w:val="clear" w:color="auto" w:fill="auto"/>
            <w:noWrap/>
            <w:vAlign w:val="center"/>
            <w:hideMark/>
          </w:tcPr>
          <w:p w:rsidR="00D36E27" w:rsidRPr="007D6A1C" w:rsidRDefault="00D36E27" w:rsidP="007D6A1C">
            <w:pPr>
              <w:jc w:val="center"/>
              <w:rPr>
                <w:b/>
                <w:color w:val="000000"/>
                <w:sz w:val="18"/>
                <w:szCs w:val="18"/>
                <w:lang w:eastAsia="es-ES"/>
              </w:rPr>
            </w:pPr>
            <w:r w:rsidRPr="007D6A1C">
              <w:rPr>
                <w:b/>
                <w:color w:val="000000"/>
                <w:sz w:val="18"/>
                <w:szCs w:val="18"/>
                <w:lang w:eastAsia="es-ES"/>
              </w:rPr>
              <w:t>DTP &lt; 1 AÑO</w:t>
            </w:r>
          </w:p>
        </w:tc>
        <w:tc>
          <w:tcPr>
            <w:tcW w:w="1341" w:type="dxa"/>
            <w:tcBorders>
              <w:top w:val="single" w:sz="4" w:space="0" w:color="auto"/>
              <w:left w:val="nil"/>
              <w:bottom w:val="single" w:sz="4" w:space="0" w:color="auto"/>
              <w:right w:val="nil"/>
            </w:tcBorders>
            <w:shd w:val="clear" w:color="auto" w:fill="auto"/>
            <w:noWrap/>
            <w:vAlign w:val="center"/>
            <w:hideMark/>
          </w:tcPr>
          <w:p w:rsidR="00D36E27" w:rsidRPr="007D6A1C" w:rsidRDefault="00D36E27" w:rsidP="007D6A1C">
            <w:pPr>
              <w:jc w:val="center"/>
              <w:rPr>
                <w:b/>
                <w:color w:val="000000"/>
                <w:sz w:val="18"/>
                <w:szCs w:val="18"/>
                <w:lang w:eastAsia="es-ES"/>
              </w:rPr>
            </w:pPr>
            <w:r w:rsidRPr="007D6A1C">
              <w:rPr>
                <w:b/>
                <w:color w:val="000000"/>
                <w:sz w:val="18"/>
                <w:szCs w:val="18"/>
                <w:lang w:eastAsia="es-ES"/>
              </w:rPr>
              <w:t>T.V. = 1 Año</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ARMENIA</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124,54</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88,04</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91,29</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BUENAVISTA</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10,34</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79,31</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106,90</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CALARCA</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81,00</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56,60</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59,21</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 xml:space="preserve">CIRCASIA </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12,10</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88,22</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89,35</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CORDOBA</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4,49</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71,91</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85,39</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FILANDIA</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28,69</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84,43</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94,96</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GENOVA</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18,63</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88,24</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77,31</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LA TEBAIDA</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23,93</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95,97</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97,24</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MONTENEGRO</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21,04</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82,01</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82,91</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PIJAO</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19,35</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93,55</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112,90</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QUIMBAYA</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19,37</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77,23</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98,42</w:t>
            </w:r>
          </w:p>
        </w:tc>
      </w:tr>
      <w:tr w:rsidR="00D36E27" w:rsidRPr="00516893" w:rsidTr="007D6A1C">
        <w:trPr>
          <w:trHeight w:val="288"/>
        </w:trPr>
        <w:tc>
          <w:tcPr>
            <w:tcW w:w="1820" w:type="dxa"/>
            <w:tcBorders>
              <w:top w:val="nil"/>
              <w:left w:val="nil"/>
              <w:bottom w:val="nil"/>
              <w:right w:val="nil"/>
            </w:tcBorders>
            <w:shd w:val="clear" w:color="auto" w:fill="auto"/>
            <w:noWrap/>
            <w:vAlign w:val="bottom"/>
            <w:hideMark/>
          </w:tcPr>
          <w:p w:rsidR="00D36E27" w:rsidRPr="00516893" w:rsidRDefault="00D36E27" w:rsidP="001E790F">
            <w:pPr>
              <w:rPr>
                <w:sz w:val="18"/>
                <w:szCs w:val="18"/>
                <w:lang w:eastAsia="es-ES"/>
              </w:rPr>
            </w:pPr>
            <w:r w:rsidRPr="00516893">
              <w:rPr>
                <w:sz w:val="18"/>
                <w:szCs w:val="18"/>
                <w:lang w:eastAsia="es-ES"/>
              </w:rPr>
              <w:t>SALENTO</w:t>
            </w:r>
          </w:p>
        </w:tc>
        <w:tc>
          <w:tcPr>
            <w:tcW w:w="1299"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19,35</w:t>
            </w:r>
          </w:p>
        </w:tc>
        <w:tc>
          <w:tcPr>
            <w:tcW w:w="1533"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83,87</w:t>
            </w:r>
          </w:p>
        </w:tc>
        <w:tc>
          <w:tcPr>
            <w:tcW w:w="1341" w:type="dxa"/>
            <w:tcBorders>
              <w:top w:val="nil"/>
              <w:left w:val="nil"/>
              <w:bottom w:val="nil"/>
              <w:right w:val="nil"/>
            </w:tcBorders>
            <w:shd w:val="clear" w:color="auto" w:fill="auto"/>
            <w:noWrap/>
            <w:vAlign w:val="center"/>
            <w:hideMark/>
          </w:tcPr>
          <w:p w:rsidR="00D36E27" w:rsidRPr="00516893" w:rsidRDefault="00D36E27" w:rsidP="001E790F">
            <w:pPr>
              <w:jc w:val="center"/>
              <w:rPr>
                <w:sz w:val="18"/>
                <w:szCs w:val="18"/>
                <w:lang w:eastAsia="es-ES"/>
              </w:rPr>
            </w:pPr>
            <w:r w:rsidRPr="00516893">
              <w:rPr>
                <w:sz w:val="18"/>
                <w:szCs w:val="18"/>
                <w:lang w:eastAsia="es-ES"/>
              </w:rPr>
              <w:t>101,56</w:t>
            </w:r>
          </w:p>
        </w:tc>
      </w:tr>
      <w:tr w:rsidR="00D36E27" w:rsidRPr="00516893" w:rsidTr="007D6A1C">
        <w:trPr>
          <w:trHeight w:val="288"/>
        </w:trPr>
        <w:tc>
          <w:tcPr>
            <w:tcW w:w="1820" w:type="dxa"/>
            <w:tcBorders>
              <w:top w:val="single" w:sz="4" w:space="0" w:color="auto"/>
              <w:left w:val="nil"/>
              <w:bottom w:val="single" w:sz="4" w:space="0" w:color="auto"/>
              <w:right w:val="nil"/>
            </w:tcBorders>
            <w:shd w:val="clear" w:color="auto" w:fill="auto"/>
            <w:noWrap/>
            <w:vAlign w:val="center"/>
            <w:hideMark/>
          </w:tcPr>
          <w:p w:rsidR="00D36E27" w:rsidRPr="00516893" w:rsidRDefault="00D36E27" w:rsidP="007D6A1C">
            <w:pPr>
              <w:rPr>
                <w:b/>
                <w:bCs/>
                <w:sz w:val="18"/>
                <w:szCs w:val="18"/>
                <w:lang w:eastAsia="es-ES"/>
              </w:rPr>
            </w:pPr>
            <w:r w:rsidRPr="00516893">
              <w:rPr>
                <w:b/>
                <w:bCs/>
                <w:sz w:val="18"/>
                <w:szCs w:val="18"/>
                <w:lang w:eastAsia="es-ES"/>
              </w:rPr>
              <w:t>TOTAL</w:t>
            </w:r>
          </w:p>
        </w:tc>
        <w:tc>
          <w:tcPr>
            <w:tcW w:w="1299" w:type="dxa"/>
            <w:tcBorders>
              <w:top w:val="single" w:sz="4" w:space="0" w:color="auto"/>
              <w:left w:val="nil"/>
              <w:bottom w:val="single" w:sz="4" w:space="0" w:color="auto"/>
              <w:right w:val="nil"/>
            </w:tcBorders>
            <w:shd w:val="clear" w:color="auto" w:fill="auto"/>
            <w:noWrap/>
            <w:vAlign w:val="center"/>
            <w:hideMark/>
          </w:tcPr>
          <w:p w:rsidR="00D36E27" w:rsidRPr="00516893" w:rsidRDefault="00D36E27" w:rsidP="007D6A1C">
            <w:pPr>
              <w:jc w:val="center"/>
              <w:rPr>
                <w:b/>
                <w:bCs/>
                <w:sz w:val="18"/>
                <w:szCs w:val="18"/>
                <w:lang w:eastAsia="es-ES"/>
              </w:rPr>
            </w:pPr>
            <w:r w:rsidRPr="00516893">
              <w:rPr>
                <w:b/>
                <w:bCs/>
                <w:sz w:val="18"/>
                <w:szCs w:val="18"/>
                <w:lang w:eastAsia="es-ES"/>
              </w:rPr>
              <w:t>84,97%</w:t>
            </w:r>
          </w:p>
        </w:tc>
        <w:tc>
          <w:tcPr>
            <w:tcW w:w="1533" w:type="dxa"/>
            <w:tcBorders>
              <w:top w:val="single" w:sz="4" w:space="0" w:color="auto"/>
              <w:left w:val="nil"/>
              <w:bottom w:val="single" w:sz="4" w:space="0" w:color="auto"/>
              <w:right w:val="nil"/>
            </w:tcBorders>
            <w:shd w:val="clear" w:color="auto" w:fill="auto"/>
            <w:noWrap/>
            <w:vAlign w:val="center"/>
            <w:hideMark/>
          </w:tcPr>
          <w:p w:rsidR="00D36E27" w:rsidRPr="00516893" w:rsidRDefault="00D36E27" w:rsidP="007D6A1C">
            <w:pPr>
              <w:jc w:val="center"/>
              <w:rPr>
                <w:b/>
                <w:bCs/>
                <w:sz w:val="18"/>
                <w:szCs w:val="18"/>
                <w:lang w:eastAsia="es-ES"/>
              </w:rPr>
            </w:pPr>
            <w:r w:rsidRPr="00516893">
              <w:rPr>
                <w:b/>
                <w:bCs/>
                <w:sz w:val="18"/>
                <w:szCs w:val="18"/>
                <w:lang w:eastAsia="es-ES"/>
              </w:rPr>
              <w:t>81,64</w:t>
            </w:r>
          </w:p>
        </w:tc>
        <w:tc>
          <w:tcPr>
            <w:tcW w:w="1341" w:type="dxa"/>
            <w:tcBorders>
              <w:top w:val="single" w:sz="4" w:space="0" w:color="auto"/>
              <w:left w:val="nil"/>
              <w:bottom w:val="single" w:sz="4" w:space="0" w:color="auto"/>
              <w:right w:val="nil"/>
            </w:tcBorders>
            <w:shd w:val="clear" w:color="auto" w:fill="auto"/>
            <w:noWrap/>
            <w:vAlign w:val="center"/>
            <w:hideMark/>
          </w:tcPr>
          <w:p w:rsidR="00D36E27" w:rsidRPr="00516893" w:rsidRDefault="00D36E27" w:rsidP="007D6A1C">
            <w:pPr>
              <w:jc w:val="center"/>
              <w:rPr>
                <w:b/>
                <w:bCs/>
                <w:sz w:val="18"/>
                <w:szCs w:val="18"/>
                <w:lang w:eastAsia="es-ES"/>
              </w:rPr>
            </w:pPr>
            <w:r w:rsidRPr="00516893">
              <w:rPr>
                <w:b/>
                <w:bCs/>
                <w:sz w:val="18"/>
                <w:szCs w:val="18"/>
                <w:lang w:eastAsia="es-ES"/>
              </w:rPr>
              <w:t>85,68</w:t>
            </w:r>
          </w:p>
        </w:tc>
      </w:tr>
    </w:tbl>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center"/>
      </w:pPr>
    </w:p>
    <w:p w:rsidR="00D36E27" w:rsidRDefault="00D36E27" w:rsidP="00D36E27">
      <w:pPr>
        <w:jc w:val="both"/>
        <w:rPr>
          <w:color w:val="943634" w:themeColor="accent2" w:themeShade="BF"/>
        </w:rPr>
      </w:pPr>
      <w:r>
        <w:rPr>
          <w:color w:val="943634" w:themeColor="accent2" w:themeShade="BF"/>
        </w:rPr>
        <w:tab/>
      </w:r>
    </w:p>
    <w:p w:rsidR="00D36E27" w:rsidRPr="00BB6578" w:rsidRDefault="00D36E27" w:rsidP="00D36E27">
      <w:pPr>
        <w:jc w:val="both"/>
        <w:rPr>
          <w:sz w:val="18"/>
          <w:szCs w:val="18"/>
        </w:rPr>
      </w:pPr>
      <w:r w:rsidRPr="00516893">
        <w:rPr>
          <w:sz w:val="18"/>
          <w:szCs w:val="18"/>
        </w:rPr>
        <w:t xml:space="preserve">Fuente: Ministerio </w:t>
      </w:r>
      <w:r>
        <w:rPr>
          <w:sz w:val="18"/>
          <w:szCs w:val="18"/>
        </w:rPr>
        <w:t>de salud y la protección social</w:t>
      </w:r>
    </w:p>
    <w:p w:rsidR="00D36E27" w:rsidRDefault="00D36E27" w:rsidP="00D36E27">
      <w:pPr>
        <w:jc w:val="both"/>
        <w:rPr>
          <w:color w:val="943634" w:themeColor="accent2" w:themeShade="BF"/>
        </w:rPr>
      </w:pPr>
    </w:p>
    <w:p w:rsidR="00D36E27" w:rsidRDefault="00D36E27" w:rsidP="00D36E27">
      <w:pPr>
        <w:jc w:val="both"/>
        <w:rPr>
          <w:color w:val="943634" w:themeColor="accent2" w:themeShade="BF"/>
        </w:rPr>
      </w:pPr>
    </w:p>
    <w:p w:rsidR="00D36E27" w:rsidRDefault="004311AD" w:rsidP="004311AD">
      <w:pPr>
        <w:spacing w:line="360" w:lineRule="auto"/>
        <w:ind w:firstLine="284"/>
        <w:jc w:val="both"/>
        <w:rPr>
          <w:color w:val="000000" w:themeColor="text1"/>
        </w:rPr>
      </w:pPr>
      <w:r>
        <w:rPr>
          <w:color w:val="000000" w:themeColor="text1"/>
        </w:rPr>
        <w:t xml:space="preserve">La vacuna BCG, </w:t>
      </w:r>
      <w:r w:rsidR="00D36E27" w:rsidRPr="00AA4FC7">
        <w:rPr>
          <w:color w:val="000000" w:themeColor="text1"/>
        </w:rPr>
        <w:t>se le aplica al recién nacido para protegerlo de la tu</w:t>
      </w:r>
      <w:r w:rsidR="00D36E27">
        <w:rPr>
          <w:color w:val="000000" w:themeColor="text1"/>
        </w:rPr>
        <w:t>berculosis; el d</w:t>
      </w:r>
      <w:r w:rsidR="00D36E27" w:rsidRPr="00AA4FC7">
        <w:rPr>
          <w:color w:val="000000" w:themeColor="text1"/>
        </w:rPr>
        <w:t xml:space="preserve">epartamento del Quindío, presenta una cobertura del  84,97%, donde  Armenia,  tiene un índice  del 124,54%, </w:t>
      </w:r>
      <w:r w:rsidR="00D36E27">
        <w:rPr>
          <w:color w:val="000000" w:themeColor="text1"/>
        </w:rPr>
        <w:t xml:space="preserve">debido a que es </w:t>
      </w:r>
      <w:r w:rsidR="00D36E27" w:rsidRPr="00AA4FC7">
        <w:rPr>
          <w:color w:val="000000" w:themeColor="text1"/>
        </w:rPr>
        <w:t>en la capital del Quindío, donde suceden los mayores casos de nacimientos por ocurrencia,  los municipios restantes tienen menos del 50%  exceptuando a Calarcá quien reporta el 81%, esto nos indica que la gran mayoría de madres gestantes vienen a tener sus hijos en Armenia.</w:t>
      </w:r>
    </w:p>
    <w:p w:rsidR="00D36E27" w:rsidRPr="00AA4FC7" w:rsidRDefault="00D36E27" w:rsidP="00D36E27">
      <w:pPr>
        <w:spacing w:line="360" w:lineRule="auto"/>
        <w:jc w:val="both"/>
        <w:rPr>
          <w:color w:val="000000" w:themeColor="text1"/>
        </w:rPr>
      </w:pPr>
    </w:p>
    <w:p w:rsidR="00D36E27" w:rsidRPr="008640C3" w:rsidRDefault="00D36E27" w:rsidP="004311AD">
      <w:pPr>
        <w:spacing w:line="360" w:lineRule="auto"/>
        <w:ind w:firstLine="284"/>
        <w:jc w:val="both"/>
        <w:rPr>
          <w:color w:val="FF0000"/>
        </w:rPr>
      </w:pPr>
      <w:r>
        <w:t xml:space="preserve"> “</w:t>
      </w:r>
      <w:r w:rsidRPr="004311AD">
        <w:rPr>
          <w:i/>
        </w:rPr>
        <w:t>Desde el año de 2003 la cobertura de vacunación  en DPT (Difteria, Tosferina y Tétano) fue del 127,9% y se sostuvo hasta el año 2005, año en que comienza a descender  hasta llegar al 80,4% en 2010</w:t>
      </w:r>
      <w:r>
        <w:t>”</w:t>
      </w:r>
      <w:r>
        <w:rPr>
          <w:rStyle w:val="Refdenotaalpie"/>
        </w:rPr>
        <w:footnoteReference w:id="62"/>
      </w:r>
      <w:r>
        <w:t xml:space="preserve">, para el año 2013 el Departamento del Quindío alcanza </w:t>
      </w:r>
      <w:r w:rsidRPr="00AA4FC7">
        <w:rPr>
          <w:color w:val="000000" w:themeColor="text1"/>
        </w:rPr>
        <w:t xml:space="preserve"> u</w:t>
      </w:r>
      <w:r>
        <w:rPr>
          <w:color w:val="000000" w:themeColor="text1"/>
        </w:rPr>
        <w:t>na cobertura en vacunación de D</w:t>
      </w:r>
      <w:r w:rsidRPr="00AA4FC7">
        <w:rPr>
          <w:color w:val="000000" w:themeColor="text1"/>
        </w:rPr>
        <w:t>P</w:t>
      </w:r>
      <w:r>
        <w:rPr>
          <w:color w:val="000000" w:themeColor="text1"/>
        </w:rPr>
        <w:t>T</w:t>
      </w:r>
      <w:r w:rsidRPr="00AA4FC7">
        <w:rPr>
          <w:color w:val="000000" w:themeColor="text1"/>
        </w:rPr>
        <w:t xml:space="preserve"> del 81,64% acercándose a  la meta estimada para</w:t>
      </w:r>
      <w:r>
        <w:rPr>
          <w:color w:val="000000" w:themeColor="text1"/>
        </w:rPr>
        <w:t xml:space="preserve"> el año 2015 la cual es del 95%, siendo los municipios de La Tebaida (95,97%) y Pijao (93,55%) quienes presentan mayor cobertura. Por su parte, el municipio de menor cobertura es Calarcá con el 56,60%. </w:t>
      </w:r>
    </w:p>
    <w:p w:rsidR="00D36E27" w:rsidRDefault="00D36E27" w:rsidP="004311AD">
      <w:pPr>
        <w:spacing w:line="360" w:lineRule="auto"/>
        <w:ind w:firstLine="284"/>
        <w:jc w:val="both"/>
      </w:pPr>
      <w:r>
        <w:lastRenderedPageBreak/>
        <w:t xml:space="preserve">La Triple Viral (Sarampión, Rubéola y Paperas) presenta una cobertura del 85,68% a nivel departamental, donde los Municipios de Buenavista (106,90%), Pijao (112,90%) y Salento (101,56%) presentan coberturas superiores al 100%, esto debido al programa de </w:t>
      </w:r>
      <w:r w:rsidRPr="007A7A82">
        <w:rPr>
          <w:b/>
        </w:rPr>
        <w:t>Vacunación sin</w:t>
      </w:r>
      <w:r>
        <w:t xml:space="preserve"> </w:t>
      </w:r>
      <w:r w:rsidRPr="007A7A82">
        <w:rPr>
          <w:b/>
        </w:rPr>
        <w:t>Barreras</w:t>
      </w:r>
      <w:r>
        <w:rPr>
          <w:b/>
        </w:rPr>
        <w:t xml:space="preserve">,  </w:t>
      </w:r>
      <w:r>
        <w:t>el cual consiste  en la aplicación de las vacunas a los niños que lleguen de otros departamentos o municipios del país.</w:t>
      </w:r>
    </w:p>
    <w:p w:rsidR="00D36E27" w:rsidRDefault="00D36E27" w:rsidP="00D36E27">
      <w:pPr>
        <w:tabs>
          <w:tab w:val="center" w:pos="4252"/>
          <w:tab w:val="right" w:pos="8504"/>
        </w:tabs>
      </w:pPr>
      <w:r>
        <w:tab/>
      </w:r>
    </w:p>
    <w:p w:rsidR="00D36E27" w:rsidRPr="004311AD" w:rsidRDefault="00607479" w:rsidP="004311AD">
      <w:pPr>
        <w:tabs>
          <w:tab w:val="center" w:pos="4252"/>
          <w:tab w:val="right" w:pos="8504"/>
        </w:tabs>
      </w:pPr>
      <w:r>
        <w:t>Tabla</w:t>
      </w:r>
      <w:r w:rsidR="00D36E27" w:rsidRPr="004311AD">
        <w:t xml:space="preserve"> 14.4</w:t>
      </w:r>
      <w:r w:rsidR="00D36E27" w:rsidRPr="004311AD">
        <w:tab/>
      </w:r>
    </w:p>
    <w:p w:rsidR="00D36E27" w:rsidRPr="004311AD" w:rsidRDefault="00D36E27" w:rsidP="004311AD">
      <w:r w:rsidRPr="004311AD">
        <w:t xml:space="preserve">Cobertura en vacunación </w:t>
      </w:r>
      <w:proofErr w:type="spellStart"/>
      <w:r w:rsidRPr="004311AD">
        <w:t>antipolio</w:t>
      </w:r>
      <w:proofErr w:type="spellEnd"/>
      <w:r w:rsidRPr="004311AD">
        <w:t>, rotavirus y neumococo</w:t>
      </w:r>
    </w:p>
    <w:p w:rsidR="00D36E27" w:rsidRPr="004311AD" w:rsidRDefault="00D36E27" w:rsidP="004311AD">
      <w:r w:rsidRPr="004311AD">
        <w:t>2013</w:t>
      </w:r>
    </w:p>
    <w:tbl>
      <w:tblPr>
        <w:tblW w:w="6104" w:type="dxa"/>
        <w:tblCellMar>
          <w:left w:w="70" w:type="dxa"/>
          <w:right w:w="70" w:type="dxa"/>
        </w:tblCellMar>
        <w:tblLook w:val="04A0" w:firstRow="1" w:lastRow="0" w:firstColumn="1" w:lastColumn="0" w:noHBand="0" w:noVBand="1"/>
      </w:tblPr>
      <w:tblGrid>
        <w:gridCol w:w="1657"/>
        <w:gridCol w:w="1382"/>
        <w:gridCol w:w="1443"/>
        <w:gridCol w:w="1622"/>
      </w:tblGrid>
      <w:tr w:rsidR="00D36E27" w:rsidRPr="00516893" w:rsidTr="00F14625">
        <w:trPr>
          <w:trHeight w:val="310"/>
        </w:trPr>
        <w:tc>
          <w:tcPr>
            <w:tcW w:w="1657" w:type="dxa"/>
            <w:tcBorders>
              <w:top w:val="single" w:sz="8" w:space="0" w:color="auto"/>
              <w:left w:val="nil"/>
              <w:bottom w:val="nil"/>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BIOLOGICO</w:t>
            </w:r>
          </w:p>
        </w:tc>
        <w:tc>
          <w:tcPr>
            <w:tcW w:w="1382" w:type="dxa"/>
            <w:tcBorders>
              <w:top w:val="single" w:sz="8" w:space="0" w:color="auto"/>
              <w:left w:val="nil"/>
              <w:bottom w:val="nil"/>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 xml:space="preserve">ANTIPOLIO </w:t>
            </w:r>
          </w:p>
        </w:tc>
        <w:tc>
          <w:tcPr>
            <w:tcW w:w="1443" w:type="dxa"/>
            <w:tcBorders>
              <w:top w:val="single" w:sz="8" w:space="0" w:color="auto"/>
              <w:left w:val="nil"/>
              <w:bottom w:val="nil"/>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ROTAVIRUS</w:t>
            </w:r>
          </w:p>
        </w:tc>
        <w:tc>
          <w:tcPr>
            <w:tcW w:w="1622" w:type="dxa"/>
            <w:tcBorders>
              <w:top w:val="single" w:sz="8" w:space="0" w:color="auto"/>
              <w:left w:val="nil"/>
              <w:bottom w:val="nil"/>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NEUMOCOCO</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MUNICIPIO</w:t>
            </w:r>
          </w:p>
        </w:tc>
        <w:tc>
          <w:tcPr>
            <w:tcW w:w="1382" w:type="dxa"/>
            <w:tcBorders>
              <w:top w:val="nil"/>
              <w:left w:val="nil"/>
              <w:bottom w:val="nil"/>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w:t>
            </w:r>
          </w:p>
        </w:tc>
        <w:tc>
          <w:tcPr>
            <w:tcW w:w="1443" w:type="dxa"/>
            <w:tcBorders>
              <w:top w:val="nil"/>
              <w:left w:val="nil"/>
              <w:bottom w:val="nil"/>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w:t>
            </w:r>
          </w:p>
        </w:tc>
        <w:tc>
          <w:tcPr>
            <w:tcW w:w="1622" w:type="dxa"/>
            <w:tcBorders>
              <w:top w:val="nil"/>
              <w:left w:val="nil"/>
              <w:bottom w:val="nil"/>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w:t>
            </w:r>
          </w:p>
        </w:tc>
      </w:tr>
      <w:tr w:rsidR="00D36E27" w:rsidRPr="00516893" w:rsidTr="00F14625">
        <w:trPr>
          <w:trHeight w:val="580"/>
        </w:trPr>
        <w:tc>
          <w:tcPr>
            <w:tcW w:w="1657" w:type="dxa"/>
            <w:tcBorders>
              <w:top w:val="nil"/>
              <w:left w:val="nil"/>
              <w:bottom w:val="single" w:sz="8" w:space="0" w:color="000000"/>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 </w:t>
            </w:r>
          </w:p>
        </w:tc>
        <w:tc>
          <w:tcPr>
            <w:tcW w:w="1382" w:type="dxa"/>
            <w:tcBorders>
              <w:top w:val="nil"/>
              <w:left w:val="nil"/>
              <w:bottom w:val="single" w:sz="8" w:space="0" w:color="auto"/>
              <w:right w:val="nil"/>
            </w:tcBorders>
            <w:shd w:val="clear" w:color="auto" w:fill="auto"/>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Cobertura.</w:t>
            </w:r>
          </w:p>
        </w:tc>
        <w:tc>
          <w:tcPr>
            <w:tcW w:w="1443" w:type="dxa"/>
            <w:tcBorders>
              <w:top w:val="nil"/>
              <w:left w:val="nil"/>
              <w:bottom w:val="single" w:sz="8" w:space="0" w:color="auto"/>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Cobertura.</w:t>
            </w:r>
          </w:p>
        </w:tc>
        <w:tc>
          <w:tcPr>
            <w:tcW w:w="1622" w:type="dxa"/>
            <w:tcBorders>
              <w:top w:val="nil"/>
              <w:left w:val="nil"/>
              <w:bottom w:val="single" w:sz="8" w:space="0" w:color="auto"/>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Cobertura.</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ARMENIA</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88,02</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88,32</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89,6</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BUENAVISTA</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79,31</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89,66</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86,21</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CALARCA</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56,6</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59,1</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59,66</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 xml:space="preserve">CIRCASIA </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88,22</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77,71</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78,66</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CORDOBA</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71,91</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75,28</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77,53</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FILANDIA</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84,43</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85,25</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86,07</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GENOVA</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88,24</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85,29</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88,24</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LA TEBAIDA</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95,73</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91,71</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92,65</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MONTENEGRO</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82,01</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89,75</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89,39</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PIJAO</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93,55</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104,84</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111,29</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QUIMBAYA</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77,23</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82,2</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78,27</w:t>
            </w:r>
          </w:p>
        </w:tc>
      </w:tr>
      <w:tr w:rsidR="00D36E27" w:rsidRPr="00516893" w:rsidTr="00F14625">
        <w:trPr>
          <w:trHeight w:val="278"/>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bCs/>
                <w:color w:val="000000"/>
                <w:sz w:val="20"/>
                <w:szCs w:val="20"/>
                <w:lang w:eastAsia="es-ES"/>
              </w:rPr>
            </w:pPr>
            <w:r w:rsidRPr="00516893">
              <w:rPr>
                <w:bCs/>
                <w:color w:val="000000"/>
                <w:sz w:val="20"/>
                <w:szCs w:val="20"/>
                <w:lang w:eastAsia="es-ES"/>
              </w:rPr>
              <w:t>SALENTO</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83,87</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85,48</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82,26</w:t>
            </w:r>
          </w:p>
        </w:tc>
      </w:tr>
      <w:tr w:rsidR="00D36E27" w:rsidRPr="00516893" w:rsidTr="00F14625">
        <w:trPr>
          <w:trHeight w:val="278"/>
        </w:trPr>
        <w:tc>
          <w:tcPr>
            <w:tcW w:w="1657" w:type="dxa"/>
            <w:tcBorders>
              <w:top w:val="single" w:sz="8" w:space="0" w:color="auto"/>
              <w:left w:val="nil"/>
              <w:bottom w:val="single" w:sz="8" w:space="0" w:color="auto"/>
              <w:right w:val="nil"/>
            </w:tcBorders>
            <w:shd w:val="clear" w:color="auto" w:fill="auto"/>
            <w:noWrap/>
            <w:vAlign w:val="center"/>
            <w:hideMark/>
          </w:tcPr>
          <w:p w:rsidR="00D36E27" w:rsidRPr="00AF65E6" w:rsidRDefault="00D36E27" w:rsidP="001E790F">
            <w:pPr>
              <w:rPr>
                <w:b/>
                <w:bCs/>
                <w:color w:val="000000"/>
                <w:sz w:val="20"/>
                <w:szCs w:val="20"/>
                <w:lang w:eastAsia="es-ES"/>
              </w:rPr>
            </w:pPr>
            <w:r w:rsidRPr="00AF65E6">
              <w:rPr>
                <w:b/>
                <w:bCs/>
                <w:color w:val="000000"/>
                <w:sz w:val="20"/>
                <w:szCs w:val="20"/>
                <w:lang w:eastAsia="es-ES"/>
              </w:rPr>
              <w:t>TOTAL</w:t>
            </w:r>
          </w:p>
        </w:tc>
        <w:tc>
          <w:tcPr>
            <w:tcW w:w="1382" w:type="dxa"/>
            <w:tcBorders>
              <w:top w:val="single" w:sz="8" w:space="0" w:color="auto"/>
              <w:left w:val="nil"/>
              <w:bottom w:val="single" w:sz="8" w:space="0" w:color="auto"/>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81,61</w:t>
            </w:r>
          </w:p>
        </w:tc>
        <w:tc>
          <w:tcPr>
            <w:tcW w:w="1443" w:type="dxa"/>
            <w:tcBorders>
              <w:top w:val="single" w:sz="8" w:space="0" w:color="auto"/>
              <w:left w:val="nil"/>
              <w:bottom w:val="single" w:sz="8" w:space="0" w:color="auto"/>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82,55</w:t>
            </w:r>
          </w:p>
        </w:tc>
        <w:tc>
          <w:tcPr>
            <w:tcW w:w="1622" w:type="dxa"/>
            <w:tcBorders>
              <w:top w:val="single" w:sz="8" w:space="0" w:color="auto"/>
              <w:left w:val="nil"/>
              <w:bottom w:val="single" w:sz="8" w:space="0" w:color="auto"/>
              <w:right w:val="nil"/>
            </w:tcBorders>
            <w:shd w:val="clear" w:color="auto" w:fill="auto"/>
            <w:noWrap/>
            <w:vAlign w:val="center"/>
            <w:hideMark/>
          </w:tcPr>
          <w:p w:rsidR="00D36E27" w:rsidRPr="00AF65E6" w:rsidRDefault="00D36E27" w:rsidP="001E790F">
            <w:pPr>
              <w:jc w:val="center"/>
              <w:rPr>
                <w:b/>
                <w:bCs/>
                <w:color w:val="000000"/>
                <w:sz w:val="20"/>
                <w:szCs w:val="20"/>
                <w:lang w:eastAsia="es-ES"/>
              </w:rPr>
            </w:pPr>
            <w:r w:rsidRPr="00AF65E6">
              <w:rPr>
                <w:b/>
                <w:bCs/>
                <w:color w:val="000000"/>
                <w:sz w:val="20"/>
                <w:szCs w:val="20"/>
                <w:lang w:eastAsia="es-ES"/>
              </w:rPr>
              <w:t>83,27</w:t>
            </w:r>
          </w:p>
        </w:tc>
      </w:tr>
      <w:tr w:rsidR="00D36E27" w:rsidRPr="00516893" w:rsidTr="00F14625">
        <w:trPr>
          <w:trHeight w:val="264"/>
        </w:trPr>
        <w:tc>
          <w:tcPr>
            <w:tcW w:w="1657" w:type="dxa"/>
            <w:tcBorders>
              <w:top w:val="nil"/>
              <w:left w:val="nil"/>
              <w:bottom w:val="nil"/>
              <w:right w:val="nil"/>
            </w:tcBorders>
            <w:shd w:val="clear" w:color="auto" w:fill="auto"/>
            <w:noWrap/>
            <w:vAlign w:val="center"/>
            <w:hideMark/>
          </w:tcPr>
          <w:p w:rsidR="00D36E27" w:rsidRPr="00516893" w:rsidRDefault="00D36E27" w:rsidP="001E790F">
            <w:pPr>
              <w:rPr>
                <w:color w:val="000000"/>
                <w:sz w:val="20"/>
                <w:szCs w:val="20"/>
                <w:lang w:eastAsia="es-ES"/>
              </w:rPr>
            </w:pPr>
            <w:r w:rsidRPr="00516893">
              <w:rPr>
                <w:color w:val="000000"/>
                <w:sz w:val="20"/>
                <w:szCs w:val="20"/>
                <w:lang w:eastAsia="es-ES"/>
              </w:rPr>
              <w:t>CAPITAL</w:t>
            </w:r>
          </w:p>
        </w:tc>
        <w:tc>
          <w:tcPr>
            <w:tcW w:w="138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88,02</w:t>
            </w:r>
          </w:p>
        </w:tc>
        <w:tc>
          <w:tcPr>
            <w:tcW w:w="1443"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88,32</w:t>
            </w:r>
          </w:p>
        </w:tc>
        <w:tc>
          <w:tcPr>
            <w:tcW w:w="1622" w:type="dxa"/>
            <w:tcBorders>
              <w:top w:val="nil"/>
              <w:left w:val="nil"/>
              <w:bottom w:val="nil"/>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89,6</w:t>
            </w:r>
          </w:p>
        </w:tc>
      </w:tr>
      <w:tr w:rsidR="00D36E27" w:rsidRPr="00516893" w:rsidTr="00F14625">
        <w:trPr>
          <w:trHeight w:val="278"/>
        </w:trPr>
        <w:tc>
          <w:tcPr>
            <w:tcW w:w="1657" w:type="dxa"/>
            <w:tcBorders>
              <w:top w:val="nil"/>
              <w:left w:val="nil"/>
              <w:bottom w:val="single" w:sz="8" w:space="0" w:color="auto"/>
              <w:right w:val="nil"/>
            </w:tcBorders>
            <w:shd w:val="clear" w:color="auto" w:fill="auto"/>
            <w:noWrap/>
            <w:vAlign w:val="center"/>
            <w:hideMark/>
          </w:tcPr>
          <w:p w:rsidR="00D36E27" w:rsidRPr="00516893" w:rsidRDefault="00D36E27" w:rsidP="001E790F">
            <w:pPr>
              <w:rPr>
                <w:color w:val="000000"/>
                <w:sz w:val="20"/>
                <w:szCs w:val="20"/>
                <w:lang w:eastAsia="es-ES"/>
              </w:rPr>
            </w:pPr>
            <w:r w:rsidRPr="00516893">
              <w:rPr>
                <w:color w:val="000000"/>
                <w:sz w:val="20"/>
                <w:szCs w:val="20"/>
                <w:lang w:eastAsia="es-ES"/>
              </w:rPr>
              <w:t>PERIFERIA</w:t>
            </w:r>
          </w:p>
        </w:tc>
        <w:tc>
          <w:tcPr>
            <w:tcW w:w="1382" w:type="dxa"/>
            <w:tcBorders>
              <w:top w:val="nil"/>
              <w:left w:val="nil"/>
              <w:bottom w:val="single" w:sz="8" w:space="0" w:color="auto"/>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74,66</w:t>
            </w:r>
          </w:p>
        </w:tc>
        <w:tc>
          <w:tcPr>
            <w:tcW w:w="1443" w:type="dxa"/>
            <w:tcBorders>
              <w:top w:val="nil"/>
              <w:left w:val="nil"/>
              <w:bottom w:val="single" w:sz="8" w:space="0" w:color="auto"/>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76,29</w:t>
            </w:r>
          </w:p>
        </w:tc>
        <w:tc>
          <w:tcPr>
            <w:tcW w:w="1622" w:type="dxa"/>
            <w:tcBorders>
              <w:top w:val="nil"/>
              <w:left w:val="nil"/>
              <w:bottom w:val="single" w:sz="8" w:space="0" w:color="auto"/>
              <w:right w:val="nil"/>
            </w:tcBorders>
            <w:shd w:val="clear" w:color="auto" w:fill="auto"/>
            <w:noWrap/>
            <w:vAlign w:val="center"/>
            <w:hideMark/>
          </w:tcPr>
          <w:p w:rsidR="00D36E27" w:rsidRPr="00516893" w:rsidRDefault="00D36E27" w:rsidP="001E790F">
            <w:pPr>
              <w:jc w:val="center"/>
              <w:rPr>
                <w:bCs/>
                <w:color w:val="000000"/>
                <w:sz w:val="20"/>
                <w:szCs w:val="20"/>
                <w:lang w:eastAsia="es-ES"/>
              </w:rPr>
            </w:pPr>
            <w:r w:rsidRPr="00516893">
              <w:rPr>
                <w:bCs/>
                <w:color w:val="000000"/>
                <w:sz w:val="20"/>
                <w:szCs w:val="20"/>
                <w:lang w:eastAsia="es-ES"/>
              </w:rPr>
              <w:t>76,4</w:t>
            </w:r>
          </w:p>
        </w:tc>
      </w:tr>
    </w:tbl>
    <w:p w:rsidR="00D36E27" w:rsidRDefault="00D36E27" w:rsidP="00D36E27">
      <w:r w:rsidRPr="00516893">
        <w:rPr>
          <w:sz w:val="18"/>
          <w:szCs w:val="18"/>
        </w:rPr>
        <w:t>Fuente: Ministerio de Salud</w:t>
      </w:r>
      <w:r>
        <w:t>.</w:t>
      </w:r>
    </w:p>
    <w:p w:rsidR="00AF65E6" w:rsidRDefault="00D36E27" w:rsidP="00D36E27">
      <w:pPr>
        <w:spacing w:line="360" w:lineRule="auto"/>
        <w:jc w:val="both"/>
      </w:pPr>
      <w:r w:rsidRPr="00BF3A43">
        <w:t xml:space="preserve">     </w:t>
      </w:r>
    </w:p>
    <w:p w:rsidR="00D36E27" w:rsidRPr="00BF3A43" w:rsidRDefault="00D36E27" w:rsidP="00D36E27">
      <w:pPr>
        <w:spacing w:line="360" w:lineRule="auto"/>
        <w:jc w:val="both"/>
      </w:pPr>
      <w:r w:rsidRPr="00BF3A43">
        <w:t xml:space="preserve"> La cobertura en vacunación por biológico en </w:t>
      </w:r>
      <w:proofErr w:type="spellStart"/>
      <w:r w:rsidRPr="00BF3A43">
        <w:t>Antipolio</w:t>
      </w:r>
      <w:proofErr w:type="spellEnd"/>
      <w:r w:rsidRPr="00BF3A43">
        <w:t xml:space="preserve">, Rotavirus y Neumococo para la vigencia 2013,  en el departamento del Quindío cumple con el 81,61%,  82,55% y 83,27% respectivamente, siendo los municipios de  La Tebaida (95,73% </w:t>
      </w:r>
      <w:proofErr w:type="spellStart"/>
      <w:r w:rsidRPr="00BF3A43">
        <w:t>Antipolio</w:t>
      </w:r>
      <w:proofErr w:type="spellEnd"/>
      <w:r w:rsidRPr="00BF3A43">
        <w:t xml:space="preserve">, 91,71% Rotavirus y 92,65% en Neumococo) y Pijao  (93,55% </w:t>
      </w:r>
      <w:proofErr w:type="spellStart"/>
      <w:r w:rsidRPr="00BF3A43">
        <w:t>Antipolio</w:t>
      </w:r>
      <w:proofErr w:type="spellEnd"/>
      <w:r w:rsidRPr="00BF3A43">
        <w:t>, 104,84% Rotavirus y 111,29% Neumococo) los de mayor cumplimiento en la cobertura.</w:t>
      </w:r>
      <w:r>
        <w:t xml:space="preserve"> Municipios como Calarcá (56,6% </w:t>
      </w:r>
      <w:proofErr w:type="spellStart"/>
      <w:r>
        <w:t>Antipolio</w:t>
      </w:r>
      <w:proofErr w:type="spellEnd"/>
      <w:r w:rsidRPr="00BF3A43">
        <w:t xml:space="preserve"> 59,10% Rotavirus y 59,66% Neumococo)   y Córdoba (71,91% </w:t>
      </w:r>
      <w:proofErr w:type="spellStart"/>
      <w:r w:rsidRPr="00BF3A43">
        <w:t>Antipolio</w:t>
      </w:r>
      <w:proofErr w:type="spellEnd"/>
      <w:r w:rsidRPr="00BF3A43">
        <w:t>, 75,28%  Rotavirus, 77,53% Neumococo)</w:t>
      </w:r>
      <w:r>
        <w:t xml:space="preserve"> son </w:t>
      </w:r>
      <w:r w:rsidRPr="00BF3A43">
        <w:t xml:space="preserve"> los de menor cobertura. </w:t>
      </w:r>
    </w:p>
    <w:p w:rsidR="00D36E27" w:rsidRDefault="00D36E27" w:rsidP="00D36E27">
      <w:pPr>
        <w:spacing w:line="360" w:lineRule="auto"/>
        <w:jc w:val="both"/>
      </w:pPr>
    </w:p>
    <w:p w:rsidR="00D36E27" w:rsidRPr="008951B9" w:rsidRDefault="00D36E27" w:rsidP="00D36E27">
      <w:pPr>
        <w:spacing w:line="360" w:lineRule="auto"/>
        <w:jc w:val="both"/>
        <w:rPr>
          <w:sz w:val="30"/>
          <w:szCs w:val="30"/>
        </w:rPr>
      </w:pPr>
      <w:bookmarkStart w:id="104" w:name="_Toc406754358"/>
      <w:r w:rsidRPr="00F14625">
        <w:rPr>
          <w:rStyle w:val="Ttulo2Car"/>
          <w:rFonts w:ascii="Times New Roman" w:hAnsi="Times New Roman" w:cs="Times New Roman"/>
          <w:color w:val="auto"/>
          <w:sz w:val="30"/>
          <w:szCs w:val="30"/>
        </w:rPr>
        <w:lastRenderedPageBreak/>
        <w:t xml:space="preserve">14.2.3  Enfermedades </w:t>
      </w:r>
      <w:proofErr w:type="spellStart"/>
      <w:r w:rsidRPr="00F14625">
        <w:rPr>
          <w:rStyle w:val="Ttulo2Car"/>
          <w:rFonts w:ascii="Times New Roman" w:hAnsi="Times New Roman" w:cs="Times New Roman"/>
          <w:color w:val="auto"/>
          <w:sz w:val="30"/>
          <w:szCs w:val="30"/>
        </w:rPr>
        <w:t>Inmunoprevenibles</w:t>
      </w:r>
      <w:bookmarkEnd w:id="104"/>
      <w:proofErr w:type="spellEnd"/>
    </w:p>
    <w:p w:rsidR="00D36E27" w:rsidRDefault="00D36E27" w:rsidP="00D36E27">
      <w:pPr>
        <w:spacing w:line="360" w:lineRule="auto"/>
        <w:jc w:val="both"/>
      </w:pPr>
      <w:r>
        <w:t xml:space="preserve">    </w:t>
      </w:r>
    </w:p>
    <w:p w:rsidR="00D36E27" w:rsidRDefault="00D36E27" w:rsidP="00D36E27">
      <w:pPr>
        <w:spacing w:line="360" w:lineRule="auto"/>
        <w:jc w:val="both"/>
      </w:pPr>
      <w:r>
        <w:t xml:space="preserve">       Son todas las enfermedades que se pueden prevenir por medio de la utilización de vacunas como por ejemplo: Tosferina, meningitis, tuberculosis, sarampión, rubeola, poliomielitis, difteria y fiebre amarilla.</w:t>
      </w:r>
    </w:p>
    <w:p w:rsidR="00D36E27" w:rsidRDefault="00D36E27" w:rsidP="00D36E27">
      <w:pPr>
        <w:spacing w:line="360" w:lineRule="auto"/>
        <w:jc w:val="both"/>
      </w:pPr>
    </w:p>
    <w:p w:rsidR="00D36E27" w:rsidRDefault="00D36E27" w:rsidP="00D36E27">
      <w:pPr>
        <w:spacing w:line="360" w:lineRule="auto"/>
        <w:jc w:val="both"/>
      </w:pPr>
      <w:r>
        <w:rPr>
          <w:b/>
          <w:color w:val="FF0000"/>
        </w:rPr>
        <w:t xml:space="preserve">     </w:t>
      </w:r>
      <w:r w:rsidRPr="008A6BB7">
        <w:rPr>
          <w:b/>
          <w:color w:val="FF0000"/>
        </w:rPr>
        <w:t xml:space="preserve"> </w:t>
      </w:r>
      <w:r w:rsidRPr="002D4608">
        <w:t>Según estadísticas presentadas por la dirección de prevención vigilancia y control de fa</w:t>
      </w:r>
      <w:r w:rsidR="00FB5656">
        <w:t>ctores de riesgo de la Secretarí</w:t>
      </w:r>
      <w:r w:rsidRPr="002D4608">
        <w:t xml:space="preserve">a de Salud Departamental, </w:t>
      </w:r>
      <w:r>
        <w:t>para la vigencia 2013, no se presentaron casos de poliomielitis, sarampión, rubeola, difteria, tétano y  fiebre amarilla,  caso contrario sucedió con meningitis ya que se reportó un evento en el municipio de Quimbaya. Es importante resaltar que en el Departamento se presentaron 211 personas con tuberculosis en todas sus formas, con una participación del 37,74% dentro del total, donde Armenia atendió 127 individuos con esta enfermedad, con una tasa de  participación del 43%, seguido de Calarcá (27 personas), con una participación del 35,14%, Quimbaya (24 individuos), con el  69,01%  y La Tebaida (12 personas) con una participación del 29,81%.</w:t>
      </w:r>
    </w:p>
    <w:p w:rsidR="00D36E27" w:rsidRDefault="00D36E27" w:rsidP="00D36E27">
      <w:pPr>
        <w:jc w:val="both"/>
      </w:pPr>
      <w:r>
        <w:tab/>
      </w:r>
      <w:r>
        <w:tab/>
      </w:r>
      <w:r>
        <w:tab/>
      </w:r>
      <w:r>
        <w:tab/>
      </w:r>
      <w:r>
        <w:tab/>
      </w:r>
    </w:p>
    <w:p w:rsidR="00D36E27" w:rsidRDefault="00D36E27" w:rsidP="00D36E27">
      <w:pPr>
        <w:jc w:val="both"/>
      </w:pPr>
    </w:p>
    <w:p w:rsidR="00D36E27" w:rsidRPr="00DC79C4" w:rsidRDefault="00D36E27" w:rsidP="00F14625">
      <w:r w:rsidRPr="00DC79C4">
        <w:t>Gráfico 14.3</w:t>
      </w:r>
    </w:p>
    <w:p w:rsidR="00D36E27" w:rsidRPr="00DC79C4" w:rsidRDefault="00D36E27" w:rsidP="00F14625">
      <w:r w:rsidRPr="00DC79C4">
        <w:t xml:space="preserve">Enfermedades </w:t>
      </w:r>
      <w:proofErr w:type="spellStart"/>
      <w:r w:rsidRPr="00DC79C4">
        <w:t>Inmunoprevenibles</w:t>
      </w:r>
      <w:proofErr w:type="spellEnd"/>
    </w:p>
    <w:p w:rsidR="00D36E27" w:rsidRDefault="00D36E27" w:rsidP="00F14625">
      <w:r w:rsidRPr="00DC79C4">
        <w:t>2013</w:t>
      </w:r>
    </w:p>
    <w:p w:rsidR="00865B50" w:rsidRDefault="00865B50" w:rsidP="00F14625"/>
    <w:p w:rsidR="00D36E27" w:rsidRPr="00DC79C4" w:rsidRDefault="00865B50" w:rsidP="00865B50">
      <w:r w:rsidRPr="00DC79C4">
        <w:rPr>
          <w:noProof/>
        </w:rPr>
        <w:drawing>
          <wp:inline distT="0" distB="0" distL="0" distR="0" wp14:anchorId="0BA7F42F" wp14:editId="454F6E3D">
            <wp:extent cx="4123426" cy="2355011"/>
            <wp:effectExtent l="0" t="0" r="10795" b="2667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D36E27" w:rsidRPr="00DC79C4" w:rsidRDefault="00D36E27" w:rsidP="00865B50">
      <w:pPr>
        <w:spacing w:line="360" w:lineRule="auto"/>
        <w:rPr>
          <w:noProof/>
          <w:sz w:val="18"/>
          <w:szCs w:val="18"/>
          <w:lang w:eastAsia="es-ES"/>
        </w:rPr>
      </w:pPr>
      <w:r w:rsidRPr="00DC79C4">
        <w:rPr>
          <w:noProof/>
          <w:sz w:val="18"/>
          <w:szCs w:val="18"/>
          <w:lang w:eastAsia="es-ES"/>
        </w:rPr>
        <w:t>Fuente: Secretaria de Salud Departamental</w:t>
      </w:r>
      <w:r w:rsidRPr="00DC79C4">
        <w:rPr>
          <w:noProof/>
          <w:sz w:val="18"/>
          <w:szCs w:val="18"/>
          <w:lang w:eastAsia="es-ES"/>
        </w:rPr>
        <w:tab/>
      </w:r>
    </w:p>
    <w:p w:rsidR="00D36E27" w:rsidRDefault="00D36E27" w:rsidP="00D36E27"/>
    <w:p w:rsidR="00D36E27" w:rsidRPr="00865B50" w:rsidRDefault="00D36E27" w:rsidP="00865B50">
      <w:pPr>
        <w:pStyle w:val="Ttulo2"/>
        <w:rPr>
          <w:rFonts w:ascii="Times New Roman" w:hAnsi="Times New Roman" w:cs="Times New Roman"/>
          <w:sz w:val="30"/>
          <w:szCs w:val="30"/>
        </w:rPr>
      </w:pPr>
      <w:bookmarkStart w:id="105" w:name="_Toc406754359"/>
      <w:bookmarkStart w:id="106" w:name="_GoBack"/>
      <w:bookmarkEnd w:id="106"/>
      <w:r w:rsidRPr="00865B50">
        <w:rPr>
          <w:rFonts w:ascii="Times New Roman" w:hAnsi="Times New Roman" w:cs="Times New Roman"/>
          <w:color w:val="auto"/>
          <w:sz w:val="30"/>
          <w:szCs w:val="30"/>
        </w:rPr>
        <w:lastRenderedPageBreak/>
        <w:t>14.3 Estado Nutricional en el Quindío</w:t>
      </w:r>
      <w:bookmarkEnd w:id="105"/>
    </w:p>
    <w:p w:rsidR="00D36E27" w:rsidRDefault="00D36E27" w:rsidP="00D36E27"/>
    <w:p w:rsidR="00D36E27" w:rsidRDefault="00D36E27" w:rsidP="00D36E27"/>
    <w:p w:rsidR="00D36E27" w:rsidRDefault="00D36E27" w:rsidP="00D36E27">
      <w:pPr>
        <w:spacing w:line="360" w:lineRule="auto"/>
        <w:jc w:val="both"/>
      </w:pPr>
      <w:r>
        <w:t xml:space="preserve">     La nutrición en una persona muestra el grado en que son cubiertas todas sus necesidades alimenticias, de acuerdo con la FAO “los niños pequeños son los más vulnerables a la mal nutrición; no obstante, el derecho a una alimentación adecuada es Universal y una buena nutrición es esencial para todos.  Problemas de malnutrición – subalimentación, deficiencia de micronutrientes y obesidad- existen en todos los países y afectan a todas las clases socioeconómicas” (FAO, 2014).</w:t>
      </w:r>
    </w:p>
    <w:p w:rsidR="00D36E27" w:rsidRDefault="00D36E27" w:rsidP="00D36E27">
      <w:pPr>
        <w:spacing w:line="360" w:lineRule="auto"/>
        <w:jc w:val="both"/>
      </w:pPr>
    </w:p>
    <w:p w:rsidR="00D36E27" w:rsidRPr="00865B50" w:rsidRDefault="00607479" w:rsidP="00865B50">
      <w:r>
        <w:t>Tabla</w:t>
      </w:r>
      <w:r w:rsidR="00D36E27" w:rsidRPr="00865B50">
        <w:t xml:space="preserve"> 14.5</w:t>
      </w:r>
    </w:p>
    <w:p w:rsidR="00D36E27" w:rsidRPr="00865B50" w:rsidRDefault="00D36E27" w:rsidP="00865B50">
      <w:r w:rsidRPr="00865B50">
        <w:t>Situación Nutricional en menores de 5 años</w:t>
      </w:r>
    </w:p>
    <w:p w:rsidR="00D36E27" w:rsidRPr="00865B50" w:rsidRDefault="00D36E27" w:rsidP="00865B50">
      <w:r w:rsidRPr="00865B50">
        <w:t>2013</w:t>
      </w:r>
    </w:p>
    <w:p w:rsidR="00D36E27" w:rsidRDefault="00D36E27" w:rsidP="00D36E27">
      <w:pPr>
        <w:jc w:val="center"/>
      </w:pPr>
    </w:p>
    <w:tbl>
      <w:tblPr>
        <w:tblW w:w="8469" w:type="dxa"/>
        <w:jc w:val="center"/>
        <w:tblCellMar>
          <w:left w:w="70" w:type="dxa"/>
          <w:right w:w="70" w:type="dxa"/>
        </w:tblCellMar>
        <w:tblLook w:val="04A0" w:firstRow="1" w:lastRow="0" w:firstColumn="1" w:lastColumn="0" w:noHBand="0" w:noVBand="1"/>
      </w:tblPr>
      <w:tblGrid>
        <w:gridCol w:w="1169"/>
        <w:gridCol w:w="1095"/>
        <w:gridCol w:w="635"/>
        <w:gridCol w:w="997"/>
        <w:gridCol w:w="636"/>
        <w:gridCol w:w="997"/>
        <w:gridCol w:w="508"/>
        <w:gridCol w:w="998"/>
        <w:gridCol w:w="508"/>
        <w:gridCol w:w="926"/>
      </w:tblGrid>
      <w:tr w:rsidR="00D36E27" w:rsidRPr="00865B50" w:rsidTr="001E790F">
        <w:trPr>
          <w:trHeight w:val="296"/>
          <w:jc w:val="center"/>
        </w:trPr>
        <w:tc>
          <w:tcPr>
            <w:tcW w:w="1169" w:type="dxa"/>
            <w:vMerge w:val="restart"/>
            <w:tcBorders>
              <w:top w:val="single" w:sz="4" w:space="0" w:color="auto"/>
              <w:left w:val="nil"/>
              <w:bottom w:val="single" w:sz="4" w:space="0" w:color="000000"/>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Municipio</w:t>
            </w:r>
          </w:p>
        </w:tc>
        <w:tc>
          <w:tcPr>
            <w:tcW w:w="1095" w:type="dxa"/>
            <w:tcBorders>
              <w:top w:val="single" w:sz="4" w:space="0" w:color="auto"/>
              <w:left w:val="nil"/>
              <w:bottom w:val="nil"/>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Total</w:t>
            </w:r>
          </w:p>
        </w:tc>
        <w:tc>
          <w:tcPr>
            <w:tcW w:w="1632" w:type="dxa"/>
            <w:gridSpan w:val="2"/>
            <w:tcBorders>
              <w:top w:val="single" w:sz="4" w:space="0" w:color="auto"/>
              <w:left w:val="nil"/>
              <w:bottom w:val="nil"/>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 xml:space="preserve">Exceso </w:t>
            </w:r>
          </w:p>
        </w:tc>
        <w:tc>
          <w:tcPr>
            <w:tcW w:w="1633" w:type="dxa"/>
            <w:gridSpan w:val="2"/>
            <w:tcBorders>
              <w:top w:val="single" w:sz="4" w:space="0" w:color="auto"/>
              <w:left w:val="nil"/>
              <w:bottom w:val="nil"/>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 xml:space="preserve">Adecuado </w:t>
            </w:r>
          </w:p>
        </w:tc>
        <w:tc>
          <w:tcPr>
            <w:tcW w:w="1506" w:type="dxa"/>
            <w:gridSpan w:val="2"/>
            <w:tcBorders>
              <w:top w:val="single" w:sz="4" w:space="0" w:color="auto"/>
              <w:left w:val="nil"/>
              <w:bottom w:val="nil"/>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 xml:space="preserve">Riesgo </w:t>
            </w:r>
          </w:p>
        </w:tc>
        <w:tc>
          <w:tcPr>
            <w:tcW w:w="1434" w:type="dxa"/>
            <w:gridSpan w:val="2"/>
            <w:tcBorders>
              <w:top w:val="single" w:sz="4" w:space="0" w:color="auto"/>
              <w:left w:val="nil"/>
              <w:bottom w:val="nil"/>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MODERADA</w:t>
            </w:r>
          </w:p>
        </w:tc>
      </w:tr>
      <w:tr w:rsidR="00D36E27" w:rsidRPr="00865B50" w:rsidTr="001E790F">
        <w:trPr>
          <w:trHeight w:val="296"/>
          <w:jc w:val="center"/>
        </w:trPr>
        <w:tc>
          <w:tcPr>
            <w:tcW w:w="1169" w:type="dxa"/>
            <w:vMerge/>
            <w:tcBorders>
              <w:top w:val="nil"/>
              <w:left w:val="nil"/>
              <w:bottom w:val="single" w:sz="4" w:space="0" w:color="000000"/>
              <w:right w:val="nil"/>
            </w:tcBorders>
            <w:vAlign w:val="center"/>
            <w:hideMark/>
          </w:tcPr>
          <w:p w:rsidR="00D36E27" w:rsidRPr="00865B50" w:rsidRDefault="00D36E27" w:rsidP="001E790F">
            <w:pPr>
              <w:rPr>
                <w:b/>
                <w:bCs/>
                <w:color w:val="000000"/>
                <w:sz w:val="20"/>
                <w:szCs w:val="20"/>
                <w:lang w:eastAsia="es-ES"/>
              </w:rPr>
            </w:pPr>
          </w:p>
        </w:tc>
        <w:tc>
          <w:tcPr>
            <w:tcW w:w="1095" w:type="dxa"/>
            <w:tcBorders>
              <w:top w:val="nil"/>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Evaluados</w:t>
            </w:r>
          </w:p>
        </w:tc>
        <w:tc>
          <w:tcPr>
            <w:tcW w:w="635" w:type="dxa"/>
            <w:tcBorders>
              <w:top w:val="nil"/>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No.</w:t>
            </w:r>
          </w:p>
        </w:tc>
        <w:tc>
          <w:tcPr>
            <w:tcW w:w="997" w:type="dxa"/>
            <w:tcBorders>
              <w:top w:val="nil"/>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w:t>
            </w:r>
          </w:p>
        </w:tc>
        <w:tc>
          <w:tcPr>
            <w:tcW w:w="636" w:type="dxa"/>
            <w:tcBorders>
              <w:top w:val="nil"/>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No.</w:t>
            </w:r>
          </w:p>
        </w:tc>
        <w:tc>
          <w:tcPr>
            <w:tcW w:w="997" w:type="dxa"/>
            <w:tcBorders>
              <w:top w:val="nil"/>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w:t>
            </w:r>
          </w:p>
        </w:tc>
        <w:tc>
          <w:tcPr>
            <w:tcW w:w="508" w:type="dxa"/>
            <w:tcBorders>
              <w:top w:val="nil"/>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No</w:t>
            </w:r>
          </w:p>
        </w:tc>
        <w:tc>
          <w:tcPr>
            <w:tcW w:w="998" w:type="dxa"/>
            <w:tcBorders>
              <w:top w:val="nil"/>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w:t>
            </w:r>
          </w:p>
        </w:tc>
        <w:tc>
          <w:tcPr>
            <w:tcW w:w="508" w:type="dxa"/>
            <w:tcBorders>
              <w:top w:val="nil"/>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No.</w:t>
            </w:r>
          </w:p>
        </w:tc>
        <w:tc>
          <w:tcPr>
            <w:tcW w:w="926" w:type="dxa"/>
            <w:tcBorders>
              <w:top w:val="nil"/>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lang w:eastAsia="es-ES"/>
              </w:rPr>
              <w:t>%</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 xml:space="preserve">Armenia </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2.342</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613</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26.2%</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1.447</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61.8%</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231</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9.9%</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51</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2.1%</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 xml:space="preserve">Buenavista </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44</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11</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25.1%</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25</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56.8%</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13.6%</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4.5%</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Calarcá</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1.633</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347</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21.3%</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1.046</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64%</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199</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12.2%</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41</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2.5%</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Circasia</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632</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122</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19.3%</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445</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70.4%</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54</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8.5%</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11</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1.8%</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Córdoba</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243</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35</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14.4%</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165</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67.9%</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38</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15.6%</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5</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2.1%</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Filandia</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250</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67</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26.8%</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153</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61.2%</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23</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9.2%</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7</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2.8%</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Quimbaya</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861</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153</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17.8%</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567</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65.9%</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113</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13.1%</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28</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3.3%</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Génova</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312</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59</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18.9%</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208</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66.7%</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36</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11.5%</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9</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2.9%</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La Tebaida</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92</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18</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19.6%</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68</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73.9%</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6.5%</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0</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0%</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Pijao</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351</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44</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12.6%</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218</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62.1%</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70</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19.9%</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19</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5.4%</w:t>
            </w:r>
          </w:p>
        </w:tc>
      </w:tr>
      <w:tr w:rsidR="00D36E27" w:rsidRPr="00865B50" w:rsidTr="001E790F">
        <w:trPr>
          <w:trHeight w:val="409"/>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Montenegro</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402</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64</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15.9%</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270</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67.2%</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56</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13.9%</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12</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3%</w:t>
            </w:r>
          </w:p>
        </w:tc>
      </w:tr>
      <w:tr w:rsidR="00D36E27" w:rsidRPr="00865B50" w:rsidTr="001E790F">
        <w:trPr>
          <w:trHeight w:val="281"/>
          <w:jc w:val="center"/>
        </w:trPr>
        <w:tc>
          <w:tcPr>
            <w:tcW w:w="1169" w:type="dxa"/>
            <w:tcBorders>
              <w:top w:val="nil"/>
              <w:left w:val="nil"/>
              <w:bottom w:val="nil"/>
              <w:right w:val="nil"/>
            </w:tcBorders>
            <w:shd w:val="clear" w:color="auto" w:fill="auto"/>
            <w:vAlign w:val="center"/>
            <w:hideMark/>
          </w:tcPr>
          <w:p w:rsidR="00D36E27" w:rsidRPr="00865B50" w:rsidRDefault="00D36E27" w:rsidP="001E790F">
            <w:pPr>
              <w:rPr>
                <w:bCs/>
                <w:color w:val="000000"/>
                <w:sz w:val="20"/>
                <w:szCs w:val="20"/>
                <w:lang w:eastAsia="es-ES"/>
              </w:rPr>
            </w:pPr>
            <w:r w:rsidRPr="00865B50">
              <w:rPr>
                <w:bCs/>
                <w:color w:val="000000"/>
                <w:sz w:val="20"/>
                <w:szCs w:val="20"/>
                <w:lang w:eastAsia="es-ES"/>
              </w:rPr>
              <w:t xml:space="preserve">Salento </w:t>
            </w:r>
          </w:p>
        </w:tc>
        <w:tc>
          <w:tcPr>
            <w:tcW w:w="109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146</w:t>
            </w:r>
          </w:p>
        </w:tc>
        <w:tc>
          <w:tcPr>
            <w:tcW w:w="635"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29</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19.9%</w:t>
            </w:r>
          </w:p>
        </w:tc>
        <w:tc>
          <w:tcPr>
            <w:tcW w:w="63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97</w:t>
            </w:r>
          </w:p>
        </w:tc>
        <w:tc>
          <w:tcPr>
            <w:tcW w:w="997"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66.4%</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17</w:t>
            </w:r>
          </w:p>
        </w:tc>
        <w:tc>
          <w:tcPr>
            <w:tcW w:w="99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11.6%</w:t>
            </w:r>
          </w:p>
        </w:tc>
        <w:tc>
          <w:tcPr>
            <w:tcW w:w="508"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3</w:t>
            </w:r>
          </w:p>
        </w:tc>
        <w:tc>
          <w:tcPr>
            <w:tcW w:w="926" w:type="dxa"/>
            <w:tcBorders>
              <w:top w:val="nil"/>
              <w:left w:val="nil"/>
              <w:bottom w:val="nil"/>
              <w:right w:val="nil"/>
            </w:tcBorders>
            <w:shd w:val="clear" w:color="auto" w:fill="auto"/>
            <w:vAlign w:val="center"/>
            <w:hideMark/>
          </w:tcPr>
          <w:p w:rsidR="00D36E27" w:rsidRPr="00865B50" w:rsidRDefault="00D36E27" w:rsidP="001E790F">
            <w:pPr>
              <w:jc w:val="center"/>
              <w:rPr>
                <w:color w:val="000000"/>
                <w:sz w:val="20"/>
                <w:szCs w:val="20"/>
                <w:lang w:eastAsia="es-ES"/>
              </w:rPr>
            </w:pPr>
            <w:r w:rsidRPr="00865B50">
              <w:rPr>
                <w:color w:val="000000"/>
                <w:sz w:val="20"/>
                <w:szCs w:val="20"/>
              </w:rPr>
              <w:t>2.1%</w:t>
            </w:r>
          </w:p>
        </w:tc>
      </w:tr>
      <w:tr w:rsidR="00D36E27" w:rsidRPr="00865B50" w:rsidTr="001E790F">
        <w:trPr>
          <w:trHeight w:val="281"/>
          <w:jc w:val="center"/>
        </w:trPr>
        <w:tc>
          <w:tcPr>
            <w:tcW w:w="1169" w:type="dxa"/>
            <w:tcBorders>
              <w:top w:val="single" w:sz="4" w:space="0" w:color="auto"/>
              <w:left w:val="nil"/>
              <w:bottom w:val="single" w:sz="4" w:space="0" w:color="auto"/>
              <w:right w:val="nil"/>
            </w:tcBorders>
            <w:shd w:val="clear" w:color="auto" w:fill="auto"/>
            <w:vAlign w:val="center"/>
            <w:hideMark/>
          </w:tcPr>
          <w:p w:rsidR="00D36E27" w:rsidRPr="00865B50" w:rsidRDefault="00D36E27" w:rsidP="001E790F">
            <w:pPr>
              <w:rPr>
                <w:b/>
                <w:bCs/>
                <w:color w:val="000000"/>
                <w:sz w:val="20"/>
                <w:szCs w:val="20"/>
                <w:lang w:eastAsia="es-ES"/>
              </w:rPr>
            </w:pPr>
            <w:r w:rsidRPr="00865B50">
              <w:rPr>
                <w:b/>
                <w:bCs/>
                <w:color w:val="000000"/>
                <w:sz w:val="20"/>
                <w:szCs w:val="20"/>
                <w:lang w:eastAsia="es-ES"/>
              </w:rPr>
              <w:t>Total</w:t>
            </w:r>
          </w:p>
        </w:tc>
        <w:tc>
          <w:tcPr>
            <w:tcW w:w="1095" w:type="dxa"/>
            <w:tcBorders>
              <w:top w:val="single" w:sz="4" w:space="0" w:color="auto"/>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rPr>
              <w:t>7.308</w:t>
            </w:r>
          </w:p>
        </w:tc>
        <w:tc>
          <w:tcPr>
            <w:tcW w:w="635" w:type="dxa"/>
            <w:tcBorders>
              <w:top w:val="single" w:sz="4" w:space="0" w:color="auto"/>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rPr>
              <w:t>1.562</w:t>
            </w:r>
          </w:p>
        </w:tc>
        <w:tc>
          <w:tcPr>
            <w:tcW w:w="997" w:type="dxa"/>
            <w:tcBorders>
              <w:top w:val="single" w:sz="4" w:space="0" w:color="auto"/>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rPr>
              <w:t>21.37% </w:t>
            </w:r>
          </w:p>
        </w:tc>
        <w:tc>
          <w:tcPr>
            <w:tcW w:w="636" w:type="dxa"/>
            <w:tcBorders>
              <w:top w:val="single" w:sz="4" w:space="0" w:color="auto"/>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rPr>
              <w:t>4.709</w:t>
            </w:r>
          </w:p>
        </w:tc>
        <w:tc>
          <w:tcPr>
            <w:tcW w:w="997" w:type="dxa"/>
            <w:tcBorders>
              <w:top w:val="single" w:sz="4" w:space="0" w:color="auto"/>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rPr>
              <w:t> 64.44%</w:t>
            </w:r>
          </w:p>
        </w:tc>
        <w:tc>
          <w:tcPr>
            <w:tcW w:w="508" w:type="dxa"/>
            <w:tcBorders>
              <w:top w:val="single" w:sz="4" w:space="0" w:color="auto"/>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rPr>
              <w:t>849</w:t>
            </w:r>
          </w:p>
        </w:tc>
        <w:tc>
          <w:tcPr>
            <w:tcW w:w="998" w:type="dxa"/>
            <w:tcBorders>
              <w:top w:val="single" w:sz="4" w:space="0" w:color="auto"/>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rPr>
              <w:t>11.62% </w:t>
            </w:r>
          </w:p>
        </w:tc>
        <w:tc>
          <w:tcPr>
            <w:tcW w:w="508" w:type="dxa"/>
            <w:tcBorders>
              <w:top w:val="single" w:sz="4" w:space="0" w:color="auto"/>
              <w:left w:val="nil"/>
              <w:bottom w:val="single" w:sz="4" w:space="0" w:color="auto"/>
              <w:right w:val="nil"/>
            </w:tcBorders>
            <w:shd w:val="clear" w:color="auto" w:fill="auto"/>
            <w:vAlign w:val="center"/>
            <w:hideMark/>
          </w:tcPr>
          <w:p w:rsidR="00D36E27" w:rsidRPr="00865B50" w:rsidRDefault="00D36E27" w:rsidP="001E790F">
            <w:pPr>
              <w:jc w:val="center"/>
              <w:rPr>
                <w:b/>
                <w:bCs/>
                <w:color w:val="000000"/>
                <w:sz w:val="20"/>
                <w:szCs w:val="20"/>
                <w:lang w:eastAsia="es-ES"/>
              </w:rPr>
            </w:pPr>
            <w:r w:rsidRPr="00865B50">
              <w:rPr>
                <w:b/>
                <w:bCs/>
                <w:color w:val="000000"/>
                <w:sz w:val="20"/>
                <w:szCs w:val="20"/>
              </w:rPr>
              <w:t>188</w:t>
            </w:r>
          </w:p>
        </w:tc>
        <w:tc>
          <w:tcPr>
            <w:tcW w:w="926" w:type="dxa"/>
            <w:tcBorders>
              <w:top w:val="single" w:sz="4" w:space="0" w:color="auto"/>
              <w:left w:val="nil"/>
              <w:bottom w:val="single" w:sz="4" w:space="0" w:color="auto"/>
              <w:right w:val="nil"/>
            </w:tcBorders>
            <w:shd w:val="clear" w:color="auto" w:fill="auto"/>
            <w:vAlign w:val="center"/>
            <w:hideMark/>
          </w:tcPr>
          <w:p w:rsidR="00D36E27" w:rsidRPr="00865B50" w:rsidRDefault="00D36E27" w:rsidP="001E790F">
            <w:pPr>
              <w:jc w:val="center"/>
              <w:rPr>
                <w:b/>
                <w:color w:val="000000"/>
                <w:sz w:val="20"/>
                <w:szCs w:val="20"/>
                <w:lang w:eastAsia="es-ES"/>
              </w:rPr>
            </w:pPr>
            <w:r w:rsidRPr="00865B50">
              <w:rPr>
                <w:b/>
                <w:color w:val="000000"/>
                <w:sz w:val="20"/>
                <w:szCs w:val="20"/>
              </w:rPr>
              <w:t>2.57% </w:t>
            </w:r>
          </w:p>
        </w:tc>
      </w:tr>
    </w:tbl>
    <w:p w:rsidR="00D36E27" w:rsidRPr="004F1842" w:rsidRDefault="00D36E27" w:rsidP="00D36E27">
      <w:pPr>
        <w:spacing w:line="360" w:lineRule="auto"/>
        <w:jc w:val="both"/>
        <w:rPr>
          <w:sz w:val="18"/>
          <w:szCs w:val="18"/>
        </w:rPr>
      </w:pPr>
      <w:r>
        <w:rPr>
          <w:sz w:val="18"/>
          <w:szCs w:val="18"/>
        </w:rPr>
        <w:t xml:space="preserve">    </w:t>
      </w:r>
      <w:r w:rsidRPr="004F1842">
        <w:rPr>
          <w:sz w:val="18"/>
          <w:szCs w:val="18"/>
        </w:rPr>
        <w:t>Fuente: Secretaria Departamental de Salud</w:t>
      </w:r>
      <w:r>
        <w:rPr>
          <w:sz w:val="18"/>
          <w:szCs w:val="18"/>
        </w:rPr>
        <w:t>.</w:t>
      </w:r>
    </w:p>
    <w:p w:rsidR="00D36E27" w:rsidRDefault="00D36E27" w:rsidP="00D36E27">
      <w:pPr>
        <w:spacing w:line="360" w:lineRule="auto"/>
        <w:jc w:val="both"/>
      </w:pPr>
    </w:p>
    <w:p w:rsidR="00D36E27" w:rsidRDefault="00D36E27" w:rsidP="00D36E27">
      <w:pPr>
        <w:spacing w:line="360" w:lineRule="auto"/>
        <w:jc w:val="both"/>
      </w:pPr>
      <w:r>
        <w:t xml:space="preserve">       Para el 2013 la situación Nutricional en menores de cinco años, en el total del Departamento del Quindío, evidencia que el 64.44% de esta población se encuentra  en un nivel adecuado nutricionalmente, con alimentación balanceada, lo que garantiza  una niñez saludable. El 21.37% corresponde a infantes con exceso nutricional, siendo los municipios de Filandia (26,8%), Armenia (26,2%)  y Buenavista (25,1%) los  que presentan el mayor porcentaje de menores en este estado nutricional, situación que es monitoreada  por el  </w:t>
      </w:r>
      <w:r>
        <w:lastRenderedPageBreak/>
        <w:t>programa que existe sobre control de crecimiento y desarrollo, el cual se debe prestar de forma obligatoria en todas las instituciones de salud del Departamento.</w:t>
      </w:r>
    </w:p>
    <w:p w:rsidR="00D36E27" w:rsidRDefault="00D36E27" w:rsidP="00D36E27">
      <w:pPr>
        <w:spacing w:line="360" w:lineRule="auto"/>
        <w:jc w:val="both"/>
      </w:pPr>
    </w:p>
    <w:p w:rsidR="00D36E27" w:rsidRDefault="00D36E27" w:rsidP="00D36E27">
      <w:pPr>
        <w:spacing w:line="360" w:lineRule="auto"/>
        <w:jc w:val="both"/>
      </w:pPr>
      <w:r>
        <w:t xml:space="preserve">     De una población total de 7.308 niños menores de cinco años evaluados, 849 niños están en situación de riesgo de sufrir desnutrición, lo que equivale al 11,62% de dicha población, y el 2,57% presentan desnutrición moderada. </w:t>
      </w:r>
      <w:r w:rsidR="0025539B">
        <w:t>Adicionalmente</w:t>
      </w:r>
      <w:r>
        <w:t>, de un total de 4.966 menores con edades de 5 a 18 años, el 66,3% (3.291 niños) presentan una adecuada nutrición, el 24,1% (1.197) están en riesgo de presentar desnutrición y el 9.6% (478) han presentado para la vigencia del 2013 una rebaja en su talla.</w:t>
      </w:r>
    </w:p>
    <w:p w:rsidR="00D36E27" w:rsidRDefault="00D36E27" w:rsidP="00D36E27">
      <w:pPr>
        <w:jc w:val="center"/>
      </w:pPr>
    </w:p>
    <w:p w:rsidR="00D36E27" w:rsidRPr="006D6F8A" w:rsidRDefault="00D36E27" w:rsidP="006D6F8A">
      <w:r w:rsidRPr="006D6F8A">
        <w:t>Gráfico 14.4</w:t>
      </w:r>
    </w:p>
    <w:p w:rsidR="00D36E27" w:rsidRPr="006D6F8A" w:rsidRDefault="00D36E27" w:rsidP="006D6F8A">
      <w:r w:rsidRPr="006D6F8A">
        <w:t>Situación Nutricional Mayores de 5 años  y  menores de 18 años</w:t>
      </w:r>
    </w:p>
    <w:p w:rsidR="00D36E27" w:rsidRPr="006D6F8A" w:rsidRDefault="00D36E27" w:rsidP="006D6F8A">
      <w:pPr>
        <w:spacing w:line="360" w:lineRule="auto"/>
      </w:pPr>
      <w:r w:rsidRPr="006D6F8A">
        <w:t>2013</w:t>
      </w:r>
    </w:p>
    <w:p w:rsidR="006D6F8A" w:rsidRDefault="00D36E27" w:rsidP="006D6F8A">
      <w:pPr>
        <w:rPr>
          <w:noProof/>
          <w:lang w:eastAsia="es-ES"/>
        </w:rPr>
      </w:pPr>
      <w:r>
        <w:rPr>
          <w:noProof/>
        </w:rPr>
        <w:drawing>
          <wp:inline distT="0" distB="0" distL="0" distR="0" wp14:anchorId="1344F8B9" wp14:editId="58068D86">
            <wp:extent cx="4085111" cy="2410691"/>
            <wp:effectExtent l="0" t="0" r="10795" b="2794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6D6F8A" w:rsidRDefault="00D36E27" w:rsidP="006D6F8A">
      <w:pPr>
        <w:rPr>
          <w:noProof/>
          <w:lang w:eastAsia="es-ES"/>
        </w:rPr>
      </w:pPr>
      <w:r>
        <w:rPr>
          <w:noProof/>
          <w:lang w:eastAsia="es-ES"/>
        </w:rPr>
        <w:t xml:space="preserve"> </w:t>
      </w:r>
      <w:r w:rsidRPr="00A9332A">
        <w:rPr>
          <w:noProof/>
          <w:sz w:val="18"/>
          <w:szCs w:val="18"/>
          <w:lang w:eastAsia="es-ES"/>
        </w:rPr>
        <w:t>Fuente: Secretaria de Salud Departamental- Si</w:t>
      </w:r>
      <w:r>
        <w:rPr>
          <w:noProof/>
          <w:sz w:val="18"/>
          <w:szCs w:val="18"/>
          <w:lang w:eastAsia="es-ES"/>
        </w:rPr>
        <w:t>vigi</w:t>
      </w:r>
      <w:r w:rsidRPr="00A9332A">
        <w:rPr>
          <w:noProof/>
          <w:sz w:val="18"/>
          <w:szCs w:val="18"/>
          <w:lang w:eastAsia="es-ES"/>
        </w:rPr>
        <w:t>la</w:t>
      </w:r>
    </w:p>
    <w:p w:rsidR="00D36E27" w:rsidRPr="006D6F8A" w:rsidRDefault="00D36E27" w:rsidP="006D6F8A">
      <w:pPr>
        <w:rPr>
          <w:noProof/>
          <w:lang w:eastAsia="es-ES"/>
        </w:rPr>
      </w:pPr>
      <w:r w:rsidRPr="00A9332A">
        <w:rPr>
          <w:noProof/>
          <w:sz w:val="18"/>
          <w:szCs w:val="18"/>
          <w:lang w:eastAsia="es-ES"/>
        </w:rPr>
        <w:t xml:space="preserve">Nota: La información  nutricional se consolidó para el total departamental. </w:t>
      </w:r>
    </w:p>
    <w:p w:rsidR="00D36E27" w:rsidRDefault="00D36E27" w:rsidP="00D36E27">
      <w:pPr>
        <w:jc w:val="both"/>
        <w:rPr>
          <w:noProof/>
          <w:lang w:eastAsia="es-ES"/>
        </w:rPr>
      </w:pPr>
    </w:p>
    <w:p w:rsidR="00D36E27" w:rsidRDefault="00D36E27" w:rsidP="00D36E27">
      <w:pPr>
        <w:jc w:val="both"/>
        <w:rPr>
          <w:noProof/>
          <w:lang w:eastAsia="es-ES"/>
        </w:rPr>
      </w:pPr>
    </w:p>
    <w:p w:rsidR="00D36E27" w:rsidRDefault="00D36E27" w:rsidP="00D36E27">
      <w:pPr>
        <w:spacing w:line="360" w:lineRule="auto"/>
        <w:jc w:val="both"/>
        <w:rPr>
          <w:noProof/>
          <w:lang w:eastAsia="es-ES"/>
        </w:rPr>
      </w:pPr>
      <w:r>
        <w:rPr>
          <w:noProof/>
          <w:lang w:eastAsia="es-ES"/>
        </w:rPr>
        <w:t xml:space="preserve">     </w:t>
      </w:r>
      <w:r w:rsidRPr="00C248DA">
        <w:rPr>
          <w:noProof/>
          <w:lang w:eastAsia="es-ES"/>
        </w:rPr>
        <w:t xml:space="preserve"> </w:t>
      </w:r>
      <w:r>
        <w:rPr>
          <w:noProof/>
          <w:lang w:eastAsia="es-ES"/>
        </w:rPr>
        <w:t xml:space="preserve"> De acuerdo a estadí</w:t>
      </w:r>
      <w:r w:rsidRPr="00C248DA">
        <w:rPr>
          <w:noProof/>
          <w:lang w:eastAsia="es-ES"/>
        </w:rPr>
        <w:t>stica</w:t>
      </w:r>
      <w:r w:rsidR="00B862B5">
        <w:rPr>
          <w:noProof/>
          <w:lang w:eastAsia="es-ES"/>
        </w:rPr>
        <w:t>s suministradas por la Secretarí</w:t>
      </w:r>
      <w:r w:rsidRPr="00C248DA">
        <w:rPr>
          <w:noProof/>
          <w:lang w:eastAsia="es-ES"/>
        </w:rPr>
        <w:t>a de Salud y Si</w:t>
      </w:r>
      <w:r>
        <w:rPr>
          <w:noProof/>
          <w:lang w:eastAsia="es-ES"/>
        </w:rPr>
        <w:t>vigila, fueron</w:t>
      </w:r>
      <w:r w:rsidR="000B1F10">
        <w:rPr>
          <w:noProof/>
          <w:lang w:eastAsia="es-ES"/>
        </w:rPr>
        <w:t xml:space="preserve"> e</w:t>
      </w:r>
      <w:r>
        <w:rPr>
          <w:noProof/>
          <w:lang w:eastAsia="es-ES"/>
        </w:rPr>
        <w:t>valuados 4.966 jóvenes con edades entre 5 y 18 años en el Departamento del Quindío,</w:t>
      </w:r>
      <w:r w:rsidRPr="00C248DA">
        <w:rPr>
          <w:noProof/>
          <w:lang w:eastAsia="es-ES"/>
        </w:rPr>
        <w:t xml:space="preserve">  </w:t>
      </w:r>
      <w:r w:rsidRPr="00C2420E">
        <w:rPr>
          <w:noProof/>
          <w:lang w:eastAsia="es-ES"/>
        </w:rPr>
        <w:t>de los cua</w:t>
      </w:r>
      <w:r>
        <w:rPr>
          <w:noProof/>
          <w:lang w:eastAsia="es-ES"/>
        </w:rPr>
        <w:t>les  el 66,30%, es decir, 3.291 niños se encuentran en una  situación adecuada de  nutrición, el 24, 10%,(1.197) jóvenes, están en riesgo de desnutrición y el 9,60% estan con retraso en su talla.</w:t>
      </w:r>
    </w:p>
    <w:p w:rsidR="00D36E27" w:rsidRDefault="00D36E27" w:rsidP="00D36E27">
      <w:pPr>
        <w:spacing w:line="360" w:lineRule="auto"/>
        <w:jc w:val="both"/>
        <w:rPr>
          <w:noProof/>
          <w:lang w:eastAsia="es-ES"/>
        </w:rPr>
      </w:pPr>
    </w:p>
    <w:p w:rsidR="00D36E27" w:rsidRDefault="006D6F8A" w:rsidP="00D36E27">
      <w:pPr>
        <w:spacing w:line="360" w:lineRule="auto"/>
        <w:jc w:val="both"/>
        <w:rPr>
          <w:rStyle w:val="Ttulo2Car"/>
          <w:rFonts w:ascii="Times New Roman" w:hAnsi="Times New Roman" w:cs="Times New Roman"/>
          <w:color w:val="auto"/>
          <w:sz w:val="30"/>
          <w:szCs w:val="30"/>
        </w:rPr>
      </w:pPr>
      <w:bookmarkStart w:id="107" w:name="_Toc406754360"/>
      <w:r w:rsidRPr="00051810">
        <w:rPr>
          <w:rStyle w:val="Ttulo2Car"/>
          <w:rFonts w:ascii="Times New Roman" w:hAnsi="Times New Roman" w:cs="Times New Roman"/>
          <w:color w:val="auto"/>
          <w:sz w:val="30"/>
          <w:szCs w:val="30"/>
        </w:rPr>
        <w:lastRenderedPageBreak/>
        <w:t xml:space="preserve">14.4   Afiliación al Régimen </w:t>
      </w:r>
      <w:r w:rsidR="00D36E27" w:rsidRPr="00051810">
        <w:rPr>
          <w:rStyle w:val="Ttulo2Car"/>
          <w:rFonts w:ascii="Times New Roman" w:hAnsi="Times New Roman" w:cs="Times New Roman"/>
          <w:color w:val="auto"/>
          <w:sz w:val="30"/>
          <w:szCs w:val="30"/>
        </w:rPr>
        <w:t xml:space="preserve">Afiliado </w:t>
      </w:r>
      <w:r w:rsidRPr="00051810">
        <w:rPr>
          <w:rStyle w:val="Ttulo2Car"/>
          <w:rFonts w:ascii="Times New Roman" w:hAnsi="Times New Roman" w:cs="Times New Roman"/>
          <w:color w:val="auto"/>
          <w:sz w:val="30"/>
          <w:szCs w:val="30"/>
        </w:rPr>
        <w:t>de</w:t>
      </w:r>
      <w:r w:rsidR="00D36E27" w:rsidRPr="00051810">
        <w:rPr>
          <w:rStyle w:val="Ttulo2Car"/>
          <w:rFonts w:ascii="Times New Roman" w:hAnsi="Times New Roman" w:cs="Times New Roman"/>
          <w:color w:val="auto"/>
          <w:sz w:val="30"/>
          <w:szCs w:val="30"/>
        </w:rPr>
        <w:t xml:space="preserve"> Salud</w:t>
      </w:r>
      <w:bookmarkEnd w:id="107"/>
    </w:p>
    <w:p w:rsidR="00051810" w:rsidRPr="0025252D" w:rsidRDefault="00051810" w:rsidP="00D36E27">
      <w:pPr>
        <w:spacing w:line="360" w:lineRule="auto"/>
        <w:jc w:val="both"/>
        <w:rPr>
          <w:b/>
          <w:noProof/>
          <w:sz w:val="30"/>
          <w:szCs w:val="30"/>
          <w:lang w:eastAsia="es-ES"/>
        </w:rPr>
      </w:pPr>
    </w:p>
    <w:p w:rsidR="00D36E27" w:rsidRPr="00856266" w:rsidRDefault="00D36E27" w:rsidP="00D36E27">
      <w:pPr>
        <w:spacing w:line="360" w:lineRule="auto"/>
        <w:jc w:val="both"/>
        <w:rPr>
          <w:noProof/>
          <w:sz w:val="30"/>
          <w:szCs w:val="30"/>
          <w:lang w:eastAsia="es-ES"/>
        </w:rPr>
      </w:pPr>
      <w:r w:rsidRPr="0025252D">
        <w:rPr>
          <w:b/>
          <w:noProof/>
          <w:sz w:val="30"/>
          <w:szCs w:val="30"/>
          <w:lang w:eastAsia="es-ES"/>
        </w:rPr>
        <w:t xml:space="preserve"> </w:t>
      </w:r>
      <w:bookmarkStart w:id="108" w:name="_Toc406754361"/>
      <w:r w:rsidRPr="00051810">
        <w:rPr>
          <w:rStyle w:val="Ttulo2Car"/>
          <w:rFonts w:ascii="Times New Roman" w:hAnsi="Times New Roman" w:cs="Times New Roman"/>
          <w:color w:val="auto"/>
          <w:sz w:val="30"/>
          <w:szCs w:val="30"/>
        </w:rPr>
        <w:t>14.4.1  Régimen Subsidiado</w:t>
      </w:r>
      <w:bookmarkEnd w:id="108"/>
    </w:p>
    <w:p w:rsidR="00051810" w:rsidRDefault="00D36E27" w:rsidP="00D36E27">
      <w:pPr>
        <w:spacing w:line="360" w:lineRule="auto"/>
        <w:jc w:val="both"/>
        <w:rPr>
          <w:noProof/>
          <w:lang w:eastAsia="es-ES"/>
        </w:rPr>
      </w:pPr>
      <w:r>
        <w:rPr>
          <w:noProof/>
          <w:lang w:eastAsia="es-ES"/>
        </w:rPr>
        <w:t xml:space="preserve">    </w:t>
      </w:r>
    </w:p>
    <w:p w:rsidR="00D36E27" w:rsidRDefault="00D36E27" w:rsidP="00051810">
      <w:pPr>
        <w:spacing w:line="360" w:lineRule="auto"/>
        <w:ind w:firstLine="284"/>
        <w:jc w:val="both"/>
        <w:rPr>
          <w:shd w:val="clear" w:color="auto" w:fill="FFFFFF"/>
        </w:rPr>
      </w:pPr>
      <w:r>
        <w:rPr>
          <w:noProof/>
          <w:lang w:eastAsia="es-ES"/>
        </w:rPr>
        <w:t xml:space="preserve">Según definición del Ministerio de la Protección Social, el Régimen Subsidiado en salud es </w:t>
      </w:r>
      <w:r w:rsidRPr="00F4210E">
        <w:rPr>
          <w:noProof/>
          <w:lang w:eastAsia="es-ES"/>
        </w:rPr>
        <w:t>“</w:t>
      </w:r>
      <w:r w:rsidRPr="00F4210E">
        <w:rPr>
          <w:shd w:val="clear" w:color="auto" w:fill="FFFFFF"/>
        </w:rPr>
        <w:t>el mecanismo mediante el cual la población más pobre del país, sin capacidad de pago, tiene acceso a los servicios de salud a través de un subsidio que ofrece el Estado</w:t>
      </w:r>
      <w:r>
        <w:rPr>
          <w:shd w:val="clear" w:color="auto" w:fill="FFFFFF"/>
        </w:rPr>
        <w:t>”</w:t>
      </w:r>
      <w:r>
        <w:rPr>
          <w:rStyle w:val="Refdenotaalpie"/>
          <w:shd w:val="clear" w:color="auto" w:fill="FFFFFF"/>
        </w:rPr>
        <w:footnoteReference w:id="63"/>
      </w:r>
      <w:r>
        <w:rPr>
          <w:shd w:val="clear" w:color="auto" w:fill="FFFFFF"/>
        </w:rPr>
        <w:t xml:space="preserve"> por lo tanto, los entes territoriales,  ejercen el seguimiento y vigilancia a las EPS para que la población beneficiada tenga su debido acceso. Igualmente, los municipios, los distritos y los departamentos, tienen la función específica de identificar y afiliar a la población objeto. </w:t>
      </w:r>
    </w:p>
    <w:p w:rsidR="00D36E27" w:rsidRDefault="00D36E27" w:rsidP="00D36E27">
      <w:pPr>
        <w:spacing w:line="360" w:lineRule="auto"/>
        <w:jc w:val="both"/>
        <w:rPr>
          <w:shd w:val="clear" w:color="auto" w:fill="FFFFFF"/>
        </w:rPr>
      </w:pPr>
    </w:p>
    <w:p w:rsidR="00D36E27" w:rsidRDefault="00D36E27" w:rsidP="00D36E27">
      <w:pPr>
        <w:spacing w:line="360" w:lineRule="auto"/>
        <w:jc w:val="both"/>
        <w:rPr>
          <w:shd w:val="clear" w:color="auto" w:fill="FFFFFF"/>
        </w:rPr>
      </w:pPr>
      <w:r>
        <w:rPr>
          <w:shd w:val="clear" w:color="auto" w:fill="FFFFFF"/>
        </w:rPr>
        <w:t xml:space="preserve">     De acuerdo con el ministerio de salud: “… Es responsabilidad de los entes territoriales la operación adecuada de sus procesos, en virtud de su competencia descentralizada frente al bienestar de la población de su jurisdicción. De esa forma, los municipios, distritos y departamentos tienen funciones específicas frente a la identificación y afiliación de la población objeto, así como sobre la inversión, contratación y seguimiento de la ejecución de los recursos que financian el régimen (Recursos de Esfuerzo Propio, de la Nación (SGP) y del FOSIGA).  Así mismo es deber de los entes territoriales el seguimiento y vigilancia al acceso efectivo a los servicios contratados por las EPS, por parte de la población beneficiaria, es decir, sobre la ejecución misma de los contratos suscritos con las EPS.” (</w:t>
      </w:r>
      <w:proofErr w:type="spellStart"/>
      <w:r>
        <w:rPr>
          <w:shd w:val="clear" w:color="auto" w:fill="FFFFFF"/>
        </w:rPr>
        <w:t>Minsalud</w:t>
      </w:r>
      <w:proofErr w:type="spellEnd"/>
      <w:r>
        <w:rPr>
          <w:shd w:val="clear" w:color="auto" w:fill="FFFFFF"/>
        </w:rPr>
        <w:t>, 2014).</w:t>
      </w:r>
    </w:p>
    <w:p w:rsidR="00051810" w:rsidRDefault="00051810" w:rsidP="00D36E27">
      <w:pPr>
        <w:spacing w:line="360" w:lineRule="auto"/>
        <w:jc w:val="both"/>
        <w:rPr>
          <w:shd w:val="clear" w:color="auto" w:fill="FFFFFF"/>
        </w:rPr>
      </w:pPr>
    </w:p>
    <w:p w:rsidR="00D36E27" w:rsidRPr="009C1B95" w:rsidRDefault="00D36E27" w:rsidP="00D36E27">
      <w:pPr>
        <w:spacing w:line="360" w:lineRule="auto"/>
        <w:jc w:val="both"/>
        <w:rPr>
          <w:shd w:val="clear" w:color="auto" w:fill="FFFFFF"/>
        </w:rPr>
      </w:pPr>
      <w:r>
        <w:rPr>
          <w:shd w:val="clear" w:color="auto" w:fill="FFFFFF"/>
        </w:rPr>
        <w:t xml:space="preserve">     Las personas que  no están incluidas en el Régimen subsidiado, son aquellas que tienen una vinculación laboral vigente, que son pensionados, que pertenecen a un Régimen de excepción, o que poseen ingresos suficientes para estar afiliados al Régimen Contributivo.</w:t>
      </w:r>
    </w:p>
    <w:p w:rsidR="00D36E27" w:rsidRDefault="00D36E27" w:rsidP="00D36E27">
      <w:pPr>
        <w:spacing w:line="360" w:lineRule="auto"/>
        <w:jc w:val="both"/>
        <w:rPr>
          <w:noProof/>
          <w:lang w:eastAsia="es-ES"/>
        </w:rPr>
      </w:pPr>
    </w:p>
    <w:p w:rsidR="0025539B" w:rsidRDefault="0025539B" w:rsidP="00D36E27">
      <w:pPr>
        <w:spacing w:line="360" w:lineRule="auto"/>
        <w:jc w:val="both"/>
        <w:rPr>
          <w:noProof/>
          <w:lang w:eastAsia="es-ES"/>
        </w:rPr>
      </w:pPr>
    </w:p>
    <w:p w:rsidR="00D36E27" w:rsidRDefault="00D36E27" w:rsidP="00D36E27">
      <w:pPr>
        <w:spacing w:line="360" w:lineRule="auto"/>
        <w:jc w:val="both"/>
        <w:rPr>
          <w:noProof/>
          <w:lang w:eastAsia="es-ES"/>
        </w:rPr>
      </w:pPr>
    </w:p>
    <w:p w:rsidR="00D36E27" w:rsidRPr="00051810" w:rsidRDefault="00607479" w:rsidP="00051810">
      <w:pPr>
        <w:rPr>
          <w:noProof/>
          <w:lang w:eastAsia="es-ES"/>
        </w:rPr>
      </w:pPr>
      <w:r>
        <w:rPr>
          <w:noProof/>
          <w:lang w:eastAsia="es-ES"/>
        </w:rPr>
        <w:lastRenderedPageBreak/>
        <w:t>Tabla</w:t>
      </w:r>
      <w:r w:rsidR="00D36E27" w:rsidRPr="00051810">
        <w:rPr>
          <w:noProof/>
          <w:lang w:eastAsia="es-ES"/>
        </w:rPr>
        <w:t xml:space="preserve"> 14.6</w:t>
      </w:r>
    </w:p>
    <w:p w:rsidR="00D36E27" w:rsidRPr="00051810" w:rsidRDefault="00D36E27" w:rsidP="00051810">
      <w:r w:rsidRPr="00051810">
        <w:t>Población afiliada al régimen de salud por municipios</w:t>
      </w:r>
    </w:p>
    <w:p w:rsidR="00D36E27" w:rsidRPr="00051810" w:rsidRDefault="00D36E27" w:rsidP="00051810">
      <w:r w:rsidRPr="00051810">
        <w:t>2013</w:t>
      </w:r>
    </w:p>
    <w:tbl>
      <w:tblPr>
        <w:tblpPr w:leftFromText="141" w:rightFromText="141" w:vertAnchor="text" w:horzAnchor="margin" w:tblpY="161"/>
        <w:tblW w:w="8690" w:type="dxa"/>
        <w:tblCellMar>
          <w:left w:w="70" w:type="dxa"/>
          <w:right w:w="70" w:type="dxa"/>
        </w:tblCellMar>
        <w:tblLook w:val="04A0" w:firstRow="1" w:lastRow="0" w:firstColumn="1" w:lastColumn="0" w:noHBand="0" w:noVBand="1"/>
      </w:tblPr>
      <w:tblGrid>
        <w:gridCol w:w="1429"/>
        <w:gridCol w:w="1109"/>
        <w:gridCol w:w="1030"/>
        <w:gridCol w:w="1456"/>
        <w:gridCol w:w="1136"/>
        <w:gridCol w:w="1412"/>
        <w:gridCol w:w="1118"/>
      </w:tblGrid>
      <w:tr w:rsidR="00D36E27" w:rsidRPr="00EF49F9" w:rsidTr="00051810">
        <w:trPr>
          <w:trHeight w:val="268"/>
        </w:trPr>
        <w:tc>
          <w:tcPr>
            <w:tcW w:w="1429" w:type="dxa"/>
            <w:tcBorders>
              <w:top w:val="single" w:sz="4" w:space="0" w:color="auto"/>
              <w:left w:val="nil"/>
              <w:bottom w:val="nil"/>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MUNICIPIOS</w:t>
            </w:r>
          </w:p>
        </w:tc>
        <w:tc>
          <w:tcPr>
            <w:tcW w:w="1109" w:type="dxa"/>
            <w:tcBorders>
              <w:top w:val="single" w:sz="4" w:space="0" w:color="auto"/>
              <w:left w:val="nil"/>
              <w:bottom w:val="nil"/>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POBLACIÓN</w:t>
            </w:r>
          </w:p>
        </w:tc>
        <w:tc>
          <w:tcPr>
            <w:tcW w:w="1030" w:type="dxa"/>
            <w:tcBorders>
              <w:top w:val="single" w:sz="4" w:space="0" w:color="auto"/>
              <w:left w:val="nil"/>
              <w:bottom w:val="nil"/>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TOTAL</w:t>
            </w:r>
          </w:p>
        </w:tc>
        <w:tc>
          <w:tcPr>
            <w:tcW w:w="1456" w:type="dxa"/>
            <w:vMerge w:val="restart"/>
            <w:tcBorders>
              <w:top w:val="single" w:sz="4" w:space="0" w:color="auto"/>
              <w:left w:val="nil"/>
              <w:bottom w:val="nil"/>
              <w:right w:val="nil"/>
            </w:tcBorders>
            <w:shd w:val="clear" w:color="auto" w:fill="auto"/>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 DE CUMPLIMIENTO</w:t>
            </w:r>
          </w:p>
        </w:tc>
        <w:tc>
          <w:tcPr>
            <w:tcW w:w="1136" w:type="dxa"/>
            <w:tcBorders>
              <w:top w:val="single" w:sz="4" w:space="0" w:color="auto"/>
              <w:left w:val="nil"/>
              <w:bottom w:val="nil"/>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RÉGIMEN</w:t>
            </w:r>
          </w:p>
        </w:tc>
        <w:tc>
          <w:tcPr>
            <w:tcW w:w="1412" w:type="dxa"/>
            <w:tcBorders>
              <w:top w:val="single" w:sz="4" w:space="0" w:color="auto"/>
              <w:left w:val="nil"/>
              <w:bottom w:val="nil"/>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RÉGIMEN</w:t>
            </w:r>
          </w:p>
        </w:tc>
        <w:tc>
          <w:tcPr>
            <w:tcW w:w="1118" w:type="dxa"/>
            <w:tcBorders>
              <w:top w:val="single" w:sz="4" w:space="0" w:color="auto"/>
              <w:left w:val="nil"/>
              <w:bottom w:val="nil"/>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RÉGIMENES</w:t>
            </w:r>
          </w:p>
        </w:tc>
      </w:tr>
      <w:tr w:rsidR="00D36E27" w:rsidRPr="00EF49F9" w:rsidTr="00051810">
        <w:trPr>
          <w:trHeight w:val="268"/>
        </w:trPr>
        <w:tc>
          <w:tcPr>
            <w:tcW w:w="1429" w:type="dxa"/>
            <w:tcBorders>
              <w:top w:val="nil"/>
              <w:left w:val="nil"/>
              <w:bottom w:val="single" w:sz="4" w:space="0" w:color="auto"/>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p>
        </w:tc>
        <w:tc>
          <w:tcPr>
            <w:tcW w:w="1109" w:type="dxa"/>
            <w:tcBorders>
              <w:top w:val="nil"/>
              <w:left w:val="nil"/>
              <w:bottom w:val="single" w:sz="4" w:space="0" w:color="auto"/>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TOTAL</w:t>
            </w:r>
          </w:p>
        </w:tc>
        <w:tc>
          <w:tcPr>
            <w:tcW w:w="1030" w:type="dxa"/>
            <w:tcBorders>
              <w:top w:val="nil"/>
              <w:left w:val="nil"/>
              <w:bottom w:val="single" w:sz="4" w:space="0" w:color="auto"/>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AFILIADOS</w:t>
            </w:r>
          </w:p>
        </w:tc>
        <w:tc>
          <w:tcPr>
            <w:tcW w:w="1456" w:type="dxa"/>
            <w:vMerge/>
            <w:tcBorders>
              <w:top w:val="nil"/>
              <w:left w:val="nil"/>
              <w:bottom w:val="single" w:sz="4" w:space="0" w:color="auto"/>
              <w:right w:val="nil"/>
            </w:tcBorders>
            <w:vAlign w:val="center"/>
            <w:hideMark/>
          </w:tcPr>
          <w:p w:rsidR="00D36E27" w:rsidRPr="00EF49F9" w:rsidRDefault="00D36E27" w:rsidP="00051810">
            <w:pPr>
              <w:jc w:val="center"/>
              <w:rPr>
                <w:b/>
                <w:bCs/>
                <w:color w:val="000000"/>
                <w:sz w:val="16"/>
                <w:szCs w:val="16"/>
                <w:lang w:eastAsia="es-ES"/>
              </w:rPr>
            </w:pPr>
          </w:p>
        </w:tc>
        <w:tc>
          <w:tcPr>
            <w:tcW w:w="1136" w:type="dxa"/>
            <w:tcBorders>
              <w:top w:val="nil"/>
              <w:left w:val="nil"/>
              <w:bottom w:val="single" w:sz="4" w:space="0" w:color="auto"/>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SUBSIDIADO</w:t>
            </w:r>
          </w:p>
        </w:tc>
        <w:tc>
          <w:tcPr>
            <w:tcW w:w="1412" w:type="dxa"/>
            <w:tcBorders>
              <w:top w:val="nil"/>
              <w:left w:val="nil"/>
              <w:bottom w:val="single" w:sz="4" w:space="0" w:color="auto"/>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CONTRIBUTIVO</w:t>
            </w:r>
          </w:p>
        </w:tc>
        <w:tc>
          <w:tcPr>
            <w:tcW w:w="1118" w:type="dxa"/>
            <w:tcBorders>
              <w:top w:val="nil"/>
              <w:left w:val="nil"/>
              <w:bottom w:val="single" w:sz="4" w:space="0" w:color="auto"/>
              <w:right w:val="nil"/>
            </w:tcBorders>
            <w:shd w:val="clear" w:color="auto" w:fill="auto"/>
            <w:noWrap/>
            <w:vAlign w:val="center"/>
            <w:hideMark/>
          </w:tcPr>
          <w:p w:rsidR="00D36E27" w:rsidRPr="00EF49F9" w:rsidRDefault="00D36E27" w:rsidP="00051810">
            <w:pPr>
              <w:jc w:val="center"/>
              <w:rPr>
                <w:b/>
                <w:bCs/>
                <w:color w:val="000000"/>
                <w:sz w:val="16"/>
                <w:szCs w:val="16"/>
                <w:lang w:eastAsia="es-ES"/>
              </w:rPr>
            </w:pPr>
            <w:r w:rsidRPr="00EF49F9">
              <w:rPr>
                <w:b/>
                <w:bCs/>
                <w:color w:val="000000"/>
                <w:sz w:val="16"/>
                <w:szCs w:val="16"/>
                <w:lang w:eastAsia="es-ES"/>
              </w:rPr>
              <w:t>EXCEPCIÓN</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ARMENIA</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293.605</w:t>
            </w:r>
          </w:p>
        </w:tc>
        <w:tc>
          <w:tcPr>
            <w:tcW w:w="1030"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268.025</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91,29%</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96.096</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166.478</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5.451</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BUENAVISTA</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2.886</w:t>
            </w:r>
          </w:p>
        </w:tc>
        <w:tc>
          <w:tcPr>
            <w:tcW w:w="1030"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2.275</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78,83%</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1.977</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293</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5</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CALARCA</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76.819</w:t>
            </w:r>
          </w:p>
        </w:tc>
        <w:tc>
          <w:tcPr>
            <w:tcW w:w="1030"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57.061</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74,28%</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34.511</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22.054</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496</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CIRCASIA</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29.393</w:t>
            </w:r>
          </w:p>
        </w:tc>
        <w:tc>
          <w:tcPr>
            <w:tcW w:w="1030"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19.867</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67,59%</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14.960</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4.719</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188</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CORDOBA</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5.325</w:t>
            </w:r>
          </w:p>
        </w:tc>
        <w:tc>
          <w:tcPr>
            <w:tcW w:w="1030"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4.643</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87,19%</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4.064</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568</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11</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FILANDIA</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13.310</w:t>
            </w:r>
          </w:p>
        </w:tc>
        <w:tc>
          <w:tcPr>
            <w:tcW w:w="1030"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9.672</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72,67%</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7.660</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1.983</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29</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GENOVA</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8.225</w:t>
            </w:r>
          </w:p>
        </w:tc>
        <w:tc>
          <w:tcPr>
            <w:tcW w:w="1030"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7.808</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94,93%</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6.991</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784</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33</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LA TEBAIDA</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40.247</w:t>
            </w:r>
          </w:p>
        </w:tc>
        <w:tc>
          <w:tcPr>
            <w:tcW w:w="1030"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30.415</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75,57%</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22.400</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7.907</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108</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MONTENEGRO</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41.010</w:t>
            </w:r>
          </w:p>
        </w:tc>
        <w:tc>
          <w:tcPr>
            <w:tcW w:w="1030"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36.839</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89,83%</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27.924</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8.761</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154</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PIJAO</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6.243</w:t>
            </w:r>
          </w:p>
        </w:tc>
        <w:tc>
          <w:tcPr>
            <w:tcW w:w="1030"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5.589</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89,52%</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4.707</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857</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25</w:t>
            </w:r>
          </w:p>
        </w:tc>
      </w:tr>
      <w:tr w:rsidR="00D36E27" w:rsidRPr="00EF49F9" w:rsidTr="001E790F">
        <w:trPr>
          <w:trHeight w:val="268"/>
        </w:trPr>
        <w:tc>
          <w:tcPr>
            <w:tcW w:w="1429" w:type="dxa"/>
            <w:tcBorders>
              <w:top w:val="nil"/>
              <w:left w:val="nil"/>
              <w:bottom w:val="nil"/>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QUIMBAYA</w:t>
            </w:r>
          </w:p>
        </w:tc>
        <w:tc>
          <w:tcPr>
            <w:tcW w:w="1109"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34.777</w:t>
            </w:r>
          </w:p>
        </w:tc>
        <w:tc>
          <w:tcPr>
            <w:tcW w:w="1030" w:type="dxa"/>
            <w:tcBorders>
              <w:top w:val="nil"/>
              <w:left w:val="nil"/>
              <w:bottom w:val="nil"/>
              <w:right w:val="nil"/>
            </w:tcBorders>
            <w:shd w:val="clear" w:color="auto" w:fill="auto"/>
            <w:noWrap/>
            <w:vAlign w:val="bottom"/>
            <w:hideMark/>
          </w:tcPr>
          <w:p w:rsidR="00D36E27" w:rsidRPr="00EF49F9" w:rsidRDefault="0084493A" w:rsidP="001E790F">
            <w:pPr>
              <w:jc w:val="right"/>
              <w:rPr>
                <w:color w:val="000000"/>
                <w:sz w:val="16"/>
                <w:szCs w:val="16"/>
                <w:lang w:eastAsia="es-ES"/>
              </w:rPr>
            </w:pPr>
            <w:r>
              <w:rPr>
                <w:color w:val="000000"/>
                <w:sz w:val="16"/>
                <w:szCs w:val="16"/>
                <w:lang w:eastAsia="es-ES"/>
              </w:rPr>
              <w:t>30.503</w:t>
            </w:r>
          </w:p>
        </w:tc>
        <w:tc>
          <w:tcPr>
            <w:tcW w:w="145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85,12%</w:t>
            </w:r>
          </w:p>
        </w:tc>
        <w:tc>
          <w:tcPr>
            <w:tcW w:w="1136"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22.215</w:t>
            </w:r>
          </w:p>
        </w:tc>
        <w:tc>
          <w:tcPr>
            <w:tcW w:w="1412"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7.975</w:t>
            </w:r>
          </w:p>
        </w:tc>
        <w:tc>
          <w:tcPr>
            <w:tcW w:w="1118" w:type="dxa"/>
            <w:tcBorders>
              <w:top w:val="nil"/>
              <w:left w:val="nil"/>
              <w:bottom w:val="nil"/>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313</w:t>
            </w:r>
          </w:p>
        </w:tc>
      </w:tr>
      <w:tr w:rsidR="00D36E27" w:rsidRPr="00EF49F9" w:rsidTr="001E790F">
        <w:trPr>
          <w:trHeight w:val="268"/>
        </w:trPr>
        <w:tc>
          <w:tcPr>
            <w:tcW w:w="1429" w:type="dxa"/>
            <w:tcBorders>
              <w:top w:val="nil"/>
              <w:left w:val="nil"/>
              <w:bottom w:val="single" w:sz="4" w:space="0" w:color="auto"/>
              <w:right w:val="nil"/>
            </w:tcBorders>
            <w:shd w:val="clear" w:color="auto" w:fill="auto"/>
            <w:noWrap/>
            <w:vAlign w:val="bottom"/>
            <w:hideMark/>
          </w:tcPr>
          <w:p w:rsidR="00D36E27" w:rsidRPr="00EF49F9" w:rsidRDefault="00D36E27" w:rsidP="001E790F">
            <w:pPr>
              <w:rPr>
                <w:color w:val="000000"/>
                <w:sz w:val="16"/>
                <w:szCs w:val="16"/>
                <w:lang w:eastAsia="es-ES"/>
              </w:rPr>
            </w:pPr>
            <w:r w:rsidRPr="00EF49F9">
              <w:rPr>
                <w:color w:val="000000"/>
                <w:sz w:val="16"/>
                <w:szCs w:val="16"/>
                <w:lang w:eastAsia="es-ES"/>
              </w:rPr>
              <w:t>SALENTO</w:t>
            </w:r>
          </w:p>
        </w:tc>
        <w:tc>
          <w:tcPr>
            <w:tcW w:w="1109" w:type="dxa"/>
            <w:tcBorders>
              <w:top w:val="nil"/>
              <w:left w:val="nil"/>
              <w:bottom w:val="single" w:sz="4" w:space="0" w:color="auto"/>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7.129</w:t>
            </w:r>
          </w:p>
        </w:tc>
        <w:tc>
          <w:tcPr>
            <w:tcW w:w="1030" w:type="dxa"/>
            <w:tcBorders>
              <w:top w:val="nil"/>
              <w:left w:val="nil"/>
              <w:bottom w:val="single" w:sz="4" w:space="0" w:color="auto"/>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4.875</w:t>
            </w:r>
          </w:p>
        </w:tc>
        <w:tc>
          <w:tcPr>
            <w:tcW w:w="1456" w:type="dxa"/>
            <w:tcBorders>
              <w:top w:val="nil"/>
              <w:left w:val="nil"/>
              <w:bottom w:val="single" w:sz="4" w:space="0" w:color="auto"/>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68,38%</w:t>
            </w:r>
          </w:p>
        </w:tc>
        <w:tc>
          <w:tcPr>
            <w:tcW w:w="1136" w:type="dxa"/>
            <w:tcBorders>
              <w:top w:val="nil"/>
              <w:left w:val="nil"/>
              <w:bottom w:val="single" w:sz="4" w:space="0" w:color="auto"/>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3.683</w:t>
            </w:r>
          </w:p>
        </w:tc>
        <w:tc>
          <w:tcPr>
            <w:tcW w:w="1412" w:type="dxa"/>
            <w:tcBorders>
              <w:top w:val="nil"/>
              <w:left w:val="nil"/>
              <w:bottom w:val="single" w:sz="4" w:space="0" w:color="auto"/>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1.172</w:t>
            </w:r>
          </w:p>
        </w:tc>
        <w:tc>
          <w:tcPr>
            <w:tcW w:w="1118" w:type="dxa"/>
            <w:tcBorders>
              <w:top w:val="nil"/>
              <w:left w:val="nil"/>
              <w:bottom w:val="single" w:sz="4" w:space="0" w:color="auto"/>
              <w:right w:val="nil"/>
            </w:tcBorders>
            <w:shd w:val="clear" w:color="auto" w:fill="auto"/>
            <w:noWrap/>
            <w:vAlign w:val="bottom"/>
            <w:hideMark/>
          </w:tcPr>
          <w:p w:rsidR="00D36E27" w:rsidRPr="00EF49F9" w:rsidRDefault="00D36E27" w:rsidP="001E790F">
            <w:pPr>
              <w:jc w:val="right"/>
              <w:rPr>
                <w:color w:val="000000"/>
                <w:sz w:val="16"/>
                <w:szCs w:val="16"/>
                <w:lang w:eastAsia="es-ES"/>
              </w:rPr>
            </w:pPr>
            <w:r w:rsidRPr="00EF49F9">
              <w:rPr>
                <w:color w:val="000000"/>
                <w:sz w:val="16"/>
                <w:szCs w:val="16"/>
                <w:lang w:eastAsia="es-ES"/>
              </w:rPr>
              <w:t>20</w:t>
            </w:r>
          </w:p>
        </w:tc>
      </w:tr>
      <w:tr w:rsidR="00D36E27" w:rsidRPr="00EF49F9" w:rsidTr="00A2387A">
        <w:trPr>
          <w:trHeight w:val="268"/>
        </w:trPr>
        <w:tc>
          <w:tcPr>
            <w:tcW w:w="1429" w:type="dxa"/>
            <w:tcBorders>
              <w:top w:val="single" w:sz="4" w:space="0" w:color="auto"/>
              <w:left w:val="nil"/>
              <w:bottom w:val="single" w:sz="4" w:space="0" w:color="auto"/>
              <w:right w:val="nil"/>
            </w:tcBorders>
            <w:shd w:val="clear" w:color="auto" w:fill="auto"/>
            <w:noWrap/>
            <w:vAlign w:val="center"/>
            <w:hideMark/>
          </w:tcPr>
          <w:p w:rsidR="00D36E27" w:rsidRPr="00EF49F9" w:rsidRDefault="00D36E27" w:rsidP="00A2387A">
            <w:pPr>
              <w:rPr>
                <w:b/>
                <w:bCs/>
                <w:color w:val="000000"/>
                <w:sz w:val="16"/>
                <w:szCs w:val="16"/>
                <w:lang w:eastAsia="es-ES"/>
              </w:rPr>
            </w:pPr>
            <w:r w:rsidRPr="00EF49F9">
              <w:rPr>
                <w:b/>
                <w:bCs/>
                <w:color w:val="000000"/>
                <w:sz w:val="16"/>
                <w:szCs w:val="16"/>
                <w:lang w:eastAsia="es-ES"/>
              </w:rPr>
              <w:t>MUNICIPIOS</w:t>
            </w:r>
          </w:p>
        </w:tc>
        <w:tc>
          <w:tcPr>
            <w:tcW w:w="1109" w:type="dxa"/>
            <w:tcBorders>
              <w:top w:val="single" w:sz="4" w:space="0" w:color="auto"/>
              <w:left w:val="nil"/>
              <w:bottom w:val="single" w:sz="4" w:space="0" w:color="auto"/>
              <w:right w:val="nil"/>
            </w:tcBorders>
            <w:shd w:val="clear" w:color="auto" w:fill="auto"/>
            <w:noWrap/>
            <w:vAlign w:val="center"/>
            <w:hideMark/>
          </w:tcPr>
          <w:p w:rsidR="00D36E27" w:rsidRPr="00EF49F9" w:rsidRDefault="00D36E27" w:rsidP="00A2387A">
            <w:pPr>
              <w:jc w:val="right"/>
              <w:rPr>
                <w:b/>
                <w:bCs/>
                <w:color w:val="000000"/>
                <w:sz w:val="16"/>
                <w:szCs w:val="16"/>
                <w:lang w:eastAsia="es-ES"/>
              </w:rPr>
            </w:pPr>
            <w:r w:rsidRPr="00EF49F9">
              <w:rPr>
                <w:b/>
                <w:bCs/>
                <w:color w:val="000000"/>
                <w:sz w:val="16"/>
                <w:szCs w:val="16"/>
                <w:lang w:eastAsia="es-ES"/>
              </w:rPr>
              <w:t>558.969</w:t>
            </w:r>
          </w:p>
        </w:tc>
        <w:tc>
          <w:tcPr>
            <w:tcW w:w="1030" w:type="dxa"/>
            <w:tcBorders>
              <w:top w:val="single" w:sz="4" w:space="0" w:color="auto"/>
              <w:left w:val="nil"/>
              <w:bottom w:val="single" w:sz="4" w:space="0" w:color="auto"/>
              <w:right w:val="nil"/>
            </w:tcBorders>
            <w:shd w:val="clear" w:color="auto" w:fill="auto"/>
            <w:noWrap/>
            <w:vAlign w:val="center"/>
            <w:hideMark/>
          </w:tcPr>
          <w:p w:rsidR="00D36E27" w:rsidRPr="00EF49F9" w:rsidRDefault="0084493A" w:rsidP="00A2387A">
            <w:pPr>
              <w:jc w:val="right"/>
              <w:rPr>
                <w:b/>
                <w:bCs/>
                <w:color w:val="000000"/>
                <w:sz w:val="16"/>
                <w:szCs w:val="16"/>
                <w:lang w:eastAsia="es-ES"/>
              </w:rPr>
            </w:pPr>
            <w:r>
              <w:rPr>
                <w:b/>
                <w:bCs/>
                <w:color w:val="000000"/>
                <w:sz w:val="16"/>
                <w:szCs w:val="16"/>
                <w:lang w:eastAsia="es-ES"/>
              </w:rPr>
              <w:t>477.572</w:t>
            </w:r>
          </w:p>
        </w:tc>
        <w:tc>
          <w:tcPr>
            <w:tcW w:w="1456" w:type="dxa"/>
            <w:tcBorders>
              <w:top w:val="single" w:sz="4" w:space="0" w:color="auto"/>
              <w:left w:val="nil"/>
              <w:bottom w:val="single" w:sz="4" w:space="0" w:color="auto"/>
              <w:right w:val="nil"/>
            </w:tcBorders>
            <w:shd w:val="clear" w:color="auto" w:fill="auto"/>
            <w:noWrap/>
            <w:vAlign w:val="center"/>
            <w:hideMark/>
          </w:tcPr>
          <w:p w:rsidR="00D36E27" w:rsidRPr="00EF49F9" w:rsidRDefault="00D36E27" w:rsidP="00A2387A">
            <w:pPr>
              <w:jc w:val="right"/>
              <w:rPr>
                <w:b/>
                <w:bCs/>
                <w:color w:val="000000"/>
                <w:sz w:val="16"/>
                <w:szCs w:val="16"/>
                <w:lang w:eastAsia="es-ES"/>
              </w:rPr>
            </w:pPr>
            <w:r w:rsidRPr="00EF49F9">
              <w:rPr>
                <w:b/>
                <w:bCs/>
                <w:color w:val="000000"/>
                <w:sz w:val="16"/>
                <w:szCs w:val="16"/>
                <w:lang w:eastAsia="es-ES"/>
              </w:rPr>
              <w:t>85,28%</w:t>
            </w:r>
          </w:p>
        </w:tc>
        <w:tc>
          <w:tcPr>
            <w:tcW w:w="1136" w:type="dxa"/>
            <w:tcBorders>
              <w:top w:val="single" w:sz="4" w:space="0" w:color="auto"/>
              <w:left w:val="nil"/>
              <w:bottom w:val="single" w:sz="4" w:space="0" w:color="auto"/>
              <w:right w:val="nil"/>
            </w:tcBorders>
            <w:shd w:val="clear" w:color="auto" w:fill="auto"/>
            <w:noWrap/>
            <w:vAlign w:val="center"/>
            <w:hideMark/>
          </w:tcPr>
          <w:p w:rsidR="00D36E27" w:rsidRPr="00EF49F9" w:rsidRDefault="00D36E27" w:rsidP="00A2387A">
            <w:pPr>
              <w:jc w:val="right"/>
              <w:rPr>
                <w:b/>
                <w:bCs/>
                <w:color w:val="000000"/>
                <w:sz w:val="16"/>
                <w:szCs w:val="16"/>
                <w:lang w:eastAsia="es-ES"/>
              </w:rPr>
            </w:pPr>
            <w:r w:rsidRPr="00EF49F9">
              <w:rPr>
                <w:b/>
                <w:bCs/>
                <w:color w:val="000000"/>
                <w:sz w:val="16"/>
                <w:szCs w:val="16"/>
                <w:lang w:eastAsia="es-ES"/>
              </w:rPr>
              <w:t>247.188</w:t>
            </w:r>
          </w:p>
        </w:tc>
        <w:tc>
          <w:tcPr>
            <w:tcW w:w="1412" w:type="dxa"/>
            <w:tcBorders>
              <w:top w:val="single" w:sz="4" w:space="0" w:color="auto"/>
              <w:left w:val="nil"/>
              <w:bottom w:val="single" w:sz="4" w:space="0" w:color="auto"/>
              <w:right w:val="nil"/>
            </w:tcBorders>
            <w:shd w:val="clear" w:color="auto" w:fill="auto"/>
            <w:noWrap/>
            <w:vAlign w:val="center"/>
            <w:hideMark/>
          </w:tcPr>
          <w:p w:rsidR="00D36E27" w:rsidRPr="00EF49F9" w:rsidRDefault="00D36E27" w:rsidP="00A2387A">
            <w:pPr>
              <w:jc w:val="right"/>
              <w:rPr>
                <w:b/>
                <w:bCs/>
                <w:color w:val="000000"/>
                <w:sz w:val="16"/>
                <w:szCs w:val="16"/>
                <w:lang w:eastAsia="es-ES"/>
              </w:rPr>
            </w:pPr>
            <w:r w:rsidRPr="00EF49F9">
              <w:rPr>
                <w:b/>
                <w:bCs/>
                <w:color w:val="000000"/>
                <w:sz w:val="16"/>
                <w:szCs w:val="16"/>
                <w:lang w:eastAsia="es-ES"/>
              </w:rPr>
              <w:t>223.551</w:t>
            </w:r>
          </w:p>
        </w:tc>
        <w:tc>
          <w:tcPr>
            <w:tcW w:w="1118" w:type="dxa"/>
            <w:tcBorders>
              <w:top w:val="single" w:sz="4" w:space="0" w:color="auto"/>
              <w:left w:val="nil"/>
              <w:bottom w:val="single" w:sz="4" w:space="0" w:color="auto"/>
              <w:right w:val="nil"/>
            </w:tcBorders>
            <w:shd w:val="clear" w:color="auto" w:fill="auto"/>
            <w:noWrap/>
            <w:vAlign w:val="center"/>
            <w:hideMark/>
          </w:tcPr>
          <w:p w:rsidR="00D36E27" w:rsidRPr="00EF49F9" w:rsidRDefault="00D36E27" w:rsidP="00A2387A">
            <w:pPr>
              <w:jc w:val="right"/>
              <w:rPr>
                <w:b/>
                <w:bCs/>
                <w:color w:val="000000"/>
                <w:sz w:val="16"/>
                <w:szCs w:val="16"/>
                <w:lang w:eastAsia="es-ES"/>
              </w:rPr>
            </w:pPr>
            <w:r w:rsidRPr="00EF49F9">
              <w:rPr>
                <w:b/>
                <w:bCs/>
                <w:color w:val="000000"/>
                <w:sz w:val="16"/>
                <w:szCs w:val="16"/>
                <w:lang w:eastAsia="es-ES"/>
              </w:rPr>
              <w:t>6.833</w:t>
            </w:r>
          </w:p>
        </w:tc>
      </w:tr>
    </w:tbl>
    <w:p w:rsidR="00D36E27" w:rsidRPr="007C461F" w:rsidRDefault="00D36E27" w:rsidP="00D36E27">
      <w:pPr>
        <w:spacing w:line="360" w:lineRule="auto"/>
        <w:rPr>
          <w:noProof/>
          <w:sz w:val="18"/>
          <w:szCs w:val="18"/>
          <w:lang w:eastAsia="es-ES"/>
        </w:rPr>
      </w:pPr>
      <w:r w:rsidRPr="007C461F">
        <w:rPr>
          <w:noProof/>
          <w:sz w:val="18"/>
          <w:szCs w:val="18"/>
          <w:lang w:eastAsia="es-ES"/>
        </w:rPr>
        <w:t xml:space="preserve">Fuente: Ministerio de salud y de la protección social . </w:t>
      </w:r>
      <w:r w:rsidR="008F5FB2">
        <w:rPr>
          <w:noProof/>
          <w:sz w:val="18"/>
          <w:szCs w:val="18"/>
          <w:lang w:eastAsia="es-ES"/>
        </w:rPr>
        <w:t>DANE</w:t>
      </w:r>
    </w:p>
    <w:p w:rsidR="00D36E27" w:rsidRDefault="00D36E27" w:rsidP="00D36E27">
      <w:pPr>
        <w:spacing w:line="360" w:lineRule="auto"/>
        <w:jc w:val="both"/>
      </w:pPr>
    </w:p>
    <w:p w:rsidR="00D36E27" w:rsidRDefault="00D36E27" w:rsidP="00D36E27">
      <w:pPr>
        <w:spacing w:line="360" w:lineRule="auto"/>
        <w:jc w:val="both"/>
      </w:pPr>
      <w:r>
        <w:t xml:space="preserve">       El total de la población afiliada al régimen de Salud en el Departamento del Quindío, para la vigencia 2013 es de </w:t>
      </w:r>
      <w:r w:rsidR="0084493A">
        <w:t>477.572</w:t>
      </w:r>
      <w:r>
        <w:t xml:space="preserve"> persona</w:t>
      </w:r>
      <w:r w:rsidR="00BA7C84">
        <w:t>s, lo que significa que el 85,4</w:t>
      </w:r>
      <w:r>
        <w:t xml:space="preserve">% de la población del departamento se encuentra afiliada al régimen salud, ya sea subsidiado o contributivo de las cuales 247.188 personas cuentan con una cobertura </w:t>
      </w:r>
      <w:r w:rsidR="0066019D">
        <w:t>en el régimen subsidiado y 223.551 en el régimen c</w:t>
      </w:r>
      <w:r>
        <w:t xml:space="preserve">ontributivo, el municipio con mayor cobertura en régimen subsidiado es </w:t>
      </w:r>
      <w:r w:rsidR="00BA7C84">
        <w:t>Armenia</w:t>
      </w:r>
      <w:r>
        <w:t xml:space="preserve"> con el </w:t>
      </w:r>
      <w:r w:rsidR="00BA7C84">
        <w:t>38,9</w:t>
      </w:r>
      <w:r>
        <w:t xml:space="preserve">%, seguido por </w:t>
      </w:r>
      <w:r w:rsidR="00EF3522">
        <w:t>Calarcá</w:t>
      </w:r>
      <w:r>
        <w:t xml:space="preserve"> con  el </w:t>
      </w:r>
      <w:r w:rsidR="00EF3522">
        <w:t>14,0</w:t>
      </w:r>
      <w:r>
        <w:t xml:space="preserve">%  y el de menor cobertura es Circasia  con un </w:t>
      </w:r>
      <w:r w:rsidR="00EF3522">
        <w:t>0,8</w:t>
      </w:r>
      <w:r>
        <w:t>%.</w:t>
      </w:r>
    </w:p>
    <w:p w:rsidR="00D36E27" w:rsidRDefault="00D36E27" w:rsidP="00D36E27">
      <w:pPr>
        <w:spacing w:line="360" w:lineRule="auto"/>
        <w:jc w:val="both"/>
      </w:pPr>
    </w:p>
    <w:p w:rsidR="00D36E27" w:rsidRPr="00051810" w:rsidRDefault="00D36E27" w:rsidP="00051810">
      <w:pPr>
        <w:pStyle w:val="Ttulo2"/>
        <w:rPr>
          <w:rFonts w:ascii="Times New Roman" w:hAnsi="Times New Roman" w:cs="Times New Roman"/>
          <w:sz w:val="30"/>
          <w:szCs w:val="30"/>
        </w:rPr>
      </w:pPr>
      <w:bookmarkStart w:id="109" w:name="_Toc406754362"/>
      <w:r w:rsidRPr="00051810">
        <w:rPr>
          <w:rFonts w:ascii="Times New Roman" w:hAnsi="Times New Roman" w:cs="Times New Roman"/>
          <w:color w:val="auto"/>
          <w:sz w:val="30"/>
          <w:szCs w:val="30"/>
        </w:rPr>
        <w:t>14.5.  Enf</w:t>
      </w:r>
      <w:r w:rsidR="00051810" w:rsidRPr="00051810">
        <w:rPr>
          <w:rFonts w:ascii="Times New Roman" w:hAnsi="Times New Roman" w:cs="Times New Roman"/>
          <w:color w:val="auto"/>
          <w:sz w:val="30"/>
          <w:szCs w:val="30"/>
        </w:rPr>
        <w:t>ermedades de Transmisión Sexual</w:t>
      </w:r>
      <w:bookmarkEnd w:id="109"/>
    </w:p>
    <w:p w:rsidR="00D36E27" w:rsidRDefault="00D36E27" w:rsidP="00D36E27"/>
    <w:p w:rsidR="00D36E27" w:rsidRDefault="00D36E27" w:rsidP="00D36E27"/>
    <w:p w:rsidR="00D36E27" w:rsidRDefault="00D36E27" w:rsidP="00D36E27">
      <w:pPr>
        <w:spacing w:line="360" w:lineRule="auto"/>
        <w:jc w:val="both"/>
      </w:pPr>
      <w:r>
        <w:t xml:space="preserve">     Son infecciones que se transmiten de un individuo a otro por medio de  relaciones íntimas, se causa por bacterias, virus y parásitos. De acuerdo con la Organizac</w:t>
      </w:r>
      <w:r w:rsidR="00051810">
        <w:t>ión Mundial de la Salud</w:t>
      </w:r>
      <w:r w:rsidR="00653B1F">
        <w:t xml:space="preserve">: </w:t>
      </w:r>
      <w:r w:rsidR="00653B1F" w:rsidRPr="00653B1F">
        <w:rPr>
          <w:i/>
        </w:rPr>
        <w:t>“</w:t>
      </w:r>
      <w:r w:rsidRPr="00653B1F">
        <w:rPr>
          <w:i/>
        </w:rPr>
        <w:t>…Los cambios en la conducta sexual y las practicas anticonceptivas, el rápido incremento de adultos jóvenes, sobre</w:t>
      </w:r>
      <w:r w:rsidR="00051810" w:rsidRPr="00653B1F">
        <w:rPr>
          <w:i/>
        </w:rPr>
        <w:t xml:space="preserve"> </w:t>
      </w:r>
      <w:r w:rsidRPr="00653B1F">
        <w:rPr>
          <w:i/>
        </w:rPr>
        <w:t xml:space="preserve">todo en los países en desarrollo, así como la urbanización y otros factores han ocasionado un gran aumento del número de casos de </w:t>
      </w:r>
      <w:r w:rsidRPr="00653B1F">
        <w:rPr>
          <w:i/>
        </w:rPr>
        <w:lastRenderedPageBreak/>
        <w:t>enfermedades de transmisión sexual diagnosticados en el mundo. Se ha incrementado el número de agentes de transmisión sexual comprobada y se han reconocido más de veinte infecciones por esa causa…</w:t>
      </w:r>
      <w:r>
        <w:t>” (OMS, 2.000).</w:t>
      </w:r>
    </w:p>
    <w:p w:rsidR="00D36E27" w:rsidRDefault="00D36E27" w:rsidP="00D36E27">
      <w:pPr>
        <w:jc w:val="center"/>
      </w:pPr>
    </w:p>
    <w:p w:rsidR="00D36E27" w:rsidRDefault="00D36E27" w:rsidP="00D36E27">
      <w:pPr>
        <w:jc w:val="center"/>
      </w:pPr>
    </w:p>
    <w:p w:rsidR="00D36E27" w:rsidRPr="00653B1F" w:rsidRDefault="00D36E27" w:rsidP="00653B1F">
      <w:r w:rsidRPr="00653B1F">
        <w:t>Gráfico  14.5</w:t>
      </w:r>
    </w:p>
    <w:p w:rsidR="00D36E27" w:rsidRPr="00653B1F" w:rsidRDefault="00D36E27" w:rsidP="00653B1F">
      <w:r w:rsidRPr="00653B1F">
        <w:t>Enfermedades de Transmisión Sexual</w:t>
      </w:r>
    </w:p>
    <w:p w:rsidR="00D36E27" w:rsidRPr="00653B1F" w:rsidRDefault="00D36E27" w:rsidP="00653B1F">
      <w:r w:rsidRPr="00653B1F">
        <w:t>2013</w:t>
      </w:r>
    </w:p>
    <w:p w:rsidR="00D36E27" w:rsidRPr="00653B1F" w:rsidRDefault="00D36E27" w:rsidP="00653B1F"/>
    <w:p w:rsidR="00D36E27" w:rsidRDefault="00D36E27" w:rsidP="00653B1F">
      <w:pPr>
        <w:spacing w:line="360" w:lineRule="auto"/>
      </w:pPr>
      <w:r>
        <w:rPr>
          <w:noProof/>
        </w:rPr>
        <w:drawing>
          <wp:inline distT="0" distB="0" distL="0" distR="0" wp14:anchorId="6C0445C0" wp14:editId="7AF4D587">
            <wp:extent cx="3799840" cy="2552700"/>
            <wp:effectExtent l="0" t="0" r="10160" b="1905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D36E27" w:rsidRPr="00A9332A" w:rsidRDefault="00653B1F" w:rsidP="00D36E27">
      <w:pPr>
        <w:jc w:val="both"/>
        <w:rPr>
          <w:noProof/>
          <w:sz w:val="18"/>
          <w:szCs w:val="18"/>
          <w:lang w:eastAsia="es-ES"/>
        </w:rPr>
      </w:pPr>
      <w:r>
        <w:rPr>
          <w:noProof/>
          <w:lang w:eastAsia="es-ES"/>
        </w:rPr>
        <w:t xml:space="preserve"> </w:t>
      </w:r>
      <w:r w:rsidR="00D36E27" w:rsidRPr="00A9332A">
        <w:rPr>
          <w:noProof/>
          <w:sz w:val="18"/>
          <w:szCs w:val="18"/>
          <w:lang w:eastAsia="es-ES"/>
        </w:rPr>
        <w:t>Fuente: Secretaria de Salud Departamental</w:t>
      </w:r>
    </w:p>
    <w:p w:rsidR="00D36E27" w:rsidRPr="00275EA4" w:rsidRDefault="00D36E27" w:rsidP="00D36E27">
      <w:pPr>
        <w:spacing w:line="360" w:lineRule="auto"/>
        <w:jc w:val="both"/>
        <w:rPr>
          <w:b/>
          <w:color w:val="FF0000"/>
        </w:rPr>
      </w:pPr>
    </w:p>
    <w:p w:rsidR="00D36E27" w:rsidRDefault="00D36E27" w:rsidP="00D36E27">
      <w:pPr>
        <w:spacing w:line="360" w:lineRule="auto"/>
        <w:jc w:val="both"/>
      </w:pPr>
      <w:r>
        <w:t xml:space="preserve">         El Sida  es una de las pandemias más propagadas en los últimos años, causante de muchas muertes a nivel mundial, existe mayor influencia en los países pobres, concentrada en  poblaciones de mayor vulnerabilidad, particularmente en hombres homosexuales y en mujeres que ejercen la prostitución como una profesión comercial, lo que dificulta el desarrollo humano de su población, la política de salud pretende combatir esta enfermedad, para garantizar el derecho  a la vida. </w:t>
      </w:r>
    </w:p>
    <w:p w:rsidR="00D36E27" w:rsidRDefault="00D36E27" w:rsidP="00D36E27">
      <w:pPr>
        <w:spacing w:line="360" w:lineRule="auto"/>
        <w:jc w:val="both"/>
      </w:pPr>
    </w:p>
    <w:p w:rsidR="00D36E27" w:rsidRDefault="00D36E27" w:rsidP="00D36E27">
      <w:pPr>
        <w:spacing w:line="360" w:lineRule="auto"/>
        <w:jc w:val="both"/>
      </w:pPr>
      <w:r>
        <w:t xml:space="preserve">       En el Quindío, para la vigencia 2013 se presentaron 142 casos de personas infectadas con el virus del VHI/SIDA.   Los municipios que presentaron mayor número de casos son: Armenia con 97 pacientes atendidos, le sigue Calarcá  con 19 casos, Montenegro  con 9 y La Tebaida con 5.  Municipios como Filandia y Pijao no registraron casos en el 2013. De </w:t>
      </w:r>
      <w:r>
        <w:lastRenderedPageBreak/>
        <w:t>acuerdo con las recomendaciones de los profesionales en salud del Departamento, en el Quindío, se hace necesario incrementar el acceso al tratamiento Antirretroviral (TAR) y concientizar a la población en riesgo, de la importancia de hacerse pruebas voluntarias de VIH a través de programas de promoción, prevención y atención de la salud sexual.</w:t>
      </w:r>
    </w:p>
    <w:p w:rsidR="00653B1F" w:rsidRDefault="00653B1F" w:rsidP="00D36E27">
      <w:pPr>
        <w:spacing w:line="360" w:lineRule="auto"/>
        <w:jc w:val="both"/>
      </w:pPr>
    </w:p>
    <w:p w:rsidR="00D36E27" w:rsidRPr="00653B1F" w:rsidRDefault="00607479" w:rsidP="00653B1F">
      <w:r>
        <w:t>Tabla</w:t>
      </w:r>
      <w:r w:rsidR="00D36E27" w:rsidRPr="00653B1F">
        <w:t xml:space="preserve"> 14.7</w:t>
      </w:r>
    </w:p>
    <w:p w:rsidR="00D36E27" w:rsidRPr="00653B1F" w:rsidRDefault="00D36E27" w:rsidP="00653B1F">
      <w:r w:rsidRPr="00653B1F">
        <w:t>Enfermedades de Transmisión Sexual</w:t>
      </w:r>
    </w:p>
    <w:p w:rsidR="00D36E27" w:rsidRPr="00653B1F" w:rsidRDefault="00D36E27" w:rsidP="00653B1F">
      <w:r w:rsidRPr="00653B1F">
        <w:t>2013</w:t>
      </w:r>
    </w:p>
    <w:tbl>
      <w:tblPr>
        <w:tblW w:w="9641" w:type="dxa"/>
        <w:tblCellMar>
          <w:left w:w="70" w:type="dxa"/>
          <w:right w:w="70" w:type="dxa"/>
        </w:tblCellMar>
        <w:tblLook w:val="04A0" w:firstRow="1" w:lastRow="0" w:firstColumn="1" w:lastColumn="0" w:noHBand="0" w:noVBand="1"/>
      </w:tblPr>
      <w:tblGrid>
        <w:gridCol w:w="1968"/>
        <w:gridCol w:w="975"/>
        <w:gridCol w:w="1025"/>
        <w:gridCol w:w="975"/>
        <w:gridCol w:w="916"/>
        <w:gridCol w:w="975"/>
        <w:gridCol w:w="916"/>
        <w:gridCol w:w="975"/>
        <w:gridCol w:w="916"/>
      </w:tblGrid>
      <w:tr w:rsidR="00D36E27" w:rsidRPr="00653B1F" w:rsidTr="0025539B">
        <w:trPr>
          <w:trHeight w:val="460"/>
        </w:trPr>
        <w:tc>
          <w:tcPr>
            <w:tcW w:w="1968" w:type="dxa"/>
            <w:vMerge w:val="restart"/>
            <w:tcBorders>
              <w:top w:val="single" w:sz="4" w:space="0" w:color="auto"/>
              <w:left w:val="nil"/>
              <w:bottom w:val="double" w:sz="6" w:space="0" w:color="000000"/>
              <w:right w:val="nil"/>
            </w:tcBorders>
            <w:shd w:val="clear" w:color="auto" w:fill="auto"/>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 xml:space="preserve">MUNICIPIO  </w:t>
            </w:r>
          </w:p>
        </w:tc>
        <w:tc>
          <w:tcPr>
            <w:tcW w:w="2000" w:type="dxa"/>
            <w:gridSpan w:val="2"/>
            <w:tcBorders>
              <w:top w:val="single" w:sz="4" w:space="0" w:color="auto"/>
              <w:left w:val="nil"/>
              <w:bottom w:val="nil"/>
              <w:right w:val="nil"/>
            </w:tcBorders>
            <w:shd w:val="clear" w:color="auto" w:fill="auto"/>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RAZON DE PREVALENCIA DE SIFILIS GESTACIONAL</w:t>
            </w:r>
          </w:p>
        </w:tc>
        <w:tc>
          <w:tcPr>
            <w:tcW w:w="1891" w:type="dxa"/>
            <w:gridSpan w:val="2"/>
            <w:tcBorders>
              <w:top w:val="single" w:sz="4" w:space="0" w:color="auto"/>
              <w:left w:val="nil"/>
              <w:bottom w:val="nil"/>
              <w:right w:val="nil"/>
            </w:tcBorders>
            <w:shd w:val="clear" w:color="auto" w:fill="auto"/>
            <w:noWrap/>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SIFILIS CONGÉNITA</w:t>
            </w:r>
          </w:p>
        </w:tc>
        <w:tc>
          <w:tcPr>
            <w:tcW w:w="1891" w:type="dxa"/>
            <w:gridSpan w:val="2"/>
            <w:tcBorders>
              <w:top w:val="single" w:sz="4" w:space="0" w:color="auto"/>
              <w:left w:val="nil"/>
              <w:bottom w:val="nil"/>
              <w:right w:val="nil"/>
            </w:tcBorders>
            <w:shd w:val="clear" w:color="auto" w:fill="auto"/>
            <w:noWrap/>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HEPATITIS B</w:t>
            </w:r>
          </w:p>
        </w:tc>
        <w:tc>
          <w:tcPr>
            <w:tcW w:w="1891" w:type="dxa"/>
            <w:gridSpan w:val="2"/>
            <w:tcBorders>
              <w:top w:val="single" w:sz="4" w:space="0" w:color="auto"/>
              <w:left w:val="nil"/>
              <w:bottom w:val="nil"/>
              <w:right w:val="nil"/>
            </w:tcBorders>
            <w:shd w:val="clear" w:color="auto" w:fill="auto"/>
            <w:noWrap/>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VIH/SIDA</w:t>
            </w:r>
          </w:p>
        </w:tc>
      </w:tr>
      <w:tr w:rsidR="00D36E27" w:rsidRPr="00653B1F" w:rsidTr="0025539B">
        <w:trPr>
          <w:trHeight w:val="629"/>
        </w:trPr>
        <w:tc>
          <w:tcPr>
            <w:tcW w:w="1968" w:type="dxa"/>
            <w:vMerge/>
            <w:tcBorders>
              <w:top w:val="single" w:sz="4" w:space="0" w:color="auto"/>
              <w:left w:val="nil"/>
              <w:bottom w:val="double" w:sz="6" w:space="0" w:color="000000"/>
              <w:right w:val="nil"/>
            </w:tcBorders>
            <w:vAlign w:val="center"/>
            <w:hideMark/>
          </w:tcPr>
          <w:p w:rsidR="00D36E27" w:rsidRPr="00653B1F" w:rsidRDefault="00D36E27" w:rsidP="00653B1F">
            <w:pPr>
              <w:rPr>
                <w:b/>
                <w:bCs/>
                <w:color w:val="000000"/>
                <w:sz w:val="20"/>
                <w:szCs w:val="20"/>
                <w:lang w:eastAsia="es-ES"/>
              </w:rPr>
            </w:pPr>
          </w:p>
        </w:tc>
        <w:tc>
          <w:tcPr>
            <w:tcW w:w="975" w:type="dxa"/>
            <w:tcBorders>
              <w:top w:val="nil"/>
              <w:left w:val="nil"/>
              <w:bottom w:val="double" w:sz="6" w:space="0" w:color="auto"/>
              <w:right w:val="nil"/>
            </w:tcBorders>
            <w:shd w:val="clear" w:color="auto" w:fill="auto"/>
            <w:noWrap/>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CASOS</w:t>
            </w:r>
          </w:p>
        </w:tc>
        <w:tc>
          <w:tcPr>
            <w:tcW w:w="1025" w:type="dxa"/>
            <w:tcBorders>
              <w:top w:val="nil"/>
              <w:left w:val="nil"/>
              <w:bottom w:val="double" w:sz="6" w:space="0" w:color="auto"/>
              <w:right w:val="nil"/>
            </w:tcBorders>
            <w:shd w:val="clear" w:color="auto" w:fill="auto"/>
            <w:noWrap/>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TASA</w:t>
            </w:r>
          </w:p>
        </w:tc>
        <w:tc>
          <w:tcPr>
            <w:tcW w:w="975" w:type="dxa"/>
            <w:tcBorders>
              <w:top w:val="nil"/>
              <w:left w:val="nil"/>
              <w:bottom w:val="double" w:sz="6" w:space="0" w:color="auto"/>
              <w:right w:val="nil"/>
            </w:tcBorders>
            <w:shd w:val="clear" w:color="auto" w:fill="auto"/>
            <w:noWrap/>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CASOS</w:t>
            </w:r>
          </w:p>
        </w:tc>
        <w:tc>
          <w:tcPr>
            <w:tcW w:w="916" w:type="dxa"/>
            <w:tcBorders>
              <w:top w:val="nil"/>
              <w:left w:val="nil"/>
              <w:bottom w:val="double" w:sz="6" w:space="0" w:color="auto"/>
              <w:right w:val="nil"/>
            </w:tcBorders>
            <w:shd w:val="clear" w:color="auto" w:fill="auto"/>
            <w:noWrap/>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TASA</w:t>
            </w:r>
          </w:p>
        </w:tc>
        <w:tc>
          <w:tcPr>
            <w:tcW w:w="975" w:type="dxa"/>
            <w:tcBorders>
              <w:top w:val="nil"/>
              <w:left w:val="nil"/>
              <w:bottom w:val="double" w:sz="6" w:space="0" w:color="auto"/>
              <w:right w:val="nil"/>
            </w:tcBorders>
            <w:shd w:val="clear" w:color="auto" w:fill="auto"/>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CASOS</w:t>
            </w:r>
          </w:p>
        </w:tc>
        <w:tc>
          <w:tcPr>
            <w:tcW w:w="916" w:type="dxa"/>
            <w:tcBorders>
              <w:top w:val="nil"/>
              <w:left w:val="nil"/>
              <w:bottom w:val="double" w:sz="6" w:space="0" w:color="auto"/>
              <w:right w:val="nil"/>
            </w:tcBorders>
            <w:shd w:val="clear" w:color="auto" w:fill="auto"/>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TASA</w:t>
            </w:r>
          </w:p>
        </w:tc>
        <w:tc>
          <w:tcPr>
            <w:tcW w:w="975" w:type="dxa"/>
            <w:tcBorders>
              <w:top w:val="nil"/>
              <w:left w:val="nil"/>
              <w:bottom w:val="double" w:sz="6" w:space="0" w:color="auto"/>
              <w:right w:val="nil"/>
            </w:tcBorders>
            <w:shd w:val="clear" w:color="auto" w:fill="auto"/>
            <w:noWrap/>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CASOS</w:t>
            </w:r>
          </w:p>
        </w:tc>
        <w:tc>
          <w:tcPr>
            <w:tcW w:w="916" w:type="dxa"/>
            <w:tcBorders>
              <w:top w:val="nil"/>
              <w:left w:val="nil"/>
              <w:bottom w:val="double" w:sz="6" w:space="0" w:color="auto"/>
              <w:right w:val="nil"/>
            </w:tcBorders>
            <w:shd w:val="clear" w:color="auto" w:fill="auto"/>
            <w:noWrap/>
            <w:vAlign w:val="center"/>
            <w:hideMark/>
          </w:tcPr>
          <w:p w:rsidR="00D36E27" w:rsidRPr="00653B1F" w:rsidRDefault="00D36E27" w:rsidP="00653B1F">
            <w:pPr>
              <w:jc w:val="center"/>
              <w:rPr>
                <w:b/>
                <w:bCs/>
                <w:color w:val="000000"/>
                <w:sz w:val="20"/>
                <w:szCs w:val="20"/>
                <w:lang w:eastAsia="es-ES"/>
              </w:rPr>
            </w:pPr>
            <w:r w:rsidRPr="00653B1F">
              <w:rPr>
                <w:b/>
                <w:bCs/>
                <w:color w:val="000000"/>
                <w:sz w:val="20"/>
                <w:szCs w:val="20"/>
                <w:lang w:eastAsia="es-ES"/>
              </w:rPr>
              <w:t>TASA</w:t>
            </w:r>
          </w:p>
        </w:tc>
      </w:tr>
      <w:tr w:rsidR="00D36E27" w:rsidRPr="00653B1F" w:rsidTr="0025539B">
        <w:trPr>
          <w:trHeight w:val="320"/>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Armenia</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55</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17%</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18</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5,56%</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18</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6,13%</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97</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33,03%</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Buenavista</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34,65%</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Calarcá</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8</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10,70%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5</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6,69%</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4</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5,20%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19</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24,73%</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Circasia</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11,85%</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3,95%</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3,40%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10,20%</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Córdoba</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18,77%</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Filandia</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11,11%</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Génova</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12,15%</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La tebaida</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7</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16,86%</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5</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12,04%</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4</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9,93%</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5</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12,42%</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Montenegro</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12</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25,47%</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6,36%</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6</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14,63%</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9</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21,94%</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Pijao</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16%</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Quimbaya</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5</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8,41%</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2</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6,57%</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8,62%</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8,62%</w:t>
            </w:r>
          </w:p>
        </w:tc>
      </w:tr>
      <w:tr w:rsidR="00D36E27" w:rsidRPr="00653B1F" w:rsidTr="0025539B">
        <w:trPr>
          <w:trHeight w:val="307"/>
        </w:trPr>
        <w:tc>
          <w:tcPr>
            <w:tcW w:w="1968" w:type="dxa"/>
            <w:tcBorders>
              <w:top w:val="nil"/>
              <w:left w:val="nil"/>
              <w:bottom w:val="nil"/>
              <w:right w:val="nil"/>
            </w:tcBorders>
            <w:shd w:val="clear" w:color="auto" w:fill="auto"/>
            <w:noWrap/>
            <w:vAlign w:val="center"/>
            <w:hideMark/>
          </w:tcPr>
          <w:p w:rsidR="00D36E27" w:rsidRPr="00653B1F" w:rsidRDefault="00653B1F" w:rsidP="00653B1F">
            <w:pPr>
              <w:rPr>
                <w:bCs/>
                <w:color w:val="000000"/>
                <w:sz w:val="20"/>
                <w:szCs w:val="20"/>
                <w:lang w:eastAsia="es-ES"/>
              </w:rPr>
            </w:pPr>
            <w:r w:rsidRPr="00653B1F">
              <w:rPr>
                <w:bCs/>
                <w:color w:val="000000"/>
                <w:sz w:val="20"/>
                <w:szCs w:val="20"/>
                <w:lang w:eastAsia="es-ES"/>
              </w:rPr>
              <w:t>Salento</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102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0%</w:t>
            </w:r>
          </w:p>
        </w:tc>
        <w:tc>
          <w:tcPr>
            <w:tcW w:w="975"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w:t>
            </w:r>
          </w:p>
        </w:tc>
        <w:tc>
          <w:tcPr>
            <w:tcW w:w="916" w:type="dxa"/>
            <w:tcBorders>
              <w:top w:val="nil"/>
              <w:left w:val="nil"/>
              <w:bottom w:val="nil"/>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42,08%</w:t>
            </w:r>
          </w:p>
        </w:tc>
      </w:tr>
      <w:tr w:rsidR="00D36E27" w:rsidRPr="00653B1F" w:rsidTr="0025539B">
        <w:trPr>
          <w:trHeight w:val="307"/>
        </w:trPr>
        <w:tc>
          <w:tcPr>
            <w:tcW w:w="1968" w:type="dxa"/>
            <w:tcBorders>
              <w:top w:val="single" w:sz="4" w:space="0" w:color="auto"/>
              <w:left w:val="nil"/>
              <w:bottom w:val="single" w:sz="4" w:space="0" w:color="auto"/>
              <w:right w:val="nil"/>
            </w:tcBorders>
            <w:shd w:val="clear" w:color="auto" w:fill="auto"/>
            <w:noWrap/>
            <w:vAlign w:val="center"/>
            <w:hideMark/>
          </w:tcPr>
          <w:p w:rsidR="00D36E27" w:rsidRPr="00653B1F" w:rsidRDefault="00D36E27" w:rsidP="00653B1F">
            <w:pPr>
              <w:rPr>
                <w:b/>
                <w:bCs/>
                <w:color w:val="000000"/>
                <w:sz w:val="20"/>
                <w:szCs w:val="20"/>
                <w:lang w:eastAsia="es-ES"/>
              </w:rPr>
            </w:pPr>
            <w:r w:rsidRPr="00653B1F">
              <w:rPr>
                <w:b/>
                <w:bCs/>
                <w:color w:val="000000"/>
                <w:sz w:val="20"/>
                <w:szCs w:val="20"/>
                <w:lang w:eastAsia="es-ES"/>
              </w:rPr>
              <w:t>QUINDIO</w:t>
            </w:r>
          </w:p>
        </w:tc>
        <w:tc>
          <w:tcPr>
            <w:tcW w:w="975" w:type="dxa"/>
            <w:tcBorders>
              <w:top w:val="single" w:sz="4" w:space="0" w:color="auto"/>
              <w:left w:val="nil"/>
              <w:bottom w:val="single" w:sz="4" w:space="0" w:color="auto"/>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91</w:t>
            </w:r>
          </w:p>
        </w:tc>
        <w:tc>
          <w:tcPr>
            <w:tcW w:w="1025" w:type="dxa"/>
            <w:tcBorders>
              <w:top w:val="single" w:sz="4" w:space="0" w:color="auto"/>
              <w:left w:val="nil"/>
              <w:bottom w:val="single" w:sz="4" w:space="0" w:color="auto"/>
              <w:right w:val="nil"/>
            </w:tcBorders>
            <w:shd w:val="clear" w:color="auto" w:fill="auto"/>
            <w:noWrap/>
            <w:vAlign w:val="center"/>
            <w:hideMark/>
          </w:tcPr>
          <w:p w:rsidR="00D36E27" w:rsidRPr="00653B1F" w:rsidRDefault="00D36E27" w:rsidP="00653B1F">
            <w:pPr>
              <w:jc w:val="center"/>
              <w:rPr>
                <w:color w:val="000000"/>
                <w:sz w:val="20"/>
                <w:szCs w:val="20"/>
                <w:lang w:eastAsia="es-ES"/>
              </w:rPr>
            </w:pPr>
          </w:p>
        </w:tc>
        <w:tc>
          <w:tcPr>
            <w:tcW w:w="975" w:type="dxa"/>
            <w:tcBorders>
              <w:top w:val="single" w:sz="4" w:space="0" w:color="auto"/>
              <w:left w:val="nil"/>
              <w:bottom w:val="single" w:sz="4" w:space="0" w:color="auto"/>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34</w:t>
            </w:r>
          </w:p>
        </w:tc>
        <w:tc>
          <w:tcPr>
            <w:tcW w:w="916" w:type="dxa"/>
            <w:tcBorders>
              <w:top w:val="single" w:sz="4" w:space="0" w:color="auto"/>
              <w:left w:val="nil"/>
              <w:bottom w:val="single" w:sz="4" w:space="0" w:color="auto"/>
              <w:right w:val="nil"/>
            </w:tcBorders>
            <w:shd w:val="clear" w:color="auto" w:fill="auto"/>
            <w:noWrap/>
            <w:vAlign w:val="center"/>
            <w:hideMark/>
          </w:tcPr>
          <w:p w:rsidR="00D36E27" w:rsidRPr="00653B1F" w:rsidRDefault="00D36E27" w:rsidP="00653B1F">
            <w:pPr>
              <w:jc w:val="center"/>
              <w:rPr>
                <w:color w:val="000000"/>
                <w:sz w:val="20"/>
                <w:szCs w:val="20"/>
                <w:lang w:eastAsia="es-ES"/>
              </w:rPr>
            </w:pPr>
          </w:p>
        </w:tc>
        <w:tc>
          <w:tcPr>
            <w:tcW w:w="975" w:type="dxa"/>
            <w:tcBorders>
              <w:top w:val="single" w:sz="4" w:space="0" w:color="auto"/>
              <w:left w:val="nil"/>
              <w:bottom w:val="single" w:sz="4" w:space="0" w:color="auto"/>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37</w:t>
            </w:r>
          </w:p>
        </w:tc>
        <w:tc>
          <w:tcPr>
            <w:tcW w:w="916" w:type="dxa"/>
            <w:tcBorders>
              <w:top w:val="single" w:sz="4" w:space="0" w:color="auto"/>
              <w:left w:val="nil"/>
              <w:bottom w:val="single" w:sz="4" w:space="0" w:color="auto"/>
              <w:right w:val="nil"/>
            </w:tcBorders>
            <w:shd w:val="clear" w:color="auto" w:fill="auto"/>
            <w:noWrap/>
            <w:vAlign w:val="center"/>
            <w:hideMark/>
          </w:tcPr>
          <w:p w:rsidR="00D36E27" w:rsidRPr="00653B1F" w:rsidRDefault="00D36E27" w:rsidP="00653B1F">
            <w:pPr>
              <w:jc w:val="center"/>
              <w:rPr>
                <w:color w:val="000000"/>
                <w:sz w:val="20"/>
                <w:szCs w:val="20"/>
                <w:lang w:eastAsia="es-ES"/>
              </w:rPr>
            </w:pPr>
          </w:p>
        </w:tc>
        <w:tc>
          <w:tcPr>
            <w:tcW w:w="975" w:type="dxa"/>
            <w:tcBorders>
              <w:top w:val="single" w:sz="4" w:space="0" w:color="auto"/>
              <w:left w:val="nil"/>
              <w:bottom w:val="single" w:sz="4" w:space="0" w:color="auto"/>
              <w:right w:val="nil"/>
            </w:tcBorders>
            <w:shd w:val="clear" w:color="auto" w:fill="auto"/>
            <w:noWrap/>
            <w:vAlign w:val="center"/>
            <w:hideMark/>
          </w:tcPr>
          <w:p w:rsidR="00D36E27" w:rsidRPr="00653B1F" w:rsidRDefault="00D36E27" w:rsidP="00653B1F">
            <w:pPr>
              <w:jc w:val="center"/>
              <w:rPr>
                <w:color w:val="000000"/>
                <w:sz w:val="20"/>
                <w:szCs w:val="20"/>
                <w:lang w:eastAsia="es-ES"/>
              </w:rPr>
            </w:pPr>
            <w:r w:rsidRPr="00653B1F">
              <w:rPr>
                <w:color w:val="000000"/>
                <w:sz w:val="20"/>
                <w:szCs w:val="20"/>
                <w:lang w:eastAsia="es-ES"/>
              </w:rPr>
              <w:t>142</w:t>
            </w:r>
          </w:p>
        </w:tc>
        <w:tc>
          <w:tcPr>
            <w:tcW w:w="916" w:type="dxa"/>
            <w:tcBorders>
              <w:top w:val="single" w:sz="4" w:space="0" w:color="auto"/>
              <w:left w:val="nil"/>
              <w:bottom w:val="single" w:sz="4" w:space="0" w:color="auto"/>
              <w:right w:val="nil"/>
            </w:tcBorders>
            <w:shd w:val="clear" w:color="auto" w:fill="auto"/>
            <w:noWrap/>
            <w:vAlign w:val="center"/>
            <w:hideMark/>
          </w:tcPr>
          <w:p w:rsidR="00D36E27" w:rsidRPr="00653B1F" w:rsidRDefault="00D36E27" w:rsidP="00653B1F">
            <w:pPr>
              <w:jc w:val="center"/>
              <w:rPr>
                <w:color w:val="000000"/>
                <w:sz w:val="20"/>
                <w:szCs w:val="20"/>
                <w:lang w:eastAsia="es-ES"/>
              </w:rPr>
            </w:pPr>
          </w:p>
        </w:tc>
      </w:tr>
    </w:tbl>
    <w:p w:rsidR="00D36E27" w:rsidRPr="00BA069B" w:rsidRDefault="00D36E27" w:rsidP="00D36E27">
      <w:pPr>
        <w:spacing w:line="360" w:lineRule="auto"/>
        <w:jc w:val="both"/>
        <w:rPr>
          <w:sz w:val="18"/>
          <w:szCs w:val="18"/>
        </w:rPr>
      </w:pPr>
      <w:r w:rsidRPr="00BA069B">
        <w:rPr>
          <w:sz w:val="18"/>
          <w:szCs w:val="18"/>
        </w:rPr>
        <w:t>Fuente: Secretaria de Salud Departamental.</w:t>
      </w:r>
    </w:p>
    <w:p w:rsidR="00D36E27" w:rsidRDefault="00D36E27" w:rsidP="00D36E27">
      <w:pPr>
        <w:spacing w:line="360" w:lineRule="auto"/>
        <w:jc w:val="both"/>
      </w:pPr>
    </w:p>
    <w:p w:rsidR="00D36E27" w:rsidRDefault="00D36E27" w:rsidP="00D36E27">
      <w:pPr>
        <w:spacing w:line="360" w:lineRule="auto"/>
        <w:jc w:val="both"/>
      </w:pPr>
      <w:r>
        <w:t xml:space="preserve">       El Departamento del Quindío cuenta con un total de 91 casos de sífilis gestacional para la vigencia 2013, disminuyendo en 8 casos con relación al año 2011, en relación a la sífilis congénita se presentaron un total de 34 casos; es decir, 12 casos menos a los registrados en la vigencia 2011. Estas cifras implican que por cada 3 casos de sífilis gestacional se presenta un caso </w:t>
      </w:r>
      <w:r w:rsidRPr="00216A24">
        <w:t>de 1 caso de sífilis congénita.</w:t>
      </w:r>
    </w:p>
    <w:p w:rsidR="0025539B" w:rsidRDefault="0025539B" w:rsidP="00D36E27">
      <w:pPr>
        <w:spacing w:line="360" w:lineRule="auto"/>
        <w:jc w:val="both"/>
      </w:pPr>
    </w:p>
    <w:p w:rsidR="00D36E27" w:rsidRDefault="00D36E27" w:rsidP="00D36E27">
      <w:pPr>
        <w:spacing w:line="360" w:lineRule="auto"/>
        <w:jc w:val="both"/>
      </w:pPr>
      <w:r w:rsidRPr="00216A24">
        <w:lastRenderedPageBreak/>
        <w:t xml:space="preserve"> Con re</w:t>
      </w:r>
      <w:r>
        <w:t>lación a la hepatitis B, en el d</w:t>
      </w:r>
      <w:r w:rsidRPr="00216A24">
        <w:t xml:space="preserve">epartamento se presentaron 37 casos, </w:t>
      </w:r>
      <w:r>
        <w:t xml:space="preserve">de los cuales </w:t>
      </w:r>
      <w:r w:rsidRPr="00216A24">
        <w:t xml:space="preserve"> Montenegro es el municipio </w:t>
      </w:r>
      <w:r>
        <w:t xml:space="preserve"> con el </w:t>
      </w:r>
      <w:r w:rsidRPr="00216A24">
        <w:t xml:space="preserve">mayor </w:t>
      </w:r>
      <w:r>
        <w:t xml:space="preserve"> porcentaje de casos,</w:t>
      </w:r>
      <w:r w:rsidRPr="00216A24">
        <w:t xml:space="preserve"> seguido de la Tebaida con 9,93%,  Quimbaya con 8,62%, Armenia (6,13%), Calarcá (5,20%) y Circasia (3,40%), </w:t>
      </w:r>
      <w:r>
        <w:t>los demás municipios no presentaron casos de hepatitis B en su población.</w:t>
      </w:r>
    </w:p>
    <w:p w:rsidR="00D36E27" w:rsidRPr="00D327B9" w:rsidRDefault="00D36E27" w:rsidP="00D36E27">
      <w:pPr>
        <w:spacing w:line="360" w:lineRule="auto"/>
        <w:jc w:val="both"/>
      </w:pPr>
    </w:p>
    <w:p w:rsidR="00D36E27" w:rsidRPr="00592245" w:rsidRDefault="00607479" w:rsidP="00592245">
      <w:r>
        <w:t>Tabla</w:t>
      </w:r>
      <w:r w:rsidR="00D36E27" w:rsidRPr="00592245">
        <w:t xml:space="preserve"> 14.8</w:t>
      </w:r>
    </w:p>
    <w:p w:rsidR="00D36E27" w:rsidRPr="00592245" w:rsidRDefault="00D36E27" w:rsidP="00592245">
      <w:r w:rsidRPr="00592245">
        <w:t>Violencia intrafamiliar, sexual y contra la mujer</w:t>
      </w:r>
    </w:p>
    <w:p w:rsidR="00D36E27" w:rsidRPr="00592245" w:rsidRDefault="00D36E27" w:rsidP="00592245">
      <w:r w:rsidRPr="00592245">
        <w:t>2013</w:t>
      </w:r>
    </w:p>
    <w:tbl>
      <w:tblPr>
        <w:tblW w:w="7094" w:type="dxa"/>
        <w:tblCellMar>
          <w:left w:w="70" w:type="dxa"/>
          <w:right w:w="70" w:type="dxa"/>
        </w:tblCellMar>
        <w:tblLook w:val="04A0" w:firstRow="1" w:lastRow="0" w:firstColumn="1" w:lastColumn="0" w:noHBand="0" w:noVBand="1"/>
      </w:tblPr>
      <w:tblGrid>
        <w:gridCol w:w="2167"/>
        <w:gridCol w:w="1973"/>
        <w:gridCol w:w="1437"/>
        <w:gridCol w:w="1517"/>
      </w:tblGrid>
      <w:tr w:rsidR="00D36E27" w:rsidRPr="00592245" w:rsidTr="0025539B">
        <w:trPr>
          <w:trHeight w:val="554"/>
        </w:trPr>
        <w:tc>
          <w:tcPr>
            <w:tcW w:w="2167" w:type="dxa"/>
            <w:vMerge w:val="restart"/>
            <w:tcBorders>
              <w:top w:val="single" w:sz="4" w:space="0" w:color="auto"/>
              <w:left w:val="nil"/>
              <w:bottom w:val="single" w:sz="4" w:space="0" w:color="000000"/>
              <w:right w:val="nil"/>
            </w:tcBorders>
            <w:shd w:val="clear" w:color="auto" w:fill="auto"/>
            <w:noWrap/>
            <w:vAlign w:val="center"/>
            <w:hideMark/>
          </w:tcPr>
          <w:p w:rsidR="00D36E27" w:rsidRPr="00592245" w:rsidRDefault="00D36E27" w:rsidP="00592245">
            <w:pPr>
              <w:jc w:val="center"/>
              <w:rPr>
                <w:b/>
                <w:bCs/>
                <w:color w:val="000000"/>
                <w:sz w:val="20"/>
                <w:szCs w:val="20"/>
                <w:lang w:eastAsia="es-ES"/>
              </w:rPr>
            </w:pPr>
            <w:r w:rsidRPr="00592245">
              <w:rPr>
                <w:b/>
                <w:bCs/>
                <w:color w:val="000000"/>
                <w:sz w:val="20"/>
                <w:szCs w:val="20"/>
                <w:lang w:eastAsia="es-ES"/>
              </w:rPr>
              <w:t xml:space="preserve">MUNICIPIO  </w:t>
            </w:r>
          </w:p>
        </w:tc>
        <w:tc>
          <w:tcPr>
            <w:tcW w:w="1973" w:type="dxa"/>
            <w:tcBorders>
              <w:top w:val="single" w:sz="4" w:space="0" w:color="auto"/>
              <w:left w:val="nil"/>
              <w:bottom w:val="nil"/>
              <w:right w:val="nil"/>
            </w:tcBorders>
            <w:shd w:val="clear" w:color="auto" w:fill="auto"/>
            <w:vAlign w:val="center"/>
            <w:hideMark/>
          </w:tcPr>
          <w:p w:rsidR="00D36E27" w:rsidRPr="00592245" w:rsidRDefault="00D36E27" w:rsidP="00592245">
            <w:pPr>
              <w:jc w:val="center"/>
              <w:rPr>
                <w:b/>
                <w:bCs/>
                <w:color w:val="000000"/>
                <w:sz w:val="20"/>
                <w:szCs w:val="20"/>
                <w:lang w:eastAsia="es-ES"/>
              </w:rPr>
            </w:pPr>
            <w:r w:rsidRPr="00592245">
              <w:rPr>
                <w:b/>
                <w:bCs/>
                <w:color w:val="000000"/>
                <w:sz w:val="20"/>
                <w:szCs w:val="20"/>
                <w:lang w:eastAsia="es-ES"/>
              </w:rPr>
              <w:t>VIOLENCIA INTRAFAMILIAR</w:t>
            </w:r>
          </w:p>
        </w:tc>
        <w:tc>
          <w:tcPr>
            <w:tcW w:w="1437" w:type="dxa"/>
            <w:tcBorders>
              <w:top w:val="single" w:sz="4" w:space="0" w:color="auto"/>
              <w:left w:val="nil"/>
              <w:bottom w:val="nil"/>
              <w:right w:val="nil"/>
            </w:tcBorders>
            <w:shd w:val="clear" w:color="auto" w:fill="auto"/>
            <w:vAlign w:val="center"/>
            <w:hideMark/>
          </w:tcPr>
          <w:p w:rsidR="00D36E27" w:rsidRPr="00592245" w:rsidRDefault="00D36E27" w:rsidP="00592245">
            <w:pPr>
              <w:jc w:val="center"/>
              <w:rPr>
                <w:b/>
                <w:bCs/>
                <w:color w:val="000000"/>
                <w:sz w:val="20"/>
                <w:szCs w:val="20"/>
                <w:lang w:eastAsia="es-ES"/>
              </w:rPr>
            </w:pPr>
            <w:r w:rsidRPr="00592245">
              <w:rPr>
                <w:b/>
                <w:bCs/>
                <w:color w:val="000000"/>
                <w:sz w:val="20"/>
                <w:szCs w:val="20"/>
                <w:lang w:eastAsia="es-ES"/>
              </w:rPr>
              <w:t xml:space="preserve">VIOLENCIA SEXUAL </w:t>
            </w:r>
          </w:p>
        </w:tc>
        <w:tc>
          <w:tcPr>
            <w:tcW w:w="1517" w:type="dxa"/>
            <w:tcBorders>
              <w:top w:val="single" w:sz="4" w:space="0" w:color="auto"/>
              <w:left w:val="nil"/>
              <w:bottom w:val="nil"/>
              <w:right w:val="nil"/>
            </w:tcBorders>
            <w:shd w:val="clear" w:color="auto" w:fill="auto"/>
            <w:vAlign w:val="center"/>
            <w:hideMark/>
          </w:tcPr>
          <w:p w:rsidR="00D36E27" w:rsidRPr="00592245" w:rsidRDefault="00D36E27" w:rsidP="00592245">
            <w:pPr>
              <w:jc w:val="center"/>
              <w:rPr>
                <w:b/>
                <w:bCs/>
                <w:color w:val="000000"/>
                <w:sz w:val="20"/>
                <w:szCs w:val="20"/>
                <w:lang w:eastAsia="es-ES"/>
              </w:rPr>
            </w:pPr>
            <w:r w:rsidRPr="00592245">
              <w:rPr>
                <w:b/>
                <w:bCs/>
                <w:color w:val="000000"/>
                <w:sz w:val="20"/>
                <w:szCs w:val="20"/>
                <w:lang w:eastAsia="es-ES"/>
              </w:rPr>
              <w:t>VIOLENCIA CONTRA LA MUJER</w:t>
            </w:r>
          </w:p>
        </w:tc>
      </w:tr>
      <w:tr w:rsidR="00D36E27" w:rsidRPr="00592245" w:rsidTr="0025539B">
        <w:trPr>
          <w:trHeight w:val="257"/>
        </w:trPr>
        <w:tc>
          <w:tcPr>
            <w:tcW w:w="2167" w:type="dxa"/>
            <w:vMerge/>
            <w:tcBorders>
              <w:top w:val="single" w:sz="4" w:space="0" w:color="auto"/>
              <w:left w:val="nil"/>
              <w:bottom w:val="single" w:sz="4" w:space="0" w:color="000000"/>
              <w:right w:val="nil"/>
            </w:tcBorders>
            <w:vAlign w:val="center"/>
            <w:hideMark/>
          </w:tcPr>
          <w:p w:rsidR="00D36E27" w:rsidRPr="00592245" w:rsidRDefault="00D36E27" w:rsidP="00592245">
            <w:pPr>
              <w:rPr>
                <w:b/>
                <w:bCs/>
                <w:color w:val="000000"/>
                <w:sz w:val="20"/>
                <w:szCs w:val="20"/>
                <w:lang w:eastAsia="es-ES"/>
              </w:rPr>
            </w:pPr>
          </w:p>
        </w:tc>
        <w:tc>
          <w:tcPr>
            <w:tcW w:w="1973" w:type="dxa"/>
            <w:tcBorders>
              <w:top w:val="nil"/>
              <w:left w:val="nil"/>
              <w:bottom w:val="single" w:sz="4" w:space="0" w:color="auto"/>
              <w:right w:val="nil"/>
            </w:tcBorders>
            <w:shd w:val="clear" w:color="auto" w:fill="auto"/>
            <w:noWrap/>
            <w:vAlign w:val="center"/>
            <w:hideMark/>
          </w:tcPr>
          <w:p w:rsidR="00D36E27" w:rsidRPr="00592245" w:rsidRDefault="00D36E27" w:rsidP="00592245">
            <w:pPr>
              <w:jc w:val="center"/>
              <w:rPr>
                <w:b/>
                <w:bCs/>
                <w:color w:val="000000"/>
                <w:sz w:val="20"/>
                <w:szCs w:val="20"/>
                <w:lang w:eastAsia="es-ES"/>
              </w:rPr>
            </w:pPr>
            <w:r w:rsidRPr="00592245">
              <w:rPr>
                <w:b/>
                <w:bCs/>
                <w:color w:val="000000"/>
                <w:sz w:val="20"/>
                <w:szCs w:val="20"/>
                <w:lang w:eastAsia="es-ES"/>
              </w:rPr>
              <w:t>CASOS</w:t>
            </w:r>
          </w:p>
        </w:tc>
        <w:tc>
          <w:tcPr>
            <w:tcW w:w="1437" w:type="dxa"/>
            <w:tcBorders>
              <w:top w:val="nil"/>
              <w:left w:val="nil"/>
              <w:bottom w:val="single" w:sz="4" w:space="0" w:color="auto"/>
              <w:right w:val="nil"/>
            </w:tcBorders>
            <w:shd w:val="clear" w:color="auto" w:fill="auto"/>
            <w:noWrap/>
            <w:vAlign w:val="center"/>
            <w:hideMark/>
          </w:tcPr>
          <w:p w:rsidR="00D36E27" w:rsidRPr="00592245" w:rsidRDefault="00D36E27" w:rsidP="00592245">
            <w:pPr>
              <w:jc w:val="center"/>
              <w:rPr>
                <w:b/>
                <w:bCs/>
                <w:color w:val="000000"/>
                <w:sz w:val="20"/>
                <w:szCs w:val="20"/>
                <w:lang w:eastAsia="es-ES"/>
              </w:rPr>
            </w:pPr>
            <w:r w:rsidRPr="00592245">
              <w:rPr>
                <w:b/>
                <w:bCs/>
                <w:color w:val="000000"/>
                <w:sz w:val="20"/>
                <w:szCs w:val="20"/>
                <w:lang w:eastAsia="es-ES"/>
              </w:rPr>
              <w:t xml:space="preserve">CASOS </w:t>
            </w:r>
          </w:p>
        </w:tc>
        <w:tc>
          <w:tcPr>
            <w:tcW w:w="1517" w:type="dxa"/>
            <w:tcBorders>
              <w:top w:val="nil"/>
              <w:left w:val="nil"/>
              <w:bottom w:val="single" w:sz="4" w:space="0" w:color="auto"/>
              <w:right w:val="nil"/>
            </w:tcBorders>
            <w:shd w:val="clear" w:color="auto" w:fill="auto"/>
            <w:noWrap/>
            <w:vAlign w:val="center"/>
            <w:hideMark/>
          </w:tcPr>
          <w:p w:rsidR="00D36E27" w:rsidRPr="00592245" w:rsidRDefault="00D36E27" w:rsidP="00592245">
            <w:pPr>
              <w:jc w:val="center"/>
              <w:rPr>
                <w:b/>
                <w:bCs/>
                <w:color w:val="000000"/>
                <w:sz w:val="20"/>
                <w:szCs w:val="20"/>
                <w:lang w:eastAsia="es-ES"/>
              </w:rPr>
            </w:pPr>
            <w:r w:rsidRPr="00592245">
              <w:rPr>
                <w:b/>
                <w:bCs/>
                <w:color w:val="000000"/>
                <w:sz w:val="20"/>
                <w:szCs w:val="20"/>
                <w:lang w:eastAsia="es-ES"/>
              </w:rPr>
              <w:t>CASOS</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Armenia</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1.177</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158</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160</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Buenavista</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4</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0</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Calarcá</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250</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39</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36</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Circasia</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124</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27</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15</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Córdoba</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17</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7</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0</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Filandia</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19</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4</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2</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Génova</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12</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7</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La tebaida</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92</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29</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16</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Montenegro</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124</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27</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10</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Pijao</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27</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12</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Quimbaya</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58</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19</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6</w:t>
            </w:r>
          </w:p>
        </w:tc>
      </w:tr>
      <w:tr w:rsidR="00D36E27" w:rsidRPr="00592245" w:rsidTr="0025539B">
        <w:trPr>
          <w:trHeight w:val="257"/>
        </w:trPr>
        <w:tc>
          <w:tcPr>
            <w:tcW w:w="2167" w:type="dxa"/>
            <w:tcBorders>
              <w:top w:val="nil"/>
              <w:left w:val="nil"/>
              <w:bottom w:val="nil"/>
              <w:right w:val="nil"/>
            </w:tcBorders>
            <w:shd w:val="clear" w:color="auto" w:fill="auto"/>
            <w:noWrap/>
            <w:vAlign w:val="center"/>
            <w:hideMark/>
          </w:tcPr>
          <w:p w:rsidR="00D36E27" w:rsidRPr="00592245" w:rsidRDefault="00592245" w:rsidP="00592245">
            <w:pPr>
              <w:rPr>
                <w:bCs/>
                <w:color w:val="000000"/>
                <w:sz w:val="20"/>
                <w:szCs w:val="20"/>
                <w:lang w:eastAsia="es-ES"/>
              </w:rPr>
            </w:pPr>
            <w:r w:rsidRPr="00592245">
              <w:rPr>
                <w:bCs/>
                <w:color w:val="000000"/>
                <w:sz w:val="20"/>
                <w:szCs w:val="20"/>
                <w:lang w:eastAsia="es-ES"/>
              </w:rPr>
              <w:t>Salento</w:t>
            </w:r>
          </w:p>
        </w:tc>
        <w:tc>
          <w:tcPr>
            <w:tcW w:w="1973"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15</w:t>
            </w:r>
          </w:p>
        </w:tc>
        <w:tc>
          <w:tcPr>
            <w:tcW w:w="143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w:t>
            </w:r>
          </w:p>
        </w:tc>
        <w:tc>
          <w:tcPr>
            <w:tcW w:w="1517" w:type="dxa"/>
            <w:tcBorders>
              <w:top w:val="nil"/>
              <w:left w:val="nil"/>
              <w:bottom w:val="nil"/>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w:t>
            </w:r>
          </w:p>
        </w:tc>
      </w:tr>
      <w:tr w:rsidR="00D36E27" w:rsidRPr="00592245" w:rsidTr="0025539B">
        <w:trPr>
          <w:trHeight w:val="257"/>
        </w:trPr>
        <w:tc>
          <w:tcPr>
            <w:tcW w:w="2167" w:type="dxa"/>
            <w:tcBorders>
              <w:top w:val="single" w:sz="4" w:space="0" w:color="auto"/>
              <w:left w:val="nil"/>
              <w:bottom w:val="single" w:sz="4" w:space="0" w:color="auto"/>
              <w:right w:val="nil"/>
            </w:tcBorders>
            <w:shd w:val="clear" w:color="auto" w:fill="auto"/>
            <w:noWrap/>
            <w:vAlign w:val="center"/>
            <w:hideMark/>
          </w:tcPr>
          <w:p w:rsidR="00D36E27" w:rsidRPr="00592245" w:rsidRDefault="00D36E27" w:rsidP="00592245">
            <w:pPr>
              <w:rPr>
                <w:b/>
                <w:bCs/>
                <w:color w:val="000000"/>
                <w:sz w:val="20"/>
                <w:szCs w:val="20"/>
                <w:lang w:eastAsia="es-ES"/>
              </w:rPr>
            </w:pPr>
            <w:r w:rsidRPr="00592245">
              <w:rPr>
                <w:b/>
                <w:bCs/>
                <w:color w:val="000000"/>
                <w:sz w:val="20"/>
                <w:szCs w:val="20"/>
                <w:lang w:eastAsia="es-ES"/>
              </w:rPr>
              <w:t>QUINDIO</w:t>
            </w:r>
          </w:p>
        </w:tc>
        <w:tc>
          <w:tcPr>
            <w:tcW w:w="1973" w:type="dxa"/>
            <w:tcBorders>
              <w:top w:val="single" w:sz="4" w:space="0" w:color="auto"/>
              <w:left w:val="nil"/>
              <w:bottom w:val="single" w:sz="4" w:space="0" w:color="auto"/>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1.919</w:t>
            </w:r>
          </w:p>
        </w:tc>
        <w:tc>
          <w:tcPr>
            <w:tcW w:w="1437" w:type="dxa"/>
            <w:tcBorders>
              <w:top w:val="single" w:sz="4" w:space="0" w:color="auto"/>
              <w:left w:val="nil"/>
              <w:bottom w:val="single" w:sz="4" w:space="0" w:color="auto"/>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331</w:t>
            </w:r>
          </w:p>
        </w:tc>
        <w:tc>
          <w:tcPr>
            <w:tcW w:w="1517" w:type="dxa"/>
            <w:tcBorders>
              <w:top w:val="single" w:sz="4" w:space="0" w:color="auto"/>
              <w:left w:val="nil"/>
              <w:bottom w:val="single" w:sz="4" w:space="0" w:color="auto"/>
              <w:right w:val="nil"/>
            </w:tcBorders>
            <w:shd w:val="clear" w:color="auto" w:fill="auto"/>
            <w:noWrap/>
            <w:vAlign w:val="center"/>
            <w:hideMark/>
          </w:tcPr>
          <w:p w:rsidR="00D36E27" w:rsidRPr="00592245" w:rsidRDefault="00D36E27" w:rsidP="00592245">
            <w:pPr>
              <w:jc w:val="center"/>
              <w:rPr>
                <w:color w:val="000000"/>
                <w:sz w:val="20"/>
                <w:szCs w:val="20"/>
                <w:lang w:eastAsia="es-ES"/>
              </w:rPr>
            </w:pPr>
            <w:r w:rsidRPr="00592245">
              <w:rPr>
                <w:color w:val="000000"/>
                <w:sz w:val="20"/>
                <w:szCs w:val="20"/>
                <w:lang w:eastAsia="es-ES"/>
              </w:rPr>
              <w:t>248</w:t>
            </w:r>
          </w:p>
        </w:tc>
      </w:tr>
    </w:tbl>
    <w:p w:rsidR="00D36E27" w:rsidRPr="00A374BB" w:rsidRDefault="00D36E27" w:rsidP="00D36E27">
      <w:pPr>
        <w:rPr>
          <w:sz w:val="18"/>
          <w:szCs w:val="18"/>
        </w:rPr>
      </w:pPr>
      <w:r w:rsidRPr="00A374BB">
        <w:rPr>
          <w:sz w:val="18"/>
          <w:szCs w:val="18"/>
        </w:rPr>
        <w:t>Fuente: Secretaria de Salud. SIVIGILA/ Medicina Legal</w:t>
      </w:r>
    </w:p>
    <w:p w:rsidR="00D36E27" w:rsidRDefault="00D36E27" w:rsidP="00D36E27">
      <w:r>
        <w:tab/>
      </w:r>
    </w:p>
    <w:p w:rsidR="00D36E27" w:rsidRDefault="00D36E27" w:rsidP="00D36E27"/>
    <w:p w:rsidR="00D36E27" w:rsidRDefault="00D36E27" w:rsidP="00D36E27">
      <w:pPr>
        <w:spacing w:line="360" w:lineRule="auto"/>
        <w:jc w:val="both"/>
      </w:pPr>
      <w:r>
        <w:t xml:space="preserve">       Para la vigencia del 2013 el Departamento del Quindío, reporto 1.919 casos de violencia intrafamiliar entre los cuales se encuentran involucrados niños, adolescentes, mujeres y hombres de diferentes edades, 331 casos de violencia sexual y 248 de violencia contra la mujer; siendo las principales causas la ira, los celos, el consumo de sustancia psicoactivas, problemas socioeconómicos y el licor entre otras.</w:t>
      </w:r>
    </w:p>
    <w:p w:rsidR="00D36E27" w:rsidRDefault="00D36E27" w:rsidP="00D36E27">
      <w:pPr>
        <w:spacing w:line="360" w:lineRule="auto"/>
        <w:jc w:val="both"/>
      </w:pPr>
    </w:p>
    <w:p w:rsidR="00D36E27" w:rsidRDefault="00D36E27" w:rsidP="00D36E27">
      <w:pPr>
        <w:spacing w:line="360" w:lineRule="auto"/>
        <w:ind w:right="140"/>
        <w:jc w:val="both"/>
      </w:pPr>
      <w:r>
        <w:t xml:space="preserve">       Los municipios donde se registra el mayor número de casos de violencia intrafamiliar son: Armenia, Calarcá, Circasia y Montenegro, generalmente las personas son agredidas por individuos muy cercanos a la familia o a ellas mismas, en ocasiones son miembros de la misma familia. La violencia sexual aumento al pasar de 148 casos denunciados en el año 2012 a 331 para el 2013, esto significa un incremento del 124%.</w:t>
      </w:r>
    </w:p>
    <w:p w:rsidR="00D36E27" w:rsidRPr="00953346" w:rsidRDefault="00D36E27" w:rsidP="00953346">
      <w:pPr>
        <w:ind w:right="140"/>
      </w:pPr>
      <w:r w:rsidRPr="00953346">
        <w:lastRenderedPageBreak/>
        <w:t>Gráfico 14.6</w:t>
      </w:r>
    </w:p>
    <w:p w:rsidR="00D36E27" w:rsidRPr="00953346" w:rsidRDefault="00D36E27" w:rsidP="00953346">
      <w:pPr>
        <w:ind w:right="140"/>
      </w:pPr>
      <w:r w:rsidRPr="00953346">
        <w:t>Violencia Sexual</w:t>
      </w:r>
    </w:p>
    <w:p w:rsidR="00D36E27" w:rsidRPr="00953346" w:rsidRDefault="00D36E27" w:rsidP="00953346">
      <w:pPr>
        <w:spacing w:line="360" w:lineRule="auto"/>
        <w:ind w:right="140"/>
      </w:pPr>
      <w:r w:rsidRPr="00953346">
        <w:t>2013</w:t>
      </w:r>
    </w:p>
    <w:p w:rsidR="00D36E27" w:rsidRPr="006F701E" w:rsidRDefault="00D36E27" w:rsidP="00953346">
      <w:pPr>
        <w:spacing w:line="360" w:lineRule="auto"/>
        <w:ind w:right="140"/>
        <w:rPr>
          <w:color w:val="FF0000"/>
        </w:rPr>
      </w:pPr>
      <w:r>
        <w:rPr>
          <w:noProof/>
        </w:rPr>
        <w:drawing>
          <wp:inline distT="0" distB="0" distL="0" distR="0" wp14:anchorId="4CB803E3" wp14:editId="4A79EC63">
            <wp:extent cx="4831308" cy="1692323"/>
            <wp:effectExtent l="0" t="0" r="26670" b="22225"/>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D36E27" w:rsidRPr="007B524A" w:rsidRDefault="00D36E27" w:rsidP="00D36E27">
      <w:pPr>
        <w:spacing w:line="360" w:lineRule="auto"/>
        <w:ind w:right="140"/>
        <w:jc w:val="both"/>
        <w:rPr>
          <w:sz w:val="18"/>
          <w:szCs w:val="18"/>
        </w:rPr>
      </w:pPr>
      <w:r w:rsidRPr="007B524A">
        <w:rPr>
          <w:sz w:val="18"/>
          <w:szCs w:val="18"/>
        </w:rPr>
        <w:t xml:space="preserve"> Fuente: Secretaria de Salud Departamental.</w:t>
      </w:r>
    </w:p>
    <w:p w:rsidR="00D36E27" w:rsidRDefault="00D36E27" w:rsidP="00D36E27">
      <w:pPr>
        <w:spacing w:line="360" w:lineRule="auto"/>
        <w:ind w:right="140"/>
        <w:jc w:val="both"/>
      </w:pPr>
    </w:p>
    <w:p w:rsidR="00D36E27" w:rsidRDefault="00D36E27" w:rsidP="00D36E27">
      <w:pPr>
        <w:spacing w:line="360" w:lineRule="auto"/>
        <w:ind w:right="140"/>
        <w:jc w:val="both"/>
      </w:pPr>
      <w:r>
        <w:t xml:space="preserve">     De los 331 casos de violencia sexual  presentados el 80% corresponde a niños menores de 14 años, 159 casos se registraron en pequeños entre 10 a 14 años, 69 en niños con edades de 5 a 9, 37 de 1 a 4 años y un caso corresponde a un bebe con menos de un año de edad.</w:t>
      </w:r>
    </w:p>
    <w:p w:rsidR="00D36E27" w:rsidRPr="002068E2" w:rsidRDefault="00D36E27" w:rsidP="00D36E27">
      <w:pPr>
        <w:spacing w:line="360" w:lineRule="auto"/>
        <w:ind w:right="140"/>
        <w:jc w:val="both"/>
        <w:rPr>
          <w:sz w:val="14"/>
        </w:rPr>
      </w:pPr>
    </w:p>
    <w:p w:rsidR="00D36E27" w:rsidRDefault="00D36E27" w:rsidP="00D36E27">
      <w:pPr>
        <w:spacing w:line="360" w:lineRule="auto"/>
        <w:ind w:right="140"/>
        <w:jc w:val="both"/>
      </w:pPr>
      <w:r>
        <w:t xml:space="preserve">     El Ministerio de Salud lidera la coordinación intersectorial de atención a víctimas de la violencia sexual, mediante convenios de cooperación suscritos con organizaciones internacionales. Desde el año 2011 el Ministerio ha liderado un llamado al trabajo interinstitucional para la atención integral de la violencia sexual;  a nivel local se han integrado las instituciones encargadas del restablecimiento de los derechos de las víctimas en salud, protección, justicia y educación en la organización y definición de las rutas de atención a víctimas de la violencia sexual, dicha ruta a nivel departamental  se encuentra a cargo de varios sectores tales como: Fiscalía, Policía, Comisaría  de Familia, Salud, ICBF, Unidad de Atención y Orientación, Ministerio Público, Defensoría del Pueblo, Personería Municipal, Instituciones Educativas, Sociedad Civil y ONG.S </w:t>
      </w:r>
    </w:p>
    <w:p w:rsidR="00D36E27" w:rsidRPr="002068E2" w:rsidRDefault="00D36E27" w:rsidP="00D36E27">
      <w:pPr>
        <w:spacing w:line="360" w:lineRule="auto"/>
        <w:ind w:right="140"/>
        <w:jc w:val="both"/>
        <w:rPr>
          <w:sz w:val="16"/>
        </w:rPr>
      </w:pPr>
    </w:p>
    <w:p w:rsidR="00D36E27" w:rsidRDefault="00D36E27" w:rsidP="00D36E27">
      <w:pPr>
        <w:spacing w:line="360" w:lineRule="auto"/>
        <w:ind w:right="140"/>
        <w:jc w:val="both"/>
      </w:pPr>
      <w:r w:rsidRPr="00076501">
        <w:t xml:space="preserve">     En los municipios del Quindío, sé han implementado estas rutas de atención a víctimas de la violencia sexual, a través de las comisarías de familia, además cuentan con  un grupo de profesionales tales como psicólogos, sociólogos y abogados, dispuestos a prestar atención a estas víctimas</w:t>
      </w:r>
      <w:r>
        <w:t>, se realiza seguimiento a través de la Secretaría de Salud.</w:t>
      </w:r>
      <w:r w:rsidRPr="00076501">
        <w:t xml:space="preserve"> </w:t>
      </w:r>
    </w:p>
    <w:p w:rsidR="00D36E27" w:rsidRDefault="00D95083" w:rsidP="00D36E27">
      <w:pPr>
        <w:spacing w:line="360" w:lineRule="auto"/>
        <w:ind w:right="142"/>
        <w:jc w:val="both"/>
      </w:pPr>
      <w:r>
        <w:rPr>
          <w:noProof/>
        </w:rPr>
        <w:lastRenderedPageBreak/>
        <w:drawing>
          <wp:anchor distT="0" distB="0" distL="114300" distR="114300" simplePos="0" relativeHeight="251717632" behindDoc="0" locked="0" layoutInCell="1" allowOverlap="0" wp14:anchorId="1A5570B8" wp14:editId="5AD1F2CC">
            <wp:simplePos x="0" y="0"/>
            <wp:positionH relativeFrom="page">
              <wp:posOffset>-19050</wp:posOffset>
            </wp:positionH>
            <wp:positionV relativeFrom="page">
              <wp:posOffset>38100</wp:posOffset>
            </wp:positionV>
            <wp:extent cx="7791450" cy="10024037"/>
            <wp:effectExtent l="0" t="0" r="0" b="0"/>
            <wp:wrapNone/>
            <wp:docPr id="4130" name="Picture 4149"/>
            <wp:cNvGraphicFramePr/>
            <a:graphic xmlns:a="http://schemas.openxmlformats.org/drawingml/2006/main">
              <a:graphicData uri="http://schemas.openxmlformats.org/drawingml/2006/picture">
                <pic:pic xmlns:pic="http://schemas.openxmlformats.org/drawingml/2006/picture">
                  <pic:nvPicPr>
                    <pic:cNvPr id="4149" name="Picture 4149"/>
                    <pic:cNvPicPr/>
                  </pic:nvPicPr>
                  <pic:blipFill>
                    <a:blip r:embed="rId132"/>
                    <a:stretch>
                      <a:fillRect/>
                    </a:stretch>
                  </pic:blipFill>
                  <pic:spPr>
                    <a:xfrm>
                      <a:off x="0" y="0"/>
                      <a:ext cx="7791450" cy="10024037"/>
                    </a:xfrm>
                    <a:prstGeom prst="rect">
                      <a:avLst/>
                    </a:prstGeom>
                  </pic:spPr>
                </pic:pic>
              </a:graphicData>
            </a:graphic>
            <wp14:sizeRelH relativeFrom="margin">
              <wp14:pctWidth>0</wp14:pctWidth>
            </wp14:sizeRelH>
            <wp14:sizeRelV relativeFrom="margin">
              <wp14:pctHeight>0</wp14:pctHeight>
            </wp14:sizeRelV>
          </wp:anchor>
        </w:drawing>
      </w:r>
      <w:r w:rsidR="00D36E27">
        <w:tab/>
      </w:r>
      <w:r w:rsidR="00D36E27">
        <w:tab/>
      </w:r>
      <w:r w:rsidR="00D36E27">
        <w:tab/>
      </w:r>
    </w:p>
    <w:p w:rsidR="00D36E27" w:rsidRDefault="00D36E27" w:rsidP="00D36E27">
      <w:pPr>
        <w:spacing w:line="360" w:lineRule="auto"/>
        <w:ind w:right="142"/>
        <w:jc w:val="both"/>
      </w:pPr>
    </w:p>
    <w:p w:rsidR="00D825CC" w:rsidRDefault="00D825CC" w:rsidP="00D36E27">
      <w:pPr>
        <w:spacing w:line="360" w:lineRule="auto"/>
        <w:ind w:right="142"/>
        <w:jc w:val="both"/>
      </w:pPr>
    </w:p>
    <w:p w:rsidR="00D825CC" w:rsidRDefault="00D825CC" w:rsidP="00D36E27">
      <w:pPr>
        <w:spacing w:line="360" w:lineRule="auto"/>
        <w:ind w:right="142"/>
        <w:jc w:val="both"/>
      </w:pPr>
    </w:p>
    <w:p w:rsidR="00AC35E3" w:rsidRDefault="00AC35E3" w:rsidP="00D36E27">
      <w:pPr>
        <w:spacing w:line="360" w:lineRule="auto"/>
        <w:ind w:right="142"/>
        <w:jc w:val="both"/>
      </w:pPr>
    </w:p>
    <w:p w:rsidR="002068E2" w:rsidRDefault="002068E2" w:rsidP="00D36E27">
      <w:pPr>
        <w:spacing w:line="360" w:lineRule="auto"/>
        <w:ind w:right="142"/>
        <w:jc w:val="both"/>
      </w:pPr>
    </w:p>
    <w:p w:rsidR="002068E2" w:rsidRDefault="002068E2" w:rsidP="00D36E27">
      <w:pPr>
        <w:spacing w:line="360" w:lineRule="auto"/>
        <w:ind w:right="142"/>
        <w:jc w:val="both"/>
      </w:pPr>
    </w:p>
    <w:p w:rsidR="002068E2" w:rsidRDefault="002068E2" w:rsidP="00D36E27">
      <w:pPr>
        <w:spacing w:line="360" w:lineRule="auto"/>
        <w:ind w:right="142"/>
        <w:jc w:val="both"/>
      </w:pPr>
    </w:p>
    <w:p w:rsidR="002068E2" w:rsidRDefault="002068E2" w:rsidP="00D36E27">
      <w:pPr>
        <w:spacing w:line="360" w:lineRule="auto"/>
        <w:ind w:right="142"/>
        <w:jc w:val="both"/>
      </w:pPr>
    </w:p>
    <w:p w:rsidR="002068E2" w:rsidRDefault="002068E2" w:rsidP="00D36E27">
      <w:pPr>
        <w:spacing w:line="360" w:lineRule="auto"/>
        <w:ind w:right="142"/>
        <w:jc w:val="both"/>
      </w:pPr>
    </w:p>
    <w:p w:rsidR="00D825CC" w:rsidRDefault="00D825CC" w:rsidP="00D36E27">
      <w:pPr>
        <w:spacing w:line="360" w:lineRule="auto"/>
        <w:ind w:right="142"/>
        <w:jc w:val="both"/>
      </w:pPr>
    </w:p>
    <w:p w:rsidR="00D825CC" w:rsidRDefault="00D825CC" w:rsidP="00D36E27">
      <w:pPr>
        <w:spacing w:line="360" w:lineRule="auto"/>
        <w:ind w:right="142"/>
        <w:jc w:val="both"/>
      </w:pPr>
    </w:p>
    <w:p w:rsidR="00D825CC" w:rsidRDefault="00D825CC" w:rsidP="00D36E27">
      <w:pPr>
        <w:spacing w:line="360" w:lineRule="auto"/>
        <w:ind w:right="142"/>
        <w:jc w:val="both"/>
      </w:pPr>
    </w:p>
    <w:p w:rsidR="00D825CC" w:rsidRDefault="00D825CC" w:rsidP="00D36E27">
      <w:pPr>
        <w:spacing w:line="360" w:lineRule="auto"/>
        <w:ind w:right="142"/>
        <w:jc w:val="both"/>
      </w:pPr>
    </w:p>
    <w:p w:rsidR="00D825CC" w:rsidRPr="00993720" w:rsidRDefault="00D825CC" w:rsidP="00993720">
      <w:pPr>
        <w:pStyle w:val="Ttulo1"/>
        <w:ind w:left="1416"/>
        <w:rPr>
          <w:rFonts w:ascii="Times New Roman" w:hAnsi="Times New Roman"/>
        </w:rPr>
      </w:pPr>
      <w:bookmarkStart w:id="110" w:name="_Toc406754363"/>
      <w:r w:rsidRPr="00993720">
        <w:rPr>
          <w:rFonts w:ascii="Times New Roman" w:hAnsi="Times New Roman"/>
        </w:rPr>
        <w:t>15 Producto Interno Bruto -PIB</w:t>
      </w:r>
      <w:bookmarkEnd w:id="110"/>
    </w:p>
    <w:p w:rsidR="00D36E27" w:rsidRDefault="00D36E27" w:rsidP="00D36E27">
      <w:pPr>
        <w:spacing w:line="360" w:lineRule="auto"/>
      </w:pPr>
    </w:p>
    <w:p w:rsidR="00D36E27" w:rsidRDefault="00D36E27" w:rsidP="00D36E27">
      <w:pPr>
        <w:spacing w:line="360" w:lineRule="auto"/>
      </w:pPr>
    </w:p>
    <w:p w:rsidR="00D36E27" w:rsidRDefault="00D36E27" w:rsidP="00D36E27">
      <w:pPr>
        <w:spacing w:line="360" w:lineRule="auto"/>
      </w:pPr>
    </w:p>
    <w:p w:rsidR="00D36E27" w:rsidRDefault="00D36E27" w:rsidP="00D36E27">
      <w:pPr>
        <w:spacing w:line="360" w:lineRule="auto"/>
      </w:pPr>
    </w:p>
    <w:p w:rsidR="00993720" w:rsidRDefault="00993720" w:rsidP="00D36E27">
      <w:pPr>
        <w:spacing w:line="360" w:lineRule="auto"/>
      </w:pPr>
    </w:p>
    <w:p w:rsidR="00993720" w:rsidRDefault="00993720" w:rsidP="00D36E27">
      <w:pPr>
        <w:spacing w:line="360" w:lineRule="auto"/>
      </w:pPr>
    </w:p>
    <w:p w:rsidR="00993720" w:rsidRDefault="00993720" w:rsidP="00D36E27">
      <w:pPr>
        <w:spacing w:line="360" w:lineRule="auto"/>
      </w:pPr>
    </w:p>
    <w:p w:rsidR="00993720" w:rsidRDefault="00993720" w:rsidP="00D36E27">
      <w:pPr>
        <w:spacing w:line="360" w:lineRule="auto"/>
      </w:pPr>
    </w:p>
    <w:p w:rsidR="00993720" w:rsidRDefault="00993720" w:rsidP="00D36E27">
      <w:pPr>
        <w:spacing w:line="360" w:lineRule="auto"/>
      </w:pPr>
    </w:p>
    <w:p w:rsidR="00993720" w:rsidRDefault="00993720" w:rsidP="00D36E27">
      <w:pPr>
        <w:spacing w:line="360" w:lineRule="auto"/>
      </w:pPr>
    </w:p>
    <w:p w:rsidR="00993720" w:rsidRDefault="00993720" w:rsidP="00D36E27">
      <w:pPr>
        <w:spacing w:line="360" w:lineRule="auto"/>
      </w:pPr>
    </w:p>
    <w:p w:rsidR="00993720" w:rsidRDefault="00993720" w:rsidP="00D36E27">
      <w:pPr>
        <w:spacing w:line="360" w:lineRule="auto"/>
      </w:pPr>
    </w:p>
    <w:p w:rsidR="00993720" w:rsidRDefault="00993720" w:rsidP="00D36E27">
      <w:pPr>
        <w:spacing w:line="360" w:lineRule="auto"/>
      </w:pPr>
    </w:p>
    <w:p w:rsidR="00993720" w:rsidRDefault="00993720" w:rsidP="00D36E27">
      <w:pPr>
        <w:spacing w:line="360" w:lineRule="auto"/>
      </w:pPr>
    </w:p>
    <w:p w:rsidR="00E85F49" w:rsidRPr="000E201C" w:rsidRDefault="00E85F49" w:rsidP="00E85F49">
      <w:pPr>
        <w:spacing w:line="360" w:lineRule="auto"/>
        <w:ind w:firstLine="567"/>
        <w:jc w:val="both"/>
        <w:rPr>
          <w:rFonts w:eastAsia="Calibri"/>
          <w:lang w:val="es-ES"/>
        </w:rPr>
      </w:pPr>
      <w:r w:rsidRPr="000E201C">
        <w:rPr>
          <w:rFonts w:eastAsia="Calibri"/>
          <w:lang w:val="es-ES"/>
        </w:rPr>
        <w:lastRenderedPageBreak/>
        <w:t>El Producto Interno Bruto Departamental mide la actividad productiva local, corresponde a una magnitud de flujo y describe el comportamiento económico del departamento en un periodo de tiempo mediante la contabilización de bienes y servicios producidos.</w:t>
      </w:r>
    </w:p>
    <w:p w:rsidR="00E85F49" w:rsidRPr="000E201C" w:rsidRDefault="00E85F49" w:rsidP="00E85F49">
      <w:pPr>
        <w:spacing w:line="360" w:lineRule="auto"/>
        <w:jc w:val="both"/>
        <w:rPr>
          <w:rFonts w:eastAsia="Calibri"/>
          <w:lang w:val="es-ES"/>
        </w:rPr>
      </w:pPr>
    </w:p>
    <w:p w:rsidR="00E85F49" w:rsidRPr="0056342E" w:rsidRDefault="00E85F49" w:rsidP="0056342E">
      <w:pPr>
        <w:ind w:left="284"/>
        <w:rPr>
          <w:rFonts w:eastAsia="Calibri"/>
          <w:lang w:val="es-ES"/>
        </w:rPr>
      </w:pPr>
      <w:r w:rsidRPr="0056342E">
        <w:rPr>
          <w:rFonts w:eastAsia="Calibri"/>
          <w:lang w:val="es-ES"/>
        </w:rPr>
        <w:t>Gráfico 15.1</w:t>
      </w:r>
    </w:p>
    <w:p w:rsidR="00E85F49" w:rsidRPr="0056342E" w:rsidRDefault="00E85F49" w:rsidP="0056342E">
      <w:pPr>
        <w:ind w:left="284"/>
        <w:rPr>
          <w:rFonts w:eastAsia="Calibri"/>
          <w:lang w:val="es-ES"/>
        </w:rPr>
      </w:pPr>
      <w:r w:rsidRPr="0056342E">
        <w:rPr>
          <w:rFonts w:eastAsia="Calibri"/>
          <w:lang w:val="es-ES"/>
        </w:rPr>
        <w:t>Contribución del PIB Departamental frente al nacional. Eje Cafetero</w:t>
      </w:r>
    </w:p>
    <w:p w:rsidR="00E85F49" w:rsidRDefault="00E85F49" w:rsidP="0056342E">
      <w:pPr>
        <w:ind w:left="284"/>
        <w:rPr>
          <w:rFonts w:eastAsia="Calibri"/>
          <w:lang w:val="es-ES"/>
        </w:rPr>
      </w:pPr>
      <w:r w:rsidRPr="0056342E">
        <w:rPr>
          <w:rFonts w:eastAsia="Calibri"/>
          <w:lang w:val="es-ES"/>
        </w:rPr>
        <w:t>Vigencia 2001 – 2013</w:t>
      </w:r>
    </w:p>
    <w:p w:rsidR="0056342E" w:rsidRPr="000E201C" w:rsidRDefault="0056342E" w:rsidP="0056342E">
      <w:pPr>
        <w:ind w:left="284"/>
        <w:rPr>
          <w:rFonts w:eastAsia="Calibri"/>
          <w:b/>
          <w:lang w:val="es-ES"/>
        </w:rPr>
      </w:pPr>
    </w:p>
    <w:p w:rsidR="00E85F49" w:rsidRPr="000E201C" w:rsidRDefault="00E85F49" w:rsidP="00E85F49">
      <w:pPr>
        <w:spacing w:line="360" w:lineRule="auto"/>
        <w:jc w:val="center"/>
        <w:rPr>
          <w:rFonts w:eastAsia="Calibri"/>
          <w:lang w:val="es-ES"/>
        </w:rPr>
      </w:pPr>
      <w:r w:rsidRPr="000E201C">
        <w:rPr>
          <w:rFonts w:eastAsia="Calibri"/>
          <w:noProof/>
        </w:rPr>
        <w:drawing>
          <wp:inline distT="0" distB="0" distL="0" distR="0" wp14:anchorId="6158FA62" wp14:editId="2D8A65C8">
            <wp:extent cx="5612130" cy="2644140"/>
            <wp:effectExtent l="0" t="0" r="26670" b="2286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85F49" w:rsidRPr="000E201C" w:rsidRDefault="00E85F49" w:rsidP="00E85F49">
      <w:pPr>
        <w:spacing w:line="360" w:lineRule="auto"/>
        <w:jc w:val="both"/>
        <w:rPr>
          <w:rFonts w:eastAsia="Calibri"/>
          <w:sz w:val="16"/>
        </w:rPr>
      </w:pPr>
      <w:r w:rsidRPr="000E201C">
        <w:rPr>
          <w:rFonts w:eastAsia="Calibri"/>
          <w:sz w:val="16"/>
        </w:rPr>
        <w:t xml:space="preserve">Fuente: </w:t>
      </w:r>
      <w:r w:rsidR="008F5FB2">
        <w:rPr>
          <w:rFonts w:eastAsia="Calibri"/>
          <w:sz w:val="16"/>
        </w:rPr>
        <w:t>DANE</w:t>
      </w:r>
      <w:r w:rsidRPr="000E201C">
        <w:rPr>
          <w:rFonts w:eastAsia="Calibri"/>
          <w:sz w:val="16"/>
        </w:rPr>
        <w:t xml:space="preserve"> 2005, a precios constante del 2000.</w:t>
      </w:r>
    </w:p>
    <w:p w:rsidR="00E85F49" w:rsidRPr="000E201C" w:rsidRDefault="00E85F49" w:rsidP="00E85F49">
      <w:pPr>
        <w:spacing w:line="360" w:lineRule="auto"/>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t xml:space="preserve">La participación del Producto Interno Bruto (PIB) del </w:t>
      </w:r>
      <w:r>
        <w:rPr>
          <w:rFonts w:eastAsia="Calibri"/>
          <w:lang w:val="es-ES"/>
        </w:rPr>
        <w:t>d</w:t>
      </w:r>
      <w:r w:rsidRPr="000E201C">
        <w:rPr>
          <w:rFonts w:eastAsia="Calibri"/>
          <w:lang w:val="es-ES"/>
        </w:rPr>
        <w:t xml:space="preserve">epartamento del Quindío dentro del PIB </w:t>
      </w:r>
      <w:r w:rsidRPr="002A58EC">
        <w:rPr>
          <w:rFonts w:eastAsia="Calibri"/>
          <w:lang w:val="es-ES"/>
        </w:rPr>
        <w:t>N</w:t>
      </w:r>
      <w:r w:rsidRPr="000E201C">
        <w:rPr>
          <w:rFonts w:eastAsia="Calibri"/>
          <w:lang w:val="es-ES"/>
        </w:rPr>
        <w:t xml:space="preserve">acional en </w:t>
      </w:r>
      <w:r>
        <w:rPr>
          <w:rFonts w:eastAsia="Calibri"/>
          <w:lang w:val="es-ES"/>
        </w:rPr>
        <w:t xml:space="preserve">el </w:t>
      </w:r>
      <w:r w:rsidRPr="000E201C">
        <w:rPr>
          <w:rFonts w:eastAsia="Calibri"/>
          <w:lang w:val="es-ES"/>
        </w:rPr>
        <w:t xml:space="preserve">año 2013 fue de 0,1 %. Es de anotar, que en dicha vigencia la economía Colombiana creció </w:t>
      </w:r>
      <w:r>
        <w:rPr>
          <w:rFonts w:eastAsia="Calibri"/>
          <w:lang w:val="es-ES"/>
        </w:rPr>
        <w:t>a un 4,7 % con respecto al 2012 y dentro del Eje cafetero es el d</w:t>
      </w:r>
      <w:r w:rsidRPr="000E201C">
        <w:rPr>
          <w:rFonts w:eastAsia="Calibri"/>
          <w:lang w:val="es-ES"/>
        </w:rPr>
        <w:t xml:space="preserve">epartamento del </w:t>
      </w:r>
      <w:r w:rsidRPr="002A58EC">
        <w:rPr>
          <w:rFonts w:eastAsia="Calibri"/>
          <w:lang w:val="es-ES"/>
        </w:rPr>
        <w:t>Quindío el que aporta una mayor participación al valor del PIB nacional</w:t>
      </w:r>
      <w:r w:rsidRPr="000E201C">
        <w:rPr>
          <w:rFonts w:eastAsia="Calibri"/>
          <w:lang w:val="es-ES"/>
        </w:rPr>
        <w:t>.</w:t>
      </w:r>
    </w:p>
    <w:p w:rsidR="00E85F49" w:rsidRPr="000E201C" w:rsidRDefault="00E85F49" w:rsidP="00E85F49">
      <w:pPr>
        <w:spacing w:line="360" w:lineRule="auto"/>
        <w:ind w:firstLine="284"/>
        <w:jc w:val="both"/>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t>La participación del PIB por departamentos para la vigencia 2013 presenta el siguiente orden: Bogotá (24,7%), Antioquia (13,1%), Valle (9,3%), Santander (7,4%), Meta (6,5), Cundinamarca (5,0%), Bolívar (4,0%) y Atlántico (3,8%); los cuales suman el (73,8%) del total nacional; los otros departamentos aportaron porcentajes menos significativos.</w:t>
      </w:r>
    </w:p>
    <w:p w:rsidR="00E85F49" w:rsidRPr="000E201C" w:rsidRDefault="00E85F49" w:rsidP="00E85F49">
      <w:pPr>
        <w:spacing w:line="360" w:lineRule="auto"/>
        <w:ind w:firstLine="284"/>
        <w:jc w:val="both"/>
        <w:rPr>
          <w:rFonts w:eastAsia="Calibri"/>
          <w:lang w:val="es-ES"/>
        </w:rPr>
      </w:pPr>
      <w:r w:rsidRPr="000E201C">
        <w:rPr>
          <w:rFonts w:eastAsia="Calibri"/>
          <w:lang w:val="es-ES"/>
        </w:rPr>
        <w:lastRenderedPageBreak/>
        <w:t>Al analizar por sectores económicos el Producto Interno Bruto del Departamento, no sólo permite determinar el comportamiento de cada uno de ellos al interior, sino resaltar la importancia que tienen dentro de la geografía nacional.</w:t>
      </w:r>
    </w:p>
    <w:p w:rsidR="00E85F49" w:rsidRPr="000E201C" w:rsidRDefault="00E85F49" w:rsidP="00E85F49">
      <w:pPr>
        <w:spacing w:line="360" w:lineRule="auto"/>
        <w:ind w:firstLine="284"/>
        <w:jc w:val="both"/>
        <w:rPr>
          <w:rFonts w:eastAsia="Calibri"/>
          <w:lang w:val="es-ES"/>
        </w:rPr>
      </w:pPr>
    </w:p>
    <w:p w:rsidR="00E85F49" w:rsidRPr="00287472" w:rsidRDefault="00E85F49" w:rsidP="00287472">
      <w:pPr>
        <w:ind w:left="284"/>
        <w:rPr>
          <w:rFonts w:eastAsia="Calibri"/>
          <w:lang w:val="es-ES"/>
        </w:rPr>
      </w:pPr>
      <w:r w:rsidRPr="00287472">
        <w:rPr>
          <w:rFonts w:eastAsia="Calibri"/>
          <w:lang w:val="es-ES"/>
        </w:rPr>
        <w:t>Gráfico 15.2</w:t>
      </w:r>
    </w:p>
    <w:p w:rsidR="00E85F49" w:rsidRPr="00287472" w:rsidRDefault="00E85F49" w:rsidP="00287472">
      <w:pPr>
        <w:ind w:left="284"/>
        <w:rPr>
          <w:rFonts w:eastAsia="Calibri"/>
          <w:lang w:val="es-ES"/>
        </w:rPr>
      </w:pPr>
      <w:r w:rsidRPr="00287472">
        <w:rPr>
          <w:rFonts w:eastAsia="Calibri"/>
          <w:lang w:val="es-ES"/>
        </w:rPr>
        <w:t>Contribución del PIB del Quindío frente al PIB nacional</w:t>
      </w:r>
    </w:p>
    <w:p w:rsidR="00E85F49" w:rsidRDefault="00E85F49" w:rsidP="00287472">
      <w:pPr>
        <w:ind w:left="284"/>
        <w:rPr>
          <w:rFonts w:eastAsia="Calibri"/>
          <w:lang w:val="es-ES"/>
        </w:rPr>
      </w:pPr>
      <w:r w:rsidRPr="00287472">
        <w:rPr>
          <w:rFonts w:eastAsia="Calibri"/>
          <w:lang w:val="es-ES"/>
        </w:rPr>
        <w:t>Vigencia 2001 – 2013</w:t>
      </w:r>
    </w:p>
    <w:p w:rsidR="00287472" w:rsidRPr="00287472" w:rsidRDefault="00287472" w:rsidP="00287472">
      <w:pPr>
        <w:ind w:left="284"/>
        <w:rPr>
          <w:rFonts w:eastAsia="Calibri"/>
          <w:lang w:val="es-ES"/>
        </w:rPr>
      </w:pPr>
    </w:p>
    <w:p w:rsidR="00E85F49" w:rsidRPr="000E201C" w:rsidRDefault="00E85F49" w:rsidP="00E85F49">
      <w:pPr>
        <w:spacing w:line="360" w:lineRule="auto"/>
        <w:jc w:val="center"/>
        <w:rPr>
          <w:rFonts w:eastAsia="Calibri"/>
          <w:lang w:val="es-ES"/>
        </w:rPr>
      </w:pPr>
      <w:r w:rsidRPr="000E201C">
        <w:rPr>
          <w:rFonts w:eastAsia="Calibri"/>
          <w:noProof/>
        </w:rPr>
        <w:drawing>
          <wp:inline distT="0" distB="0" distL="0" distR="0" wp14:anchorId="5282D81C" wp14:editId="00A993C0">
            <wp:extent cx="5534025" cy="2743200"/>
            <wp:effectExtent l="0" t="0" r="9525" b="1905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85F49" w:rsidRPr="000E201C" w:rsidRDefault="00E85F49" w:rsidP="00287472">
      <w:pPr>
        <w:spacing w:line="360" w:lineRule="auto"/>
        <w:ind w:firstLine="284"/>
        <w:jc w:val="both"/>
        <w:rPr>
          <w:rFonts w:eastAsia="Calibri"/>
        </w:rPr>
      </w:pPr>
      <w:r w:rsidRPr="000E201C">
        <w:rPr>
          <w:rFonts w:eastAsia="Calibri"/>
          <w:sz w:val="16"/>
        </w:rPr>
        <w:t xml:space="preserve">Fuente: </w:t>
      </w:r>
      <w:r w:rsidR="008F5FB2">
        <w:rPr>
          <w:rFonts w:eastAsia="Calibri"/>
          <w:sz w:val="16"/>
        </w:rPr>
        <w:t>DANE</w:t>
      </w:r>
      <w:r w:rsidRPr="000E201C">
        <w:rPr>
          <w:rFonts w:eastAsia="Calibri"/>
          <w:sz w:val="16"/>
        </w:rPr>
        <w:t xml:space="preserve"> 2005, a precios constante del 2000.</w:t>
      </w:r>
    </w:p>
    <w:p w:rsidR="00E85F49" w:rsidRPr="000E201C" w:rsidRDefault="00E85F49" w:rsidP="00E85F49">
      <w:pPr>
        <w:spacing w:line="360" w:lineRule="auto"/>
        <w:rPr>
          <w:rFonts w:eastAsia="Calibri"/>
          <w:lang w:val="es-ES"/>
        </w:rPr>
      </w:pPr>
    </w:p>
    <w:p w:rsidR="00EB4344" w:rsidRDefault="00EB4344" w:rsidP="00E85F49">
      <w:pPr>
        <w:spacing w:line="360" w:lineRule="auto"/>
        <w:ind w:firstLine="284"/>
        <w:jc w:val="both"/>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t>Durante los últimos 4 años ha sid</w:t>
      </w:r>
      <w:r>
        <w:rPr>
          <w:rFonts w:eastAsia="Calibri"/>
          <w:lang w:val="es-ES"/>
        </w:rPr>
        <w:t>o uniforme la contribución del d</w:t>
      </w:r>
      <w:r w:rsidRPr="000E201C">
        <w:rPr>
          <w:rFonts w:eastAsia="Calibri"/>
          <w:lang w:val="es-ES"/>
        </w:rPr>
        <w:t>epartamento del Quindío en los valores del PIB Nacional, manteniéndose en niveles aproximados del 0,1% anual y con una representación para la vigencia 2013 del 0.6%.</w:t>
      </w:r>
    </w:p>
    <w:p w:rsidR="00E85F49" w:rsidRPr="000E201C" w:rsidRDefault="00E85F49" w:rsidP="00E85F49">
      <w:pPr>
        <w:spacing w:line="360" w:lineRule="auto"/>
        <w:ind w:firstLine="284"/>
        <w:jc w:val="both"/>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t xml:space="preserve">Al observar el crecimiento económico del </w:t>
      </w:r>
      <w:r>
        <w:rPr>
          <w:rFonts w:eastAsia="Calibri"/>
          <w:lang w:val="es-ES"/>
        </w:rPr>
        <w:t>d</w:t>
      </w:r>
      <w:r w:rsidRPr="000E201C">
        <w:rPr>
          <w:rFonts w:eastAsia="Calibri"/>
          <w:lang w:val="es-ES"/>
        </w:rPr>
        <w:t xml:space="preserve">epartamento del Quindío desde el 2001 al 2013, se evidencia que este no se ha presentado de manera uniforme, sobresaliendo el pico de 2006 donde se registra el crecimiento más alto de los últimos 8 años al ubicarse en un 12,6%;   </w:t>
      </w:r>
      <w:r>
        <w:rPr>
          <w:rFonts w:eastAsia="Calibri"/>
          <w:lang w:val="es-ES"/>
        </w:rPr>
        <w:t>y</w:t>
      </w:r>
      <w:r w:rsidRPr="000E201C">
        <w:rPr>
          <w:rFonts w:eastAsia="Calibri"/>
          <w:lang w:val="es-ES"/>
        </w:rPr>
        <w:t xml:space="preserve"> el crecimiento más bajo se prese</w:t>
      </w:r>
      <w:r>
        <w:rPr>
          <w:rFonts w:eastAsia="Calibri"/>
          <w:lang w:val="es-ES"/>
        </w:rPr>
        <w:t>ntó en el año 2003 con un -6,8%</w:t>
      </w:r>
      <w:r w:rsidRPr="0012364F">
        <w:rPr>
          <w:rFonts w:eastAsia="Calibri"/>
          <w:lang w:val="es-ES"/>
        </w:rPr>
        <w:t>.</w:t>
      </w:r>
    </w:p>
    <w:p w:rsidR="00E85F49" w:rsidRPr="000E201C" w:rsidRDefault="00E85F49" w:rsidP="00E85F49">
      <w:pPr>
        <w:spacing w:line="360" w:lineRule="auto"/>
        <w:ind w:firstLine="284"/>
        <w:jc w:val="both"/>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lastRenderedPageBreak/>
        <w:t>En los últimos 5 años, el 2012 fue un periodo muy positivo para la economía del departamento, dado que en este período se registró un crecimiento del 7,9%, porcentaje superior al crecimiento del total nacional, el cual fue del 4,0%; dicho comportamiento estuvo explicado por la participación de los sectores de servicios, construcción, comercio, agricultura y financieros.</w:t>
      </w:r>
    </w:p>
    <w:p w:rsidR="00E85F49" w:rsidRPr="000E201C" w:rsidRDefault="00E85F49" w:rsidP="00E85F49">
      <w:pPr>
        <w:spacing w:line="360" w:lineRule="auto"/>
        <w:jc w:val="center"/>
        <w:rPr>
          <w:rFonts w:eastAsia="Calibri"/>
          <w:lang w:val="es-ES"/>
        </w:rPr>
      </w:pPr>
    </w:p>
    <w:p w:rsidR="00E85F49" w:rsidRPr="005537BD" w:rsidRDefault="00E85F49" w:rsidP="005537BD">
      <w:pPr>
        <w:ind w:left="284"/>
        <w:rPr>
          <w:rFonts w:eastAsia="Calibri"/>
          <w:lang w:val="es-ES"/>
        </w:rPr>
      </w:pPr>
      <w:r w:rsidRPr="005537BD">
        <w:rPr>
          <w:rFonts w:eastAsia="Calibri"/>
          <w:lang w:val="es-ES"/>
        </w:rPr>
        <w:t>Gráfico 15.3</w:t>
      </w:r>
    </w:p>
    <w:p w:rsidR="00E85F49" w:rsidRPr="005537BD" w:rsidRDefault="00E85F49" w:rsidP="005537BD">
      <w:pPr>
        <w:ind w:left="284"/>
        <w:rPr>
          <w:rFonts w:eastAsia="Calibri"/>
          <w:lang w:val="es-ES"/>
        </w:rPr>
      </w:pPr>
      <w:r w:rsidRPr="005537BD">
        <w:rPr>
          <w:rFonts w:eastAsia="Calibri"/>
          <w:lang w:val="es-ES"/>
        </w:rPr>
        <w:t>Tasa de Crecimiento del PIB del Quindío</w:t>
      </w:r>
    </w:p>
    <w:p w:rsidR="00E85F49" w:rsidRDefault="00E85F49" w:rsidP="005537BD">
      <w:pPr>
        <w:ind w:left="284"/>
        <w:rPr>
          <w:rFonts w:eastAsia="Calibri"/>
          <w:lang w:val="es-ES"/>
        </w:rPr>
      </w:pPr>
      <w:r w:rsidRPr="005537BD">
        <w:rPr>
          <w:rFonts w:eastAsia="Calibri"/>
          <w:lang w:val="es-ES"/>
        </w:rPr>
        <w:t>Vigencia 2001 – 2013</w:t>
      </w:r>
    </w:p>
    <w:p w:rsidR="005537BD" w:rsidRPr="005537BD" w:rsidRDefault="005537BD" w:rsidP="005537BD">
      <w:pPr>
        <w:ind w:left="284"/>
        <w:rPr>
          <w:rFonts w:eastAsia="Calibri"/>
          <w:lang w:val="es-ES"/>
        </w:rPr>
      </w:pPr>
    </w:p>
    <w:p w:rsidR="00E85F49" w:rsidRPr="000E201C" w:rsidRDefault="00E85F49" w:rsidP="00E85F49">
      <w:pPr>
        <w:spacing w:line="360" w:lineRule="auto"/>
        <w:jc w:val="center"/>
        <w:rPr>
          <w:rFonts w:eastAsia="Calibri"/>
          <w:lang w:val="es-ES"/>
        </w:rPr>
      </w:pPr>
      <w:r w:rsidRPr="000E201C">
        <w:rPr>
          <w:rFonts w:eastAsia="Calibri"/>
          <w:noProof/>
        </w:rPr>
        <w:drawing>
          <wp:inline distT="0" distB="0" distL="0" distR="0" wp14:anchorId="7FBE8B9D" wp14:editId="4BFEFEAB">
            <wp:extent cx="5353050" cy="2743200"/>
            <wp:effectExtent l="0" t="0" r="19050" b="1905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E85F49" w:rsidRPr="000E201C" w:rsidRDefault="00E85F49" w:rsidP="00E85F49">
      <w:pPr>
        <w:spacing w:line="360" w:lineRule="auto"/>
        <w:jc w:val="both"/>
        <w:rPr>
          <w:rFonts w:eastAsia="Calibri"/>
          <w:sz w:val="16"/>
          <w:lang w:val="es-ES"/>
        </w:rPr>
      </w:pPr>
      <w:r w:rsidRPr="000E201C">
        <w:rPr>
          <w:rFonts w:eastAsia="Calibri"/>
          <w:sz w:val="16"/>
        </w:rPr>
        <w:t xml:space="preserve">Fuente: </w:t>
      </w:r>
      <w:r w:rsidR="008F5FB2">
        <w:rPr>
          <w:rFonts w:eastAsia="Calibri"/>
          <w:sz w:val="16"/>
        </w:rPr>
        <w:t>DANE</w:t>
      </w:r>
      <w:r w:rsidRPr="000E201C">
        <w:rPr>
          <w:rFonts w:eastAsia="Calibri"/>
          <w:sz w:val="16"/>
        </w:rPr>
        <w:t>. Cuentas Nacionales por departamento, tasa del producto interno bruto 2000 – 2007; precios constantes 2000.</w:t>
      </w:r>
    </w:p>
    <w:p w:rsidR="00E85F49" w:rsidRDefault="00E85F49" w:rsidP="00E85F49">
      <w:pPr>
        <w:spacing w:line="360" w:lineRule="auto"/>
        <w:rPr>
          <w:rFonts w:eastAsia="Calibri"/>
          <w:lang w:val="es-ES"/>
        </w:rPr>
      </w:pPr>
    </w:p>
    <w:p w:rsidR="00E85F49" w:rsidRDefault="00E85F49" w:rsidP="00E85F49">
      <w:pPr>
        <w:spacing w:line="360" w:lineRule="auto"/>
        <w:rPr>
          <w:rFonts w:eastAsia="Calibri"/>
          <w:lang w:val="es-ES"/>
        </w:rPr>
      </w:pPr>
    </w:p>
    <w:p w:rsidR="00E85F49" w:rsidRPr="005537BD" w:rsidRDefault="00E85F49" w:rsidP="005537BD">
      <w:pPr>
        <w:pStyle w:val="Ttulo2"/>
        <w:rPr>
          <w:rFonts w:ascii="Times New Roman" w:eastAsia="Times New Roman" w:hAnsi="Times New Roman" w:cs="Times New Roman"/>
          <w:color w:val="auto"/>
          <w:sz w:val="30"/>
          <w:szCs w:val="30"/>
        </w:rPr>
      </w:pPr>
      <w:bookmarkStart w:id="111" w:name="_Toc406754364"/>
      <w:r w:rsidRPr="005537BD">
        <w:rPr>
          <w:rFonts w:ascii="Times New Roman" w:eastAsia="Times New Roman" w:hAnsi="Times New Roman" w:cs="Times New Roman"/>
          <w:color w:val="auto"/>
          <w:sz w:val="30"/>
          <w:szCs w:val="30"/>
        </w:rPr>
        <w:t>15.1 Composición del PIB Departamental</w:t>
      </w:r>
      <w:bookmarkEnd w:id="111"/>
    </w:p>
    <w:p w:rsidR="00E85F49" w:rsidRPr="000E201C" w:rsidRDefault="00E85F49" w:rsidP="00E85F49">
      <w:pPr>
        <w:spacing w:line="360" w:lineRule="auto"/>
        <w:jc w:val="both"/>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t>La contribución de cada uno de los sectores económicos en los valores del PIB departamental y nacional es diferente; por ello, con el fin de determinar los sectores más importantes en la economía departamental se examina el siguiente gráfico.</w:t>
      </w:r>
    </w:p>
    <w:p w:rsidR="005537BD" w:rsidRDefault="005537BD" w:rsidP="00E85F49">
      <w:pPr>
        <w:spacing w:line="360" w:lineRule="auto"/>
        <w:ind w:left="284"/>
        <w:jc w:val="center"/>
        <w:rPr>
          <w:rFonts w:eastAsia="Calibri"/>
          <w:lang w:val="es-ES"/>
        </w:rPr>
      </w:pPr>
    </w:p>
    <w:p w:rsidR="005537BD" w:rsidRDefault="005537BD" w:rsidP="00E85F49">
      <w:pPr>
        <w:spacing w:line="360" w:lineRule="auto"/>
        <w:ind w:left="284"/>
        <w:jc w:val="center"/>
        <w:rPr>
          <w:rFonts w:eastAsia="Calibri"/>
          <w:lang w:val="es-ES"/>
        </w:rPr>
      </w:pPr>
    </w:p>
    <w:p w:rsidR="00E85F49" w:rsidRPr="00F67735" w:rsidRDefault="00E85F49" w:rsidP="00F67735">
      <w:pPr>
        <w:ind w:left="284"/>
        <w:rPr>
          <w:rFonts w:eastAsia="Calibri"/>
          <w:lang w:val="es-ES"/>
        </w:rPr>
      </w:pPr>
      <w:r w:rsidRPr="00F67735">
        <w:rPr>
          <w:rFonts w:eastAsia="Calibri"/>
          <w:lang w:val="es-ES"/>
        </w:rPr>
        <w:lastRenderedPageBreak/>
        <w:t>Gráfico 15.4</w:t>
      </w:r>
    </w:p>
    <w:p w:rsidR="00E85F49" w:rsidRPr="00F67735" w:rsidRDefault="00E85F49" w:rsidP="00F67735">
      <w:pPr>
        <w:ind w:left="284"/>
        <w:rPr>
          <w:rFonts w:eastAsia="Calibri"/>
          <w:lang w:val="es-ES"/>
        </w:rPr>
      </w:pPr>
      <w:r w:rsidRPr="00F67735">
        <w:rPr>
          <w:rFonts w:eastAsia="Calibri"/>
          <w:lang w:val="es-ES"/>
        </w:rPr>
        <w:t>Composición del PIB 8 departamentos principales y Colombia</w:t>
      </w:r>
    </w:p>
    <w:p w:rsidR="00E85F49" w:rsidRDefault="00E85F49" w:rsidP="00F67735">
      <w:pPr>
        <w:ind w:left="284"/>
        <w:rPr>
          <w:rFonts w:eastAsia="Calibri"/>
          <w:lang w:val="es-ES"/>
        </w:rPr>
      </w:pPr>
      <w:r w:rsidRPr="00F67735">
        <w:rPr>
          <w:rFonts w:eastAsia="Calibri"/>
          <w:lang w:val="es-ES"/>
        </w:rPr>
        <w:t>Vigencia 2013</w:t>
      </w:r>
    </w:p>
    <w:p w:rsidR="00F67735" w:rsidRPr="00F67735" w:rsidRDefault="00F67735" w:rsidP="00F67735">
      <w:pPr>
        <w:ind w:left="284"/>
        <w:rPr>
          <w:rFonts w:eastAsia="Calibri"/>
          <w:lang w:val="es-ES"/>
        </w:rPr>
      </w:pPr>
    </w:p>
    <w:p w:rsidR="00E85F49" w:rsidRPr="000E201C" w:rsidRDefault="00E85F49" w:rsidP="00E85F49">
      <w:pPr>
        <w:spacing w:line="360" w:lineRule="auto"/>
        <w:jc w:val="center"/>
        <w:rPr>
          <w:rFonts w:eastAsia="Calibri"/>
          <w:lang w:val="es-ES"/>
        </w:rPr>
      </w:pPr>
      <w:r w:rsidRPr="000E201C">
        <w:rPr>
          <w:rFonts w:eastAsia="Calibri"/>
          <w:noProof/>
        </w:rPr>
        <w:drawing>
          <wp:inline distT="0" distB="0" distL="0" distR="0" wp14:anchorId="0C86FF4A" wp14:editId="31FC68A4">
            <wp:extent cx="6276975" cy="4591050"/>
            <wp:effectExtent l="0" t="0" r="9525" b="1905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E85F49" w:rsidRPr="000E201C" w:rsidRDefault="00E85F49" w:rsidP="00E85F49">
      <w:pPr>
        <w:spacing w:line="360" w:lineRule="auto"/>
        <w:rPr>
          <w:rFonts w:eastAsia="Calibri"/>
          <w:sz w:val="16"/>
          <w:lang w:val="es-ES"/>
        </w:rPr>
      </w:pPr>
      <w:r w:rsidRPr="000E201C">
        <w:rPr>
          <w:rFonts w:eastAsia="Calibri"/>
          <w:sz w:val="16"/>
          <w:lang w:val="es-MX"/>
        </w:rPr>
        <w:t xml:space="preserve"> </w:t>
      </w:r>
      <w:r w:rsidR="00F67735">
        <w:rPr>
          <w:rFonts w:eastAsia="Calibri"/>
          <w:sz w:val="16"/>
          <w:lang w:val="es-MX"/>
        </w:rPr>
        <w:tab/>
      </w:r>
      <w:r w:rsidRPr="000E201C">
        <w:rPr>
          <w:rFonts w:eastAsia="Calibri"/>
          <w:sz w:val="16"/>
          <w:lang w:val="es-MX"/>
        </w:rPr>
        <w:t xml:space="preserve">Fuente: </w:t>
      </w:r>
      <w:r w:rsidR="008F5FB2">
        <w:rPr>
          <w:rFonts w:eastAsia="Calibri"/>
          <w:sz w:val="16"/>
          <w:lang w:val="es-MX"/>
        </w:rPr>
        <w:t>DANE</w:t>
      </w:r>
      <w:r w:rsidRPr="000E201C">
        <w:rPr>
          <w:rFonts w:eastAsia="Calibri"/>
          <w:sz w:val="16"/>
          <w:lang w:val="es-MX"/>
        </w:rPr>
        <w:t>, cuentas regionales 2013, precios constantes 2000.</w:t>
      </w:r>
    </w:p>
    <w:p w:rsidR="00E85F49" w:rsidRDefault="00E85F49" w:rsidP="00E85F49">
      <w:pPr>
        <w:spacing w:line="360" w:lineRule="auto"/>
        <w:jc w:val="both"/>
        <w:rPr>
          <w:rFonts w:eastAsia="Calibri"/>
          <w:lang w:val="es-ES"/>
        </w:rPr>
      </w:pPr>
    </w:p>
    <w:p w:rsidR="00E85F49" w:rsidRDefault="00E85F49" w:rsidP="00E85F49">
      <w:pPr>
        <w:spacing w:line="360" w:lineRule="auto"/>
        <w:ind w:firstLine="284"/>
        <w:jc w:val="both"/>
        <w:rPr>
          <w:rFonts w:eastAsia="Calibri"/>
          <w:lang w:val="es-ES"/>
        </w:rPr>
      </w:pPr>
      <w:r w:rsidRPr="000E201C">
        <w:rPr>
          <w:rFonts w:eastAsia="Calibri"/>
          <w:lang w:val="es-ES"/>
        </w:rPr>
        <w:t>La mayor participación a los valores de PIB en cada uno de los 8 departamentos analizados y el valor nacional para el año 2013, lo aporta el sector financiero con un valor mínimo del 3,3% registrado en el departamento de Meta y el más alto de 33,2% registrado en Bogotá D.C., la importancia de este sector en el PIB nacional es del 18,8%. En segundo lugar de importancia nacional</w:t>
      </w:r>
      <w:r w:rsidR="00F67735">
        <w:rPr>
          <w:rFonts w:eastAsia="Calibri"/>
          <w:lang w:val="es-ES"/>
        </w:rPr>
        <w:t>,</w:t>
      </w:r>
      <w:r w:rsidRPr="000E201C">
        <w:rPr>
          <w:rFonts w:eastAsia="Calibri"/>
          <w:lang w:val="es-ES"/>
        </w:rPr>
        <w:t xml:space="preserve"> se encuentra el sector servicios (16,0%), en tercer lugar</w:t>
      </w:r>
      <w:r w:rsidR="00F67735">
        <w:rPr>
          <w:rFonts w:eastAsia="Calibri"/>
          <w:lang w:val="es-ES"/>
        </w:rPr>
        <w:t xml:space="preserve">, </w:t>
      </w:r>
      <w:r w:rsidRPr="000E201C">
        <w:rPr>
          <w:rFonts w:eastAsia="Calibri"/>
          <w:lang w:val="es-ES"/>
        </w:rPr>
        <w:t>se encue</w:t>
      </w:r>
      <w:r w:rsidR="00F67735">
        <w:rPr>
          <w:rFonts w:eastAsia="Calibri"/>
          <w:lang w:val="es-ES"/>
        </w:rPr>
        <w:t>ntra el sector comercio (11,4%);</w:t>
      </w:r>
      <w:r w:rsidRPr="000E201C">
        <w:rPr>
          <w:rFonts w:eastAsia="Calibri"/>
          <w:lang w:val="es-ES"/>
        </w:rPr>
        <w:t xml:space="preserve"> mientras que en el cuarto lugar</w:t>
      </w:r>
      <w:r w:rsidR="00F67735">
        <w:rPr>
          <w:rFonts w:eastAsia="Calibri"/>
          <w:lang w:val="es-ES"/>
        </w:rPr>
        <w:t>,</w:t>
      </w:r>
      <w:r w:rsidRPr="000E201C">
        <w:rPr>
          <w:rFonts w:eastAsia="Calibri"/>
          <w:lang w:val="es-ES"/>
        </w:rPr>
        <w:t xml:space="preserve"> está el sector industria (11,2%).</w:t>
      </w:r>
    </w:p>
    <w:p w:rsidR="00F67735" w:rsidRPr="000E201C" w:rsidRDefault="00F67735" w:rsidP="00E85F49">
      <w:pPr>
        <w:spacing w:line="360" w:lineRule="auto"/>
        <w:ind w:firstLine="284"/>
        <w:jc w:val="both"/>
        <w:rPr>
          <w:rFonts w:eastAsia="Calibri"/>
          <w:lang w:val="es-ES"/>
        </w:rPr>
      </w:pPr>
    </w:p>
    <w:p w:rsidR="00E85F49" w:rsidRPr="00F67735" w:rsidRDefault="00E85F49" w:rsidP="00F67735">
      <w:pPr>
        <w:rPr>
          <w:rFonts w:eastAsia="Calibri"/>
          <w:lang w:val="es-ES"/>
        </w:rPr>
      </w:pPr>
      <w:r w:rsidRPr="00F67735">
        <w:rPr>
          <w:rFonts w:eastAsia="Calibri"/>
          <w:lang w:val="es-ES"/>
        </w:rPr>
        <w:lastRenderedPageBreak/>
        <w:t>Gráfico 15.5</w:t>
      </w:r>
    </w:p>
    <w:p w:rsidR="00E85F49" w:rsidRPr="00F67735" w:rsidRDefault="00E85F49" w:rsidP="00F67735">
      <w:pPr>
        <w:rPr>
          <w:rFonts w:eastAsia="Calibri"/>
          <w:lang w:val="es-ES"/>
        </w:rPr>
      </w:pPr>
      <w:r w:rsidRPr="00F67735">
        <w:rPr>
          <w:rFonts w:eastAsia="Calibri"/>
          <w:lang w:val="es-ES"/>
        </w:rPr>
        <w:t>Composición del PIB Eje Cafetero</w:t>
      </w:r>
    </w:p>
    <w:p w:rsidR="00E85F49" w:rsidRDefault="00E85F49" w:rsidP="00F67735">
      <w:pPr>
        <w:rPr>
          <w:rFonts w:eastAsia="Calibri"/>
          <w:lang w:val="es-ES"/>
        </w:rPr>
      </w:pPr>
      <w:r w:rsidRPr="00F67735">
        <w:rPr>
          <w:rFonts w:eastAsia="Calibri"/>
          <w:lang w:val="es-ES"/>
        </w:rPr>
        <w:t>Vigencia 2013</w:t>
      </w:r>
    </w:p>
    <w:p w:rsidR="00F67735" w:rsidRPr="00F67735" w:rsidRDefault="00F67735" w:rsidP="00F67735">
      <w:pPr>
        <w:rPr>
          <w:rFonts w:eastAsia="Calibri"/>
          <w:lang w:val="es-ES"/>
        </w:rPr>
      </w:pPr>
    </w:p>
    <w:p w:rsidR="00E85F49" w:rsidRPr="000E201C" w:rsidRDefault="00E85F49" w:rsidP="00E85F49">
      <w:pPr>
        <w:spacing w:line="360" w:lineRule="auto"/>
        <w:rPr>
          <w:rFonts w:eastAsia="Calibri"/>
          <w:lang w:val="es-ES"/>
        </w:rPr>
      </w:pPr>
      <w:r w:rsidRPr="000E201C">
        <w:rPr>
          <w:rFonts w:eastAsia="Calibri"/>
          <w:noProof/>
        </w:rPr>
        <w:drawing>
          <wp:inline distT="0" distB="0" distL="0" distR="0" wp14:anchorId="08FC42DE" wp14:editId="509DE995">
            <wp:extent cx="5477069" cy="2416628"/>
            <wp:effectExtent l="0" t="0" r="9525" b="22225"/>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E85F49" w:rsidRPr="000E201C" w:rsidRDefault="00E85F49" w:rsidP="00E85F49">
      <w:pPr>
        <w:spacing w:line="360" w:lineRule="auto"/>
        <w:rPr>
          <w:rFonts w:eastAsia="Calibri"/>
          <w:lang w:val="es-ES"/>
        </w:rPr>
      </w:pPr>
      <w:r w:rsidRPr="000E201C">
        <w:rPr>
          <w:rFonts w:eastAsia="Calibri"/>
          <w:lang w:val="es-MX"/>
        </w:rPr>
        <w:t xml:space="preserve">Fuente: </w:t>
      </w:r>
      <w:r w:rsidR="008F5FB2">
        <w:rPr>
          <w:rFonts w:eastAsia="Calibri"/>
          <w:lang w:val="es-MX"/>
        </w:rPr>
        <w:t>DANE</w:t>
      </w:r>
      <w:r w:rsidRPr="000E201C">
        <w:rPr>
          <w:rFonts w:eastAsia="Calibri"/>
          <w:lang w:val="es-MX"/>
        </w:rPr>
        <w:t>, cuentas regionales 2013, precios constantes 2000.</w:t>
      </w:r>
    </w:p>
    <w:p w:rsidR="00E85F49" w:rsidRPr="000E201C" w:rsidRDefault="00E85F49" w:rsidP="00E85F49">
      <w:pPr>
        <w:spacing w:line="360" w:lineRule="auto"/>
        <w:ind w:firstLine="284"/>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t xml:space="preserve">En el Eje Cafetero para el 2013 el sector servicios se destaca por presentar el aporte porcentual más alto dentro de la generación de valor agregado local ya que se encuentra en un rango aproximado entre un 19% y 21%. Aquí se destaca el departamento del Quindío, el cual cuenta con el porcentaje más alto dentro del Eje Cafetero. El sector financiero registra el segundo lugar de importancia en el PIB, en especial para los departamentos de Caldas y Risaralda; </w:t>
      </w:r>
      <w:r w:rsidR="00C771DC">
        <w:rPr>
          <w:rFonts w:eastAsia="Calibri"/>
          <w:lang w:val="es-ES"/>
        </w:rPr>
        <w:t xml:space="preserve"> </w:t>
      </w:r>
      <w:r w:rsidRPr="000E201C">
        <w:rPr>
          <w:rFonts w:eastAsia="Calibri"/>
          <w:lang w:val="es-ES"/>
        </w:rPr>
        <w:t>por su parte, el Quindío reporta como segundo lugar de importancia el sector de la construcción c</w:t>
      </w:r>
      <w:r w:rsidR="00C771DC">
        <w:rPr>
          <w:rFonts w:eastAsia="Calibri"/>
          <w:lang w:val="es-ES"/>
        </w:rPr>
        <w:t xml:space="preserve">on una participación porcentual </w:t>
      </w:r>
      <w:r w:rsidRPr="000E201C">
        <w:rPr>
          <w:rFonts w:eastAsia="Calibri"/>
          <w:lang w:val="es-ES"/>
        </w:rPr>
        <w:t>del</w:t>
      </w:r>
      <w:r w:rsidR="00C771DC">
        <w:rPr>
          <w:rFonts w:eastAsia="Calibri"/>
          <w:lang w:val="es-ES"/>
        </w:rPr>
        <w:t xml:space="preserve"> </w:t>
      </w:r>
      <w:r w:rsidRPr="000E201C">
        <w:rPr>
          <w:rFonts w:eastAsia="Calibri"/>
          <w:lang w:val="es-ES"/>
        </w:rPr>
        <w:t>15,4% dentro del PIB total departamental.</w:t>
      </w:r>
    </w:p>
    <w:p w:rsidR="00F67735" w:rsidRDefault="00F67735" w:rsidP="00E85F49">
      <w:pPr>
        <w:spacing w:line="360" w:lineRule="auto"/>
        <w:ind w:firstLine="284"/>
        <w:jc w:val="both"/>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t>Vale la pena destacar que en el comparativo nacional para el año 2013, el sector financiero es el que mayor participación presenta en la generación de valor agregado en la economía, sin embargo servicios siendo segundo en orden de importancia dentro de este análisis, en el Eje Cafetero  registra mayor peso como actividad económica y donde no se evidencian diferencias marcadas en relación a la composición del Producto interno; no obstante, el Quindío registra unas particularidades que son importantes tener en cuenta como la participación de la construcción y el comercio dentro de la dinámica económica.</w:t>
      </w:r>
    </w:p>
    <w:p w:rsidR="00E85F49" w:rsidRPr="00E921E2" w:rsidRDefault="00E85F49" w:rsidP="00E85F49">
      <w:pPr>
        <w:pStyle w:val="Ttulo2"/>
        <w:spacing w:before="0"/>
        <w:rPr>
          <w:rFonts w:ascii="Times New Roman" w:eastAsia="Times New Roman" w:hAnsi="Times New Roman" w:cs="Times New Roman"/>
          <w:color w:val="auto"/>
          <w:sz w:val="30"/>
          <w:szCs w:val="30"/>
          <w:lang w:val="es-ES"/>
        </w:rPr>
      </w:pPr>
      <w:bookmarkStart w:id="112" w:name="_Toc406754365"/>
      <w:r w:rsidRPr="00E921E2">
        <w:rPr>
          <w:rFonts w:ascii="Times New Roman" w:eastAsia="Times New Roman" w:hAnsi="Times New Roman" w:cs="Times New Roman"/>
          <w:color w:val="auto"/>
          <w:sz w:val="30"/>
          <w:szCs w:val="30"/>
          <w:lang w:val="es-ES"/>
        </w:rPr>
        <w:lastRenderedPageBreak/>
        <w:t>15.2 PIB Per cápita</w:t>
      </w:r>
      <w:bookmarkEnd w:id="112"/>
    </w:p>
    <w:p w:rsidR="00E85F49" w:rsidRPr="000E201C" w:rsidRDefault="00E85F49" w:rsidP="00E85F49">
      <w:pPr>
        <w:spacing w:line="360" w:lineRule="auto"/>
        <w:jc w:val="both"/>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t>El PIB per cápita es la relación entre el producto interno bruto y la población total, este sirve como medida del esfuerzo económico y del nivel de vida de la población. Adicionalmente, constituye un indicador útil para para analizar de forma indirecta la calidad de vida de la población dentro de la economía, dado que el estándar de vida en principio debe de incrementarse a medida que aumenta el PIB per cápita.</w:t>
      </w:r>
    </w:p>
    <w:p w:rsidR="00E85F49" w:rsidRDefault="00E85F49" w:rsidP="00E85F49">
      <w:pPr>
        <w:spacing w:line="360" w:lineRule="auto"/>
        <w:ind w:left="284"/>
        <w:jc w:val="center"/>
        <w:rPr>
          <w:rFonts w:eastAsia="Calibri"/>
          <w:b/>
          <w:lang w:val="es-ES"/>
        </w:rPr>
      </w:pPr>
    </w:p>
    <w:p w:rsidR="00E85F49" w:rsidRPr="00E921E2" w:rsidRDefault="00E85F49" w:rsidP="00E921E2">
      <w:pPr>
        <w:ind w:left="284"/>
        <w:rPr>
          <w:rFonts w:eastAsia="Calibri"/>
          <w:lang w:val="es-ES"/>
        </w:rPr>
      </w:pPr>
      <w:r w:rsidRPr="00E921E2">
        <w:rPr>
          <w:rFonts w:eastAsia="Calibri"/>
          <w:lang w:val="es-ES"/>
        </w:rPr>
        <w:t>Gráfico 15.6</w:t>
      </w:r>
    </w:p>
    <w:p w:rsidR="00E85F49" w:rsidRPr="00E921E2" w:rsidRDefault="00E85F49" w:rsidP="00E921E2">
      <w:pPr>
        <w:ind w:left="284"/>
        <w:rPr>
          <w:rFonts w:eastAsia="Calibri"/>
          <w:lang w:val="es-ES"/>
        </w:rPr>
      </w:pPr>
      <w:r w:rsidRPr="00E921E2">
        <w:rPr>
          <w:rFonts w:eastAsia="Calibri"/>
          <w:lang w:val="es-ES"/>
        </w:rPr>
        <w:t>PIB Per cápita según países en dólares a precios actuales</w:t>
      </w:r>
    </w:p>
    <w:p w:rsidR="00E85F49" w:rsidRDefault="00E85F49" w:rsidP="00E921E2">
      <w:pPr>
        <w:ind w:left="284"/>
        <w:rPr>
          <w:rFonts w:eastAsia="Calibri"/>
          <w:lang w:val="es-ES"/>
        </w:rPr>
      </w:pPr>
      <w:r w:rsidRPr="00E921E2">
        <w:rPr>
          <w:rFonts w:eastAsia="Calibri"/>
          <w:lang w:val="es-ES"/>
        </w:rPr>
        <w:t>Vigencia 2013</w:t>
      </w:r>
    </w:p>
    <w:p w:rsidR="00E921E2" w:rsidRPr="00E921E2" w:rsidRDefault="00E921E2" w:rsidP="00E921E2">
      <w:pPr>
        <w:ind w:left="284"/>
        <w:rPr>
          <w:rFonts w:eastAsia="Calibri"/>
          <w:lang w:val="es-ES"/>
        </w:rPr>
      </w:pPr>
    </w:p>
    <w:p w:rsidR="00E85F49" w:rsidRPr="000E201C" w:rsidRDefault="00E85F49" w:rsidP="00E85F49">
      <w:pPr>
        <w:spacing w:line="360" w:lineRule="auto"/>
        <w:jc w:val="center"/>
        <w:rPr>
          <w:rFonts w:eastAsia="Calibri"/>
          <w:lang w:val="es-ES"/>
        </w:rPr>
      </w:pPr>
      <w:r w:rsidRPr="000E201C">
        <w:rPr>
          <w:rFonts w:eastAsia="Calibri"/>
          <w:noProof/>
        </w:rPr>
        <w:drawing>
          <wp:inline distT="0" distB="0" distL="0" distR="0" wp14:anchorId="1D551140" wp14:editId="638383DD">
            <wp:extent cx="5188688" cy="442445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93122" cy="4428236"/>
                    </a:xfrm>
                    <a:prstGeom prst="rect">
                      <a:avLst/>
                    </a:prstGeom>
                    <a:noFill/>
                    <a:ln>
                      <a:noFill/>
                    </a:ln>
                  </pic:spPr>
                </pic:pic>
              </a:graphicData>
            </a:graphic>
          </wp:inline>
        </w:drawing>
      </w:r>
    </w:p>
    <w:p w:rsidR="00E85F49" w:rsidRPr="000E201C" w:rsidRDefault="00E85F49" w:rsidP="00E921E2">
      <w:pPr>
        <w:spacing w:line="360" w:lineRule="auto"/>
        <w:ind w:firstLine="708"/>
        <w:jc w:val="both"/>
        <w:rPr>
          <w:rFonts w:eastAsia="Calibri"/>
          <w:sz w:val="16"/>
          <w:lang w:val="es-ES"/>
        </w:rPr>
      </w:pPr>
      <w:r w:rsidRPr="000E201C">
        <w:rPr>
          <w:rFonts w:eastAsia="Calibri"/>
          <w:sz w:val="16"/>
          <w:lang w:val="es-ES"/>
        </w:rPr>
        <w:t>Fuente: Banco Mundial. Banco de Datos. Elaboración propia.</w:t>
      </w:r>
    </w:p>
    <w:p w:rsidR="00E85F49" w:rsidRPr="000E201C" w:rsidRDefault="00E85F49" w:rsidP="00E85F49">
      <w:pPr>
        <w:spacing w:line="360" w:lineRule="auto"/>
        <w:jc w:val="both"/>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lastRenderedPageBreak/>
        <w:t>De acuerdo con la información disponible del Banco Mundial para 199 países, el PIB per cápita más alto para el 2013 a nivel mundial</w:t>
      </w:r>
      <w:r w:rsidR="00E921E2">
        <w:rPr>
          <w:rFonts w:eastAsia="Calibri"/>
          <w:lang w:val="es-ES"/>
        </w:rPr>
        <w:t xml:space="preserve">, </w:t>
      </w:r>
      <w:r w:rsidRPr="000E201C">
        <w:rPr>
          <w:rFonts w:eastAsia="Calibri"/>
          <w:lang w:val="es-ES"/>
        </w:rPr>
        <w:t xml:space="preserve"> lo presentan países como Luxemburgo con  $111.161,69 USD, Noruega con $100.818,50 USD y Qatar $93.352,02 USD. Por su parte, países Africanos como Malawi, Burundi y República Centroafricana presentan los ingresos por habitantes más precarios en el mundo con PIB Per cápita del orden de $226,46 USD,  $267,48 USD y $333,20 USD; respectivamente.</w:t>
      </w:r>
    </w:p>
    <w:p w:rsidR="00E85F49" w:rsidRPr="000E201C" w:rsidRDefault="00E85F49" w:rsidP="00E85F49">
      <w:pPr>
        <w:spacing w:line="360" w:lineRule="auto"/>
        <w:ind w:firstLine="284"/>
        <w:jc w:val="both"/>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t xml:space="preserve">A nivel mundial, para el año 2013 en Colombia el ingreso per cápita en dólares es de  $7.825,68, comparado con países como Japón cuyo PIB per cápita es de $38.492,09 USD o Estados Unidos donde este es de $53.142,89 USD, indica que el país aún está lejos de ser una nación desarrollada.  </w:t>
      </w:r>
    </w:p>
    <w:p w:rsidR="00E85F49" w:rsidRPr="000E201C" w:rsidRDefault="00E85F49" w:rsidP="00E85F49">
      <w:pPr>
        <w:spacing w:line="360" w:lineRule="auto"/>
        <w:jc w:val="both"/>
        <w:rPr>
          <w:rFonts w:eastAsia="Calibri"/>
          <w:lang w:val="es-ES"/>
        </w:rPr>
      </w:pPr>
    </w:p>
    <w:p w:rsidR="00E85F49" w:rsidRPr="00AD2074" w:rsidRDefault="00E85F49" w:rsidP="00AD2074">
      <w:pPr>
        <w:rPr>
          <w:rFonts w:eastAsia="Calibri"/>
          <w:lang w:val="es-ES"/>
        </w:rPr>
      </w:pPr>
      <w:r w:rsidRPr="00AD2074">
        <w:rPr>
          <w:rFonts w:eastAsia="Calibri"/>
          <w:lang w:val="es-ES"/>
        </w:rPr>
        <w:t>Gráfico 15.7</w:t>
      </w:r>
    </w:p>
    <w:p w:rsidR="00E85F49" w:rsidRPr="00AD2074" w:rsidRDefault="00E85F49" w:rsidP="00AD2074">
      <w:pPr>
        <w:rPr>
          <w:rFonts w:eastAsia="Calibri"/>
          <w:lang w:val="es-ES"/>
        </w:rPr>
      </w:pPr>
      <w:r w:rsidRPr="00AD2074">
        <w:rPr>
          <w:rFonts w:eastAsia="Calibri"/>
          <w:lang w:val="es-ES"/>
        </w:rPr>
        <w:t>PIB Per cápita para Latinoamérica en dólares a precios actuales</w:t>
      </w:r>
    </w:p>
    <w:p w:rsidR="00E85F49" w:rsidRDefault="00E85F49" w:rsidP="00AD2074">
      <w:pPr>
        <w:rPr>
          <w:rFonts w:eastAsia="Calibri"/>
          <w:lang w:val="es-ES"/>
        </w:rPr>
      </w:pPr>
      <w:r w:rsidRPr="00AD2074">
        <w:rPr>
          <w:rFonts w:eastAsia="Calibri"/>
          <w:lang w:val="es-ES"/>
        </w:rPr>
        <w:t>Vigencia 2013</w:t>
      </w:r>
    </w:p>
    <w:p w:rsidR="00AD2074" w:rsidRPr="00AD2074" w:rsidRDefault="00AD2074" w:rsidP="00AD2074">
      <w:pPr>
        <w:rPr>
          <w:rFonts w:eastAsia="Calibri"/>
          <w:lang w:val="es-ES"/>
        </w:rPr>
      </w:pPr>
    </w:p>
    <w:p w:rsidR="00E85F49" w:rsidRPr="000E201C" w:rsidRDefault="00E85F49" w:rsidP="00E85F49">
      <w:pPr>
        <w:spacing w:line="360" w:lineRule="auto"/>
        <w:jc w:val="center"/>
        <w:rPr>
          <w:rFonts w:eastAsia="Calibri"/>
          <w:lang w:val="es-ES"/>
        </w:rPr>
      </w:pPr>
      <w:r w:rsidRPr="000E201C">
        <w:rPr>
          <w:rFonts w:eastAsia="Calibri"/>
          <w:noProof/>
        </w:rPr>
        <w:drawing>
          <wp:inline distT="0" distB="0" distL="0" distR="0" wp14:anchorId="4766974B" wp14:editId="45C6E233">
            <wp:extent cx="5229225" cy="2743200"/>
            <wp:effectExtent l="0" t="0" r="9525" b="19050"/>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E85F49" w:rsidRPr="000E201C" w:rsidRDefault="00E85F49" w:rsidP="005D4077">
      <w:pPr>
        <w:spacing w:line="360" w:lineRule="auto"/>
        <w:ind w:firstLine="708"/>
        <w:jc w:val="both"/>
        <w:rPr>
          <w:rFonts w:eastAsia="Calibri"/>
          <w:sz w:val="16"/>
          <w:lang w:val="es-ES"/>
        </w:rPr>
      </w:pPr>
      <w:r w:rsidRPr="000E201C">
        <w:rPr>
          <w:rFonts w:eastAsia="Calibri"/>
          <w:sz w:val="16"/>
          <w:lang w:val="es-ES"/>
        </w:rPr>
        <w:t>Fuente: Banco Mundial. Banco de Datos. Elaboración propia.</w:t>
      </w:r>
    </w:p>
    <w:p w:rsidR="00E85F49" w:rsidRPr="000E201C" w:rsidRDefault="00E85F49" w:rsidP="00E85F49">
      <w:pPr>
        <w:spacing w:line="360" w:lineRule="auto"/>
        <w:jc w:val="both"/>
        <w:rPr>
          <w:rFonts w:eastAsia="Calibri"/>
          <w:lang w:val="es-ES"/>
        </w:rPr>
      </w:pPr>
    </w:p>
    <w:p w:rsidR="005D4077" w:rsidRDefault="005D4077" w:rsidP="00E85F49">
      <w:pPr>
        <w:spacing w:line="360" w:lineRule="auto"/>
        <w:ind w:firstLine="284"/>
        <w:jc w:val="both"/>
        <w:rPr>
          <w:rFonts w:eastAsia="Calibri"/>
          <w:lang w:val="es-ES"/>
        </w:rPr>
      </w:pPr>
    </w:p>
    <w:p w:rsidR="005D4077" w:rsidRDefault="005D4077" w:rsidP="00E85F49">
      <w:pPr>
        <w:spacing w:line="360" w:lineRule="auto"/>
        <w:ind w:firstLine="284"/>
        <w:jc w:val="both"/>
        <w:rPr>
          <w:rFonts w:eastAsia="Calibri"/>
          <w:lang w:val="es-ES"/>
        </w:rPr>
      </w:pPr>
    </w:p>
    <w:p w:rsidR="00E85F49" w:rsidRPr="000E201C" w:rsidRDefault="00E85F49" w:rsidP="00E85F49">
      <w:pPr>
        <w:spacing w:line="360" w:lineRule="auto"/>
        <w:ind w:firstLine="284"/>
        <w:jc w:val="both"/>
        <w:rPr>
          <w:rFonts w:eastAsia="Calibri"/>
          <w:lang w:val="es-ES"/>
        </w:rPr>
      </w:pPr>
      <w:r w:rsidRPr="000E201C">
        <w:rPr>
          <w:rFonts w:eastAsia="Calibri"/>
          <w:lang w:val="es-ES"/>
        </w:rPr>
        <w:lastRenderedPageBreak/>
        <w:t>A nivel de Latinoamérica, Uruguay se destaca al presentar un PIB per cápita de $16.350,73 USD, el cual es el más alto de la región, seguido de Chile con $15.732,31 USD y Argentina con $14.760,20 USD. Estos países presentan cerca del doble del ingreso por habitante que percibimos los colombianos ($7.825,68 USD) y que muestra la brecha de ingresos existente dentro de Latinoamérica. Un extremo importante lo registra Haití, país que presenta un PIB per cápita de tan solo $819,90 USD,  ubicándose como el país el más pobre en la región; así mismo, países como Nicaragua y Honduras presentan ingresos por habitante por debajo de los $3.000 USD, lo cual los caracteriza como países pobres.</w:t>
      </w:r>
    </w:p>
    <w:p w:rsidR="00E85F49" w:rsidRPr="000E201C" w:rsidRDefault="00E85F49" w:rsidP="00E85F49">
      <w:pPr>
        <w:spacing w:line="360" w:lineRule="auto"/>
        <w:ind w:firstLine="284"/>
        <w:jc w:val="both"/>
        <w:rPr>
          <w:rFonts w:eastAsia="Calibri"/>
          <w:lang w:val="es-ES"/>
        </w:rPr>
      </w:pPr>
    </w:p>
    <w:p w:rsidR="00E85F49" w:rsidRPr="00803754" w:rsidRDefault="00E85F49" w:rsidP="00803754">
      <w:pPr>
        <w:ind w:left="284"/>
        <w:rPr>
          <w:rFonts w:eastAsia="Calibri"/>
          <w:lang w:val="es-ES"/>
        </w:rPr>
      </w:pPr>
      <w:r w:rsidRPr="00803754">
        <w:rPr>
          <w:rFonts w:eastAsia="Calibri"/>
          <w:lang w:val="es-ES"/>
        </w:rPr>
        <w:t>Gráfico 15.8</w:t>
      </w:r>
    </w:p>
    <w:p w:rsidR="00E85F49" w:rsidRPr="00803754" w:rsidRDefault="00E85F49" w:rsidP="00803754">
      <w:pPr>
        <w:ind w:left="284"/>
        <w:rPr>
          <w:rFonts w:eastAsia="Calibri"/>
          <w:lang w:val="es-ES"/>
        </w:rPr>
      </w:pPr>
      <w:r w:rsidRPr="00803754">
        <w:rPr>
          <w:rFonts w:eastAsia="Calibri"/>
          <w:lang w:val="es-ES"/>
        </w:rPr>
        <w:t>Comportamiento del PIB Per cápita de Colombia a precios corrientes</w:t>
      </w:r>
    </w:p>
    <w:p w:rsidR="00E85F49" w:rsidRDefault="00E85F49" w:rsidP="00803754">
      <w:pPr>
        <w:ind w:left="284"/>
        <w:rPr>
          <w:rFonts w:eastAsia="Calibri"/>
          <w:lang w:val="es-ES"/>
        </w:rPr>
      </w:pPr>
      <w:r w:rsidRPr="00803754">
        <w:rPr>
          <w:rFonts w:eastAsia="Calibri"/>
          <w:lang w:val="es-ES"/>
        </w:rPr>
        <w:t>Vigencia 2013</w:t>
      </w:r>
    </w:p>
    <w:p w:rsidR="00803754" w:rsidRPr="00803754" w:rsidRDefault="00803754" w:rsidP="00803754">
      <w:pPr>
        <w:ind w:left="284"/>
        <w:rPr>
          <w:rFonts w:eastAsia="Calibri"/>
          <w:lang w:val="es-ES"/>
        </w:rPr>
      </w:pPr>
    </w:p>
    <w:p w:rsidR="00E85F49" w:rsidRPr="000E201C" w:rsidRDefault="00E85F49" w:rsidP="00E85F49">
      <w:pPr>
        <w:spacing w:line="360" w:lineRule="auto"/>
        <w:jc w:val="center"/>
        <w:rPr>
          <w:rFonts w:eastAsia="Calibri"/>
          <w:lang w:val="es-ES"/>
        </w:rPr>
      </w:pPr>
      <w:r w:rsidRPr="000E201C">
        <w:rPr>
          <w:rFonts w:eastAsia="Calibri"/>
          <w:noProof/>
        </w:rPr>
        <w:drawing>
          <wp:inline distT="0" distB="0" distL="0" distR="0" wp14:anchorId="79E0A314" wp14:editId="39DD2D54">
            <wp:extent cx="6163293" cy="2980707"/>
            <wp:effectExtent l="0" t="0" r="9525" b="1016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E85F49" w:rsidRPr="000E201C" w:rsidRDefault="00E85F49" w:rsidP="00E85F49">
      <w:pPr>
        <w:spacing w:line="360" w:lineRule="auto"/>
        <w:jc w:val="both"/>
        <w:rPr>
          <w:rFonts w:eastAsia="Calibri"/>
          <w:sz w:val="16"/>
          <w:lang w:val="en-US"/>
        </w:rPr>
      </w:pPr>
      <w:r w:rsidRPr="000E201C">
        <w:rPr>
          <w:rFonts w:eastAsia="Calibri"/>
          <w:sz w:val="16"/>
          <w:lang w:val="en-US"/>
        </w:rPr>
        <w:t>Fuente: International Monetary Fund, World Economic Outlook Database, October 2014</w:t>
      </w:r>
    </w:p>
    <w:p w:rsidR="00E85F49" w:rsidRPr="000E201C" w:rsidRDefault="00E85F49" w:rsidP="00E85F49">
      <w:pPr>
        <w:spacing w:line="360" w:lineRule="auto"/>
        <w:jc w:val="both"/>
        <w:rPr>
          <w:rFonts w:eastAsia="Calibri"/>
          <w:lang w:val="en-US"/>
        </w:rPr>
      </w:pPr>
    </w:p>
    <w:p w:rsidR="00E85F49" w:rsidRPr="000E201C" w:rsidRDefault="00661A11" w:rsidP="00E85F49">
      <w:pPr>
        <w:spacing w:line="360" w:lineRule="auto"/>
        <w:ind w:firstLine="284"/>
        <w:jc w:val="both"/>
        <w:rPr>
          <w:rFonts w:eastAsia="Calibri"/>
        </w:rPr>
      </w:pPr>
      <w:r w:rsidRPr="000E201C">
        <w:rPr>
          <w:rFonts w:eastAsia="Calibri"/>
        </w:rPr>
        <w:t xml:space="preserve">De </w:t>
      </w:r>
      <w:r w:rsidR="00E85F49" w:rsidRPr="000E201C">
        <w:rPr>
          <w:rFonts w:eastAsia="Calibri"/>
        </w:rPr>
        <w:t xml:space="preserve">acuerdo con los cálculos y proyecciones del Fondo Monetario Internacional, para Colombia se prevé un crecimiento del PIB per cápita promedio a precios corrientes en la moneda nacional del 6,2% al 2019; esto significa que para el 2014 se estima que este se ubicará en $16.259.117,82 </w:t>
      </w:r>
      <w:r>
        <w:rPr>
          <w:rFonts w:eastAsia="Calibri"/>
        </w:rPr>
        <w:t xml:space="preserve"> pesos </w:t>
      </w:r>
      <w:r w:rsidR="00E85F49" w:rsidRPr="000E201C">
        <w:rPr>
          <w:rFonts w:eastAsia="Calibri"/>
        </w:rPr>
        <w:t>y para el 2019 se proyecta en $21.973.384,96</w:t>
      </w:r>
      <w:r>
        <w:rPr>
          <w:rFonts w:eastAsia="Calibri"/>
        </w:rPr>
        <w:t xml:space="preserve"> pesos</w:t>
      </w:r>
      <w:r w:rsidR="00E85F49" w:rsidRPr="000E201C">
        <w:rPr>
          <w:rFonts w:eastAsia="Calibri"/>
        </w:rPr>
        <w:t xml:space="preserve">. Desde 1980, el comportamiento de los ingresos por habitante del país ha registrado una </w:t>
      </w:r>
      <w:r w:rsidR="00E85F49" w:rsidRPr="000E201C">
        <w:rPr>
          <w:rFonts w:eastAsia="Calibri"/>
        </w:rPr>
        <w:lastRenderedPageBreak/>
        <w:t>tendencia positiva, lo que implica que el PIB per cápita ha crecido en los últimos 40 años en una proporción mayor a la del crecimiento del total poblacional.</w:t>
      </w:r>
    </w:p>
    <w:p w:rsidR="00E85F49" w:rsidRPr="000E201C" w:rsidRDefault="00E85F49" w:rsidP="00E85F49">
      <w:pPr>
        <w:spacing w:line="360" w:lineRule="auto"/>
        <w:ind w:firstLine="284"/>
        <w:jc w:val="both"/>
        <w:rPr>
          <w:rFonts w:eastAsia="Calibri"/>
        </w:rPr>
      </w:pPr>
    </w:p>
    <w:p w:rsidR="00E85F49" w:rsidRPr="000E201C" w:rsidRDefault="00E85F49" w:rsidP="00E85F49">
      <w:pPr>
        <w:spacing w:line="360" w:lineRule="auto"/>
        <w:ind w:firstLine="284"/>
        <w:jc w:val="both"/>
        <w:rPr>
          <w:rFonts w:eastAsia="Calibri"/>
        </w:rPr>
      </w:pPr>
      <w:r w:rsidRPr="000E201C">
        <w:rPr>
          <w:rFonts w:eastAsia="Calibri"/>
        </w:rPr>
        <w:t>El PIB per cápita se encuentra correlacionado con la calidad de vida de los habitantes, aspecto que denota importancia en su seguimiento. A nivel nacional, para la vigencia 2013 los departamentos con PIB per cápita más alto son: Casanare, Meta y Santander con valores de $46.</w:t>
      </w:r>
      <w:r>
        <w:rPr>
          <w:rFonts w:eastAsia="Calibri"/>
        </w:rPr>
        <w:t>006.278</w:t>
      </w:r>
      <w:r w:rsidR="00594143">
        <w:rPr>
          <w:rFonts w:eastAsia="Calibri"/>
        </w:rPr>
        <w:t xml:space="preserve"> pesos</w:t>
      </w:r>
      <w:r>
        <w:rPr>
          <w:rFonts w:eastAsia="Calibri"/>
        </w:rPr>
        <w:t>, $45.619.335</w:t>
      </w:r>
      <w:r w:rsidR="00594143">
        <w:rPr>
          <w:rFonts w:eastAsia="Calibri"/>
        </w:rPr>
        <w:t xml:space="preserve"> pesos</w:t>
      </w:r>
      <w:r w:rsidRPr="000E201C">
        <w:rPr>
          <w:rFonts w:eastAsia="Calibri"/>
        </w:rPr>
        <w:t xml:space="preserve"> y $25.545.6</w:t>
      </w:r>
      <w:r>
        <w:rPr>
          <w:rFonts w:eastAsia="Calibri"/>
        </w:rPr>
        <w:t>82</w:t>
      </w:r>
      <w:r w:rsidR="00594143">
        <w:rPr>
          <w:rFonts w:eastAsia="Calibri"/>
        </w:rPr>
        <w:t xml:space="preserve"> pesos</w:t>
      </w:r>
      <w:r w:rsidRPr="000E201C">
        <w:rPr>
          <w:rFonts w:eastAsia="Calibri"/>
        </w:rPr>
        <w:t>, respectivamente. Los departamentos con PIB per cápita departamental cercano al nacional son: Valle, Antioquia, Boyacá, Arauca y Bogotá.</w:t>
      </w:r>
    </w:p>
    <w:p w:rsidR="00E85F49" w:rsidRPr="000E201C" w:rsidRDefault="00E85F49" w:rsidP="00E85F49">
      <w:pPr>
        <w:spacing w:line="360" w:lineRule="auto"/>
        <w:ind w:firstLine="284"/>
        <w:jc w:val="both"/>
        <w:rPr>
          <w:rFonts w:eastAsia="Calibri"/>
        </w:rPr>
      </w:pPr>
    </w:p>
    <w:p w:rsidR="00E85F49" w:rsidRPr="000E201C" w:rsidRDefault="00E85F49" w:rsidP="00E85F49">
      <w:pPr>
        <w:spacing w:line="360" w:lineRule="auto"/>
        <w:ind w:firstLine="284"/>
        <w:jc w:val="both"/>
        <w:rPr>
          <w:rFonts w:eastAsia="Calibri"/>
        </w:rPr>
      </w:pPr>
      <w:r w:rsidRPr="000E201C">
        <w:rPr>
          <w:rFonts w:eastAsia="Calibri"/>
        </w:rPr>
        <w:t>El departamento del Quindío se ubica en el puesto 19 con un PIB p</w:t>
      </w:r>
      <w:r>
        <w:rPr>
          <w:rFonts w:eastAsia="Calibri"/>
        </w:rPr>
        <w:t>or habitante de $9.522.889</w:t>
      </w:r>
      <w:r w:rsidR="00594143">
        <w:rPr>
          <w:rFonts w:eastAsia="Calibri"/>
        </w:rPr>
        <w:t xml:space="preserve"> pesos</w:t>
      </w:r>
      <w:r w:rsidRPr="000E201C">
        <w:rPr>
          <w:rFonts w:eastAsia="Calibri"/>
        </w:rPr>
        <w:t xml:space="preserve">, </w:t>
      </w:r>
      <w:r w:rsidR="00594143">
        <w:rPr>
          <w:rFonts w:eastAsia="Calibri"/>
        </w:rPr>
        <w:t xml:space="preserve"> lo que</w:t>
      </w:r>
      <w:r w:rsidRPr="000E201C">
        <w:rPr>
          <w:rFonts w:eastAsia="Calibri"/>
        </w:rPr>
        <w:t xml:space="preserve"> represent</w:t>
      </w:r>
      <w:r w:rsidR="00594143">
        <w:rPr>
          <w:rFonts w:eastAsia="Calibri"/>
        </w:rPr>
        <w:t>a</w:t>
      </w:r>
      <w:r w:rsidRPr="000E201C">
        <w:rPr>
          <w:rFonts w:eastAsia="Calibri"/>
        </w:rPr>
        <w:t xml:space="preserve"> un crecimiento del 3% respecto al año 2012 cuan</w:t>
      </w:r>
      <w:r>
        <w:rPr>
          <w:rFonts w:eastAsia="Calibri"/>
        </w:rPr>
        <w:t>do se ubicó en  $9.272.519</w:t>
      </w:r>
      <w:r w:rsidR="001267AF">
        <w:rPr>
          <w:rFonts w:eastAsia="Calibri"/>
        </w:rPr>
        <w:t xml:space="preserve"> pesos</w:t>
      </w:r>
      <w:r w:rsidRPr="000E201C">
        <w:rPr>
          <w:rFonts w:eastAsia="Calibri"/>
        </w:rPr>
        <w:t>. Por su parte, los departamentos con el PIB per cápita más bajo en el país son: Vaupés ($4.297.359</w:t>
      </w:r>
      <w:r w:rsidR="001267AF">
        <w:rPr>
          <w:rFonts w:eastAsia="Calibri"/>
        </w:rPr>
        <w:t xml:space="preserve"> pesos</w:t>
      </w:r>
      <w:r w:rsidRPr="000E201C">
        <w:rPr>
          <w:rFonts w:eastAsia="Calibri"/>
        </w:rPr>
        <w:t>), Guaviare ($5.596.012</w:t>
      </w:r>
      <w:r w:rsidR="001267AF">
        <w:rPr>
          <w:rFonts w:eastAsia="Calibri"/>
        </w:rPr>
        <w:t xml:space="preserve"> pesos</w:t>
      </w:r>
      <w:r w:rsidRPr="000E201C">
        <w:rPr>
          <w:rFonts w:eastAsia="Calibri"/>
        </w:rPr>
        <w:t>) y Vichada ($5.876.777</w:t>
      </w:r>
      <w:r w:rsidR="001267AF">
        <w:rPr>
          <w:rFonts w:eastAsia="Calibri"/>
        </w:rPr>
        <w:t xml:space="preserve"> pesos</w:t>
      </w:r>
      <w:r w:rsidRPr="000E201C">
        <w:rPr>
          <w:rFonts w:eastAsia="Calibri"/>
        </w:rPr>
        <w:t>); estos departamentos se alejan de manera drástica del promedio nacional; aspecto que evidencia la fuerte brecha de ingresos existente dentro del territorio nacional.</w:t>
      </w:r>
    </w:p>
    <w:p w:rsidR="00E85F49" w:rsidRPr="000E201C" w:rsidRDefault="00E85F49" w:rsidP="00E85F49">
      <w:pPr>
        <w:spacing w:line="360" w:lineRule="auto"/>
        <w:jc w:val="both"/>
        <w:rPr>
          <w:rFonts w:eastAsia="Calibri"/>
        </w:rPr>
      </w:pPr>
    </w:p>
    <w:p w:rsidR="00E85F49" w:rsidRPr="000E201C" w:rsidRDefault="00E85F49" w:rsidP="00E85F49">
      <w:pPr>
        <w:spacing w:line="360" w:lineRule="auto"/>
        <w:jc w:val="both"/>
        <w:rPr>
          <w:rFonts w:eastAsia="Calibri"/>
        </w:rPr>
      </w:pPr>
      <w:r w:rsidRPr="000E201C">
        <w:rPr>
          <w:rFonts w:eastAsia="Calibri"/>
        </w:rPr>
        <w:t xml:space="preserve">  </w:t>
      </w:r>
    </w:p>
    <w:p w:rsidR="00E85F49" w:rsidRPr="000E201C" w:rsidRDefault="00E85F49" w:rsidP="00E85F49">
      <w:pPr>
        <w:spacing w:line="360" w:lineRule="auto"/>
        <w:rPr>
          <w:rFonts w:eastAsia="Calibri"/>
        </w:rPr>
      </w:pPr>
    </w:p>
    <w:p w:rsidR="00E85F49" w:rsidRPr="000E201C" w:rsidRDefault="00E85F49" w:rsidP="00E85F49">
      <w:pPr>
        <w:spacing w:line="360" w:lineRule="auto"/>
        <w:rPr>
          <w:rFonts w:eastAsia="Calibri"/>
        </w:rPr>
      </w:pPr>
    </w:p>
    <w:p w:rsidR="00E85F49" w:rsidRPr="000E201C" w:rsidRDefault="00E85F49" w:rsidP="00E85F49">
      <w:pPr>
        <w:spacing w:line="360" w:lineRule="auto"/>
        <w:rPr>
          <w:rFonts w:eastAsia="Calibri"/>
        </w:rPr>
      </w:pPr>
    </w:p>
    <w:p w:rsidR="00E85F49" w:rsidRPr="000E201C" w:rsidRDefault="00E85F49" w:rsidP="00E85F49">
      <w:pPr>
        <w:spacing w:line="360" w:lineRule="auto"/>
        <w:rPr>
          <w:rFonts w:eastAsia="Calibri"/>
        </w:rPr>
      </w:pPr>
    </w:p>
    <w:p w:rsidR="00E85F49" w:rsidRPr="000E201C" w:rsidRDefault="00E85F49" w:rsidP="00E85F49">
      <w:pPr>
        <w:spacing w:line="360" w:lineRule="auto"/>
        <w:rPr>
          <w:rFonts w:eastAsia="Calibri"/>
        </w:rPr>
      </w:pPr>
    </w:p>
    <w:p w:rsidR="00E85F49" w:rsidRPr="000E201C" w:rsidRDefault="00E85F49" w:rsidP="00E85F49">
      <w:pPr>
        <w:spacing w:line="360" w:lineRule="auto"/>
        <w:rPr>
          <w:rFonts w:eastAsia="Calibri"/>
        </w:rPr>
      </w:pPr>
    </w:p>
    <w:p w:rsidR="00E85F49" w:rsidRPr="000E201C" w:rsidRDefault="00E85F49" w:rsidP="00E85F49">
      <w:pPr>
        <w:spacing w:line="360" w:lineRule="auto"/>
        <w:rPr>
          <w:rFonts w:eastAsia="Calibri"/>
        </w:rPr>
      </w:pPr>
    </w:p>
    <w:p w:rsidR="00E85F49" w:rsidRPr="000E201C" w:rsidRDefault="00E85F49" w:rsidP="00E85F49">
      <w:pPr>
        <w:spacing w:line="360" w:lineRule="auto"/>
        <w:rPr>
          <w:rFonts w:eastAsia="Calibri"/>
        </w:rPr>
      </w:pPr>
    </w:p>
    <w:p w:rsidR="00E85F49" w:rsidRPr="000E201C" w:rsidRDefault="00E85F49" w:rsidP="00E85F49">
      <w:pPr>
        <w:spacing w:line="360" w:lineRule="auto"/>
        <w:rPr>
          <w:rFonts w:eastAsia="Calibri"/>
          <w:lang w:val="es-ES"/>
        </w:rPr>
      </w:pPr>
    </w:p>
    <w:p w:rsidR="00E85F49" w:rsidRPr="000E201C" w:rsidRDefault="00E85F49" w:rsidP="00E85F49">
      <w:pPr>
        <w:spacing w:line="360" w:lineRule="auto"/>
        <w:rPr>
          <w:rFonts w:eastAsia="Calibri"/>
          <w:lang w:val="es-ES"/>
        </w:rPr>
      </w:pPr>
    </w:p>
    <w:p w:rsidR="00E85F49" w:rsidRPr="000E201C" w:rsidRDefault="00E85F49" w:rsidP="00E85F49">
      <w:pPr>
        <w:spacing w:line="360" w:lineRule="auto"/>
        <w:rPr>
          <w:rFonts w:eastAsia="Calibri"/>
          <w:lang w:val="es-ES"/>
        </w:rPr>
      </w:pPr>
    </w:p>
    <w:p w:rsidR="00E85F49" w:rsidRPr="00B021C3" w:rsidRDefault="00E90FD4" w:rsidP="00B021C3">
      <w:pPr>
        <w:pStyle w:val="Ttulo1"/>
        <w:rPr>
          <w:rFonts w:ascii="Times New Roman" w:hAnsi="Times New Roman"/>
        </w:rPr>
      </w:pPr>
      <w:bookmarkStart w:id="113" w:name="_Toc406754366"/>
      <w:r w:rsidRPr="00B021C3">
        <w:rPr>
          <w:rFonts w:ascii="Times New Roman" w:hAnsi="Times New Roman"/>
        </w:rPr>
        <w:lastRenderedPageBreak/>
        <w:t>R</w:t>
      </w:r>
      <w:r w:rsidR="00B021C3" w:rsidRPr="00B021C3">
        <w:rPr>
          <w:rFonts w:ascii="Times New Roman" w:hAnsi="Times New Roman"/>
        </w:rPr>
        <w:t>eferencias</w:t>
      </w:r>
      <w:bookmarkEnd w:id="113"/>
    </w:p>
    <w:p w:rsidR="00E90FD4" w:rsidRDefault="00E90FD4" w:rsidP="00E85F49">
      <w:pPr>
        <w:spacing w:line="360" w:lineRule="auto"/>
        <w:rPr>
          <w:rFonts w:eastAsia="Calibri"/>
          <w:lang w:val="es-ES"/>
        </w:rPr>
      </w:pPr>
    </w:p>
    <w:p w:rsidR="00E90FD4" w:rsidRPr="00E90FD4" w:rsidRDefault="00E90FD4" w:rsidP="008E05AD">
      <w:pPr>
        <w:spacing w:line="360" w:lineRule="auto"/>
        <w:ind w:left="709" w:hanging="709"/>
        <w:jc w:val="both"/>
      </w:pPr>
      <w:r w:rsidRPr="00E90FD4">
        <w:t xml:space="preserve">Pérez, T. (2003). Evidencia reciente del comportamiento de la migración interna en Colombia a partir de la Encuesta Continua de Hogares, 1-18, recuperado de: </w:t>
      </w:r>
      <w:hyperlink r:id="rId141" w:history="1">
        <w:r w:rsidRPr="00CA4CCC">
          <w:rPr>
            <w:rStyle w:val="Hipervnculo"/>
            <w:rFonts w:eastAsia="Calibri"/>
            <w:color w:val="auto"/>
            <w:u w:val="none"/>
          </w:rPr>
          <w:t>https://www.</w:t>
        </w:r>
        <w:r w:rsidR="008F5FB2">
          <w:rPr>
            <w:rStyle w:val="Hipervnculo"/>
            <w:rFonts w:eastAsia="Calibri"/>
            <w:color w:val="auto"/>
            <w:u w:val="none"/>
          </w:rPr>
          <w:t>DANE</w:t>
        </w:r>
        <w:r w:rsidRPr="00CA4CCC">
          <w:rPr>
            <w:rStyle w:val="Hipervnculo"/>
            <w:rFonts w:eastAsia="Calibri"/>
            <w:color w:val="auto"/>
            <w:u w:val="none"/>
          </w:rPr>
          <w:t>.gov.co/files/banco_datos/Migracion/migracion_interna_Clbia.pdf</w:t>
        </w:r>
      </w:hyperlink>
      <w:r w:rsidRPr="00E90FD4">
        <w:t>.</w:t>
      </w:r>
    </w:p>
    <w:p w:rsidR="00E90FD4" w:rsidRPr="00E90FD4" w:rsidRDefault="00E90FD4" w:rsidP="00E90FD4">
      <w:pPr>
        <w:spacing w:line="360" w:lineRule="auto"/>
        <w:jc w:val="both"/>
      </w:pPr>
    </w:p>
    <w:p w:rsidR="00E90FD4" w:rsidRPr="00CA4CCC" w:rsidRDefault="00E90FD4" w:rsidP="008E05AD">
      <w:pPr>
        <w:spacing w:line="360" w:lineRule="auto"/>
        <w:ind w:left="709" w:hanging="709"/>
        <w:jc w:val="both"/>
      </w:pPr>
      <w:r w:rsidRPr="00E90FD4">
        <w:t xml:space="preserve">Unidad Administrativa Especial Migración Colombia –UAMC (2012, 2013). Boletín Migratorio, diciembre, recuperado de: </w:t>
      </w:r>
      <w:hyperlink r:id="rId142" w:history="1">
        <w:r w:rsidRPr="00CA4CCC">
          <w:rPr>
            <w:rStyle w:val="Hipervnculo"/>
            <w:rFonts w:eastAsia="Calibri"/>
            <w:color w:val="auto"/>
            <w:u w:val="none"/>
          </w:rPr>
          <w:t>http://www.migracioncolombia.gov.co/index.php/estudios-migratorios/estadisticas</w:t>
        </w:r>
      </w:hyperlink>
    </w:p>
    <w:p w:rsidR="00E90FD4" w:rsidRPr="00E90FD4" w:rsidRDefault="00E90FD4" w:rsidP="008E05AD">
      <w:pPr>
        <w:spacing w:line="360" w:lineRule="auto"/>
        <w:ind w:left="709" w:hanging="709"/>
        <w:jc w:val="both"/>
      </w:pPr>
    </w:p>
    <w:p w:rsidR="00E90FD4" w:rsidRDefault="00E90FD4" w:rsidP="008E05AD">
      <w:pPr>
        <w:spacing w:line="360" w:lineRule="auto"/>
        <w:ind w:left="709" w:hanging="709"/>
        <w:jc w:val="both"/>
        <w:rPr>
          <w:rStyle w:val="Hipervnculo"/>
          <w:rFonts w:eastAsia="Calibri"/>
          <w:color w:val="auto"/>
        </w:rPr>
      </w:pPr>
      <w:proofErr w:type="spellStart"/>
      <w:r w:rsidRPr="00E90FD4">
        <w:t>Spiker</w:t>
      </w:r>
      <w:proofErr w:type="spellEnd"/>
      <w:r w:rsidRPr="00E90FD4">
        <w:t xml:space="preserve">, P, (2009). Pobreza, Un Glosario Internacional. Consejo Latinoamericano de Ciencias Sociales –CLACSO- 19-307. Recuperado de: </w:t>
      </w:r>
      <w:hyperlink r:id="rId143" w:history="1">
        <w:r w:rsidRPr="00CA4CCC">
          <w:rPr>
            <w:rStyle w:val="Hipervnculo"/>
            <w:rFonts w:eastAsia="Calibri"/>
            <w:color w:val="auto"/>
            <w:u w:val="none"/>
          </w:rPr>
          <w:t>http://biblioteca.clacso.edu.ar/ar/libros/clacso/crop/glosario/glosario.pdf</w:t>
        </w:r>
      </w:hyperlink>
    </w:p>
    <w:p w:rsidR="00E22E35" w:rsidRPr="00E90FD4" w:rsidRDefault="00E22E35" w:rsidP="008E05AD">
      <w:pPr>
        <w:spacing w:line="360" w:lineRule="auto"/>
        <w:ind w:left="709" w:hanging="709"/>
        <w:jc w:val="both"/>
      </w:pPr>
    </w:p>
    <w:p w:rsidR="00E90FD4" w:rsidRPr="00CA4CCC" w:rsidRDefault="00E90FD4" w:rsidP="008E05AD">
      <w:pPr>
        <w:spacing w:line="360" w:lineRule="auto"/>
        <w:ind w:left="709" w:hanging="709"/>
        <w:jc w:val="both"/>
      </w:pPr>
      <w:proofErr w:type="spellStart"/>
      <w:r w:rsidRPr="00E90FD4">
        <w:t>Spiker</w:t>
      </w:r>
      <w:proofErr w:type="spellEnd"/>
      <w:r w:rsidRPr="00E90FD4">
        <w:t xml:space="preserve">, P, (2009). Definiciones de Pobreza: Doce Grupos de Significados. Consejo Latinoamericano de Ciencias Sociales –CLACSO- 1-16. Recuperado de: </w:t>
      </w:r>
      <w:hyperlink r:id="rId144" w:history="1">
        <w:r w:rsidRPr="00CA4CCC">
          <w:rPr>
            <w:rStyle w:val="Hipervnculo"/>
            <w:rFonts w:eastAsia="Calibri"/>
            <w:color w:val="auto"/>
            <w:u w:val="none"/>
          </w:rPr>
          <w:t>http://biblioteca.clacso.edu.ar/gsdl/collect/clacso/index/assoc/D9376.dir/06spicker.pdf</w:t>
        </w:r>
      </w:hyperlink>
    </w:p>
    <w:p w:rsidR="00E90FD4" w:rsidRPr="00E90FD4" w:rsidRDefault="00E90FD4" w:rsidP="008E05AD">
      <w:pPr>
        <w:spacing w:line="360" w:lineRule="auto"/>
        <w:ind w:left="709" w:hanging="709"/>
        <w:jc w:val="both"/>
      </w:pPr>
    </w:p>
    <w:p w:rsidR="00E90FD4" w:rsidRPr="00CA4CCC" w:rsidRDefault="00E90FD4" w:rsidP="008E05AD">
      <w:pPr>
        <w:spacing w:line="360" w:lineRule="auto"/>
        <w:ind w:left="709" w:hanging="709"/>
        <w:jc w:val="both"/>
      </w:pPr>
      <w:r w:rsidRPr="00E90FD4">
        <w:t xml:space="preserve">Naciones Unidas, (2014). Objetivos del Desarrollo del Milenio. Nueva York. R. 1-58. Recuperado de: </w:t>
      </w:r>
      <w:hyperlink r:id="rId145" w:history="1">
        <w:r w:rsidRPr="00CA4CCC">
          <w:rPr>
            <w:rStyle w:val="Hipervnculo"/>
            <w:rFonts w:eastAsia="Calibri"/>
            <w:color w:val="auto"/>
            <w:u w:val="none"/>
          </w:rPr>
          <w:t>http://www.un.org/es/millenniumgoals/pdf/mdg-report-2014-spanish.pdf</w:t>
        </w:r>
      </w:hyperlink>
    </w:p>
    <w:p w:rsidR="00E90FD4" w:rsidRPr="00E90FD4" w:rsidRDefault="00E90FD4" w:rsidP="008E05AD">
      <w:pPr>
        <w:spacing w:line="360" w:lineRule="auto"/>
        <w:ind w:left="709" w:hanging="709"/>
        <w:jc w:val="both"/>
      </w:pPr>
    </w:p>
    <w:p w:rsidR="00E90FD4" w:rsidRPr="00E22E35" w:rsidRDefault="00E90FD4" w:rsidP="008E05AD">
      <w:pPr>
        <w:spacing w:line="360" w:lineRule="auto"/>
        <w:ind w:left="709" w:hanging="709"/>
        <w:jc w:val="both"/>
      </w:pPr>
      <w:r w:rsidRPr="00E90FD4">
        <w:t xml:space="preserve">Banco Mundial, (1990). Líneas de pobreza. 1-7. Recuperado de: </w:t>
      </w:r>
      <w:hyperlink r:id="rId146" w:history="1">
        <w:r w:rsidRPr="00E22E35">
          <w:rPr>
            <w:rStyle w:val="Hipervnculo"/>
            <w:rFonts w:eastAsia="Calibri"/>
            <w:color w:val="auto"/>
            <w:u w:val="none"/>
          </w:rPr>
          <w:t>http://bibliotecavirtual.clacso.org.ar/ar/libros/clacso/crop/glosario/b.pdf</w:t>
        </w:r>
      </w:hyperlink>
    </w:p>
    <w:p w:rsidR="00E90FD4" w:rsidRPr="00E90FD4" w:rsidRDefault="00E90FD4" w:rsidP="008E05AD">
      <w:pPr>
        <w:spacing w:line="360" w:lineRule="auto"/>
        <w:ind w:left="709" w:hanging="709"/>
        <w:jc w:val="both"/>
      </w:pPr>
    </w:p>
    <w:p w:rsidR="00E90FD4" w:rsidRPr="00E22E35" w:rsidRDefault="00E90FD4" w:rsidP="008E05AD">
      <w:pPr>
        <w:spacing w:line="360" w:lineRule="auto"/>
        <w:ind w:left="709" w:hanging="709"/>
        <w:jc w:val="both"/>
        <w:rPr>
          <w:rStyle w:val="Hipervnculo"/>
          <w:rFonts w:eastAsia="Calibri"/>
          <w:color w:val="auto"/>
          <w:u w:val="none"/>
        </w:rPr>
      </w:pPr>
      <w:r w:rsidRPr="00E90FD4">
        <w:t xml:space="preserve">Conpes Social 117, (2008). Actualización de los Criterios para la Determinación, Identificación y Selección de los Beneficiarios de Programas Sociales. Departamento Nacional de Planeación. 2-23. Recuperado de: </w:t>
      </w:r>
      <w:hyperlink r:id="rId147" w:history="1">
        <w:r w:rsidRPr="00E22E35">
          <w:rPr>
            <w:rStyle w:val="Hipervnculo"/>
            <w:rFonts w:eastAsia="Calibri"/>
            <w:color w:val="auto"/>
            <w:u w:val="none"/>
          </w:rPr>
          <w:t>http://bojaca-</w:t>
        </w:r>
        <w:r w:rsidRPr="00E22E35">
          <w:rPr>
            <w:rStyle w:val="Hipervnculo"/>
            <w:rFonts w:eastAsia="Calibri"/>
            <w:color w:val="auto"/>
            <w:u w:val="none"/>
          </w:rPr>
          <w:lastRenderedPageBreak/>
          <w:t>cundinamarca.gov.co/apc-aa-files/63323939623666643533363962663062/conpes_117_de_2008_1.pdf</w:t>
        </w:r>
      </w:hyperlink>
    </w:p>
    <w:p w:rsidR="00E22E35" w:rsidRPr="00E90FD4" w:rsidRDefault="00E22E35" w:rsidP="008E05AD">
      <w:pPr>
        <w:spacing w:line="360" w:lineRule="auto"/>
        <w:ind w:left="709" w:hanging="709"/>
        <w:jc w:val="both"/>
      </w:pPr>
    </w:p>
    <w:p w:rsidR="00E90FD4" w:rsidRPr="00E22E35" w:rsidRDefault="00E90FD4" w:rsidP="008E05AD">
      <w:pPr>
        <w:pStyle w:val="Sinespaciado"/>
        <w:spacing w:line="360" w:lineRule="auto"/>
        <w:ind w:left="709" w:hanging="709"/>
        <w:rPr>
          <w:rFonts w:ascii="Times New Roman" w:hAnsi="Times New Roman"/>
          <w:sz w:val="24"/>
          <w:szCs w:val="24"/>
        </w:rPr>
      </w:pPr>
      <w:r w:rsidRPr="00E90FD4">
        <w:rPr>
          <w:rFonts w:ascii="Times New Roman" w:hAnsi="Times New Roman"/>
          <w:sz w:val="24"/>
          <w:szCs w:val="24"/>
        </w:rPr>
        <w:t xml:space="preserve">DNP. (2013). Datos de Base de Datos Consolidada y Certificada al mes de noviembre. Recuperado de </w:t>
      </w:r>
      <w:hyperlink r:id="rId148" w:anchor=".VIjOsDGG9xE" w:history="1">
        <w:r w:rsidRPr="00E22E35">
          <w:rPr>
            <w:rStyle w:val="Hipervnculo"/>
            <w:rFonts w:ascii="Times New Roman" w:hAnsi="Times New Roman"/>
            <w:color w:val="auto"/>
            <w:sz w:val="24"/>
            <w:szCs w:val="24"/>
            <w:u w:val="none"/>
          </w:rPr>
          <w:t>https://www.sisben.gov.co/Informaci%C3%B3n/tabid/96/articleType/ArticleView/articleId/14/Publicacion-Base-Certificada-Corte-Noviembre-de-2013.aspx#.VIjOsDGG9xE</w:t>
        </w:r>
      </w:hyperlink>
    </w:p>
    <w:p w:rsidR="00E90FD4" w:rsidRPr="00E90FD4" w:rsidRDefault="00E90FD4" w:rsidP="008E05AD">
      <w:pPr>
        <w:pStyle w:val="Sinespaciado"/>
        <w:spacing w:line="360" w:lineRule="auto"/>
        <w:ind w:left="709" w:hanging="709"/>
        <w:rPr>
          <w:rFonts w:ascii="Times New Roman" w:hAnsi="Times New Roman"/>
          <w:sz w:val="24"/>
          <w:szCs w:val="24"/>
        </w:rPr>
      </w:pPr>
    </w:p>
    <w:p w:rsidR="00E90FD4" w:rsidRPr="00E22E35" w:rsidRDefault="00E90FD4" w:rsidP="008E05AD">
      <w:pPr>
        <w:pStyle w:val="Sinespaciado"/>
        <w:spacing w:line="360" w:lineRule="auto"/>
        <w:ind w:left="709" w:hanging="709"/>
        <w:rPr>
          <w:rFonts w:ascii="Times New Roman" w:hAnsi="Times New Roman"/>
          <w:sz w:val="24"/>
          <w:szCs w:val="24"/>
          <w:lang w:eastAsia="es-ES"/>
        </w:rPr>
      </w:pPr>
      <w:proofErr w:type="spellStart"/>
      <w:r w:rsidRPr="00E90FD4">
        <w:rPr>
          <w:rFonts w:ascii="Times New Roman" w:hAnsi="Times New Roman"/>
          <w:sz w:val="24"/>
          <w:szCs w:val="24"/>
          <w:lang w:eastAsia="es-ES"/>
        </w:rPr>
        <w:t>Azevedo</w:t>
      </w:r>
      <w:proofErr w:type="spellEnd"/>
      <w:r w:rsidRPr="00E90FD4">
        <w:rPr>
          <w:rFonts w:ascii="Times New Roman" w:hAnsi="Times New Roman"/>
          <w:sz w:val="24"/>
          <w:szCs w:val="24"/>
          <w:lang w:eastAsia="es-ES"/>
        </w:rPr>
        <w:t>, J. (2012). Cual fue la contribución de las diferencias en los resultados entre la anterior y la nueva metodología</w:t>
      </w:r>
      <w:proofErr w:type="gramStart"/>
      <w:r w:rsidRPr="00E90FD4">
        <w:rPr>
          <w:rFonts w:ascii="Times New Roman" w:hAnsi="Times New Roman"/>
          <w:sz w:val="24"/>
          <w:szCs w:val="24"/>
          <w:lang w:eastAsia="es-ES"/>
        </w:rPr>
        <w:t>?</w:t>
      </w:r>
      <w:proofErr w:type="gramEnd"/>
      <w:r w:rsidRPr="00E90FD4">
        <w:rPr>
          <w:rFonts w:ascii="Times New Roman" w:hAnsi="Times New Roman"/>
          <w:sz w:val="24"/>
          <w:szCs w:val="24"/>
          <w:lang w:eastAsia="es-ES"/>
        </w:rPr>
        <w:t xml:space="preserve"> Recuperado de: </w:t>
      </w:r>
      <w:hyperlink r:id="rId149" w:history="1">
        <w:r w:rsidRPr="00E22E35">
          <w:rPr>
            <w:rStyle w:val="Hipervnculo"/>
            <w:rFonts w:ascii="Times New Roman" w:hAnsi="Times New Roman"/>
            <w:color w:val="auto"/>
            <w:sz w:val="24"/>
            <w:szCs w:val="24"/>
            <w:u w:val="none"/>
            <w:lang w:eastAsia="es-ES"/>
          </w:rPr>
          <w:t>http://www.</w:t>
        </w:r>
        <w:r w:rsidR="008F5FB2">
          <w:rPr>
            <w:rStyle w:val="Hipervnculo"/>
            <w:rFonts w:ascii="Times New Roman" w:hAnsi="Times New Roman"/>
            <w:color w:val="auto"/>
            <w:sz w:val="24"/>
            <w:szCs w:val="24"/>
            <w:u w:val="none"/>
            <w:lang w:eastAsia="es-ES"/>
          </w:rPr>
          <w:t>DANE</w:t>
        </w:r>
        <w:r w:rsidRPr="00E22E35">
          <w:rPr>
            <w:rStyle w:val="Hipervnculo"/>
            <w:rFonts w:ascii="Times New Roman" w:hAnsi="Times New Roman"/>
            <w:color w:val="auto"/>
            <w:sz w:val="24"/>
            <w:szCs w:val="24"/>
            <w:u w:val="none"/>
            <w:lang w:eastAsia="es-ES"/>
          </w:rPr>
          <w:t>.gov.co/files/pobreza/SeminarioTecnico_JoaoAcevedo_mar14_2012.pdf</w:t>
        </w:r>
      </w:hyperlink>
    </w:p>
    <w:p w:rsidR="00E90FD4" w:rsidRPr="00E90FD4" w:rsidRDefault="00E90FD4" w:rsidP="008E05AD">
      <w:pPr>
        <w:pStyle w:val="Sinespaciado"/>
        <w:spacing w:line="360" w:lineRule="auto"/>
        <w:ind w:left="709" w:hanging="709"/>
        <w:rPr>
          <w:rFonts w:ascii="Times New Roman" w:hAnsi="Times New Roman"/>
          <w:sz w:val="24"/>
          <w:szCs w:val="24"/>
          <w:shd w:val="clear" w:color="auto" w:fill="FFFFFF"/>
        </w:rPr>
      </w:pPr>
    </w:p>
    <w:p w:rsidR="00E90FD4" w:rsidRPr="00E22E35" w:rsidRDefault="008F5FB2" w:rsidP="008E05AD">
      <w:pPr>
        <w:pStyle w:val="Sinespaciado"/>
        <w:spacing w:line="360" w:lineRule="auto"/>
        <w:ind w:left="709" w:hanging="709"/>
        <w:rPr>
          <w:rFonts w:ascii="Times New Roman" w:hAnsi="Times New Roman"/>
          <w:sz w:val="24"/>
          <w:szCs w:val="24"/>
          <w:shd w:val="clear" w:color="auto" w:fill="FFFFFF"/>
        </w:rPr>
      </w:pPr>
      <w:r>
        <w:rPr>
          <w:rFonts w:ascii="Times New Roman" w:hAnsi="Times New Roman"/>
          <w:sz w:val="24"/>
          <w:szCs w:val="24"/>
          <w:shd w:val="clear" w:color="auto" w:fill="FFFFFF"/>
        </w:rPr>
        <w:t>DANE</w:t>
      </w:r>
      <w:r w:rsidR="00E90FD4" w:rsidRPr="00E90FD4">
        <w:rPr>
          <w:rFonts w:ascii="Times New Roman" w:hAnsi="Times New Roman"/>
          <w:sz w:val="24"/>
          <w:szCs w:val="24"/>
          <w:shd w:val="clear" w:color="auto" w:fill="FFFFFF"/>
        </w:rPr>
        <w:t xml:space="preserve">. (2013). Pobreza Monetaria y Multidimensional en Colombia. Recuperado de: </w:t>
      </w:r>
      <w:hyperlink r:id="rId150" w:history="1">
        <w:r w:rsidR="00E90FD4" w:rsidRPr="00E22E35">
          <w:rPr>
            <w:rStyle w:val="Hipervnculo"/>
            <w:rFonts w:ascii="Times New Roman" w:hAnsi="Times New Roman"/>
            <w:color w:val="auto"/>
            <w:sz w:val="24"/>
            <w:szCs w:val="24"/>
            <w:u w:val="none"/>
            <w:shd w:val="clear" w:color="auto" w:fill="FFFFFF"/>
          </w:rPr>
          <w:t>https://www.</w:t>
        </w:r>
        <w:r>
          <w:rPr>
            <w:rStyle w:val="Hipervnculo"/>
            <w:rFonts w:ascii="Times New Roman" w:hAnsi="Times New Roman"/>
            <w:b/>
            <w:color w:val="auto"/>
            <w:sz w:val="24"/>
            <w:szCs w:val="24"/>
            <w:u w:val="none"/>
            <w:shd w:val="clear" w:color="auto" w:fill="FFFFFF"/>
          </w:rPr>
          <w:t>DANE</w:t>
        </w:r>
        <w:r w:rsidR="00E90FD4" w:rsidRPr="00E22E35">
          <w:rPr>
            <w:rStyle w:val="Hipervnculo"/>
            <w:rFonts w:ascii="Times New Roman" w:hAnsi="Times New Roman"/>
            <w:color w:val="auto"/>
            <w:sz w:val="24"/>
            <w:szCs w:val="24"/>
            <w:u w:val="none"/>
            <w:shd w:val="clear" w:color="auto" w:fill="FFFFFF"/>
          </w:rPr>
          <w:t>.gov.co/files/...vida/</w:t>
        </w:r>
        <w:r w:rsidR="00E90FD4" w:rsidRPr="00E22E35">
          <w:rPr>
            <w:rStyle w:val="Hipervnculo"/>
            <w:rFonts w:ascii="Times New Roman" w:hAnsi="Times New Roman"/>
            <w:b/>
            <w:color w:val="auto"/>
            <w:sz w:val="24"/>
            <w:szCs w:val="24"/>
            <w:u w:val="none"/>
            <w:shd w:val="clear" w:color="auto" w:fill="FFFFFF"/>
          </w:rPr>
          <w:t>pobreza</w:t>
        </w:r>
        <w:r w:rsidR="00E90FD4" w:rsidRPr="00E22E35">
          <w:rPr>
            <w:rStyle w:val="Hipervnculo"/>
            <w:rFonts w:ascii="Times New Roman" w:hAnsi="Times New Roman"/>
            <w:color w:val="auto"/>
            <w:sz w:val="24"/>
            <w:szCs w:val="24"/>
            <w:u w:val="none"/>
            <w:shd w:val="clear" w:color="auto" w:fill="FFFFFF"/>
          </w:rPr>
          <w:t>/bol_</w:t>
        </w:r>
        <w:r w:rsidR="00E90FD4" w:rsidRPr="00E22E35">
          <w:rPr>
            <w:rStyle w:val="Hipervnculo"/>
            <w:rFonts w:ascii="Times New Roman" w:hAnsi="Times New Roman"/>
            <w:b/>
            <w:color w:val="auto"/>
            <w:sz w:val="24"/>
            <w:szCs w:val="24"/>
            <w:u w:val="none"/>
            <w:shd w:val="clear" w:color="auto" w:fill="FFFFFF"/>
          </w:rPr>
          <w:t>pobreza</w:t>
        </w:r>
        <w:r w:rsidR="00E90FD4" w:rsidRPr="00E22E35">
          <w:rPr>
            <w:rStyle w:val="Hipervnculo"/>
            <w:rFonts w:ascii="Times New Roman" w:hAnsi="Times New Roman"/>
            <w:color w:val="auto"/>
            <w:sz w:val="24"/>
            <w:szCs w:val="24"/>
            <w:u w:val="none"/>
            <w:shd w:val="clear" w:color="auto" w:fill="FFFFFF"/>
          </w:rPr>
          <w:t>_13.pdf</w:t>
        </w:r>
      </w:hyperlink>
    </w:p>
    <w:p w:rsidR="00E90FD4" w:rsidRPr="00E90FD4" w:rsidRDefault="00E90FD4" w:rsidP="008E05AD">
      <w:pPr>
        <w:pStyle w:val="Sinespaciado"/>
        <w:spacing w:line="360" w:lineRule="auto"/>
        <w:ind w:left="709" w:hanging="709"/>
        <w:rPr>
          <w:rFonts w:ascii="Times New Roman" w:hAnsi="Times New Roman"/>
          <w:sz w:val="24"/>
          <w:szCs w:val="24"/>
          <w:lang w:eastAsia="es-ES"/>
        </w:rPr>
      </w:pPr>
    </w:p>
    <w:p w:rsidR="00E90FD4" w:rsidRPr="00E90FD4" w:rsidRDefault="008F5FB2" w:rsidP="008E05AD">
      <w:pPr>
        <w:pStyle w:val="Sinespaciado"/>
        <w:spacing w:line="360" w:lineRule="auto"/>
        <w:ind w:left="709" w:hanging="709"/>
        <w:rPr>
          <w:rFonts w:ascii="Times New Roman" w:hAnsi="Times New Roman"/>
          <w:sz w:val="24"/>
          <w:szCs w:val="24"/>
          <w:lang w:eastAsia="es-ES"/>
        </w:rPr>
      </w:pPr>
      <w:r>
        <w:rPr>
          <w:rFonts w:ascii="Times New Roman" w:hAnsi="Times New Roman"/>
          <w:sz w:val="24"/>
          <w:szCs w:val="24"/>
          <w:lang w:eastAsia="es-ES"/>
        </w:rPr>
        <w:t>DANE</w:t>
      </w:r>
      <w:r w:rsidR="00E90FD4" w:rsidRPr="00E90FD4">
        <w:rPr>
          <w:rFonts w:ascii="Times New Roman" w:hAnsi="Times New Roman"/>
          <w:sz w:val="24"/>
          <w:szCs w:val="24"/>
          <w:lang w:eastAsia="es-ES"/>
        </w:rPr>
        <w:t xml:space="preserve">. (2012). Resultados Generales – Pobreza Monetaria y Desigualdad. Recuperado de: </w:t>
      </w:r>
      <w:hyperlink r:id="rId151" w:history="1">
        <w:r w:rsidR="00E90FD4" w:rsidRPr="00E22E35">
          <w:rPr>
            <w:rStyle w:val="Hipervnculo"/>
            <w:rFonts w:ascii="Times New Roman" w:hAnsi="Times New Roman"/>
            <w:color w:val="auto"/>
            <w:sz w:val="24"/>
            <w:szCs w:val="24"/>
            <w:u w:val="none"/>
            <w:lang w:eastAsia="es-ES"/>
          </w:rPr>
          <w:t>http://www.</w:t>
        </w:r>
        <w:r>
          <w:rPr>
            <w:rStyle w:val="Hipervnculo"/>
            <w:rFonts w:ascii="Times New Roman" w:hAnsi="Times New Roman"/>
            <w:color w:val="auto"/>
            <w:sz w:val="24"/>
            <w:szCs w:val="24"/>
            <w:u w:val="none"/>
            <w:lang w:eastAsia="es-ES"/>
          </w:rPr>
          <w:t>DANE</w:t>
        </w:r>
        <w:r w:rsidR="00E90FD4" w:rsidRPr="00E22E35">
          <w:rPr>
            <w:rStyle w:val="Hipervnculo"/>
            <w:rFonts w:ascii="Times New Roman" w:hAnsi="Times New Roman"/>
            <w:color w:val="auto"/>
            <w:sz w:val="24"/>
            <w:szCs w:val="24"/>
            <w:u w:val="none"/>
            <w:lang w:eastAsia="es-ES"/>
          </w:rPr>
          <w:t>.gov.co/files/investigaciones/condiciones_vida/pobreza/Quindio_Pobreza_2012.pdf</w:t>
        </w:r>
      </w:hyperlink>
      <w:r w:rsidR="00E90FD4" w:rsidRPr="00E22E35">
        <w:rPr>
          <w:rFonts w:ascii="Times New Roman" w:hAnsi="Times New Roman"/>
          <w:sz w:val="24"/>
          <w:szCs w:val="24"/>
          <w:lang w:eastAsia="es-ES"/>
        </w:rPr>
        <w:t xml:space="preserve">  </w:t>
      </w:r>
    </w:p>
    <w:p w:rsidR="00E90FD4" w:rsidRPr="00E90FD4" w:rsidRDefault="00E90FD4" w:rsidP="008E05AD">
      <w:pPr>
        <w:spacing w:line="360" w:lineRule="auto"/>
        <w:ind w:left="709" w:hanging="709"/>
        <w:jc w:val="both"/>
        <w:rPr>
          <w:lang w:val="es-ES"/>
        </w:rPr>
      </w:pPr>
    </w:p>
    <w:p w:rsidR="00E90FD4" w:rsidRPr="00E90FD4" w:rsidRDefault="00E90FD4" w:rsidP="008E05AD">
      <w:pPr>
        <w:spacing w:line="360" w:lineRule="auto"/>
        <w:ind w:left="709" w:hanging="709"/>
        <w:jc w:val="both"/>
      </w:pPr>
      <w:r w:rsidRPr="00E90FD4">
        <w:t xml:space="preserve">Ramírez, J. (1997). </w:t>
      </w:r>
      <w:r w:rsidRPr="00E90FD4">
        <w:rPr>
          <w:i/>
        </w:rPr>
        <w:t>La Estratificación Socioeconómica. El reconocimiento de las diferencias sociales por un país solidario</w:t>
      </w:r>
      <w:r w:rsidRPr="00E90FD4">
        <w:t xml:space="preserve">. Bogotá, D.C. </w:t>
      </w:r>
      <w:proofErr w:type="spellStart"/>
      <w:r w:rsidRPr="00E90FD4">
        <w:t>Editoláser</w:t>
      </w:r>
      <w:proofErr w:type="spellEnd"/>
      <w:r w:rsidRPr="00E90FD4">
        <w:t>.</w:t>
      </w:r>
    </w:p>
    <w:p w:rsidR="00E90FD4" w:rsidRPr="00E90FD4" w:rsidRDefault="00E90FD4" w:rsidP="008E05AD">
      <w:pPr>
        <w:spacing w:line="360" w:lineRule="auto"/>
        <w:ind w:left="709" w:hanging="709"/>
        <w:jc w:val="both"/>
      </w:pPr>
    </w:p>
    <w:p w:rsidR="00E90FD4" w:rsidRPr="00E90FD4" w:rsidRDefault="00E90FD4" w:rsidP="008E05AD">
      <w:pPr>
        <w:spacing w:line="360" w:lineRule="auto"/>
        <w:ind w:left="709" w:hanging="709"/>
        <w:jc w:val="both"/>
      </w:pPr>
      <w:r w:rsidRPr="00E90FD4">
        <w:t xml:space="preserve">Metodología de Revisión General de La Estratificación Socioeconómica Urbana. </w:t>
      </w:r>
      <w:r w:rsidRPr="00E90FD4">
        <w:rPr>
          <w:i/>
        </w:rPr>
        <w:t>Instructivo de Zonificación</w:t>
      </w:r>
      <w:r w:rsidRPr="00E90FD4">
        <w:t>. Pp. 1- 9.</w:t>
      </w:r>
    </w:p>
    <w:p w:rsidR="00E90FD4" w:rsidRPr="000E201C" w:rsidRDefault="00E90FD4" w:rsidP="00E85F49">
      <w:pPr>
        <w:spacing w:line="360" w:lineRule="auto"/>
        <w:rPr>
          <w:rFonts w:eastAsia="Calibri"/>
          <w:lang w:val="es-ES"/>
        </w:rPr>
      </w:pPr>
    </w:p>
    <w:p w:rsidR="007777EB" w:rsidRPr="00DB4AB2" w:rsidRDefault="007777EB" w:rsidP="007777EB">
      <w:pPr>
        <w:spacing w:after="160" w:line="360" w:lineRule="auto"/>
        <w:ind w:left="709" w:hanging="709"/>
        <w:jc w:val="both"/>
      </w:pPr>
      <w:r w:rsidRPr="00DB4AB2">
        <w:t>Ley 115 de Febrero 8 de 1.994.</w:t>
      </w:r>
    </w:p>
    <w:p w:rsidR="007777EB" w:rsidRPr="00DB4AB2" w:rsidRDefault="007777EB" w:rsidP="007777EB">
      <w:pPr>
        <w:spacing w:after="160" w:line="360" w:lineRule="auto"/>
        <w:ind w:left="709" w:hanging="709"/>
        <w:jc w:val="both"/>
      </w:pPr>
      <w:r w:rsidRPr="00DB4AB2">
        <w:t>Ley 1324 de Julio  13 de 2009.</w:t>
      </w:r>
    </w:p>
    <w:p w:rsidR="007777EB" w:rsidRPr="00DB4AB2" w:rsidRDefault="007777EB" w:rsidP="007777EB">
      <w:pPr>
        <w:spacing w:after="160" w:line="360" w:lineRule="auto"/>
        <w:ind w:left="709" w:hanging="709"/>
        <w:jc w:val="both"/>
      </w:pPr>
      <w:r w:rsidRPr="00DB4AB2">
        <w:lastRenderedPageBreak/>
        <w:t>Ministerio de Educación. (2014). Sistema Nacional de Indicadores.</w:t>
      </w:r>
    </w:p>
    <w:p w:rsidR="007777EB" w:rsidRPr="00DB4AB2" w:rsidRDefault="007777EB" w:rsidP="007777EB">
      <w:pPr>
        <w:spacing w:after="160" w:line="360" w:lineRule="auto"/>
        <w:ind w:left="709" w:hanging="709"/>
        <w:jc w:val="both"/>
      </w:pPr>
      <w:r w:rsidRPr="00DB4AB2">
        <w:t>Ministerio de Educación Superior. (2013). Resultados de las pruebas SABER 2013 del Quindío.</w:t>
      </w:r>
    </w:p>
    <w:p w:rsidR="007777EB" w:rsidRPr="00DB4AB2" w:rsidRDefault="007777EB" w:rsidP="007777EB">
      <w:pPr>
        <w:spacing w:after="160" w:line="360" w:lineRule="auto"/>
        <w:ind w:left="709" w:hanging="709"/>
        <w:jc w:val="both"/>
      </w:pPr>
      <w:r w:rsidRPr="00DB4AB2">
        <w:t xml:space="preserve">Gobernación del Quindío. (2012- 2015). Plan de Desarrollo Departamental, </w:t>
      </w:r>
      <w:proofErr w:type="spellStart"/>
      <w:r w:rsidRPr="00DB4AB2">
        <w:t>p.p</w:t>
      </w:r>
      <w:proofErr w:type="spellEnd"/>
      <w:r w:rsidRPr="00DB4AB2">
        <w:t xml:space="preserve"> 39 </w:t>
      </w:r>
    </w:p>
    <w:p w:rsidR="007777EB" w:rsidRPr="00E22E35" w:rsidRDefault="007777EB" w:rsidP="007777EB">
      <w:pPr>
        <w:pStyle w:val="Textonotapie"/>
        <w:spacing w:line="360" w:lineRule="auto"/>
        <w:ind w:left="709" w:hanging="709"/>
        <w:jc w:val="both"/>
        <w:rPr>
          <w:rFonts w:ascii="Times New Roman" w:hAnsi="Times New Roman"/>
          <w:sz w:val="24"/>
          <w:szCs w:val="24"/>
        </w:rPr>
      </w:pPr>
      <w:r w:rsidRPr="00D465A6">
        <w:rPr>
          <w:rFonts w:ascii="Times New Roman" w:hAnsi="Times New Roman"/>
          <w:sz w:val="24"/>
          <w:szCs w:val="24"/>
        </w:rPr>
        <w:t xml:space="preserve">MINMINAS, (2013). Cobertura del Servicio de Gas Natural-IV Trimestre de 2013. P.1. Recuperado de: </w:t>
      </w:r>
      <w:hyperlink r:id="rId152" w:history="1">
        <w:r w:rsidRPr="00E22E35">
          <w:rPr>
            <w:rStyle w:val="Hipervnculo"/>
            <w:rFonts w:ascii="Times New Roman" w:hAnsi="Times New Roman"/>
            <w:color w:val="auto"/>
            <w:sz w:val="24"/>
            <w:szCs w:val="24"/>
            <w:u w:val="none"/>
          </w:rPr>
          <w:t>http://www.minminas.gov.co/minminas/downloads/UserFiles/File/GAS/Gas%20Natural/COBERTURAS/2013/Preliminar%20II%20COBERTURAS_IV_TRIM_2013_10_03_2014%20%282%29.pdf</w:t>
        </w:r>
      </w:hyperlink>
    </w:p>
    <w:p w:rsidR="007777EB" w:rsidRPr="00D465A6" w:rsidRDefault="007777EB" w:rsidP="007777EB">
      <w:pPr>
        <w:pStyle w:val="Textonotapie"/>
        <w:spacing w:line="360" w:lineRule="auto"/>
        <w:ind w:left="709" w:hanging="709"/>
        <w:jc w:val="both"/>
        <w:rPr>
          <w:rFonts w:ascii="Times New Roman" w:hAnsi="Times New Roman"/>
          <w:sz w:val="24"/>
          <w:szCs w:val="24"/>
          <w:lang w:val="es-ES_tradnl"/>
        </w:rPr>
      </w:pPr>
    </w:p>
    <w:p w:rsidR="007777EB" w:rsidRPr="00D465A6" w:rsidRDefault="007777EB" w:rsidP="007777EB">
      <w:pPr>
        <w:spacing w:line="360" w:lineRule="auto"/>
        <w:ind w:left="709" w:hanging="709"/>
        <w:jc w:val="both"/>
      </w:pPr>
      <w:r w:rsidRPr="00D465A6">
        <w:t>Plan Departamental de Aguas del Quindío. (2013).  Instrumentos de Planeación.  Manual Operativo Plan Departamental de Aguas del Quindío PAP-PDA. Pp. 6-11. Recuperado de http://aguaparalaprosperidadquindio.com/images/instrumentos_planeacion/MANUAL_OPERATIVO_CON_LOGO1.pdf</w:t>
      </w:r>
    </w:p>
    <w:p w:rsidR="007777EB" w:rsidRPr="00D465A6" w:rsidRDefault="007777EB" w:rsidP="007777EB">
      <w:pPr>
        <w:pStyle w:val="Prrafodelista"/>
        <w:spacing w:line="360" w:lineRule="auto"/>
        <w:ind w:left="709" w:hanging="709"/>
        <w:jc w:val="both"/>
      </w:pPr>
    </w:p>
    <w:p w:rsidR="007777EB" w:rsidRPr="00D465A6" w:rsidRDefault="007777EB" w:rsidP="007777EB">
      <w:pPr>
        <w:spacing w:line="360" w:lineRule="auto"/>
        <w:ind w:left="709" w:hanging="709"/>
        <w:jc w:val="both"/>
      </w:pPr>
      <w:r w:rsidRPr="00D465A6">
        <w:t>EDEQ. (2013). Gestión del negocio.  Informe de sostenibilidad 2013. Pp. 19. Recuperado de http://www.edeq.com.co/documentos/Informes%20de%20Gestion/2013/Informe_de_Sostenibilidad_EDEQ_2013_resumen_ejecutivo.pdf</w:t>
      </w:r>
    </w:p>
    <w:p w:rsidR="007777EB" w:rsidRPr="00D465A6" w:rsidRDefault="007777EB" w:rsidP="007777EB">
      <w:pPr>
        <w:pStyle w:val="Prrafodelista"/>
        <w:spacing w:line="360" w:lineRule="auto"/>
        <w:ind w:left="709" w:hanging="709"/>
        <w:jc w:val="both"/>
      </w:pPr>
    </w:p>
    <w:p w:rsidR="007777EB" w:rsidRPr="00D465A6" w:rsidRDefault="007777EB" w:rsidP="007777EB">
      <w:pPr>
        <w:pStyle w:val="Textonotapie"/>
        <w:tabs>
          <w:tab w:val="left" w:pos="284"/>
        </w:tabs>
        <w:spacing w:line="360" w:lineRule="auto"/>
        <w:ind w:left="709" w:hanging="709"/>
        <w:jc w:val="both"/>
        <w:rPr>
          <w:rFonts w:ascii="Times New Roman" w:eastAsia="Times New Roman" w:hAnsi="Times New Roman"/>
          <w:sz w:val="24"/>
          <w:szCs w:val="24"/>
          <w:lang w:val="es-CO"/>
        </w:rPr>
      </w:pPr>
      <w:r>
        <w:rPr>
          <w:rFonts w:ascii="Times New Roman" w:eastAsia="Times New Roman" w:hAnsi="Times New Roman"/>
          <w:sz w:val="24"/>
          <w:szCs w:val="24"/>
          <w:lang w:val="es-CO"/>
        </w:rPr>
        <w:t xml:space="preserve">Ministerio de </w:t>
      </w:r>
      <w:r w:rsidRPr="00D465A6">
        <w:rPr>
          <w:rFonts w:ascii="Times New Roman" w:eastAsia="Times New Roman" w:hAnsi="Times New Roman"/>
          <w:sz w:val="24"/>
          <w:szCs w:val="24"/>
          <w:lang w:val="es-CO"/>
        </w:rPr>
        <w:t>Minas. (2013). Coberturas servicio de gas. Recuperado de http://www.minminas.gov.co/minminas/downloads/UserFiles/File/GAS/Gas%20Natural/COBERTURAS/2013/Preliminar%20II%20COBERTURAS_IV_TRIM_2013_10_03_2014%20%282%29.pdf</w:t>
      </w:r>
    </w:p>
    <w:p w:rsidR="007777EB" w:rsidRPr="00D465A6" w:rsidRDefault="007777EB" w:rsidP="007777EB">
      <w:pPr>
        <w:pStyle w:val="Textonotapie"/>
        <w:spacing w:line="360" w:lineRule="auto"/>
        <w:ind w:left="709" w:hanging="709"/>
        <w:jc w:val="both"/>
        <w:rPr>
          <w:rFonts w:ascii="Times New Roman" w:hAnsi="Times New Roman"/>
          <w:sz w:val="24"/>
          <w:szCs w:val="24"/>
          <w:lang w:val="es-ES_tradnl"/>
        </w:rPr>
      </w:pPr>
    </w:p>
    <w:p w:rsidR="007777EB" w:rsidRPr="00D465A6" w:rsidRDefault="007777EB" w:rsidP="007777EB">
      <w:pPr>
        <w:autoSpaceDE w:val="0"/>
        <w:autoSpaceDN w:val="0"/>
        <w:adjustRightInd w:val="0"/>
        <w:spacing w:line="360" w:lineRule="auto"/>
        <w:ind w:left="709" w:hanging="709"/>
        <w:jc w:val="both"/>
      </w:pPr>
      <w:r w:rsidRPr="00D465A6">
        <w:t>Plan Departamental de Aguas del Quindío. (2013). Instrumentos de Planeación. Informe  Convenio Uso de Recursos CUR 2013-  PAP-PDA Quindío. Recuperado de http://aguaparalaprosperidadquindio.com/images/instrumentos_planeacion/</w:t>
      </w:r>
    </w:p>
    <w:p w:rsidR="007777EB" w:rsidRPr="00D465A6" w:rsidRDefault="007777EB" w:rsidP="007777EB">
      <w:pPr>
        <w:pStyle w:val="Prrafodelista"/>
        <w:autoSpaceDE w:val="0"/>
        <w:autoSpaceDN w:val="0"/>
        <w:adjustRightInd w:val="0"/>
        <w:spacing w:line="360" w:lineRule="auto"/>
        <w:ind w:left="709" w:hanging="709"/>
        <w:jc w:val="both"/>
      </w:pPr>
    </w:p>
    <w:p w:rsidR="007777EB" w:rsidRPr="00D465A6" w:rsidRDefault="007777EB" w:rsidP="007777EB">
      <w:pPr>
        <w:autoSpaceDE w:val="0"/>
        <w:autoSpaceDN w:val="0"/>
        <w:adjustRightInd w:val="0"/>
        <w:spacing w:line="360" w:lineRule="auto"/>
        <w:ind w:left="709" w:hanging="709"/>
        <w:jc w:val="both"/>
      </w:pPr>
      <w:r w:rsidRPr="00D465A6">
        <w:t>Plan Departamental de Aguas del Quindío (2013). Instrumentos de Planeación. Plan Anual Estratégico de Inversiones PAEI 2013-  PAP-PDA Quindío. Recuperado de http://aguaparalaprosperidadquindio.com/images/instrumentos_planeacion/</w:t>
      </w:r>
    </w:p>
    <w:p w:rsidR="007777EB" w:rsidRPr="00D465A6" w:rsidRDefault="007777EB" w:rsidP="007777EB">
      <w:pPr>
        <w:pStyle w:val="Prrafodelista"/>
        <w:autoSpaceDE w:val="0"/>
        <w:autoSpaceDN w:val="0"/>
        <w:adjustRightInd w:val="0"/>
        <w:spacing w:line="360" w:lineRule="auto"/>
        <w:ind w:left="709" w:hanging="709"/>
        <w:jc w:val="both"/>
      </w:pPr>
    </w:p>
    <w:p w:rsidR="007777EB" w:rsidRPr="00D465A6" w:rsidRDefault="007777EB" w:rsidP="007777EB">
      <w:pPr>
        <w:autoSpaceDE w:val="0"/>
        <w:autoSpaceDN w:val="0"/>
        <w:adjustRightInd w:val="0"/>
        <w:spacing w:line="360" w:lineRule="auto"/>
        <w:ind w:left="709" w:hanging="709"/>
        <w:jc w:val="both"/>
      </w:pPr>
      <w:r w:rsidRPr="00D465A6">
        <w:t xml:space="preserve">SUPERSERVICIOS.  (2013). Resolución 319 de 2005 Comisión de Regulación de Agua potable y Saneamiento básico </w:t>
      </w:r>
    </w:p>
    <w:p w:rsidR="007777EB" w:rsidRPr="00D465A6" w:rsidRDefault="007777EB" w:rsidP="007777EB">
      <w:pPr>
        <w:pStyle w:val="Prrafodelista"/>
        <w:spacing w:line="360" w:lineRule="auto"/>
        <w:ind w:left="709" w:hanging="709"/>
        <w:jc w:val="both"/>
      </w:pPr>
    </w:p>
    <w:p w:rsidR="007777EB" w:rsidRPr="00D465A6" w:rsidRDefault="007777EB" w:rsidP="007777EB">
      <w:pPr>
        <w:autoSpaceDE w:val="0"/>
        <w:autoSpaceDN w:val="0"/>
        <w:adjustRightInd w:val="0"/>
        <w:spacing w:line="360" w:lineRule="auto"/>
        <w:ind w:left="709" w:hanging="709"/>
        <w:jc w:val="both"/>
      </w:pPr>
      <w:proofErr w:type="spellStart"/>
      <w:r w:rsidRPr="00D465A6">
        <w:t>Tabarquino</w:t>
      </w:r>
      <w:proofErr w:type="spellEnd"/>
      <w:r w:rsidRPr="00D465A6">
        <w:t>, R.F</w:t>
      </w:r>
      <w:r w:rsidRPr="00D465A6">
        <w:rPr>
          <w:bCs/>
          <w:lang w:val="es-ES"/>
        </w:rPr>
        <w:t>. (2012). “</w:t>
      </w:r>
      <w:r w:rsidRPr="00D465A6">
        <w:t xml:space="preserve">Los Servicios Públicos Domiciliarios En Colombia: Una mirada desde la Ciencia de La Política Pública y la Regulación”. Programa </w:t>
      </w:r>
      <w:r w:rsidRPr="00D465A6">
        <w:rPr>
          <w:iCs/>
        </w:rPr>
        <w:t>Editorial</w:t>
      </w:r>
      <w:r w:rsidRPr="00D465A6">
        <w:t xml:space="preserve"> Facultad</w:t>
      </w:r>
      <w:r w:rsidRPr="00D465A6">
        <w:rPr>
          <w:rStyle w:val="st"/>
        </w:rPr>
        <w:t xml:space="preserve"> de Ciencias de la Administración, Universidad del Valle. Santiago de Cali. Recuperado de http://www.eumed.net/libros-gratis/2011c/997/indice.htm</w:t>
      </w:r>
      <w:r w:rsidRPr="00D465A6">
        <w:t xml:space="preserve"> </w:t>
      </w:r>
    </w:p>
    <w:p w:rsidR="007777EB" w:rsidRPr="00D465A6" w:rsidRDefault="007777EB" w:rsidP="007777EB">
      <w:pPr>
        <w:pStyle w:val="Prrafodelista"/>
        <w:autoSpaceDE w:val="0"/>
        <w:autoSpaceDN w:val="0"/>
        <w:adjustRightInd w:val="0"/>
        <w:spacing w:line="360" w:lineRule="auto"/>
        <w:ind w:left="709" w:hanging="709"/>
        <w:jc w:val="both"/>
      </w:pPr>
    </w:p>
    <w:p w:rsidR="007777EB" w:rsidRPr="00D465A6" w:rsidRDefault="007777EB" w:rsidP="007777EB">
      <w:pPr>
        <w:autoSpaceDE w:val="0"/>
        <w:autoSpaceDN w:val="0"/>
        <w:adjustRightInd w:val="0"/>
        <w:spacing w:line="360" w:lineRule="auto"/>
        <w:ind w:left="709" w:hanging="709"/>
        <w:jc w:val="both"/>
      </w:pPr>
      <w:proofErr w:type="spellStart"/>
      <w:r w:rsidRPr="00D465A6">
        <w:t>Geovanis</w:t>
      </w:r>
      <w:proofErr w:type="spellEnd"/>
      <w:r w:rsidRPr="00D465A6">
        <w:t>, A.B  (2005). “Disposición Final de Residuos Sólidos en Colombia”. Bogotá: CEDE.</w:t>
      </w:r>
    </w:p>
    <w:p w:rsidR="007777EB" w:rsidRPr="00D465A6" w:rsidRDefault="007777EB" w:rsidP="007777EB">
      <w:pPr>
        <w:pStyle w:val="Prrafodelista"/>
        <w:spacing w:line="360" w:lineRule="auto"/>
        <w:ind w:left="709" w:hanging="709"/>
        <w:jc w:val="both"/>
      </w:pPr>
    </w:p>
    <w:p w:rsidR="007777EB" w:rsidRPr="00D465A6" w:rsidRDefault="007777EB" w:rsidP="007777EB">
      <w:pPr>
        <w:autoSpaceDE w:val="0"/>
        <w:autoSpaceDN w:val="0"/>
        <w:adjustRightInd w:val="0"/>
        <w:spacing w:line="360" w:lineRule="auto"/>
        <w:ind w:left="709" w:hanging="709"/>
        <w:jc w:val="both"/>
      </w:pPr>
      <w:r w:rsidRPr="00D465A6">
        <w:t xml:space="preserve">Gobernación del Quindío. Capitulo servicios públicos. Anuario Estadístico 2013. Observatorio económico Planeación Departamental. </w:t>
      </w:r>
    </w:p>
    <w:p w:rsidR="00E85F49" w:rsidRDefault="00E85F49" w:rsidP="00E85F49">
      <w:pPr>
        <w:spacing w:line="360" w:lineRule="auto"/>
        <w:rPr>
          <w:rFonts w:eastAsia="Calibri"/>
        </w:rPr>
      </w:pPr>
    </w:p>
    <w:p w:rsidR="00F464A9" w:rsidRPr="00F040C2" w:rsidRDefault="00F464A9" w:rsidP="00F464A9">
      <w:pPr>
        <w:autoSpaceDE w:val="0"/>
        <w:autoSpaceDN w:val="0"/>
        <w:adjustRightInd w:val="0"/>
        <w:spacing w:line="360" w:lineRule="auto"/>
        <w:ind w:left="709" w:hanging="709"/>
        <w:jc w:val="both"/>
        <w:rPr>
          <w:rFonts w:eastAsia="Calibri"/>
          <w:bCs/>
          <w:lang w:val="es-ES"/>
        </w:rPr>
      </w:pPr>
      <w:r w:rsidRPr="00F040C2">
        <w:t>Aeronáutica Civil de Colombia. (2013). Estadísticas. Estadísticas operacionales. Recuperado de http://www.aerocivil.gov.co/AAeronautica/Estadisticas/TAereo/EOperacionales/Paginas/EOperacionales.aspx</w:t>
      </w:r>
    </w:p>
    <w:p w:rsidR="00F464A9" w:rsidRPr="00F040C2" w:rsidRDefault="00F464A9" w:rsidP="00F464A9">
      <w:pPr>
        <w:pStyle w:val="Prrafodelista"/>
        <w:autoSpaceDE w:val="0"/>
        <w:autoSpaceDN w:val="0"/>
        <w:adjustRightInd w:val="0"/>
        <w:spacing w:line="360" w:lineRule="auto"/>
        <w:ind w:left="709" w:hanging="709"/>
        <w:jc w:val="both"/>
        <w:rPr>
          <w:rFonts w:eastAsia="Calibri"/>
          <w:bCs/>
          <w:lang w:val="es-ES" w:eastAsia="en-US"/>
        </w:rPr>
      </w:pPr>
    </w:p>
    <w:p w:rsidR="00F464A9" w:rsidRPr="00F040C2" w:rsidRDefault="00F464A9" w:rsidP="00F464A9">
      <w:pPr>
        <w:autoSpaceDE w:val="0"/>
        <w:autoSpaceDN w:val="0"/>
        <w:adjustRightInd w:val="0"/>
        <w:spacing w:line="360" w:lineRule="auto"/>
        <w:ind w:left="709" w:hanging="709"/>
        <w:jc w:val="both"/>
      </w:pPr>
      <w:r w:rsidRPr="00F040C2">
        <w:t>Cámara de Comercio de Armenia.  (2013). Encuesta Observatorio turístico del Quindío.  Observatorio y Estudios Empresariales. Pp.11. Recuperado de http://camaraarmenia.org.co/files/Observatorio%20Tur%C3%ADstico%20de%20la%20temporada%20Diciembre%202013%20%E2%80%93%20Enero%202014.pdf</w:t>
      </w:r>
    </w:p>
    <w:p w:rsidR="00F464A9" w:rsidRPr="00F040C2" w:rsidRDefault="00F464A9" w:rsidP="00F464A9">
      <w:pPr>
        <w:pStyle w:val="Prrafodelista"/>
        <w:spacing w:line="360" w:lineRule="auto"/>
        <w:ind w:left="709" w:hanging="709"/>
        <w:jc w:val="both"/>
      </w:pPr>
    </w:p>
    <w:p w:rsidR="00F464A9" w:rsidRPr="00F040C2" w:rsidRDefault="00F464A9" w:rsidP="00F464A9">
      <w:pPr>
        <w:autoSpaceDE w:val="0"/>
        <w:autoSpaceDN w:val="0"/>
        <w:adjustRightInd w:val="0"/>
        <w:spacing w:line="360" w:lineRule="auto"/>
        <w:ind w:left="709" w:hanging="709"/>
        <w:jc w:val="both"/>
      </w:pPr>
      <w:r w:rsidRPr="00F040C2">
        <w:lastRenderedPageBreak/>
        <w:t xml:space="preserve">Ministerio de Comercio, Industria y Comercio. (2013).  Estadísticas CITUR. Recuperado de http://www.citur.gov.co/Estad%C3%ADsticas/Demanda.aspx </w:t>
      </w:r>
    </w:p>
    <w:p w:rsidR="00F464A9" w:rsidRPr="00F040C2" w:rsidRDefault="00F464A9" w:rsidP="00F464A9">
      <w:pPr>
        <w:autoSpaceDE w:val="0"/>
        <w:autoSpaceDN w:val="0"/>
        <w:adjustRightInd w:val="0"/>
        <w:spacing w:line="360" w:lineRule="auto"/>
        <w:ind w:left="709" w:hanging="709"/>
        <w:jc w:val="both"/>
      </w:pPr>
      <w:r w:rsidRPr="00F040C2">
        <w:t xml:space="preserve">Gobernación del Quindío. (2014) Capitulo Transporte. Anuario Estadístico 2013. Observatorio económico Planeación Departamental. </w:t>
      </w:r>
    </w:p>
    <w:p w:rsidR="00F464A9" w:rsidRPr="000E201C" w:rsidRDefault="00F464A9" w:rsidP="00E85F49">
      <w:pPr>
        <w:spacing w:line="360" w:lineRule="auto"/>
        <w:rPr>
          <w:rFonts w:eastAsia="Calibri"/>
        </w:rPr>
      </w:pPr>
    </w:p>
    <w:p w:rsidR="007A568E" w:rsidRPr="000D5276" w:rsidRDefault="008F5FB2" w:rsidP="007A568E">
      <w:pPr>
        <w:autoSpaceDE w:val="0"/>
        <w:autoSpaceDN w:val="0"/>
        <w:adjustRightInd w:val="0"/>
        <w:spacing w:line="360" w:lineRule="auto"/>
        <w:ind w:left="709" w:hanging="709"/>
        <w:jc w:val="both"/>
        <w:rPr>
          <w:rFonts w:eastAsia="Calibri"/>
          <w:bCs/>
          <w:lang w:val="es-ES" w:eastAsia="en-US"/>
        </w:rPr>
      </w:pPr>
      <w:r>
        <w:t>DANE</w:t>
      </w:r>
      <w:r w:rsidR="007A568E" w:rsidRPr="00B543E6">
        <w:t>.</w:t>
      </w:r>
      <w:r w:rsidR="007A568E">
        <w:t xml:space="preserve"> </w:t>
      </w:r>
      <w:r w:rsidR="007A568E" w:rsidRPr="00B543E6">
        <w:t xml:space="preserve">(2013). </w:t>
      </w:r>
      <w:r w:rsidR="007A568E">
        <w:t xml:space="preserve">Construcción. Recuperado de </w:t>
      </w:r>
      <w:r w:rsidR="007A568E" w:rsidRPr="003C6A6B">
        <w:t>http://www.</w:t>
      </w:r>
      <w:r>
        <w:t>DANE</w:t>
      </w:r>
      <w:r w:rsidR="007A568E" w:rsidRPr="003C6A6B">
        <w:t>.gov.co/index.php/estadisticas-por-tema/construccion</w:t>
      </w:r>
    </w:p>
    <w:p w:rsidR="007A568E" w:rsidRPr="00B543E6" w:rsidRDefault="007A568E" w:rsidP="007A568E">
      <w:pPr>
        <w:pStyle w:val="Prrafodelista"/>
        <w:autoSpaceDE w:val="0"/>
        <w:autoSpaceDN w:val="0"/>
        <w:adjustRightInd w:val="0"/>
        <w:spacing w:line="360" w:lineRule="auto"/>
        <w:ind w:left="709" w:hanging="709"/>
        <w:jc w:val="both"/>
        <w:rPr>
          <w:rFonts w:eastAsia="Calibri"/>
          <w:bCs/>
          <w:lang w:val="es-ES" w:eastAsia="en-US"/>
        </w:rPr>
      </w:pPr>
    </w:p>
    <w:p w:rsidR="007A568E" w:rsidRPr="00B7133D" w:rsidRDefault="007A568E" w:rsidP="007A568E">
      <w:pPr>
        <w:autoSpaceDE w:val="0"/>
        <w:autoSpaceDN w:val="0"/>
        <w:adjustRightInd w:val="0"/>
        <w:spacing w:line="360" w:lineRule="auto"/>
        <w:ind w:left="709" w:hanging="709"/>
        <w:jc w:val="both"/>
      </w:pPr>
      <w:r>
        <w:t>CAMACOL</w:t>
      </w:r>
      <w:r w:rsidRPr="00B543E6">
        <w:t xml:space="preserve">.  (2013). </w:t>
      </w:r>
      <w:r w:rsidRPr="00B7133D">
        <w:t xml:space="preserve">Informe </w:t>
      </w:r>
      <w:r>
        <w:t xml:space="preserve">Económico. Estudios económicos. Recuperado de </w:t>
      </w:r>
      <w:r w:rsidRPr="00241651">
        <w:t>http://camacol.co/sites/default/files/secciones_internas/IAE%20Enero%202014%20VF.pdf</w:t>
      </w:r>
    </w:p>
    <w:p w:rsidR="007A568E" w:rsidRDefault="007A568E" w:rsidP="007A568E">
      <w:pPr>
        <w:pStyle w:val="Prrafodelista"/>
        <w:spacing w:line="360" w:lineRule="auto"/>
        <w:ind w:left="709" w:hanging="709"/>
        <w:jc w:val="both"/>
      </w:pPr>
    </w:p>
    <w:p w:rsidR="007A568E" w:rsidRDefault="007A568E" w:rsidP="007A568E">
      <w:pPr>
        <w:spacing w:line="360" w:lineRule="auto"/>
        <w:ind w:left="709" w:hanging="709"/>
        <w:jc w:val="both"/>
      </w:pPr>
      <w:proofErr w:type="spellStart"/>
      <w:r>
        <w:t>Construdata</w:t>
      </w:r>
      <w:proofErr w:type="spellEnd"/>
      <w:r>
        <w:t>. (2013). La mam</w:t>
      </w:r>
      <w:r w:rsidRPr="009174F4">
        <w:t xml:space="preserve">postería prefabricada. Recuperado de http://www.construdata.com/BancoConocimiento/T/terracota-mamposteria/terracota-mamposteria.asp </w:t>
      </w:r>
    </w:p>
    <w:p w:rsidR="007A568E" w:rsidRDefault="007A568E" w:rsidP="007A568E">
      <w:pPr>
        <w:pStyle w:val="Prrafodelista"/>
        <w:spacing w:line="360" w:lineRule="auto"/>
        <w:ind w:left="709" w:hanging="709"/>
        <w:jc w:val="both"/>
      </w:pPr>
    </w:p>
    <w:p w:rsidR="007A568E" w:rsidRPr="00241651" w:rsidRDefault="007A568E" w:rsidP="007A568E">
      <w:pPr>
        <w:autoSpaceDE w:val="0"/>
        <w:autoSpaceDN w:val="0"/>
        <w:adjustRightInd w:val="0"/>
        <w:spacing w:line="360" w:lineRule="auto"/>
        <w:ind w:left="709" w:hanging="709"/>
        <w:jc w:val="both"/>
      </w:pPr>
      <w:r w:rsidRPr="00241651">
        <w:t>Ministerio de vivienda, ciudad y territorio</w:t>
      </w:r>
      <w:r>
        <w:t>, antes Ministerio de Ambiente, Vivienda y Desarrollo Territorial</w:t>
      </w:r>
      <w:r w:rsidRPr="00241651">
        <w:t>.</w:t>
      </w:r>
      <w:r>
        <w:t xml:space="preserve"> (2011)</w:t>
      </w:r>
      <w:r w:rsidRPr="00241651">
        <w:t>. Lineamientos de la política de vivienda</w:t>
      </w:r>
      <w:r>
        <w:t xml:space="preserve"> 2010-2014</w:t>
      </w:r>
      <w:r w:rsidRPr="00241651">
        <w:t>. Recuperado de http://www.masshousingcompetition.org/sites/default/files/lineamientos_de_la_estrategia_de_vivienda_2010-2014_1.pdf</w:t>
      </w:r>
    </w:p>
    <w:p w:rsidR="00E85F49" w:rsidRDefault="00E85F49" w:rsidP="00E85F49"/>
    <w:p w:rsidR="00911730" w:rsidRPr="00911730" w:rsidRDefault="00911730" w:rsidP="00911730">
      <w:pPr>
        <w:spacing w:line="360" w:lineRule="auto"/>
        <w:jc w:val="both"/>
        <w:rPr>
          <w:lang w:val="es-ES"/>
        </w:rPr>
      </w:pPr>
      <w:r w:rsidRPr="00911730">
        <w:rPr>
          <w:lang w:val="es-ES"/>
        </w:rPr>
        <w:t>Informe de Viabilidad Fiscal 2013. Secretaría de Planeación</w:t>
      </w:r>
    </w:p>
    <w:p w:rsidR="00647F67" w:rsidRDefault="00647F67" w:rsidP="00911730">
      <w:pPr>
        <w:spacing w:line="360" w:lineRule="auto"/>
        <w:jc w:val="both"/>
        <w:rPr>
          <w:lang w:val="es-ES"/>
        </w:rPr>
      </w:pPr>
    </w:p>
    <w:p w:rsidR="00911730" w:rsidRPr="00911730" w:rsidRDefault="00911730" w:rsidP="00911730">
      <w:pPr>
        <w:spacing w:line="360" w:lineRule="auto"/>
        <w:jc w:val="both"/>
        <w:rPr>
          <w:lang w:val="es-ES"/>
        </w:rPr>
      </w:pPr>
      <w:r w:rsidRPr="00911730">
        <w:rPr>
          <w:lang w:val="es-ES"/>
        </w:rPr>
        <w:t>Evaluación del Desempeño Integral Municipal 2013. Secretaría de Planeación</w:t>
      </w:r>
    </w:p>
    <w:p w:rsidR="00993720" w:rsidRDefault="00993720" w:rsidP="00D36E27">
      <w:pPr>
        <w:spacing w:line="360" w:lineRule="auto"/>
      </w:pPr>
    </w:p>
    <w:p w:rsidR="004F7CCE" w:rsidRPr="00C61ECF" w:rsidRDefault="004F7CCE" w:rsidP="004F7CCE">
      <w:pPr>
        <w:spacing w:line="360" w:lineRule="auto"/>
        <w:ind w:left="709" w:hanging="709"/>
        <w:jc w:val="both"/>
      </w:pPr>
      <w:r w:rsidRPr="00E6488F">
        <w:rPr>
          <w:bCs/>
          <w:color w:val="000000"/>
          <w:shd w:val="clear" w:color="auto" w:fill="FFFFFF"/>
        </w:rPr>
        <w:t>Baruch Spinoza</w:t>
      </w:r>
      <w:r w:rsidRPr="00E6488F">
        <w:t>, (2013). La alimentación y la agricultura en el mundo: Enseñanzas de los cincuenta últimos años. Recuperado de</w:t>
      </w:r>
      <w:r>
        <w:t xml:space="preserve"> </w:t>
      </w:r>
      <w:r w:rsidRPr="00C61ECF">
        <w:t>http://www.fao.org/docrep/x4400S/x4400s08.htm#TopOfPage</w:t>
      </w:r>
      <w:r>
        <w:t>.</w:t>
      </w:r>
      <w:r w:rsidRPr="00C61ECF">
        <w:t xml:space="preserve"> </w:t>
      </w:r>
    </w:p>
    <w:p w:rsidR="004F7CCE" w:rsidRDefault="004F7CCE" w:rsidP="004F7CCE">
      <w:pPr>
        <w:spacing w:line="360" w:lineRule="auto"/>
        <w:ind w:left="709" w:hanging="709"/>
        <w:jc w:val="both"/>
      </w:pPr>
    </w:p>
    <w:p w:rsidR="004F7CCE" w:rsidRPr="00E6488F" w:rsidRDefault="004F7CCE" w:rsidP="004F7CCE">
      <w:pPr>
        <w:spacing w:line="360" w:lineRule="auto"/>
        <w:ind w:left="709" w:hanging="709"/>
        <w:jc w:val="both"/>
      </w:pPr>
      <w:r w:rsidRPr="00E6488F">
        <w:lastRenderedPageBreak/>
        <w:t xml:space="preserve">Gobernación del Quindío. (2013). Evaluaciones Agropecuarias. </w:t>
      </w:r>
    </w:p>
    <w:p w:rsidR="004F7CCE" w:rsidRDefault="004F7CCE" w:rsidP="004F7CCE">
      <w:pPr>
        <w:spacing w:line="360" w:lineRule="auto"/>
        <w:ind w:left="709" w:hanging="709"/>
        <w:jc w:val="both"/>
      </w:pPr>
    </w:p>
    <w:p w:rsidR="004F7CCE" w:rsidRPr="00E6488F" w:rsidRDefault="004F7CCE" w:rsidP="004F7CCE">
      <w:pPr>
        <w:spacing w:line="360" w:lineRule="auto"/>
        <w:ind w:left="709" w:hanging="709"/>
        <w:jc w:val="both"/>
      </w:pPr>
      <w:r w:rsidRPr="00E6488F">
        <w:t>INCODER. (2014). Dirección Territorial Quindío, Desarrollo Rural para la Paz.</w:t>
      </w:r>
      <w:r>
        <w:t xml:space="preserve"> </w:t>
      </w:r>
      <w:r w:rsidRPr="00E6488F">
        <w:t>Gobernación del Quindío. (2012- 2015). Plan de Desarrollo Departamental, p.p. 141 – 144.</w:t>
      </w:r>
    </w:p>
    <w:p w:rsidR="004F7CCE" w:rsidRDefault="004F7CCE" w:rsidP="00D36E27">
      <w:pPr>
        <w:spacing w:line="360" w:lineRule="auto"/>
      </w:pPr>
    </w:p>
    <w:p w:rsidR="005956CB" w:rsidRPr="005956CB" w:rsidRDefault="005956CB" w:rsidP="005956CB">
      <w:pPr>
        <w:autoSpaceDE w:val="0"/>
        <w:autoSpaceDN w:val="0"/>
        <w:adjustRightInd w:val="0"/>
        <w:spacing w:line="360" w:lineRule="auto"/>
        <w:ind w:left="709" w:hanging="709"/>
        <w:jc w:val="both"/>
        <w:rPr>
          <w:rFonts w:eastAsia="Calibri"/>
          <w:bCs/>
          <w:lang w:val="es-ES" w:eastAsia="en-US"/>
        </w:rPr>
      </w:pPr>
      <w:r w:rsidRPr="005956CB">
        <w:t>Cámara de Comercio del Quindío. (2013). Conformación Económica Por Municipios Año 2013</w:t>
      </w:r>
      <w:r w:rsidRPr="005956CB">
        <w:rPr>
          <w:b/>
          <w:bCs/>
        </w:rPr>
        <w:t xml:space="preserve">. </w:t>
      </w:r>
      <w:r w:rsidRPr="005956CB">
        <w:t xml:space="preserve">Informe Empresarial Estadístico del Quindío 2013,  pp.8; 17. </w:t>
      </w:r>
      <w:r w:rsidRPr="005956CB">
        <w:rPr>
          <w:rFonts w:cs="Minion Pro"/>
          <w:color w:val="000000"/>
        </w:rPr>
        <w:t>Recuperado de http://camaraarmenia.org.co/files/INFORME%20EMPRESARIAL%20ESTADISTICO%20PDF%202013%20ULTIMO%20%282%29.pdf</w:t>
      </w:r>
    </w:p>
    <w:p w:rsidR="005956CB" w:rsidRPr="005956CB" w:rsidRDefault="005956CB" w:rsidP="005956CB">
      <w:pPr>
        <w:pStyle w:val="Prrafodelista"/>
        <w:autoSpaceDE w:val="0"/>
        <w:autoSpaceDN w:val="0"/>
        <w:adjustRightInd w:val="0"/>
        <w:spacing w:line="360" w:lineRule="auto"/>
        <w:ind w:left="709" w:hanging="709"/>
        <w:jc w:val="both"/>
        <w:rPr>
          <w:rFonts w:eastAsia="Calibri"/>
          <w:bCs/>
          <w:lang w:val="es-ES" w:eastAsia="en-US"/>
        </w:rPr>
      </w:pPr>
    </w:p>
    <w:p w:rsidR="005956CB" w:rsidRPr="005956CB" w:rsidRDefault="008F5FB2" w:rsidP="005956CB">
      <w:pPr>
        <w:autoSpaceDE w:val="0"/>
        <w:autoSpaceDN w:val="0"/>
        <w:adjustRightInd w:val="0"/>
        <w:spacing w:line="360" w:lineRule="auto"/>
        <w:ind w:left="709" w:hanging="709"/>
        <w:jc w:val="both"/>
        <w:rPr>
          <w:rFonts w:eastAsia="Calibri"/>
          <w:bCs/>
          <w:lang w:val="es-ES" w:eastAsia="en-US"/>
        </w:rPr>
      </w:pPr>
      <w:r>
        <w:t>DANE</w:t>
      </w:r>
      <w:r w:rsidR="005956CB" w:rsidRPr="005956CB">
        <w:t>. (2013). Mercado Laboral. Recuperado de http://www.</w:t>
      </w:r>
      <w:r>
        <w:t>DANE</w:t>
      </w:r>
      <w:r w:rsidR="005956CB" w:rsidRPr="005956CB">
        <w:t>.gov.co/index.php/estadisticas-por-tema/mercado-laboral.</w:t>
      </w:r>
    </w:p>
    <w:p w:rsidR="005956CB" w:rsidRPr="005956CB" w:rsidRDefault="005956CB" w:rsidP="005956CB">
      <w:pPr>
        <w:pStyle w:val="Prrafodelista"/>
        <w:autoSpaceDE w:val="0"/>
        <w:autoSpaceDN w:val="0"/>
        <w:adjustRightInd w:val="0"/>
        <w:spacing w:line="360" w:lineRule="auto"/>
        <w:ind w:left="709" w:hanging="709"/>
        <w:jc w:val="both"/>
        <w:rPr>
          <w:rFonts w:eastAsia="Calibri"/>
          <w:bCs/>
          <w:lang w:val="es-ES" w:eastAsia="en-US"/>
        </w:rPr>
      </w:pPr>
    </w:p>
    <w:p w:rsidR="005956CB" w:rsidRPr="005956CB" w:rsidRDefault="008F5FB2" w:rsidP="005956CB">
      <w:pPr>
        <w:autoSpaceDE w:val="0"/>
        <w:autoSpaceDN w:val="0"/>
        <w:adjustRightInd w:val="0"/>
        <w:spacing w:line="360" w:lineRule="auto"/>
        <w:ind w:left="709" w:hanging="709"/>
        <w:jc w:val="both"/>
        <w:rPr>
          <w:rFonts w:eastAsia="Calibri"/>
          <w:bCs/>
          <w:lang w:val="es-ES" w:eastAsia="en-US"/>
        </w:rPr>
      </w:pPr>
      <w:r>
        <w:t>DANE</w:t>
      </w:r>
      <w:r w:rsidR="005956CB" w:rsidRPr="005956CB">
        <w:t xml:space="preserve">.  (2013). Demografía Y población. GEIH - Censo realizado por el Departamento  Administrativo Nacional de Estadísticas </w:t>
      </w:r>
      <w:r>
        <w:t>DANE</w:t>
      </w:r>
      <w:r w:rsidR="005956CB" w:rsidRPr="005956CB">
        <w:t xml:space="preserve">  del  año 2005 a 2020. Recuperado de  http://www.</w:t>
      </w:r>
      <w:r>
        <w:t>DANE</w:t>
      </w:r>
      <w:r w:rsidR="005956CB" w:rsidRPr="005956CB">
        <w:t>.gov.co/index.php/poblacion-y-demografia/proyecciones-de-poblacion.</w:t>
      </w:r>
    </w:p>
    <w:p w:rsidR="005956CB" w:rsidRPr="005956CB" w:rsidRDefault="005956CB" w:rsidP="005956CB">
      <w:pPr>
        <w:pStyle w:val="Prrafodelista"/>
        <w:spacing w:line="360" w:lineRule="auto"/>
        <w:ind w:left="709" w:hanging="709"/>
        <w:jc w:val="both"/>
        <w:rPr>
          <w:rFonts w:eastAsia="Calibri"/>
          <w:bCs/>
          <w:lang w:val="es-ES" w:eastAsia="en-US"/>
        </w:rPr>
      </w:pPr>
    </w:p>
    <w:p w:rsidR="005956CB" w:rsidRPr="005956CB" w:rsidRDefault="005956CB" w:rsidP="005956CB">
      <w:pPr>
        <w:autoSpaceDE w:val="0"/>
        <w:autoSpaceDN w:val="0"/>
        <w:adjustRightInd w:val="0"/>
        <w:spacing w:line="360" w:lineRule="auto"/>
        <w:ind w:left="709" w:hanging="709"/>
        <w:jc w:val="both"/>
        <w:rPr>
          <w:rFonts w:eastAsia="Calibri"/>
          <w:bCs/>
          <w:lang w:val="es-ES" w:eastAsia="en-US"/>
        </w:rPr>
      </w:pPr>
      <w:r w:rsidRPr="005956CB">
        <w:rPr>
          <w:rFonts w:eastAsia="Calibri"/>
          <w:bCs/>
          <w:lang w:val="es-ES" w:eastAsia="en-US"/>
        </w:rPr>
        <w:t>Ministerio de Trabajo de Colombia. (2013). Estadísticas de trabajo. Fuente de Información Laboral de Colombia FILCO. Recuperado de http://filco.mintrabajo.gov.co/pages/listaIndicadores.xhtml?modulo=2</w:t>
      </w:r>
    </w:p>
    <w:p w:rsidR="005956CB" w:rsidRPr="005956CB" w:rsidRDefault="005956CB" w:rsidP="005956CB">
      <w:pPr>
        <w:pStyle w:val="Prrafodelista"/>
        <w:autoSpaceDE w:val="0"/>
        <w:autoSpaceDN w:val="0"/>
        <w:adjustRightInd w:val="0"/>
        <w:spacing w:line="360" w:lineRule="auto"/>
        <w:ind w:left="709" w:hanging="709"/>
        <w:jc w:val="both"/>
        <w:rPr>
          <w:rFonts w:eastAsia="Calibri"/>
          <w:bCs/>
          <w:lang w:val="es-ES" w:eastAsia="en-US"/>
        </w:rPr>
      </w:pPr>
    </w:p>
    <w:p w:rsidR="005956CB" w:rsidRPr="005956CB" w:rsidRDefault="005956CB" w:rsidP="005956CB">
      <w:pPr>
        <w:autoSpaceDE w:val="0"/>
        <w:autoSpaceDN w:val="0"/>
        <w:adjustRightInd w:val="0"/>
        <w:spacing w:line="360" w:lineRule="auto"/>
        <w:ind w:left="709" w:hanging="709"/>
        <w:jc w:val="both"/>
      </w:pPr>
      <w:r w:rsidRPr="005956CB">
        <w:t>Gobernación del Quindío. (2013). Empleo. Plan de Desarrollo Departamental 2012-2015 “Gobierno Firme por un Quindío más Humano”. pp.116. Recuperado de  http://quindio.gov.co/secretarias/secretaria-de-planeacion-y-planificacion/1-plan-de-desarrollo-2012-2015.html</w:t>
      </w:r>
    </w:p>
    <w:p w:rsidR="005956CB" w:rsidRPr="005956CB" w:rsidRDefault="005956CB" w:rsidP="005956CB">
      <w:pPr>
        <w:pStyle w:val="Prrafodelista"/>
        <w:spacing w:line="360" w:lineRule="auto"/>
        <w:ind w:left="709" w:hanging="709"/>
        <w:jc w:val="both"/>
      </w:pPr>
    </w:p>
    <w:p w:rsidR="005956CB" w:rsidRPr="005956CB" w:rsidRDefault="005956CB" w:rsidP="005956CB">
      <w:pPr>
        <w:autoSpaceDE w:val="0"/>
        <w:autoSpaceDN w:val="0"/>
        <w:adjustRightInd w:val="0"/>
        <w:spacing w:line="360" w:lineRule="auto"/>
        <w:ind w:left="709" w:hanging="709"/>
        <w:jc w:val="both"/>
      </w:pPr>
      <w:r w:rsidRPr="005956CB">
        <w:lastRenderedPageBreak/>
        <w:t>Servicio Nacional de Aprendizaje SENA. (2013).  Boletín de tendencia de las ocupaciones. Observatorio Laboral Programa SENA. Recuperado de http://observatorio.sena.edu.co/pdf/2013/boletin_tendencia.pdf</w:t>
      </w:r>
    </w:p>
    <w:p w:rsidR="005956CB" w:rsidRPr="005956CB" w:rsidRDefault="005956CB" w:rsidP="005956CB">
      <w:pPr>
        <w:pStyle w:val="Prrafodelista"/>
        <w:spacing w:line="360" w:lineRule="auto"/>
        <w:ind w:left="709" w:hanging="709"/>
        <w:jc w:val="both"/>
      </w:pPr>
    </w:p>
    <w:p w:rsidR="005956CB" w:rsidRPr="005956CB" w:rsidRDefault="005956CB" w:rsidP="005956CB">
      <w:pPr>
        <w:autoSpaceDE w:val="0"/>
        <w:autoSpaceDN w:val="0"/>
        <w:adjustRightInd w:val="0"/>
        <w:spacing w:line="360" w:lineRule="auto"/>
        <w:ind w:left="709" w:hanging="709"/>
        <w:jc w:val="both"/>
      </w:pPr>
      <w:r w:rsidRPr="005956CB">
        <w:t>Escuela Nacional Sindical ENS. (2013). Sistema de información Sindical y Laboral (SISLAB). Pp. 10-12. Recuperado de http://ens.org.co/apc-aa-files/40785cb6c10f663e3ec6ea7ea03aaa15/11_SISLAB_2013_1.pdf   y http://www.ens.org.co/index.shtml?s=c&amp;m=b</w:t>
      </w:r>
    </w:p>
    <w:p w:rsidR="004F7CCE" w:rsidRPr="005956CB" w:rsidRDefault="004F7CCE" w:rsidP="005956CB">
      <w:pPr>
        <w:spacing w:line="360" w:lineRule="auto"/>
        <w:ind w:left="709" w:hanging="709"/>
        <w:jc w:val="both"/>
      </w:pPr>
    </w:p>
    <w:p w:rsidR="00CA012F" w:rsidRPr="00CA4CCC" w:rsidRDefault="00CA012F" w:rsidP="00CA012F">
      <w:pPr>
        <w:spacing w:line="360" w:lineRule="auto"/>
        <w:ind w:left="709" w:hanging="709"/>
        <w:jc w:val="both"/>
      </w:pPr>
      <w:r w:rsidRPr="005B7C02">
        <w:rPr>
          <w:color w:val="000000"/>
        </w:rPr>
        <w:t xml:space="preserve">Organización Mundial del Turismo OMT (2012). “¿Por qué el turismo?”. Recuperado de </w:t>
      </w:r>
      <w:hyperlink r:id="rId153" w:history="1">
        <w:r w:rsidRPr="00CA4CCC">
          <w:rPr>
            <w:rStyle w:val="Hipervnculo"/>
            <w:color w:val="auto"/>
            <w:u w:val="none"/>
          </w:rPr>
          <w:t>http://www2.unwto.org/es/content/por-que-el-turismo</w:t>
        </w:r>
      </w:hyperlink>
      <w:r w:rsidRPr="00CA4CCC">
        <w:t>.</w:t>
      </w:r>
    </w:p>
    <w:p w:rsidR="00CA012F" w:rsidRPr="005B7C02" w:rsidRDefault="00CA012F" w:rsidP="00CA012F">
      <w:pPr>
        <w:spacing w:line="360" w:lineRule="auto"/>
        <w:ind w:left="709" w:hanging="709"/>
        <w:jc w:val="both"/>
        <w:rPr>
          <w:color w:val="000000"/>
        </w:rPr>
      </w:pPr>
    </w:p>
    <w:p w:rsidR="00CA012F" w:rsidRPr="005B7C02" w:rsidRDefault="00CA012F" w:rsidP="00CA012F">
      <w:pPr>
        <w:spacing w:line="360" w:lineRule="auto"/>
        <w:ind w:left="709" w:hanging="709"/>
        <w:jc w:val="both"/>
        <w:rPr>
          <w:color w:val="000000"/>
          <w:sz w:val="4"/>
          <w:szCs w:val="4"/>
        </w:rPr>
      </w:pPr>
    </w:p>
    <w:p w:rsidR="00CA012F" w:rsidRPr="00CA4CCC" w:rsidRDefault="00CA012F" w:rsidP="00CA012F">
      <w:pPr>
        <w:spacing w:line="360" w:lineRule="auto"/>
        <w:ind w:left="709" w:hanging="709"/>
        <w:jc w:val="both"/>
      </w:pPr>
      <w:r w:rsidRPr="005B7C02">
        <w:t xml:space="preserve">Departamento Administrativo Nacional de Estadística </w:t>
      </w:r>
      <w:r w:rsidR="008F5FB2">
        <w:t>DANE</w:t>
      </w:r>
      <w:r w:rsidRPr="005B7C02">
        <w:t xml:space="preserve"> (2012), Cuentas Nacionales, Cuentas satélite.  Recuperado </w:t>
      </w:r>
      <w:r w:rsidRPr="00CA012F">
        <w:t xml:space="preserve">en </w:t>
      </w:r>
      <w:hyperlink r:id="rId154" w:history="1">
        <w:r w:rsidRPr="00CA4CCC">
          <w:rPr>
            <w:rStyle w:val="Hipervnculo"/>
            <w:color w:val="auto"/>
            <w:u w:val="none"/>
          </w:rPr>
          <w:t>www.</w:t>
        </w:r>
        <w:r w:rsidR="008F5FB2">
          <w:rPr>
            <w:rStyle w:val="Hipervnculo"/>
            <w:color w:val="auto"/>
            <w:u w:val="none"/>
          </w:rPr>
          <w:t>DANE</w:t>
        </w:r>
        <w:r w:rsidRPr="00CA4CCC">
          <w:rPr>
            <w:rStyle w:val="Hipervnculo"/>
            <w:color w:val="auto"/>
            <w:u w:val="none"/>
          </w:rPr>
          <w:t>.gov.co</w:t>
        </w:r>
      </w:hyperlink>
      <w:r w:rsidRPr="00CA4CCC">
        <w:t>.</w:t>
      </w:r>
    </w:p>
    <w:p w:rsidR="00CA012F" w:rsidRDefault="00CA012F" w:rsidP="00CA012F">
      <w:pPr>
        <w:spacing w:line="360" w:lineRule="auto"/>
        <w:ind w:left="709" w:hanging="709"/>
        <w:jc w:val="both"/>
      </w:pPr>
    </w:p>
    <w:p w:rsidR="00CA012F" w:rsidRPr="005B7C02" w:rsidRDefault="00CA012F" w:rsidP="00CA012F">
      <w:pPr>
        <w:spacing w:line="360" w:lineRule="auto"/>
        <w:ind w:left="709" w:hanging="709"/>
        <w:jc w:val="both"/>
        <w:rPr>
          <w:sz w:val="4"/>
          <w:szCs w:val="4"/>
        </w:rPr>
      </w:pPr>
    </w:p>
    <w:p w:rsidR="00CA012F" w:rsidRDefault="00CA012F" w:rsidP="00CA012F">
      <w:pPr>
        <w:spacing w:line="360" w:lineRule="auto"/>
        <w:ind w:left="709" w:hanging="709"/>
        <w:jc w:val="both"/>
        <w:rPr>
          <w:color w:val="000000"/>
          <w:lang w:val="es-MX" w:eastAsia="es-MX"/>
        </w:rPr>
      </w:pPr>
      <w:r w:rsidRPr="005B7C02">
        <w:rPr>
          <w:color w:val="000000"/>
          <w:lang w:val="es-MX" w:eastAsia="es-MX"/>
        </w:rPr>
        <w:t>Observatorio  Turístico</w:t>
      </w:r>
      <w:r>
        <w:rPr>
          <w:color w:val="000000"/>
          <w:lang w:val="es-MX" w:eastAsia="es-MX"/>
        </w:rPr>
        <w:t xml:space="preserve"> del Quindío </w:t>
      </w:r>
      <w:r w:rsidRPr="005B7C02">
        <w:rPr>
          <w:color w:val="000000"/>
          <w:lang w:val="es-MX" w:eastAsia="es-MX"/>
        </w:rPr>
        <w:t>(2013).</w:t>
      </w:r>
      <w:r>
        <w:rPr>
          <w:color w:val="000000"/>
          <w:lang w:val="es-MX" w:eastAsia="es-MX"/>
        </w:rPr>
        <w:t xml:space="preserve">  </w:t>
      </w:r>
      <w:r w:rsidRPr="005B7C02">
        <w:rPr>
          <w:color w:val="000000"/>
          <w:lang w:val="es-MX" w:eastAsia="es-MX"/>
        </w:rPr>
        <w:t>Cámara  de   Comercio  de  Armenia</w:t>
      </w:r>
      <w:r>
        <w:rPr>
          <w:color w:val="000000"/>
          <w:lang w:val="es-MX" w:eastAsia="es-MX"/>
        </w:rPr>
        <w:t>.</w:t>
      </w:r>
      <w:r w:rsidRPr="005B7C02">
        <w:rPr>
          <w:color w:val="000000"/>
          <w:lang w:val="es-MX" w:eastAsia="es-MX"/>
        </w:rPr>
        <w:t xml:space="preserve">   </w:t>
      </w:r>
    </w:p>
    <w:p w:rsidR="00CA012F" w:rsidRPr="0044353B" w:rsidRDefault="00CA012F" w:rsidP="00CA012F">
      <w:pPr>
        <w:spacing w:line="360" w:lineRule="auto"/>
        <w:ind w:left="709" w:hanging="709"/>
        <w:jc w:val="both"/>
        <w:rPr>
          <w:color w:val="000000"/>
          <w:sz w:val="18"/>
          <w:szCs w:val="18"/>
          <w:lang w:val="es-MX" w:eastAsia="es-MX"/>
        </w:rPr>
      </w:pPr>
    </w:p>
    <w:p w:rsidR="00CA012F" w:rsidRDefault="00CA012F" w:rsidP="00CA012F">
      <w:pPr>
        <w:spacing w:line="360" w:lineRule="auto"/>
        <w:ind w:left="709" w:hanging="709"/>
        <w:jc w:val="both"/>
      </w:pPr>
      <w:r>
        <w:t xml:space="preserve">Ministerio de Comercio, Industria y Turismo, </w:t>
      </w:r>
      <w:r w:rsidRPr="005B7C02">
        <w:t>Guía turística (2013). Quindío Colombia.</w:t>
      </w:r>
    </w:p>
    <w:p w:rsidR="00CA012F" w:rsidRPr="009E4E8A" w:rsidRDefault="00CA012F" w:rsidP="00CA012F">
      <w:pPr>
        <w:spacing w:line="360" w:lineRule="auto"/>
        <w:ind w:left="709" w:hanging="709"/>
        <w:jc w:val="both"/>
        <w:rPr>
          <w:sz w:val="8"/>
          <w:szCs w:val="8"/>
        </w:rPr>
      </w:pPr>
    </w:p>
    <w:p w:rsidR="00CA012F" w:rsidRPr="005B7C02" w:rsidRDefault="00CA012F" w:rsidP="00CA012F">
      <w:pPr>
        <w:spacing w:line="360" w:lineRule="auto"/>
        <w:ind w:left="709" w:hanging="709"/>
        <w:jc w:val="both"/>
      </w:pPr>
      <w:r>
        <w:t>Anuario Estadístico (2013). Gobernación del Quindío.</w:t>
      </w:r>
    </w:p>
    <w:p w:rsidR="00993720" w:rsidRDefault="00993720" w:rsidP="00CA012F">
      <w:pPr>
        <w:spacing w:line="360" w:lineRule="auto"/>
        <w:ind w:left="709" w:hanging="709"/>
        <w:jc w:val="both"/>
      </w:pPr>
    </w:p>
    <w:p w:rsidR="00FD7F4E" w:rsidRPr="00DC2CFF" w:rsidRDefault="00FD7F4E" w:rsidP="00FD7F4E">
      <w:pPr>
        <w:spacing w:line="360" w:lineRule="auto"/>
        <w:ind w:left="709" w:hanging="709"/>
      </w:pPr>
      <w:r w:rsidRPr="00DC2CFF">
        <w:t xml:space="preserve">Organización Mundial de la Salud. (2000).Comité de Expertos de la en Enfermedades Venéreas y </w:t>
      </w:r>
      <w:proofErr w:type="spellStart"/>
      <w:r w:rsidRPr="00DC2CFF">
        <w:t>Treponematosís</w:t>
      </w:r>
      <w:proofErr w:type="spellEnd"/>
      <w:r w:rsidRPr="00DC2CFF">
        <w:t>. Sexto informe. España, Gráficas, p.7.</w:t>
      </w:r>
    </w:p>
    <w:p w:rsidR="00FD7F4E" w:rsidRDefault="00FD7F4E" w:rsidP="00FD7F4E">
      <w:pPr>
        <w:spacing w:line="360" w:lineRule="auto"/>
        <w:ind w:left="709" w:hanging="709"/>
      </w:pPr>
    </w:p>
    <w:p w:rsidR="00FD7F4E" w:rsidRPr="00DC2CFF" w:rsidRDefault="00FD7F4E" w:rsidP="00FD7F4E">
      <w:pPr>
        <w:spacing w:line="360" w:lineRule="auto"/>
        <w:ind w:left="709" w:hanging="709"/>
      </w:pPr>
      <w:r w:rsidRPr="00DC2CFF">
        <w:t>Constitución Política de Colombia. (1991).</w:t>
      </w:r>
    </w:p>
    <w:p w:rsidR="00FD7F4E" w:rsidRDefault="00FD7F4E" w:rsidP="00FD7F4E">
      <w:pPr>
        <w:spacing w:line="360" w:lineRule="auto"/>
        <w:ind w:left="709" w:hanging="709"/>
      </w:pPr>
    </w:p>
    <w:p w:rsidR="00FD7F4E" w:rsidRPr="00DC2CFF" w:rsidRDefault="00FD7F4E" w:rsidP="00FD7F4E">
      <w:pPr>
        <w:spacing w:line="360" w:lineRule="auto"/>
        <w:ind w:left="709" w:hanging="709"/>
      </w:pPr>
      <w:r w:rsidRPr="00DC2CFF">
        <w:t>Manual de procedimientos técnicos, programa ampliado de inmunización, 2012.</w:t>
      </w:r>
    </w:p>
    <w:p w:rsidR="00FD7F4E" w:rsidRDefault="00FD7F4E" w:rsidP="00FD7F4E">
      <w:pPr>
        <w:spacing w:line="360" w:lineRule="auto"/>
        <w:ind w:left="709" w:hanging="709"/>
      </w:pPr>
    </w:p>
    <w:p w:rsidR="00166C7D" w:rsidRDefault="00FD7F4E" w:rsidP="00E3470B">
      <w:pPr>
        <w:spacing w:line="360" w:lineRule="auto"/>
        <w:ind w:left="709" w:hanging="709"/>
        <w:jc w:val="both"/>
        <w:rPr>
          <w:rFonts w:eastAsia="Calibri"/>
          <w:b/>
          <w:bCs/>
          <w:sz w:val="30"/>
          <w:szCs w:val="30"/>
          <w:lang w:val="es-ES" w:eastAsia="en-US"/>
        </w:rPr>
      </w:pPr>
      <w:r w:rsidRPr="00DC2CFF">
        <w:t xml:space="preserve">Gobernación del Quindío. (2012- 2015). Plan de Desarrollo Departamental, </w:t>
      </w:r>
      <w:proofErr w:type="spellStart"/>
      <w:r w:rsidRPr="00DC2CFF">
        <w:t>p.p</w:t>
      </w:r>
      <w:proofErr w:type="spellEnd"/>
      <w:r w:rsidRPr="00DC2CFF">
        <w:t xml:space="preserve"> 56 - 76</w:t>
      </w:r>
    </w:p>
    <w:sectPr w:rsidR="00166C7D" w:rsidSect="002F6657">
      <w:headerReference w:type="default" r:id="rId155"/>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D69" w:rsidRDefault="00615D69" w:rsidP="006A5629">
      <w:r>
        <w:separator/>
      </w:r>
    </w:p>
  </w:endnote>
  <w:endnote w:type="continuationSeparator" w:id="0">
    <w:p w:rsidR="00615D69" w:rsidRDefault="00615D69" w:rsidP="006A5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16E" w:rsidRDefault="00EA516E" w:rsidP="008F6644">
    <w:pPr>
      <w:pStyle w:val="Piedepgina"/>
      <w:tabs>
        <w:tab w:val="clear" w:pos="4419"/>
        <w:tab w:val="clear" w:pos="8838"/>
        <w:tab w:val="right" w:pos="8696"/>
      </w:tabs>
    </w:pPr>
    <w:r>
      <w:rPr>
        <w:noProof/>
      </w:rPr>
      <w:drawing>
        <wp:anchor distT="0" distB="0" distL="114300" distR="114300" simplePos="0" relativeHeight="251670528" behindDoc="1" locked="0" layoutInCell="1" allowOverlap="1" wp14:anchorId="2682FB4B" wp14:editId="09EF2DE3">
          <wp:simplePos x="0" y="0"/>
          <wp:positionH relativeFrom="column">
            <wp:posOffset>-935990</wp:posOffset>
          </wp:positionH>
          <wp:positionV relativeFrom="paragraph">
            <wp:posOffset>-266700</wp:posOffset>
          </wp:positionV>
          <wp:extent cx="7629525" cy="702945"/>
          <wp:effectExtent l="0" t="0" r="9525" b="190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 título-3.jpg"/>
                  <pic:cNvPicPr/>
                </pic:nvPicPr>
                <pic:blipFill>
                  <a:blip r:embed="rId1">
                    <a:extLst>
                      <a:ext uri="{28A0092B-C50C-407E-A947-70E740481C1C}">
                        <a14:useLocalDpi xmlns:a14="http://schemas.microsoft.com/office/drawing/2010/main" val="0"/>
                      </a:ext>
                    </a:extLst>
                  </a:blip>
                  <a:stretch>
                    <a:fillRect/>
                  </a:stretch>
                </pic:blipFill>
                <pic:spPr>
                  <a:xfrm>
                    <a:off x="0" y="0"/>
                    <a:ext cx="7629525" cy="70294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D69" w:rsidRDefault="00615D69" w:rsidP="006A5629">
      <w:r>
        <w:separator/>
      </w:r>
    </w:p>
  </w:footnote>
  <w:footnote w:type="continuationSeparator" w:id="0">
    <w:p w:rsidR="00615D69" w:rsidRDefault="00615D69" w:rsidP="006A5629">
      <w:r>
        <w:continuationSeparator/>
      </w:r>
    </w:p>
  </w:footnote>
  <w:footnote w:id="1">
    <w:p w:rsidR="00EA516E" w:rsidRPr="008F57A0" w:rsidRDefault="00EA516E" w:rsidP="00675D1A">
      <w:pPr>
        <w:autoSpaceDE w:val="0"/>
        <w:autoSpaceDN w:val="0"/>
        <w:adjustRightInd w:val="0"/>
        <w:jc w:val="both"/>
        <w:rPr>
          <w:sz w:val="16"/>
          <w:szCs w:val="16"/>
        </w:rPr>
      </w:pPr>
      <w:r w:rsidRPr="006366CD">
        <w:rPr>
          <w:rStyle w:val="Refdenotaalpie"/>
          <w:sz w:val="18"/>
          <w:szCs w:val="14"/>
        </w:rPr>
        <w:footnoteRef/>
      </w:r>
      <w:r w:rsidRPr="006366CD">
        <w:rPr>
          <w:sz w:val="18"/>
          <w:szCs w:val="14"/>
        </w:rPr>
        <w:t xml:space="preserve"> </w:t>
      </w:r>
      <w:r w:rsidRPr="008F57A0">
        <w:rPr>
          <w:sz w:val="16"/>
          <w:szCs w:val="16"/>
        </w:rPr>
        <w:t>Limita al norte con los departamentos del Valle del Cauca y Risaralda; al sur-occidente con el Valle del Cauca; y al oriente y sur-oriente con el departamento de Tolima.</w:t>
      </w:r>
    </w:p>
  </w:footnote>
  <w:footnote w:id="2">
    <w:p w:rsidR="00EA516E" w:rsidRPr="00886AAB" w:rsidRDefault="00EA516E">
      <w:pPr>
        <w:pStyle w:val="Textonotapie"/>
        <w:rPr>
          <w:rFonts w:ascii="Times New Roman" w:hAnsi="Times New Roman"/>
          <w:lang w:val="es-CO"/>
        </w:rPr>
      </w:pPr>
      <w:r>
        <w:rPr>
          <w:rStyle w:val="Refdenotaalpie"/>
        </w:rPr>
        <w:footnoteRef/>
      </w:r>
      <w:r>
        <w:t xml:space="preserve"> </w:t>
      </w:r>
      <w:r w:rsidRPr="00886AAB">
        <w:rPr>
          <w:rFonts w:ascii="Times New Roman" w:hAnsi="Times New Roman"/>
        </w:rPr>
        <w:t xml:space="preserve">Proyecciones de población </w:t>
      </w:r>
      <w:r w:rsidRPr="00886AAB">
        <w:rPr>
          <w:rFonts w:ascii="Times New Roman" w:hAnsi="Times New Roman"/>
          <w:lang w:val="es-CO"/>
        </w:rPr>
        <w:t xml:space="preserve">Censo </w:t>
      </w:r>
      <w:r>
        <w:rPr>
          <w:rFonts w:ascii="Times New Roman" w:hAnsi="Times New Roman"/>
          <w:lang w:val="es-CO"/>
        </w:rPr>
        <w:t>DANE</w:t>
      </w:r>
      <w:r w:rsidRPr="00886AAB">
        <w:rPr>
          <w:rFonts w:ascii="Times New Roman" w:hAnsi="Times New Roman"/>
          <w:lang w:val="es-CO"/>
        </w:rPr>
        <w:t xml:space="preserve"> 2005</w:t>
      </w:r>
    </w:p>
  </w:footnote>
  <w:footnote w:id="3">
    <w:p w:rsidR="00EA516E" w:rsidRPr="00DC29AD" w:rsidRDefault="00EA516E">
      <w:pPr>
        <w:pStyle w:val="Textonotapie"/>
        <w:rPr>
          <w:sz w:val="16"/>
          <w:szCs w:val="16"/>
          <w:lang w:val="es-CO"/>
        </w:rPr>
      </w:pPr>
      <w:r>
        <w:rPr>
          <w:rStyle w:val="Refdenotaalpie"/>
        </w:rPr>
        <w:footnoteRef/>
      </w:r>
      <w:r>
        <w:t xml:space="preserve"> </w:t>
      </w:r>
      <w:r w:rsidRPr="00DC29AD">
        <w:rPr>
          <w:rFonts w:ascii="Times New Roman" w:hAnsi="Times New Roman"/>
          <w:sz w:val="16"/>
          <w:szCs w:val="16"/>
        </w:rPr>
        <w:t>Último periodo censal  (2005) y en el año de análisis (2013)</w:t>
      </w:r>
    </w:p>
  </w:footnote>
  <w:footnote w:id="4">
    <w:p w:rsidR="00EA516E" w:rsidRPr="00FA04BE" w:rsidRDefault="00EA516E">
      <w:pPr>
        <w:pStyle w:val="Textonotapie"/>
        <w:rPr>
          <w:rFonts w:ascii="Times New Roman" w:hAnsi="Times New Roman"/>
          <w:lang w:val="es-CO"/>
        </w:rPr>
      </w:pPr>
      <w:r>
        <w:rPr>
          <w:rStyle w:val="Refdenotaalpie"/>
        </w:rPr>
        <w:footnoteRef/>
      </w:r>
      <w:r>
        <w:t xml:space="preserve"> </w:t>
      </w:r>
      <w:r w:rsidRPr="00FA04BE">
        <w:rPr>
          <w:rFonts w:ascii="Times New Roman" w:hAnsi="Times New Roman"/>
          <w:lang w:val="es-CO"/>
        </w:rPr>
        <w:t>Proyecciones</w:t>
      </w:r>
      <w:r>
        <w:rPr>
          <w:rFonts w:ascii="Times New Roman" w:hAnsi="Times New Roman"/>
          <w:lang w:val="es-CO"/>
        </w:rPr>
        <w:t xml:space="preserve"> de población</w:t>
      </w:r>
      <w:r w:rsidRPr="00FA04BE">
        <w:rPr>
          <w:rFonts w:ascii="Times New Roman" w:hAnsi="Times New Roman"/>
          <w:lang w:val="es-CO"/>
        </w:rPr>
        <w:t xml:space="preserve"> censo </w:t>
      </w:r>
      <w:r>
        <w:rPr>
          <w:rFonts w:ascii="Times New Roman" w:hAnsi="Times New Roman"/>
          <w:lang w:val="es-CO"/>
        </w:rPr>
        <w:t>DANE</w:t>
      </w:r>
      <w:r w:rsidRPr="00FA04BE">
        <w:rPr>
          <w:rFonts w:ascii="Times New Roman" w:hAnsi="Times New Roman"/>
          <w:lang w:val="es-CO"/>
        </w:rPr>
        <w:t xml:space="preserve"> 1985</w:t>
      </w:r>
    </w:p>
  </w:footnote>
  <w:footnote w:id="5">
    <w:p w:rsidR="00EA516E" w:rsidRPr="00AA4D03" w:rsidRDefault="00EA516E" w:rsidP="00675D1A">
      <w:pPr>
        <w:pStyle w:val="Textonotapie"/>
        <w:jc w:val="both"/>
        <w:rPr>
          <w:rFonts w:ascii="Times New Roman" w:hAnsi="Times New Roman"/>
          <w:sz w:val="16"/>
          <w:szCs w:val="16"/>
        </w:rPr>
      </w:pPr>
      <w:r w:rsidRPr="00AA4D03">
        <w:rPr>
          <w:rStyle w:val="Refdenotaalpie"/>
          <w:rFonts w:ascii="Times New Roman" w:hAnsi="Times New Roman"/>
          <w:sz w:val="16"/>
          <w:szCs w:val="16"/>
        </w:rPr>
        <w:footnoteRef/>
      </w:r>
      <w:r w:rsidRPr="00AA4D03">
        <w:rPr>
          <w:rFonts w:ascii="Times New Roman" w:hAnsi="Times New Roman"/>
          <w:sz w:val="16"/>
          <w:szCs w:val="16"/>
        </w:rPr>
        <w:t xml:space="preserve"> Información del sistema CUBO del 5 de mayo de 2014. Es pertinente aclarar que esta información corresponde únicamente a las personas en condición de discapacidad identificadas a la fecha y que por lo tanto seguirá alimentándose conforme sea actualizado el registro de localización del departamento.</w:t>
      </w:r>
    </w:p>
  </w:footnote>
  <w:footnote w:id="6">
    <w:p w:rsidR="00EA516E" w:rsidRPr="00AF46E3" w:rsidRDefault="00EA516E">
      <w:pPr>
        <w:pStyle w:val="Textonotapie"/>
        <w:rPr>
          <w:lang w:val="es-CO"/>
        </w:rPr>
      </w:pPr>
      <w:r>
        <w:rPr>
          <w:rStyle w:val="Refdenotaalpie"/>
        </w:rPr>
        <w:footnoteRef/>
      </w:r>
      <w:r>
        <w:t xml:space="preserve"> </w:t>
      </w:r>
      <w:r>
        <w:rPr>
          <w:lang w:val="es-CO"/>
        </w:rPr>
        <w:t>Necesidades Básicas Insatisfechas total nacional y departamentos.</w:t>
      </w:r>
    </w:p>
  </w:footnote>
  <w:footnote w:id="7">
    <w:p w:rsidR="00EA516E" w:rsidRPr="009F712E" w:rsidRDefault="00EA516E" w:rsidP="009F712E">
      <w:pPr>
        <w:pStyle w:val="Textonotapie"/>
        <w:jc w:val="both"/>
        <w:rPr>
          <w:rFonts w:ascii="Times New Roman" w:hAnsi="Times New Roman"/>
          <w:lang w:val="es-CO"/>
        </w:rPr>
      </w:pPr>
      <w:r>
        <w:rPr>
          <w:rStyle w:val="Refdenotaalpie"/>
        </w:rPr>
        <w:footnoteRef/>
      </w:r>
      <w:r>
        <w:t xml:space="preserve"> </w:t>
      </w:r>
      <w:r w:rsidRPr="009F712E">
        <w:rPr>
          <w:rFonts w:ascii="Times New Roman" w:hAnsi="Times New Roman"/>
        </w:rPr>
        <w:t>La fuente principal de información para la construcción es la Encuesta de Ingresos y Gastos (EIG) 2006-2007 para la construcción de las líneas de pobreza urbana y rural.</w:t>
      </w:r>
    </w:p>
  </w:footnote>
  <w:footnote w:id="8">
    <w:p w:rsidR="00EA516E" w:rsidRPr="009F712E" w:rsidRDefault="00EA516E" w:rsidP="009F712E">
      <w:pPr>
        <w:pStyle w:val="Textonotapie"/>
        <w:jc w:val="both"/>
        <w:rPr>
          <w:rFonts w:ascii="Times New Roman" w:hAnsi="Times New Roman"/>
          <w:lang w:val="es-CO"/>
        </w:rPr>
      </w:pPr>
      <w:r w:rsidRPr="009F712E">
        <w:rPr>
          <w:rStyle w:val="Refdenotaalpie"/>
          <w:rFonts w:ascii="Times New Roman" w:hAnsi="Times New Roman"/>
        </w:rPr>
        <w:footnoteRef/>
      </w:r>
      <w:r w:rsidRPr="009F712E">
        <w:rPr>
          <w:rFonts w:ascii="Times New Roman" w:hAnsi="Times New Roman"/>
        </w:rPr>
        <w:t xml:space="preserve"> </w:t>
      </w:r>
      <w:r w:rsidRPr="009F712E">
        <w:rPr>
          <w:rFonts w:ascii="Times New Roman" w:hAnsi="Times New Roman"/>
          <w:lang w:val="es-CO"/>
        </w:rPr>
        <w:t xml:space="preserve">Pobreza Monetaria y Desigualdad </w:t>
      </w:r>
      <w:r>
        <w:rPr>
          <w:rFonts w:ascii="Times New Roman" w:hAnsi="Times New Roman"/>
          <w:lang w:val="es-CO"/>
        </w:rPr>
        <w:t>DANE</w:t>
      </w:r>
      <w:r w:rsidRPr="009F712E">
        <w:rPr>
          <w:rFonts w:ascii="Times New Roman" w:hAnsi="Times New Roman"/>
          <w:lang w:val="es-CO"/>
        </w:rPr>
        <w:t xml:space="preserve"> 2013.</w:t>
      </w:r>
    </w:p>
  </w:footnote>
  <w:footnote w:id="9">
    <w:p w:rsidR="00EA516E" w:rsidRPr="009F712E" w:rsidRDefault="00EA516E" w:rsidP="009F712E">
      <w:pPr>
        <w:pStyle w:val="Textonotapie"/>
        <w:jc w:val="both"/>
        <w:rPr>
          <w:rFonts w:ascii="Times New Roman" w:hAnsi="Times New Roman"/>
          <w:lang w:val="es-CO"/>
        </w:rPr>
      </w:pPr>
      <w:r w:rsidRPr="009F712E">
        <w:rPr>
          <w:rStyle w:val="Refdenotaalpie"/>
          <w:rFonts w:ascii="Times New Roman" w:hAnsi="Times New Roman"/>
        </w:rPr>
        <w:footnoteRef/>
      </w:r>
      <w:r w:rsidRPr="009F712E">
        <w:rPr>
          <w:rFonts w:ascii="Times New Roman" w:hAnsi="Times New Roman"/>
        </w:rPr>
        <w:t xml:space="preserve"> </w:t>
      </w:r>
      <w:r w:rsidRPr="009F712E">
        <w:rPr>
          <w:rFonts w:ascii="Times New Roman" w:hAnsi="Times New Roman"/>
          <w:lang w:val="es-CO"/>
        </w:rPr>
        <w:t xml:space="preserve">Boletín pobreza 2012  y 2013 - </w:t>
      </w:r>
      <w:r>
        <w:rPr>
          <w:rFonts w:ascii="Times New Roman" w:hAnsi="Times New Roman"/>
          <w:lang w:val="es-CO"/>
        </w:rPr>
        <w:t>DANE</w:t>
      </w:r>
    </w:p>
  </w:footnote>
  <w:footnote w:id="10">
    <w:p w:rsidR="00EA516E" w:rsidRPr="00DC49D2" w:rsidRDefault="00EA516E" w:rsidP="00DC49D2">
      <w:pPr>
        <w:pStyle w:val="Textonotapie"/>
        <w:jc w:val="both"/>
        <w:rPr>
          <w:rFonts w:ascii="Times New Roman" w:hAnsi="Times New Roman"/>
        </w:rPr>
      </w:pPr>
      <w:r>
        <w:rPr>
          <w:rStyle w:val="Refdenotaalpie"/>
        </w:rPr>
        <w:footnoteRef/>
      </w:r>
      <w:r>
        <w:t xml:space="preserve"> </w:t>
      </w:r>
      <w:r w:rsidRPr="00DC49D2">
        <w:rPr>
          <w:rFonts w:ascii="Times New Roman" w:hAnsi="Times New Roman"/>
        </w:rPr>
        <w:t>Permite observar la probabilidad no condicionada de que un individuo sea considerado como pobre en el departamento del Quindío</w:t>
      </w:r>
    </w:p>
  </w:footnote>
  <w:footnote w:id="11">
    <w:p w:rsidR="00EA516E" w:rsidRPr="00371EB1" w:rsidRDefault="00EA516E" w:rsidP="00371EB1">
      <w:pPr>
        <w:pStyle w:val="Textonotapie"/>
        <w:jc w:val="both"/>
        <w:rPr>
          <w:rFonts w:ascii="Times New Roman" w:hAnsi="Times New Roman"/>
        </w:rPr>
      </w:pPr>
      <w:r>
        <w:rPr>
          <w:rStyle w:val="Refdenotaalpie"/>
        </w:rPr>
        <w:footnoteRef/>
      </w:r>
      <w:r>
        <w:t xml:space="preserve"> </w:t>
      </w:r>
      <w:r w:rsidRPr="00371EB1">
        <w:rPr>
          <w:rFonts w:ascii="Times New Roman" w:hAnsi="Times New Roman"/>
        </w:rPr>
        <w:t xml:space="preserve">Es necesario recordar que el coeficiente de </w:t>
      </w:r>
      <w:proofErr w:type="spellStart"/>
      <w:r w:rsidRPr="00371EB1">
        <w:rPr>
          <w:rFonts w:ascii="Times New Roman" w:hAnsi="Times New Roman"/>
        </w:rPr>
        <w:t>Gini</w:t>
      </w:r>
      <w:proofErr w:type="spellEnd"/>
      <w:r w:rsidRPr="00371EB1">
        <w:rPr>
          <w:rFonts w:ascii="Times New Roman" w:hAnsi="Times New Roman"/>
        </w:rPr>
        <w:t xml:space="preserve"> es un número entre 0 y 1, en donde 0 corresponde con la perfecta igualdad¸ todos tienen los mismos ingresos y 1 corresponde a la perfecta desigualdad; una persona tiene todos los ingresos y los demás ninguno. </w:t>
      </w:r>
    </w:p>
  </w:footnote>
  <w:footnote w:id="12">
    <w:p w:rsidR="00EA516E" w:rsidRPr="00F02FD7" w:rsidRDefault="00EA516E" w:rsidP="00F02FD7">
      <w:pPr>
        <w:pStyle w:val="Textonotapie"/>
        <w:jc w:val="both"/>
        <w:rPr>
          <w:rFonts w:ascii="Times New Roman" w:hAnsi="Times New Roman"/>
        </w:rPr>
      </w:pPr>
      <w:r>
        <w:rPr>
          <w:rStyle w:val="Refdenotaalpie"/>
        </w:rPr>
        <w:footnoteRef/>
      </w:r>
      <w:r>
        <w:t xml:space="preserve"> </w:t>
      </w:r>
      <w:r w:rsidRPr="00F02FD7">
        <w:rPr>
          <w:rFonts w:ascii="Times New Roman" w:hAnsi="Times New Roman"/>
        </w:rPr>
        <w:t>El Conpes recomendó a los entes territoriales realizar los ajustes presupuestales necesarios para cofinanciar el proceso de implantación del Sisbén III, una vez que el DNP informe sobre el cronograma del operativo, en el cual la Nación aportará el 70% de la financiación y el municipio el 30%</w:t>
      </w:r>
      <w:r>
        <w:rPr>
          <w:rFonts w:ascii="Times New Roman" w:hAnsi="Times New Roman"/>
        </w:rPr>
        <w:t>.</w:t>
      </w:r>
    </w:p>
  </w:footnote>
  <w:footnote w:id="13">
    <w:p w:rsidR="00EA516E" w:rsidRPr="00EC650B" w:rsidRDefault="00EA516E" w:rsidP="00EC650B">
      <w:pPr>
        <w:pStyle w:val="Piedepgina"/>
        <w:jc w:val="both"/>
        <w:rPr>
          <w:sz w:val="20"/>
          <w:szCs w:val="20"/>
        </w:rPr>
      </w:pPr>
      <w:r w:rsidRPr="00EC650B">
        <w:rPr>
          <w:rStyle w:val="Refdenotaalpie"/>
          <w:sz w:val="20"/>
          <w:szCs w:val="20"/>
        </w:rPr>
        <w:footnoteRef/>
      </w:r>
      <w:r w:rsidRPr="00EC650B">
        <w:rPr>
          <w:sz w:val="20"/>
          <w:szCs w:val="20"/>
        </w:rPr>
        <w:t xml:space="preserve"> El Departamento Nacional de Planeación suministró metodologías Tipo 1, 2 y 3 para estratificar las cabeceras muni</w:t>
      </w:r>
      <w:r>
        <w:rPr>
          <w:sz w:val="20"/>
          <w:szCs w:val="20"/>
        </w:rPr>
        <w:t>cipales y los centros poblados.</w:t>
      </w:r>
    </w:p>
  </w:footnote>
  <w:footnote w:id="14">
    <w:p w:rsidR="00EA516E" w:rsidRPr="00EC650B" w:rsidRDefault="00EA516E" w:rsidP="00EC650B">
      <w:pPr>
        <w:pStyle w:val="Textonotapie"/>
        <w:jc w:val="both"/>
        <w:rPr>
          <w:rFonts w:ascii="Times New Roman" w:hAnsi="Times New Roman"/>
          <w:lang w:val="es-CO"/>
        </w:rPr>
      </w:pPr>
      <w:r w:rsidRPr="00EC650B">
        <w:rPr>
          <w:rStyle w:val="Refdenotaalpie"/>
          <w:rFonts w:ascii="Times New Roman" w:hAnsi="Times New Roman"/>
        </w:rPr>
        <w:footnoteRef/>
      </w:r>
      <w:r w:rsidRPr="00EC650B">
        <w:rPr>
          <w:rFonts w:ascii="Times New Roman" w:hAnsi="Times New Roman"/>
        </w:rPr>
        <w:t xml:space="preserve"> Se considera actualizada si tiene una vigencia de 5 años.  Sin embargo, para el proceso de revisión general de la estratificación conviene contar con catastro digital, el cual sólo está disponible para municipios con actualización de su formación predial catastral urbana posterior a 2008.</w:t>
      </w:r>
    </w:p>
  </w:footnote>
  <w:footnote w:id="15">
    <w:p w:rsidR="00EA516E" w:rsidRPr="00746F2D" w:rsidRDefault="00EA516E" w:rsidP="00675D1A">
      <w:pPr>
        <w:pStyle w:val="Piedepgina"/>
        <w:rPr>
          <w:sz w:val="20"/>
          <w:szCs w:val="20"/>
        </w:rPr>
      </w:pPr>
      <w:r w:rsidRPr="00746F2D">
        <w:rPr>
          <w:rStyle w:val="Refdenotaalpie"/>
          <w:sz w:val="20"/>
          <w:szCs w:val="20"/>
        </w:rPr>
        <w:footnoteRef/>
      </w:r>
      <w:r w:rsidRPr="00746F2D">
        <w:rPr>
          <w:sz w:val="20"/>
          <w:szCs w:val="20"/>
        </w:rPr>
        <w:t xml:space="preserve">  Ley 732 de 2002.</w:t>
      </w:r>
    </w:p>
    <w:p w:rsidR="00EA516E" w:rsidRPr="00766682" w:rsidRDefault="00EA516E" w:rsidP="00675D1A">
      <w:pPr>
        <w:pStyle w:val="Textonotapie"/>
        <w:rPr>
          <w:lang w:val="es-CO"/>
        </w:rPr>
      </w:pPr>
    </w:p>
  </w:footnote>
  <w:footnote w:id="16">
    <w:p w:rsidR="00EA516E" w:rsidRPr="00856E0D" w:rsidRDefault="00EA516E" w:rsidP="00856E0D">
      <w:pPr>
        <w:pStyle w:val="Textonotapie"/>
        <w:jc w:val="both"/>
        <w:rPr>
          <w:rFonts w:ascii="Times New Roman" w:hAnsi="Times New Roman"/>
        </w:rPr>
      </w:pPr>
      <w:r w:rsidRPr="00856E0D">
        <w:rPr>
          <w:rStyle w:val="Refdenotaalpie"/>
          <w:rFonts w:ascii="Times New Roman" w:hAnsi="Times New Roman"/>
        </w:rPr>
        <w:footnoteRef/>
      </w:r>
      <w:r w:rsidRPr="00856E0D">
        <w:rPr>
          <w:rFonts w:ascii="Times New Roman" w:hAnsi="Times New Roman"/>
        </w:rPr>
        <w:t xml:space="preserve"> Ley 115 de febrero 8 de 1994. La ley 115 es reglamentada por el decreto 1860 del 3 de Agosto de 1994 en los aspectos pedagógicos y organizativos generales</w:t>
      </w:r>
    </w:p>
  </w:footnote>
  <w:footnote w:id="17">
    <w:p w:rsidR="00EA516E" w:rsidRDefault="00EA516E" w:rsidP="00C22A42">
      <w:pPr>
        <w:pStyle w:val="Textonotapie"/>
      </w:pPr>
      <w:r>
        <w:rPr>
          <w:rStyle w:val="Refdenotaalpie"/>
        </w:rPr>
        <w:footnoteRef/>
      </w:r>
      <w:r>
        <w:t xml:space="preserve"> Ministerio de Educación,- Sistema Nacional de Indicadores</w:t>
      </w:r>
    </w:p>
  </w:footnote>
  <w:footnote w:id="18">
    <w:p w:rsidR="00EA516E" w:rsidRPr="00A359C4" w:rsidRDefault="00EA516E" w:rsidP="00A359C4">
      <w:pPr>
        <w:pStyle w:val="Textonotapie"/>
        <w:jc w:val="both"/>
        <w:rPr>
          <w:rFonts w:ascii="Times New Roman" w:hAnsi="Times New Roman"/>
        </w:rPr>
      </w:pPr>
      <w:r w:rsidRPr="00A359C4">
        <w:rPr>
          <w:rStyle w:val="Refdenotaalpie"/>
          <w:rFonts w:ascii="Times New Roman" w:hAnsi="Times New Roman"/>
        </w:rPr>
        <w:footnoteRef/>
      </w:r>
      <w:r w:rsidRPr="00A359C4">
        <w:rPr>
          <w:rFonts w:ascii="Times New Roman" w:hAnsi="Times New Roman"/>
        </w:rPr>
        <w:t xml:space="preserve"> Según el  Ministerio de Educación Nacional, la Tasa de Cobertura Bruta se define como  la relación  porcentual entre los alumnos matriculados en un nivel de enseñanza específico, (independiente de la edad que estos tengan)  y el total de población escolar que tiene la edad apropiada para cursar dicho nivel.</w:t>
      </w:r>
    </w:p>
  </w:footnote>
  <w:footnote w:id="19">
    <w:p w:rsidR="00EA516E" w:rsidRPr="00CA1EFF" w:rsidRDefault="00EA516E" w:rsidP="00C22A42">
      <w:pPr>
        <w:pStyle w:val="Textonotapie"/>
        <w:rPr>
          <w:rFonts w:ascii="Times New Roman" w:hAnsi="Times New Roman"/>
          <w:lang w:val="es-CO"/>
        </w:rPr>
      </w:pPr>
      <w:r w:rsidRPr="00ED5A28">
        <w:rPr>
          <w:rStyle w:val="Refdenotaalpie"/>
          <w:rFonts w:ascii="Times New Roman" w:hAnsi="Times New Roman"/>
        </w:rPr>
        <w:footnoteRef/>
      </w:r>
      <w:r>
        <w:rPr>
          <w:rFonts w:ascii="Times New Roman" w:hAnsi="Times New Roman"/>
        </w:rPr>
        <w:t xml:space="preserve"> </w:t>
      </w:r>
      <w:r w:rsidRPr="00CA1EFF">
        <w:rPr>
          <w:rFonts w:ascii="Times New Roman" w:hAnsi="Times New Roman"/>
        </w:rPr>
        <w:t>Mineducacion.gov.co/seguimiento/estadísticas/glosario.html</w:t>
      </w:r>
    </w:p>
  </w:footnote>
  <w:footnote w:id="20">
    <w:p w:rsidR="00EA516E" w:rsidRPr="005C20D2" w:rsidRDefault="00EA516E" w:rsidP="00EA3F6B">
      <w:pPr>
        <w:pStyle w:val="Textonotapie"/>
        <w:rPr>
          <w:rFonts w:ascii="Times New Roman" w:hAnsi="Times New Roman"/>
          <w:sz w:val="16"/>
          <w:szCs w:val="16"/>
          <w:lang w:val="es-ES_tradnl"/>
        </w:rPr>
      </w:pPr>
      <w:r>
        <w:rPr>
          <w:rStyle w:val="Refdenotaalpie"/>
        </w:rPr>
        <w:footnoteRef/>
      </w:r>
      <w:r>
        <w:t xml:space="preserve"> </w:t>
      </w:r>
      <w:r w:rsidRPr="005C20D2">
        <w:rPr>
          <w:rFonts w:ascii="Times New Roman" w:hAnsi="Times New Roman"/>
          <w:sz w:val="16"/>
          <w:szCs w:val="16"/>
          <w:lang w:val="es-ES_tradnl"/>
        </w:rPr>
        <w:t>Manual Operativo Plan Departamental de Aguas del Quindío PAP-PDA</w:t>
      </w:r>
    </w:p>
  </w:footnote>
  <w:footnote w:id="21">
    <w:p w:rsidR="00EA516E" w:rsidRPr="005C20D2" w:rsidRDefault="00EA516E" w:rsidP="00EA3F6B">
      <w:pPr>
        <w:pStyle w:val="Textonotapie"/>
        <w:rPr>
          <w:lang w:val="es-ES_tradnl"/>
        </w:rPr>
      </w:pPr>
      <w:r>
        <w:rPr>
          <w:rStyle w:val="Refdenotaalpie"/>
        </w:rPr>
        <w:footnoteRef/>
      </w:r>
      <w:r>
        <w:t xml:space="preserve"> y </w:t>
      </w:r>
      <w:r>
        <w:rPr>
          <w:rStyle w:val="Refdenotaalpie"/>
        </w:rPr>
        <w:t>3</w:t>
      </w:r>
      <w:r>
        <w:t xml:space="preserve"> </w:t>
      </w:r>
      <w:r w:rsidRPr="005C20D2">
        <w:rPr>
          <w:rFonts w:ascii="Times New Roman" w:hAnsi="Times New Roman"/>
          <w:sz w:val="16"/>
          <w:szCs w:val="16"/>
          <w:lang w:val="es-ES_tradnl"/>
        </w:rPr>
        <w:t>Manual Operativo Plan Departamental de Aguas del Quindío PAP-PDA</w:t>
      </w:r>
    </w:p>
  </w:footnote>
  <w:footnote w:id="22">
    <w:p w:rsidR="00EA516E" w:rsidRPr="00541A4F" w:rsidRDefault="00EA516E">
      <w:pPr>
        <w:pStyle w:val="Textonotapie"/>
      </w:pPr>
      <w:r>
        <w:rPr>
          <w:rStyle w:val="Refdenotaalpie"/>
        </w:rPr>
        <w:footnoteRef/>
      </w:r>
      <w:r>
        <w:t xml:space="preserve"> </w:t>
      </w:r>
      <w:r w:rsidRPr="005C20D2">
        <w:rPr>
          <w:rFonts w:ascii="Times New Roman" w:hAnsi="Times New Roman"/>
          <w:sz w:val="16"/>
          <w:szCs w:val="16"/>
          <w:lang w:val="es-ES_tradnl"/>
        </w:rPr>
        <w:t>Manual Operativo Plan Departamental de Aguas del Quindío PAP-PDA</w:t>
      </w:r>
    </w:p>
  </w:footnote>
  <w:footnote w:id="23">
    <w:p w:rsidR="00EA516E" w:rsidRPr="006A6CE5" w:rsidRDefault="00EA516E" w:rsidP="005E7D1E">
      <w:pPr>
        <w:pStyle w:val="Textonotapie"/>
        <w:rPr>
          <w:rFonts w:ascii="Times New Roman" w:hAnsi="Times New Roman"/>
          <w:sz w:val="18"/>
          <w:szCs w:val="18"/>
          <w:lang w:val="es-ES_tradnl"/>
        </w:rPr>
      </w:pPr>
      <w:r w:rsidRPr="006A6CE5">
        <w:rPr>
          <w:rStyle w:val="Refdenotaalpie"/>
          <w:rFonts w:ascii="Times New Roman" w:hAnsi="Times New Roman"/>
          <w:sz w:val="18"/>
          <w:szCs w:val="18"/>
        </w:rPr>
        <w:footnoteRef/>
      </w:r>
      <w:r w:rsidRPr="006A6CE5">
        <w:rPr>
          <w:rFonts w:ascii="Times New Roman" w:hAnsi="Times New Roman"/>
          <w:sz w:val="18"/>
          <w:szCs w:val="18"/>
        </w:rPr>
        <w:t xml:space="preserve"> http://www.edeq.com.co</w:t>
      </w:r>
    </w:p>
  </w:footnote>
  <w:footnote w:id="24">
    <w:p w:rsidR="00EA516E" w:rsidRPr="006A6CE5" w:rsidRDefault="00EA516E" w:rsidP="00EA3F6B">
      <w:pPr>
        <w:pStyle w:val="Textonotapie"/>
        <w:rPr>
          <w:rFonts w:ascii="Times New Roman" w:hAnsi="Times New Roman"/>
          <w:sz w:val="18"/>
          <w:szCs w:val="18"/>
          <w:lang w:val="es-ES_tradnl"/>
        </w:rPr>
      </w:pPr>
      <w:r w:rsidRPr="006A6CE5">
        <w:rPr>
          <w:rStyle w:val="Refdenotaalpie"/>
          <w:rFonts w:ascii="Times New Roman" w:hAnsi="Times New Roman"/>
          <w:sz w:val="18"/>
          <w:szCs w:val="18"/>
        </w:rPr>
        <w:footnoteRef/>
      </w:r>
      <w:r w:rsidRPr="006A6CE5">
        <w:rPr>
          <w:rFonts w:ascii="Times New Roman" w:hAnsi="Times New Roman"/>
          <w:sz w:val="18"/>
          <w:szCs w:val="18"/>
        </w:rPr>
        <w:t xml:space="preserve"> </w:t>
      </w:r>
      <w:r w:rsidRPr="006A6CE5">
        <w:rPr>
          <w:rFonts w:ascii="Times New Roman" w:hAnsi="Times New Roman"/>
          <w:sz w:val="18"/>
          <w:szCs w:val="18"/>
          <w:lang w:val="es-ES_tradnl"/>
        </w:rPr>
        <w:t xml:space="preserve">Informe de </w:t>
      </w:r>
      <w:r>
        <w:rPr>
          <w:rFonts w:ascii="Times New Roman" w:hAnsi="Times New Roman"/>
          <w:sz w:val="18"/>
          <w:szCs w:val="18"/>
          <w:lang w:val="es-ES_tradnl"/>
        </w:rPr>
        <w:t>Sostenibilidad</w:t>
      </w:r>
      <w:r w:rsidRPr="006A6CE5">
        <w:rPr>
          <w:rFonts w:ascii="Times New Roman" w:hAnsi="Times New Roman"/>
          <w:sz w:val="18"/>
          <w:szCs w:val="18"/>
          <w:lang w:val="es-ES_tradnl"/>
        </w:rPr>
        <w:t xml:space="preserve"> 2013 EDEQ</w:t>
      </w:r>
    </w:p>
  </w:footnote>
  <w:footnote w:id="25">
    <w:p w:rsidR="00EA516E" w:rsidRPr="007F6470" w:rsidRDefault="00EA516E" w:rsidP="00EA3F6B">
      <w:pPr>
        <w:pStyle w:val="Textonotapie"/>
        <w:rPr>
          <w:rFonts w:ascii="Times New Roman" w:hAnsi="Times New Roman"/>
          <w:sz w:val="18"/>
          <w:szCs w:val="18"/>
          <w:lang w:val="es-ES_tradnl"/>
        </w:rPr>
      </w:pPr>
      <w:r w:rsidRPr="007F6470">
        <w:rPr>
          <w:rStyle w:val="Refdenotaalpie"/>
          <w:rFonts w:ascii="Times New Roman" w:hAnsi="Times New Roman"/>
          <w:sz w:val="18"/>
          <w:szCs w:val="18"/>
        </w:rPr>
        <w:footnoteRef/>
      </w:r>
      <w:r w:rsidRPr="007F6470">
        <w:rPr>
          <w:rFonts w:ascii="Times New Roman" w:hAnsi="Times New Roman"/>
          <w:sz w:val="18"/>
          <w:szCs w:val="18"/>
        </w:rPr>
        <w:t xml:space="preserve"> </w:t>
      </w:r>
      <w:r w:rsidRPr="007F6470">
        <w:rPr>
          <w:rFonts w:ascii="Times New Roman" w:hAnsi="Times New Roman"/>
          <w:sz w:val="18"/>
          <w:szCs w:val="18"/>
          <w:lang w:val="es-ES_tradnl"/>
        </w:rPr>
        <w:t xml:space="preserve">Informe de Sostenibilidad  EDEQ 2013- Pág. 33 </w:t>
      </w:r>
    </w:p>
  </w:footnote>
  <w:footnote w:id="26">
    <w:p w:rsidR="00EA516E" w:rsidRPr="00495A30" w:rsidRDefault="00EA516E" w:rsidP="00EA3F6B">
      <w:pPr>
        <w:pStyle w:val="Textonotapie"/>
        <w:rPr>
          <w:lang w:val="es-ES_tradnl"/>
        </w:rPr>
      </w:pPr>
      <w:r>
        <w:rPr>
          <w:rStyle w:val="Refdenotaalpie"/>
        </w:rPr>
        <w:footnoteRef/>
      </w:r>
      <w:r>
        <w:t xml:space="preserve"> </w:t>
      </w:r>
      <w:r w:rsidRPr="00495A30">
        <w:rPr>
          <w:rFonts w:ascii="Times New Roman" w:eastAsiaTheme="minorHAnsi" w:hAnsi="Times New Roman"/>
          <w:sz w:val="18"/>
          <w:szCs w:val="18"/>
          <w:lang w:eastAsia="en-US"/>
        </w:rPr>
        <w:t xml:space="preserve">Fuente: MME, </w:t>
      </w:r>
      <w:r>
        <w:rPr>
          <w:rFonts w:ascii="Times New Roman" w:eastAsiaTheme="minorHAnsi" w:hAnsi="Times New Roman"/>
          <w:sz w:val="18"/>
          <w:szCs w:val="18"/>
          <w:lang w:eastAsia="en-US"/>
        </w:rPr>
        <w:t>DANE</w:t>
      </w:r>
      <w:r w:rsidRPr="00495A30">
        <w:rPr>
          <w:rFonts w:ascii="Times New Roman" w:eastAsiaTheme="minorHAnsi" w:hAnsi="Times New Roman"/>
          <w:sz w:val="18"/>
          <w:szCs w:val="18"/>
          <w:lang w:eastAsia="en-US"/>
        </w:rPr>
        <w:t xml:space="preserve"> y cálculos </w:t>
      </w:r>
      <w:proofErr w:type="spellStart"/>
      <w:r w:rsidRPr="00495A30">
        <w:rPr>
          <w:rFonts w:ascii="Times New Roman" w:eastAsiaTheme="minorHAnsi" w:hAnsi="Times New Roman"/>
          <w:sz w:val="18"/>
          <w:szCs w:val="18"/>
          <w:lang w:eastAsia="en-US"/>
        </w:rPr>
        <w:t>Naturgas</w:t>
      </w:r>
      <w:proofErr w:type="spellEnd"/>
      <w:r>
        <w:rPr>
          <w:rFonts w:ascii="Times New Roman" w:eastAsiaTheme="minorHAnsi" w:hAnsi="Times New Roman"/>
          <w:sz w:val="18"/>
          <w:szCs w:val="18"/>
          <w:lang w:eastAsia="en-US"/>
        </w:rPr>
        <w:t>. Cifras a 2013.</w:t>
      </w:r>
    </w:p>
  </w:footnote>
  <w:footnote w:id="27">
    <w:p w:rsidR="00EA516E" w:rsidRPr="000C7B5F" w:rsidRDefault="00EA516E" w:rsidP="000C7B5F">
      <w:pPr>
        <w:pStyle w:val="Textonotapie"/>
        <w:jc w:val="both"/>
        <w:rPr>
          <w:sz w:val="16"/>
        </w:rPr>
      </w:pPr>
      <w:r>
        <w:rPr>
          <w:rStyle w:val="Refdenotaalpie"/>
        </w:rPr>
        <w:footnoteRef/>
      </w:r>
      <w:r>
        <w:t xml:space="preserve"> </w:t>
      </w:r>
      <w:r w:rsidRPr="000C7B5F">
        <w:rPr>
          <w:rFonts w:ascii="Times New Roman" w:hAnsi="Times New Roman"/>
          <w:szCs w:val="24"/>
        </w:rPr>
        <w:t xml:space="preserve">La cobertura del servicio de gas natural puede medirse a través del número de instalaciones domiciliarias, lo cual representa el número de hogares que efectivamente reciben el servicio (MINMINAS, 2014).  </w:t>
      </w:r>
    </w:p>
  </w:footnote>
  <w:footnote w:id="28">
    <w:p w:rsidR="00EA516E" w:rsidRPr="000C7B5F" w:rsidRDefault="00EA516E" w:rsidP="00EA3F6B">
      <w:pPr>
        <w:pStyle w:val="Textonotapie"/>
        <w:rPr>
          <w:sz w:val="24"/>
          <w:lang w:val="es-ES_tradnl"/>
        </w:rPr>
      </w:pPr>
      <w:r w:rsidRPr="00025F2F">
        <w:rPr>
          <w:rStyle w:val="Refdenotaalpie"/>
          <w:b/>
          <w:sz w:val="22"/>
          <w:szCs w:val="22"/>
        </w:rPr>
        <w:footnoteRef/>
      </w:r>
      <w:r w:rsidRPr="00025F2F">
        <w:rPr>
          <w:b/>
          <w:sz w:val="22"/>
          <w:szCs w:val="22"/>
        </w:rPr>
        <w:t xml:space="preserve"> </w:t>
      </w:r>
      <w:r w:rsidRPr="000C7B5F">
        <w:rPr>
          <w:rFonts w:ascii="Times New Roman" w:hAnsi="Times New Roman"/>
          <w:szCs w:val="16"/>
          <w:lang w:val="es-ES_tradnl"/>
        </w:rPr>
        <w:t>Informe Convenio Uso de Recursos CUR 2013-  PAP-PDA Quindío</w:t>
      </w:r>
    </w:p>
  </w:footnote>
  <w:footnote w:id="29">
    <w:p w:rsidR="00EA516E" w:rsidRPr="00287306" w:rsidRDefault="00EA516E" w:rsidP="00EA3F6B">
      <w:pPr>
        <w:pStyle w:val="Textonotapie"/>
        <w:rPr>
          <w:lang w:val="es-ES_tradnl"/>
        </w:rPr>
      </w:pPr>
      <w:r w:rsidRPr="004A309E">
        <w:rPr>
          <w:rStyle w:val="Refdenotaalpie"/>
          <w:b/>
        </w:rPr>
        <w:footnoteRef/>
      </w:r>
      <w:r>
        <w:t xml:space="preserve"> </w:t>
      </w:r>
      <w:r w:rsidRPr="00287306">
        <w:rPr>
          <w:rFonts w:ascii="Times New Roman" w:hAnsi="Times New Roman"/>
          <w:sz w:val="16"/>
          <w:szCs w:val="16"/>
        </w:rPr>
        <w:t>Resolución 319 de 2005 Comisión de Regulación de Agua</w:t>
      </w:r>
      <w:r>
        <w:rPr>
          <w:rFonts w:ascii="Times New Roman" w:hAnsi="Times New Roman"/>
          <w:sz w:val="16"/>
          <w:szCs w:val="16"/>
        </w:rPr>
        <w:t xml:space="preserve"> potable y Saneamiento básico - SUPERSERVICIOS</w:t>
      </w:r>
    </w:p>
  </w:footnote>
  <w:footnote w:id="30">
    <w:p w:rsidR="00EA516E" w:rsidRDefault="00EA516E" w:rsidP="0083622E">
      <w:pPr>
        <w:pStyle w:val="Textonotapie"/>
      </w:pPr>
      <w:r w:rsidRPr="00847E7B">
        <w:rPr>
          <w:rStyle w:val="Refdenotaalpie"/>
          <w:b/>
        </w:rPr>
        <w:footnoteRef/>
      </w:r>
      <w:r>
        <w:t xml:space="preserve"> </w:t>
      </w:r>
      <w:r w:rsidRPr="00847E7B">
        <w:rPr>
          <w:rFonts w:ascii="Times New Roman" w:hAnsi="Times New Roman"/>
          <w:sz w:val="16"/>
          <w:szCs w:val="16"/>
        </w:rPr>
        <w:t>Oficina de POT – Secretaría de Planeación Departamental – Gobernación del Quindío</w:t>
      </w:r>
      <w:r>
        <w:t xml:space="preserve"> </w:t>
      </w:r>
    </w:p>
  </w:footnote>
  <w:footnote w:id="31">
    <w:p w:rsidR="00EA516E" w:rsidRPr="00C77DED" w:rsidRDefault="00EA516E" w:rsidP="00C824A6">
      <w:pPr>
        <w:pStyle w:val="Textonotapie"/>
        <w:jc w:val="both"/>
        <w:rPr>
          <w:rFonts w:ascii="Times New Roman" w:hAnsi="Times New Roman"/>
          <w:lang w:val="es-CO"/>
        </w:rPr>
      </w:pPr>
      <w:r>
        <w:rPr>
          <w:rStyle w:val="Refdenotaalpie"/>
        </w:rPr>
        <w:footnoteRef/>
      </w:r>
      <w:r>
        <w:t xml:space="preserve"> </w:t>
      </w:r>
      <w:r w:rsidRPr="00C77DED">
        <w:rPr>
          <w:rFonts w:ascii="Times New Roman" w:hAnsi="Times New Roman"/>
        </w:rPr>
        <w:t>La mampostería es el sistema estructural más económico, más conocido y más utilizado en nuestro medio por sus enormes ventajas entre ellas que todos sus componentes son de fácil consecución y en diferentes calidades. Las estructuras con este sistema cumplen tres funciones: soportan la edificación, conforman los espacios (sirven como divisorios) y su textura permite utilizarse como acabado porque su estética satisface al usuario”. (CONSTRUDATA, 2014)</w:t>
      </w:r>
    </w:p>
    <w:p w:rsidR="00EA516E" w:rsidRPr="00C824A6" w:rsidRDefault="00EA516E">
      <w:pPr>
        <w:pStyle w:val="Textonotapie"/>
      </w:pPr>
    </w:p>
  </w:footnote>
  <w:footnote w:id="32">
    <w:p w:rsidR="00EA516E" w:rsidRPr="00C336F5" w:rsidRDefault="00EA516E" w:rsidP="00C336F5">
      <w:pPr>
        <w:pStyle w:val="Textonotapie"/>
        <w:jc w:val="both"/>
        <w:rPr>
          <w:lang w:val="es-CO"/>
        </w:rPr>
      </w:pPr>
      <w:r>
        <w:rPr>
          <w:rStyle w:val="Refdenotaalpie"/>
        </w:rPr>
        <w:footnoteRef/>
      </w:r>
      <w:r>
        <w:t xml:space="preserve"> </w:t>
      </w:r>
      <w:r w:rsidRPr="00C336F5">
        <w:rPr>
          <w:rFonts w:ascii="Times New Roman" w:hAnsi="Times New Roman"/>
        </w:rPr>
        <w:t>Siendo el sistema más económico de construcción, La Mampostería Confinada presenta muchas ventajas, por las cuales tiene más aceptación por parte de los clientes y además porque en un departamento sísmico como el Quindío, éste sistema funciona bien.</w:t>
      </w:r>
    </w:p>
  </w:footnote>
  <w:footnote w:id="33">
    <w:p w:rsidR="00EA516E" w:rsidRDefault="00EA516E" w:rsidP="000F4B66">
      <w:pPr>
        <w:pStyle w:val="Textonotapie"/>
        <w:jc w:val="both"/>
      </w:pPr>
      <w:r>
        <w:rPr>
          <w:rStyle w:val="Refdenotaalpie"/>
        </w:rPr>
        <w:footnoteRef/>
      </w:r>
      <w:r>
        <w:t xml:space="preserve"> </w:t>
      </w:r>
      <w:r w:rsidRPr="000F4B66">
        <w:rPr>
          <w:rFonts w:ascii="Times New Roman" w:hAnsi="Times New Roman"/>
        </w:rPr>
        <w:t>La ejecución presupuestal completa se encuentra en el Anuario Estadístico 2013 de la Secretaría de Planeación Departamental.</w:t>
      </w:r>
    </w:p>
  </w:footnote>
  <w:footnote w:id="34">
    <w:p w:rsidR="00EA516E" w:rsidRPr="00C76257" w:rsidRDefault="00EA516E" w:rsidP="00DF516D">
      <w:pPr>
        <w:spacing w:line="360" w:lineRule="auto"/>
        <w:ind w:right="-232"/>
        <w:jc w:val="both"/>
        <w:rPr>
          <w:sz w:val="20"/>
        </w:rPr>
      </w:pPr>
      <w:r>
        <w:rPr>
          <w:rStyle w:val="Refdenotaalpie"/>
        </w:rPr>
        <w:footnoteRef/>
      </w:r>
      <w:r>
        <w:t xml:space="preserve"> </w:t>
      </w:r>
      <w:r w:rsidRPr="00C76257">
        <w:rPr>
          <w:sz w:val="20"/>
        </w:rPr>
        <w:t>Se considera un Terreno Baldío aquel terreno que pertenece al Estado, pues no tiene dueño que acredi</w:t>
      </w:r>
      <w:r>
        <w:rPr>
          <w:sz w:val="20"/>
        </w:rPr>
        <w:t>te legalmente la propiedad.</w:t>
      </w:r>
      <w:r w:rsidRPr="00C76257">
        <w:rPr>
          <w:sz w:val="20"/>
        </w:rPr>
        <w:t xml:space="preserve"> (</w:t>
      </w:r>
      <w:proofErr w:type="spellStart"/>
      <w:r w:rsidRPr="00C76257">
        <w:rPr>
          <w:sz w:val="20"/>
        </w:rPr>
        <w:t>Incoder</w:t>
      </w:r>
      <w:proofErr w:type="spellEnd"/>
      <w:r w:rsidRPr="00C76257">
        <w:rPr>
          <w:sz w:val="20"/>
        </w:rPr>
        <w:t>, Dirección Territorial Quindío Desarrollo Rural para la Paz, 2013).</w:t>
      </w:r>
    </w:p>
    <w:p w:rsidR="00EA516E" w:rsidRPr="00E53E08" w:rsidRDefault="00EA516E" w:rsidP="00DF516D">
      <w:pPr>
        <w:pStyle w:val="Textonotapie"/>
        <w:rPr>
          <w:lang w:val="es-CO"/>
        </w:rPr>
      </w:pPr>
    </w:p>
  </w:footnote>
  <w:footnote w:id="35">
    <w:p w:rsidR="00EA516E" w:rsidRPr="003F7FC8" w:rsidRDefault="00EA516E" w:rsidP="00406FF7">
      <w:pPr>
        <w:pStyle w:val="Textonotapie"/>
        <w:rPr>
          <w:rFonts w:ascii="Times New Roman" w:hAnsi="Times New Roman"/>
        </w:rPr>
      </w:pPr>
      <w:r w:rsidRPr="003F7FC8">
        <w:rPr>
          <w:rStyle w:val="Refdenotaalpie"/>
          <w:rFonts w:ascii="Times New Roman" w:hAnsi="Times New Roman"/>
        </w:rPr>
        <w:footnoteRef/>
      </w:r>
      <w:r w:rsidRPr="003F7FC8">
        <w:rPr>
          <w:rFonts w:ascii="Times New Roman" w:hAnsi="Times New Roman"/>
        </w:rPr>
        <w:t xml:space="preserve"> </w:t>
      </w:r>
      <w:proofErr w:type="spellStart"/>
      <w:r w:rsidRPr="003F7FC8">
        <w:rPr>
          <w:rFonts w:ascii="Times New Roman" w:hAnsi="Times New Roman"/>
        </w:rPr>
        <w:t>Andi</w:t>
      </w:r>
      <w:proofErr w:type="spellEnd"/>
      <w:r w:rsidRPr="003F7FC8">
        <w:rPr>
          <w:rFonts w:ascii="Times New Roman" w:hAnsi="Times New Roman"/>
        </w:rPr>
        <w:t>, informe  balance 2012  y perspectivas 2013</w:t>
      </w:r>
    </w:p>
  </w:footnote>
  <w:footnote w:id="36">
    <w:p w:rsidR="00EA516E" w:rsidRPr="003F7FC8" w:rsidRDefault="00EA516E" w:rsidP="00406FF7">
      <w:pPr>
        <w:pStyle w:val="Textonotapie"/>
        <w:rPr>
          <w:rFonts w:ascii="Times New Roman" w:hAnsi="Times New Roman"/>
          <w:lang w:val="es-ES_tradnl"/>
        </w:rPr>
      </w:pPr>
      <w:r w:rsidRPr="003F7FC8">
        <w:rPr>
          <w:rStyle w:val="Refdenotaalpie"/>
          <w:rFonts w:ascii="Times New Roman" w:hAnsi="Times New Roman"/>
        </w:rPr>
        <w:footnoteRef/>
      </w:r>
      <w:r w:rsidRPr="003F7FC8">
        <w:rPr>
          <w:rFonts w:ascii="Times New Roman" w:hAnsi="Times New Roman"/>
        </w:rPr>
        <w:t xml:space="preserve"> </w:t>
      </w:r>
      <w:r w:rsidRPr="003F7FC8">
        <w:rPr>
          <w:rFonts w:ascii="Times New Roman" w:hAnsi="Times New Roman"/>
          <w:lang w:val="es-ES_tradnl"/>
        </w:rPr>
        <w:t>Plan Regional  de  Competitividad Quindío 2032</w:t>
      </w:r>
    </w:p>
  </w:footnote>
  <w:footnote w:id="37">
    <w:p w:rsidR="00EA516E" w:rsidRPr="00E76650" w:rsidRDefault="00EA516E" w:rsidP="00406FF7">
      <w:pPr>
        <w:pStyle w:val="Textonotapie"/>
        <w:rPr>
          <w:rFonts w:ascii="Times New Roman" w:hAnsi="Times New Roman"/>
        </w:rPr>
      </w:pPr>
      <w:r w:rsidRPr="00E76650">
        <w:rPr>
          <w:rStyle w:val="Refdenotaalpie"/>
          <w:rFonts w:ascii="Times New Roman" w:hAnsi="Times New Roman"/>
        </w:rPr>
        <w:footnoteRef/>
      </w:r>
      <w:r w:rsidRPr="00E76650">
        <w:rPr>
          <w:rFonts w:ascii="Times New Roman" w:hAnsi="Times New Roman"/>
        </w:rPr>
        <w:t xml:space="preserve"> Informe  Empresarial  Cámara  de  Comercio  de Armenia  y  del  Quindío</w:t>
      </w:r>
    </w:p>
  </w:footnote>
  <w:footnote w:id="38">
    <w:p w:rsidR="00EA516E" w:rsidRPr="0018326E" w:rsidRDefault="00EA516E" w:rsidP="00406FF7">
      <w:pPr>
        <w:pStyle w:val="Textonotapie"/>
        <w:rPr>
          <w:rFonts w:ascii="Times New Roman" w:hAnsi="Times New Roman"/>
          <w:lang w:val="es-CO"/>
        </w:rPr>
      </w:pPr>
      <w:r w:rsidRPr="0018326E">
        <w:rPr>
          <w:rStyle w:val="Refdenotaalpie"/>
          <w:rFonts w:ascii="Times New Roman" w:hAnsi="Times New Roman"/>
        </w:rPr>
        <w:footnoteRef/>
      </w:r>
      <w:r w:rsidRPr="0018326E">
        <w:rPr>
          <w:rFonts w:ascii="Times New Roman" w:hAnsi="Times New Roman"/>
        </w:rPr>
        <w:t xml:space="preserve"> </w:t>
      </w:r>
      <w:r w:rsidRPr="0018326E">
        <w:rPr>
          <w:rFonts w:ascii="Times New Roman" w:hAnsi="Times New Roman"/>
          <w:lang w:val="es-CO"/>
        </w:rPr>
        <w:t>Plan   de  Desarrollo  2012-2015  Gobierno  Firme   por  un  Quindío  más   Humano</w:t>
      </w:r>
    </w:p>
  </w:footnote>
  <w:footnote w:id="39">
    <w:p w:rsidR="00EA516E" w:rsidRPr="00AF2525" w:rsidRDefault="00EA516E" w:rsidP="00166C7D">
      <w:pPr>
        <w:pStyle w:val="Textonotapie"/>
        <w:rPr>
          <w:rFonts w:ascii="Times New Roman" w:hAnsi="Times New Roman"/>
          <w:sz w:val="16"/>
          <w:szCs w:val="16"/>
          <w:lang w:val="es-ES_tradnl"/>
        </w:rPr>
      </w:pPr>
      <w:r w:rsidRPr="00F667D4">
        <w:rPr>
          <w:rStyle w:val="Refdenotaalpie"/>
          <w:rFonts w:ascii="Times New Roman" w:hAnsi="Times New Roman"/>
          <w:szCs w:val="14"/>
        </w:rPr>
        <w:footnoteRef/>
      </w:r>
      <w:r w:rsidRPr="00F667D4">
        <w:rPr>
          <w:rFonts w:ascii="Times New Roman" w:hAnsi="Times New Roman"/>
          <w:szCs w:val="14"/>
        </w:rPr>
        <w:t xml:space="preserve"> </w:t>
      </w:r>
      <w:r w:rsidRPr="00AF2525">
        <w:rPr>
          <w:rFonts w:ascii="Times New Roman" w:hAnsi="Times New Roman"/>
          <w:sz w:val="16"/>
          <w:szCs w:val="16"/>
        </w:rPr>
        <w:t xml:space="preserve">GEIH - </w:t>
      </w:r>
      <w:r w:rsidRPr="00AF2525">
        <w:rPr>
          <w:rFonts w:ascii="Times New Roman" w:hAnsi="Times New Roman"/>
          <w:sz w:val="16"/>
          <w:szCs w:val="16"/>
          <w:lang w:eastAsia="en-US"/>
        </w:rPr>
        <w:t xml:space="preserve">Censo realizado por el Departamento  Administrativo Nacional de Estadísticas </w:t>
      </w:r>
      <w:r>
        <w:rPr>
          <w:rFonts w:ascii="Times New Roman" w:hAnsi="Times New Roman"/>
          <w:sz w:val="16"/>
          <w:szCs w:val="16"/>
          <w:lang w:eastAsia="en-US"/>
        </w:rPr>
        <w:t>DANE</w:t>
      </w:r>
      <w:r w:rsidRPr="00AF2525">
        <w:rPr>
          <w:rFonts w:ascii="Times New Roman" w:hAnsi="Times New Roman"/>
          <w:sz w:val="16"/>
          <w:szCs w:val="16"/>
          <w:lang w:eastAsia="en-US"/>
        </w:rPr>
        <w:t xml:space="preserve">  del  año 2005</w:t>
      </w:r>
    </w:p>
  </w:footnote>
  <w:footnote w:id="40">
    <w:p w:rsidR="00EA516E" w:rsidRPr="00D271C0" w:rsidRDefault="00EA516E" w:rsidP="00166C7D">
      <w:pPr>
        <w:pStyle w:val="Textonotapie"/>
        <w:rPr>
          <w:sz w:val="14"/>
          <w:szCs w:val="14"/>
          <w:lang w:val="es-ES_tradnl"/>
        </w:rPr>
      </w:pPr>
      <w:r w:rsidRPr="00AF2525">
        <w:rPr>
          <w:rStyle w:val="Refdenotaalpie"/>
          <w:rFonts w:ascii="Times New Roman" w:hAnsi="Times New Roman"/>
          <w:sz w:val="16"/>
          <w:szCs w:val="16"/>
        </w:rPr>
        <w:footnoteRef/>
      </w:r>
      <w:r w:rsidRPr="00AF2525">
        <w:rPr>
          <w:rFonts w:ascii="Times New Roman" w:hAnsi="Times New Roman"/>
          <w:sz w:val="16"/>
          <w:szCs w:val="16"/>
        </w:rPr>
        <w:t xml:space="preserve"> </w:t>
      </w:r>
      <w:r w:rsidRPr="00AF2525">
        <w:rPr>
          <w:rFonts w:ascii="Times New Roman" w:hAnsi="Times New Roman"/>
          <w:sz w:val="16"/>
          <w:szCs w:val="16"/>
          <w:lang w:val="es-ES_tradnl"/>
        </w:rPr>
        <w:t>Plan de Desarrollo 2012-2015 Gobernación del Quindío</w:t>
      </w:r>
      <w:r w:rsidRPr="00D271C0">
        <w:rPr>
          <w:sz w:val="14"/>
          <w:szCs w:val="14"/>
          <w:lang w:val="es-ES_tradnl"/>
        </w:rPr>
        <w:t>; Pág. 116</w:t>
      </w:r>
    </w:p>
  </w:footnote>
  <w:footnote w:id="41">
    <w:p w:rsidR="00EA516E" w:rsidRPr="00B46DF4" w:rsidRDefault="00EA516E" w:rsidP="00B46DF4">
      <w:pPr>
        <w:autoSpaceDE w:val="0"/>
        <w:autoSpaceDN w:val="0"/>
        <w:adjustRightInd w:val="0"/>
        <w:jc w:val="both"/>
        <w:rPr>
          <w:sz w:val="18"/>
          <w:lang w:val="es-ES"/>
        </w:rPr>
      </w:pPr>
      <w:r>
        <w:rPr>
          <w:rStyle w:val="Refdenotaalpie"/>
        </w:rPr>
        <w:footnoteRef/>
      </w:r>
      <w:r>
        <w:t xml:space="preserve"> </w:t>
      </w:r>
      <w:r>
        <w:rPr>
          <w:rFonts w:eastAsiaTheme="minorHAnsi"/>
          <w:sz w:val="20"/>
          <w:szCs w:val="22"/>
          <w:lang w:eastAsia="en-US"/>
        </w:rPr>
        <w:t>El capital humano puede defi</w:t>
      </w:r>
      <w:r w:rsidRPr="00B46DF4">
        <w:rPr>
          <w:rFonts w:eastAsiaTheme="minorHAnsi"/>
          <w:sz w:val="20"/>
          <w:szCs w:val="22"/>
          <w:lang w:eastAsia="en-US"/>
        </w:rPr>
        <w:t>nirse como los conocimientos</w:t>
      </w:r>
      <w:r>
        <w:rPr>
          <w:rFonts w:eastAsiaTheme="minorHAnsi"/>
          <w:sz w:val="20"/>
          <w:szCs w:val="22"/>
          <w:lang w:eastAsia="en-US"/>
        </w:rPr>
        <w:t xml:space="preserve"> en califi</w:t>
      </w:r>
      <w:r w:rsidRPr="00B46DF4">
        <w:rPr>
          <w:rFonts w:eastAsiaTheme="minorHAnsi"/>
          <w:sz w:val="20"/>
          <w:szCs w:val="22"/>
          <w:lang w:eastAsia="en-US"/>
        </w:rPr>
        <w:t>cación y capacitación, la experiencia, las</w:t>
      </w:r>
      <w:r>
        <w:rPr>
          <w:rFonts w:eastAsiaTheme="minorHAnsi"/>
          <w:sz w:val="20"/>
          <w:szCs w:val="22"/>
          <w:lang w:eastAsia="en-US"/>
        </w:rPr>
        <w:t xml:space="preserve"> </w:t>
      </w:r>
      <w:r w:rsidRPr="00B46DF4">
        <w:rPr>
          <w:rFonts w:eastAsiaTheme="minorHAnsi"/>
          <w:sz w:val="20"/>
          <w:szCs w:val="22"/>
          <w:lang w:eastAsia="en-US"/>
        </w:rPr>
        <w:t>condiciones de salud, entre otros, que dan capacidades</w:t>
      </w:r>
      <w:r>
        <w:rPr>
          <w:rFonts w:eastAsiaTheme="minorHAnsi"/>
          <w:sz w:val="20"/>
          <w:szCs w:val="22"/>
          <w:lang w:eastAsia="en-US"/>
        </w:rPr>
        <w:t xml:space="preserve"> </w:t>
      </w:r>
      <w:r w:rsidRPr="00B46DF4">
        <w:rPr>
          <w:rFonts w:eastAsiaTheme="minorHAnsi"/>
          <w:sz w:val="20"/>
          <w:szCs w:val="22"/>
          <w:lang w:eastAsia="en-US"/>
        </w:rPr>
        <w:t>y habilidades, para hacer económicamente productiva</w:t>
      </w:r>
      <w:r>
        <w:rPr>
          <w:rFonts w:eastAsiaTheme="minorHAnsi"/>
          <w:sz w:val="20"/>
          <w:szCs w:val="22"/>
          <w:lang w:eastAsia="en-US"/>
        </w:rPr>
        <w:t xml:space="preserve"> </w:t>
      </w:r>
      <w:r w:rsidRPr="00B46DF4">
        <w:rPr>
          <w:rFonts w:eastAsiaTheme="minorHAnsi"/>
          <w:sz w:val="20"/>
          <w:szCs w:val="22"/>
          <w:lang w:eastAsia="en-US"/>
        </w:rPr>
        <w:t>y competente las personas, dentro de una determinada</w:t>
      </w:r>
      <w:r>
        <w:rPr>
          <w:rFonts w:eastAsiaTheme="minorHAnsi"/>
          <w:sz w:val="20"/>
          <w:szCs w:val="22"/>
          <w:lang w:eastAsia="en-US"/>
        </w:rPr>
        <w:t xml:space="preserve"> </w:t>
      </w:r>
      <w:r w:rsidRPr="00B46DF4">
        <w:rPr>
          <w:rFonts w:eastAsiaTheme="minorHAnsi"/>
          <w:sz w:val="20"/>
          <w:szCs w:val="22"/>
          <w:lang w:eastAsia="en-US"/>
        </w:rPr>
        <w:t>industria.</w:t>
      </w:r>
      <w:r>
        <w:rPr>
          <w:rFonts w:eastAsiaTheme="minorHAnsi"/>
          <w:sz w:val="20"/>
          <w:szCs w:val="22"/>
          <w:lang w:eastAsia="en-US"/>
        </w:rPr>
        <w:t xml:space="preserve"> (EAFIT, Doc. 56,2007)</w:t>
      </w:r>
    </w:p>
  </w:footnote>
  <w:footnote w:id="42">
    <w:p w:rsidR="00EA516E" w:rsidRPr="00E15D6A" w:rsidRDefault="00EA516E" w:rsidP="00166C7D">
      <w:pPr>
        <w:pStyle w:val="Textonotapie"/>
        <w:rPr>
          <w:rFonts w:ascii="Times New Roman" w:hAnsi="Times New Roman"/>
        </w:rPr>
      </w:pPr>
      <w:r w:rsidRPr="00E15D6A">
        <w:rPr>
          <w:rStyle w:val="Refdenotaalpie"/>
          <w:rFonts w:ascii="Times New Roman" w:hAnsi="Times New Roman"/>
        </w:rPr>
        <w:footnoteRef/>
      </w:r>
      <w:r w:rsidRPr="00E15D6A">
        <w:rPr>
          <w:rFonts w:ascii="Times New Roman" w:hAnsi="Times New Roman"/>
        </w:rPr>
        <w:t xml:space="preserve"> </w:t>
      </w:r>
      <w:r w:rsidRPr="00E15D6A">
        <w:rPr>
          <w:rStyle w:val="Refdenotaalpie"/>
          <w:rFonts w:ascii="Times New Roman" w:hAnsi="Times New Roman"/>
        </w:rPr>
        <w:t>y 6</w:t>
      </w:r>
      <w:r w:rsidRPr="00E15D6A">
        <w:rPr>
          <w:rFonts w:ascii="Times New Roman" w:hAnsi="Times New Roman"/>
        </w:rPr>
        <w:t xml:space="preserve"> </w:t>
      </w:r>
      <w:r w:rsidRPr="00E15D6A">
        <w:rPr>
          <w:rFonts w:ascii="Times New Roman" w:hAnsi="Times New Roman"/>
          <w:lang w:val="es-ES_tradnl"/>
        </w:rPr>
        <w:t xml:space="preserve">Departamento Administrativo Nacional de Estadísticas </w:t>
      </w:r>
      <w:r>
        <w:rPr>
          <w:rFonts w:ascii="Times New Roman" w:hAnsi="Times New Roman"/>
          <w:lang w:val="es-ES_tradnl"/>
        </w:rPr>
        <w:t>DANE</w:t>
      </w:r>
      <w:r w:rsidRPr="00E15D6A">
        <w:rPr>
          <w:rFonts w:ascii="Times New Roman" w:hAnsi="Times New Roman"/>
          <w:lang w:val="es-ES_tradnl"/>
        </w:rPr>
        <w:t>.</w:t>
      </w:r>
    </w:p>
  </w:footnote>
  <w:footnote w:id="43">
    <w:p w:rsidR="00EA516E" w:rsidRPr="005E3778" w:rsidRDefault="00EA516E" w:rsidP="009B1CA3">
      <w:pPr>
        <w:pStyle w:val="Textonotapie"/>
        <w:jc w:val="both"/>
        <w:rPr>
          <w:rFonts w:ascii="Times New Roman" w:hAnsi="Times New Roman"/>
          <w:lang w:eastAsia="en-US"/>
        </w:rPr>
      </w:pPr>
      <w:r w:rsidRPr="007A3B60">
        <w:rPr>
          <w:rStyle w:val="Refdenotaalpie"/>
          <w:rFonts w:ascii="Times New Roman" w:hAnsi="Times New Roman"/>
        </w:rPr>
        <w:footnoteRef/>
      </w:r>
      <w:r w:rsidRPr="007A3B60">
        <w:rPr>
          <w:rFonts w:ascii="Times New Roman" w:hAnsi="Times New Roman"/>
        </w:rPr>
        <w:t xml:space="preserve"> </w:t>
      </w:r>
      <w:r w:rsidRPr="00E03F8A">
        <w:rPr>
          <w:rFonts w:ascii="Times New Roman" w:hAnsi="Times New Roman"/>
          <w:i/>
          <w:lang w:eastAsia="en-US"/>
        </w:rPr>
        <w:t>El Subempleo Subjetivo</w:t>
      </w:r>
      <w:r w:rsidRPr="007A3B60">
        <w:rPr>
          <w:rFonts w:ascii="Times New Roman" w:hAnsi="Times New Roman"/>
          <w:lang w:eastAsia="en-US"/>
        </w:rPr>
        <w:t xml:space="preserve"> se refiere al simple deseo  manifestado por el trabajador de mejorar sus ingresos, el número de horas trabajadas o tener una labor más propia de sus personales competencias.</w:t>
      </w:r>
      <w:r>
        <w:rPr>
          <w:rFonts w:ascii="Times New Roman" w:hAnsi="Times New Roman"/>
          <w:lang w:eastAsia="en-US"/>
        </w:rPr>
        <w:t xml:space="preserve"> </w:t>
      </w:r>
      <w:r w:rsidRPr="005E3778">
        <w:rPr>
          <w:rFonts w:ascii="Times New Roman" w:hAnsi="Times New Roman"/>
          <w:lang w:eastAsia="en-US"/>
        </w:rPr>
        <w:t>http://www.</w:t>
      </w:r>
      <w:r>
        <w:rPr>
          <w:rFonts w:ascii="Times New Roman" w:hAnsi="Times New Roman"/>
          <w:lang w:eastAsia="en-US"/>
        </w:rPr>
        <w:t>DANE</w:t>
      </w:r>
      <w:r w:rsidRPr="005E3778">
        <w:rPr>
          <w:rFonts w:ascii="Times New Roman" w:hAnsi="Times New Roman"/>
          <w:lang w:eastAsia="en-US"/>
        </w:rPr>
        <w:t>.gov.co/files/noticias/presentacion_lacea_medellin.pdf</w:t>
      </w:r>
    </w:p>
  </w:footnote>
  <w:footnote w:id="44">
    <w:p w:rsidR="00EA516E" w:rsidRPr="005E3778" w:rsidRDefault="00EA516E" w:rsidP="00166C7D">
      <w:pPr>
        <w:pStyle w:val="Textonotapie"/>
        <w:rPr>
          <w:rFonts w:ascii="Times New Roman" w:hAnsi="Times New Roman"/>
          <w:lang w:eastAsia="en-US"/>
        </w:rPr>
      </w:pPr>
    </w:p>
  </w:footnote>
  <w:footnote w:id="45">
    <w:p w:rsidR="00EA516E" w:rsidRPr="00971DA3" w:rsidRDefault="00EA516E" w:rsidP="00870FA2">
      <w:pPr>
        <w:pStyle w:val="Textonotapie"/>
        <w:jc w:val="both"/>
      </w:pPr>
      <w:r>
        <w:rPr>
          <w:rStyle w:val="Refdenotaalpie"/>
        </w:rPr>
        <w:footnoteRef/>
      </w:r>
      <w:r>
        <w:t xml:space="preserve"> </w:t>
      </w:r>
      <w:r w:rsidRPr="00870FA2">
        <w:rPr>
          <w:rFonts w:ascii="Times New Roman" w:hAnsi="Times New Roman"/>
        </w:rPr>
        <w:t>Ordenanza 013 del 30 de abril de 2014: Por medio de la cual se adopta la política pública de trabajo decente y digno en el departamento del Quindío.</w:t>
      </w:r>
    </w:p>
  </w:footnote>
  <w:footnote w:id="46">
    <w:p w:rsidR="00EA516E" w:rsidRPr="006725F1" w:rsidRDefault="00EA516E" w:rsidP="00166C7D">
      <w:pPr>
        <w:pStyle w:val="Sinespaciado"/>
      </w:pPr>
      <w:r w:rsidRPr="006725F1">
        <w:rPr>
          <w:rStyle w:val="Refdenotaalpie"/>
          <w:rFonts w:ascii="Times New Roman" w:hAnsi="Times New Roman"/>
          <w:sz w:val="20"/>
        </w:rPr>
        <w:footnoteRef/>
      </w:r>
      <w:r w:rsidRPr="006725F1">
        <w:rPr>
          <w:rFonts w:ascii="Times New Roman" w:hAnsi="Times New Roman"/>
          <w:sz w:val="18"/>
          <w:szCs w:val="18"/>
        </w:rPr>
        <w:t xml:space="preserve"> </w:t>
      </w:r>
      <w:r w:rsidRPr="00566B67">
        <w:rPr>
          <w:rFonts w:ascii="Times New Roman" w:hAnsi="Times New Roman"/>
          <w:sz w:val="18"/>
          <w:szCs w:val="18"/>
        </w:rPr>
        <w:t>Servicio Nacional de Aprendizaje SENA -  http://observatorio.sena.edu.co/pdf/2013/boletin_tendencia.pdf</w:t>
      </w:r>
    </w:p>
  </w:footnote>
  <w:footnote w:id="47">
    <w:p w:rsidR="00EA516E" w:rsidRPr="00E01A73" w:rsidRDefault="00EA516E" w:rsidP="00166C7D">
      <w:pPr>
        <w:autoSpaceDE w:val="0"/>
        <w:autoSpaceDN w:val="0"/>
        <w:adjustRightInd w:val="0"/>
        <w:jc w:val="both"/>
        <w:rPr>
          <w:sz w:val="28"/>
          <w:lang w:val="es-MX"/>
        </w:rPr>
      </w:pPr>
      <w:r>
        <w:rPr>
          <w:rStyle w:val="Refdenotaalpie"/>
        </w:rPr>
        <w:footnoteRef/>
      </w:r>
      <w:r>
        <w:t xml:space="preserve"> </w:t>
      </w:r>
      <w:r w:rsidRPr="00E01A73">
        <w:rPr>
          <w:rFonts w:eastAsiaTheme="minorHAnsi"/>
          <w:bCs/>
          <w:sz w:val="20"/>
          <w:szCs w:val="18"/>
          <w:lang w:val="es-MX" w:eastAsia="en-US"/>
        </w:rPr>
        <w:t xml:space="preserve">Número de sindicatos activos y afiliados Según departamento a 2011 - </w:t>
      </w:r>
      <w:r w:rsidRPr="00D77E30">
        <w:rPr>
          <w:rFonts w:eastAsiaTheme="minorHAnsi"/>
          <w:i/>
          <w:iCs/>
          <w:sz w:val="20"/>
          <w:szCs w:val="18"/>
          <w:lang w:val="es-MX" w:eastAsia="en-US"/>
        </w:rPr>
        <w:t>Fuente</w:t>
      </w:r>
      <w:r w:rsidRPr="00D77E30">
        <w:rPr>
          <w:rFonts w:eastAsiaTheme="minorHAnsi"/>
          <w:sz w:val="20"/>
          <w:szCs w:val="18"/>
          <w:lang w:val="es-MX" w:eastAsia="en-US"/>
        </w:rPr>
        <w:t>:</w:t>
      </w:r>
      <w:r w:rsidRPr="00E01A73">
        <w:rPr>
          <w:rFonts w:eastAsiaTheme="minorHAnsi"/>
          <w:sz w:val="20"/>
          <w:szCs w:val="18"/>
          <w:lang w:val="es-MX" w:eastAsia="en-US"/>
        </w:rPr>
        <w:t xml:space="preserve"> Sistema de información Sindical y Laboral (SISLAB), subsistema </w:t>
      </w:r>
      <w:r w:rsidRPr="00E01A73">
        <w:rPr>
          <w:rFonts w:eastAsiaTheme="minorHAnsi"/>
          <w:i/>
          <w:iCs/>
          <w:sz w:val="20"/>
          <w:szCs w:val="18"/>
          <w:lang w:val="es-MX" w:eastAsia="en-US"/>
        </w:rPr>
        <w:t>Censo Sindical</w:t>
      </w:r>
      <w:r w:rsidRPr="00E01A73">
        <w:rPr>
          <w:rFonts w:eastAsiaTheme="minorHAnsi"/>
          <w:sz w:val="20"/>
          <w:szCs w:val="18"/>
          <w:lang w:val="es-MX" w:eastAsia="en-US"/>
        </w:rPr>
        <w:t>, alimentado con información suministrada por Ministerio de la Protección Social, CUT y sindicatos.</w:t>
      </w:r>
    </w:p>
  </w:footnote>
  <w:footnote w:id="48">
    <w:p w:rsidR="00EA516E" w:rsidRPr="00D02A34" w:rsidRDefault="00EA516E" w:rsidP="00166C7D">
      <w:pPr>
        <w:pStyle w:val="Textonotapie"/>
        <w:rPr>
          <w:rFonts w:ascii="Times New Roman" w:hAnsi="Times New Roman"/>
          <w:sz w:val="16"/>
          <w:szCs w:val="16"/>
          <w:lang w:val="es-MX"/>
        </w:rPr>
      </w:pPr>
      <w:r w:rsidRPr="00D02A34">
        <w:rPr>
          <w:rStyle w:val="Refdenotaalpie"/>
          <w:rFonts w:ascii="Times New Roman" w:hAnsi="Times New Roman"/>
        </w:rPr>
        <w:footnoteRef/>
      </w:r>
      <w:r w:rsidRPr="00D02A34">
        <w:rPr>
          <w:rFonts w:ascii="Times New Roman" w:hAnsi="Times New Roman"/>
          <w:sz w:val="16"/>
          <w:szCs w:val="16"/>
        </w:rPr>
        <w:t xml:space="preserve"> </w:t>
      </w:r>
      <w:r w:rsidRPr="00D02A34">
        <w:rPr>
          <w:rFonts w:ascii="Times New Roman" w:hAnsi="Times New Roman"/>
          <w:sz w:val="16"/>
          <w:szCs w:val="16"/>
          <w:lang w:val="es-MX"/>
        </w:rPr>
        <w:t>Información proporcionada por el Presidente de la CGT seccional Quindío, Dr. Hugo León Echeverry.</w:t>
      </w:r>
    </w:p>
  </w:footnote>
  <w:footnote w:id="49">
    <w:p w:rsidR="00EA516E" w:rsidRPr="00400D72" w:rsidRDefault="00EA516E" w:rsidP="00166C7D">
      <w:pPr>
        <w:pStyle w:val="Textonotapie"/>
        <w:rPr>
          <w:rFonts w:ascii="Times New Roman" w:hAnsi="Times New Roman"/>
          <w:sz w:val="16"/>
          <w:szCs w:val="16"/>
          <w:lang w:val="es-MX"/>
        </w:rPr>
      </w:pPr>
      <w:r w:rsidRPr="00400D72">
        <w:rPr>
          <w:rStyle w:val="Refdenotaalpie"/>
          <w:rFonts w:ascii="Times New Roman" w:hAnsi="Times New Roman"/>
          <w:sz w:val="22"/>
          <w:szCs w:val="22"/>
        </w:rPr>
        <w:footnoteRef/>
      </w:r>
      <w:r w:rsidRPr="00400D72">
        <w:rPr>
          <w:rFonts w:ascii="Times New Roman" w:hAnsi="Times New Roman"/>
          <w:sz w:val="22"/>
          <w:szCs w:val="22"/>
        </w:rPr>
        <w:t xml:space="preserve"> </w:t>
      </w:r>
      <w:r w:rsidRPr="00400D72">
        <w:rPr>
          <w:rFonts w:ascii="Times New Roman" w:hAnsi="Times New Roman"/>
          <w:sz w:val="16"/>
          <w:szCs w:val="16"/>
          <w:lang w:eastAsia="en-US"/>
        </w:rPr>
        <w:t>Ordenanza Número 013 del 30 de Abril de 2014 (Art. 5 y 7)</w:t>
      </w:r>
    </w:p>
  </w:footnote>
  <w:footnote w:id="50">
    <w:p w:rsidR="00EA516E" w:rsidRPr="00DF6205" w:rsidRDefault="00EA516E" w:rsidP="001E71CF">
      <w:pPr>
        <w:autoSpaceDE w:val="0"/>
        <w:autoSpaceDN w:val="0"/>
        <w:adjustRightInd w:val="0"/>
        <w:jc w:val="both"/>
        <w:rPr>
          <w:color w:val="000000"/>
          <w:sz w:val="20"/>
          <w:szCs w:val="20"/>
        </w:rPr>
      </w:pPr>
      <w:r w:rsidRPr="00DF6205">
        <w:rPr>
          <w:rStyle w:val="Refdenotaalpie"/>
          <w:sz w:val="20"/>
          <w:szCs w:val="20"/>
        </w:rPr>
        <w:footnoteRef/>
      </w:r>
      <w:r w:rsidRPr="00DF6205">
        <w:rPr>
          <w:color w:val="000000"/>
          <w:sz w:val="20"/>
          <w:szCs w:val="20"/>
        </w:rPr>
        <w:t>Ver, Organización Mundial del Turismo. “¿Por qué el turismo?”. Consultado Diciembre 28 de 2012. En</w:t>
      </w:r>
    </w:p>
    <w:p w:rsidR="00EA516E" w:rsidRPr="00DF6205" w:rsidRDefault="00EA516E" w:rsidP="001E71CF">
      <w:pPr>
        <w:pStyle w:val="Textonotapie"/>
        <w:jc w:val="both"/>
        <w:rPr>
          <w:rFonts w:ascii="Times New Roman" w:hAnsi="Times New Roman"/>
        </w:rPr>
      </w:pPr>
      <w:r w:rsidRPr="00DF6205">
        <w:rPr>
          <w:rFonts w:ascii="Times New Roman" w:hAnsi="Times New Roman"/>
          <w:color w:val="000000"/>
        </w:rPr>
        <w:t xml:space="preserve">http://www2.unwto.org/es/content/por-que-el-turismo  </w:t>
      </w:r>
    </w:p>
  </w:footnote>
  <w:footnote w:id="51">
    <w:p w:rsidR="00EA516E" w:rsidRPr="00DF6205" w:rsidRDefault="00EA516E" w:rsidP="001E71CF">
      <w:pPr>
        <w:pStyle w:val="Textonotapie"/>
        <w:jc w:val="both"/>
        <w:rPr>
          <w:rFonts w:ascii="Times New Roman" w:hAnsi="Times New Roman"/>
        </w:rPr>
      </w:pPr>
      <w:r w:rsidRPr="00DF6205">
        <w:rPr>
          <w:rStyle w:val="Refdenotaalpie"/>
          <w:rFonts w:ascii="Times New Roman" w:hAnsi="Times New Roman"/>
        </w:rPr>
        <w:footnoteRef/>
      </w:r>
      <w:r w:rsidRPr="00DF6205">
        <w:rPr>
          <w:rFonts w:ascii="Times New Roman" w:hAnsi="Times New Roman"/>
        </w:rPr>
        <w:t xml:space="preserve"> Comparar, Organización Mundial del Turismo. ―Panorama OMT del turismo internacional</w:t>
      </w:r>
      <w:r w:rsidRPr="00DF6205">
        <w:t>‖</w:t>
      </w:r>
      <w:r w:rsidRPr="00DF6205">
        <w:rPr>
          <w:rFonts w:ascii="Times New Roman" w:hAnsi="Times New Roman"/>
        </w:rPr>
        <w:t xml:space="preserve">, En </w:t>
      </w:r>
    </w:p>
    <w:p w:rsidR="00EA516E" w:rsidRPr="00DF6205" w:rsidRDefault="00EA516E" w:rsidP="001E71CF">
      <w:pPr>
        <w:pStyle w:val="Textonotapie"/>
        <w:jc w:val="both"/>
        <w:rPr>
          <w:rFonts w:ascii="Times New Roman" w:hAnsi="Times New Roman"/>
        </w:rPr>
      </w:pPr>
      <w:r w:rsidRPr="00DF6205">
        <w:rPr>
          <w:rFonts w:ascii="Times New Roman" w:hAnsi="Times New Roman"/>
        </w:rPr>
        <w:t>http://mkt.unwto.org/es/publication/panorama-omt-del-turismo-internacional-edicion-2012</w:t>
      </w:r>
    </w:p>
  </w:footnote>
  <w:footnote w:id="52">
    <w:p w:rsidR="00EA516E" w:rsidRPr="001E71CF" w:rsidRDefault="00EA516E" w:rsidP="001E71CF">
      <w:pPr>
        <w:pStyle w:val="Textonotapie"/>
        <w:jc w:val="both"/>
        <w:rPr>
          <w:rFonts w:ascii="Times New Roman" w:hAnsi="Times New Roman"/>
        </w:rPr>
      </w:pPr>
      <w:r w:rsidRPr="001E71CF">
        <w:rPr>
          <w:rStyle w:val="Refdenotaalpie"/>
          <w:rFonts w:ascii="Times New Roman" w:hAnsi="Times New Roman"/>
        </w:rPr>
        <w:footnoteRef/>
      </w:r>
      <w:r w:rsidRPr="001E71CF">
        <w:rPr>
          <w:rFonts w:ascii="Times New Roman" w:hAnsi="Times New Roman"/>
        </w:rPr>
        <w:t xml:space="preserve"> Tomado de Página Oficial del </w:t>
      </w:r>
      <w:r>
        <w:rPr>
          <w:rFonts w:ascii="Times New Roman" w:hAnsi="Times New Roman"/>
        </w:rPr>
        <w:t>DANE</w:t>
      </w:r>
      <w:r w:rsidRPr="001E71CF">
        <w:rPr>
          <w:rFonts w:ascii="Times New Roman" w:hAnsi="Times New Roman"/>
        </w:rPr>
        <w:t xml:space="preserve"> – Departamento Administrativo Nacional de Estadística, Cuentas Nacionales, Cuentas satélite. En </w:t>
      </w:r>
    </w:p>
    <w:p w:rsidR="00EA516E" w:rsidRPr="001E71CF" w:rsidRDefault="00EA516E" w:rsidP="001E71CF">
      <w:pPr>
        <w:pStyle w:val="Textonotapie"/>
        <w:jc w:val="both"/>
        <w:rPr>
          <w:rFonts w:ascii="Times New Roman" w:hAnsi="Times New Roman"/>
        </w:rPr>
      </w:pPr>
      <w:r w:rsidRPr="001E71CF">
        <w:rPr>
          <w:rFonts w:ascii="Times New Roman" w:hAnsi="Times New Roman"/>
        </w:rPr>
        <w:t>www.</w:t>
      </w:r>
      <w:r>
        <w:rPr>
          <w:rFonts w:ascii="Times New Roman" w:hAnsi="Times New Roman"/>
        </w:rPr>
        <w:t>DANE</w:t>
      </w:r>
      <w:r w:rsidRPr="001E71CF">
        <w:rPr>
          <w:rFonts w:ascii="Times New Roman" w:hAnsi="Times New Roman"/>
        </w:rPr>
        <w:t>.gov.co</w:t>
      </w:r>
    </w:p>
  </w:footnote>
  <w:footnote w:id="53">
    <w:p w:rsidR="00EA516E" w:rsidRPr="001E71CF" w:rsidRDefault="00EA516E" w:rsidP="001E71CF">
      <w:pPr>
        <w:pStyle w:val="Textonotapie"/>
        <w:jc w:val="both"/>
        <w:rPr>
          <w:rFonts w:ascii="Times New Roman" w:hAnsi="Times New Roman"/>
        </w:rPr>
      </w:pPr>
      <w:r w:rsidRPr="001E71CF">
        <w:rPr>
          <w:rStyle w:val="Refdenotaalpie"/>
          <w:rFonts w:ascii="Times New Roman" w:hAnsi="Times New Roman"/>
        </w:rPr>
        <w:footnoteRef/>
      </w:r>
      <w:r w:rsidRPr="001E71CF">
        <w:rPr>
          <w:rFonts w:ascii="Times New Roman" w:hAnsi="Times New Roman"/>
        </w:rPr>
        <w:t xml:space="preserve"> El Barómetro de la OMT es un servicio destinado a seguir la evolución del turismo a corto plazo con objeto de proporcionar información adecuada y oportuna al sector turístico.</w:t>
      </w:r>
    </w:p>
  </w:footnote>
  <w:footnote w:id="54">
    <w:p w:rsidR="00EA516E" w:rsidRPr="003D1448" w:rsidRDefault="00EA516E" w:rsidP="001E71CF">
      <w:pPr>
        <w:pStyle w:val="Textonotapie"/>
        <w:rPr>
          <w:rFonts w:ascii="Times New Roman" w:hAnsi="Times New Roman"/>
        </w:rPr>
      </w:pPr>
      <w:r w:rsidRPr="003D1448">
        <w:rPr>
          <w:rStyle w:val="Refdenotaalpie"/>
          <w:rFonts w:ascii="Times New Roman" w:hAnsi="Times New Roman"/>
        </w:rPr>
        <w:footnoteRef/>
      </w:r>
      <w:r w:rsidRPr="003D1448">
        <w:rPr>
          <w:rFonts w:ascii="Times New Roman" w:hAnsi="Times New Roman"/>
        </w:rPr>
        <w:t xml:space="preserve"> Ver, Organización Mundial del Turismo. ―Panorama OMT del turismo internacional edición 2012</w:t>
      </w:r>
      <w:r w:rsidRPr="003D1448">
        <w:t>‖</w:t>
      </w:r>
      <w:r w:rsidRPr="003D1448">
        <w:rPr>
          <w:rFonts w:ascii="Times New Roman" w:hAnsi="Times New Roman"/>
        </w:rPr>
        <w:t>, PDF, Pág. 5</w:t>
      </w:r>
    </w:p>
  </w:footnote>
  <w:footnote w:id="55">
    <w:p w:rsidR="00EA516E" w:rsidRPr="001A6ECE" w:rsidRDefault="00EA516E" w:rsidP="001E71CF">
      <w:pPr>
        <w:pStyle w:val="Textonotapie"/>
        <w:rPr>
          <w:rFonts w:ascii="Times New Roman" w:hAnsi="Times New Roman"/>
        </w:rPr>
      </w:pPr>
      <w:r w:rsidRPr="001A6ECE">
        <w:rPr>
          <w:rStyle w:val="Refdenotaalpie"/>
          <w:rFonts w:ascii="Times New Roman" w:hAnsi="Times New Roman"/>
        </w:rPr>
        <w:footnoteRef/>
      </w:r>
      <w:r w:rsidRPr="001A6ECE">
        <w:rPr>
          <w:rFonts w:ascii="Times New Roman" w:hAnsi="Times New Roman"/>
        </w:rPr>
        <w:t xml:space="preserve"> Ver, Quindío Colombia, guía turística, PDF pag.18</w:t>
      </w:r>
    </w:p>
  </w:footnote>
  <w:footnote w:id="56">
    <w:p w:rsidR="00EA516E" w:rsidRPr="00A11EDB" w:rsidRDefault="00EA516E" w:rsidP="001C2EB1">
      <w:pPr>
        <w:pStyle w:val="Textonotapie"/>
        <w:rPr>
          <w:rFonts w:ascii="Times New Roman" w:hAnsi="Times New Roman"/>
        </w:rPr>
      </w:pPr>
      <w:r w:rsidRPr="00A11EDB">
        <w:rPr>
          <w:rStyle w:val="Refdenotaalpie"/>
          <w:rFonts w:ascii="Times New Roman" w:hAnsi="Times New Roman"/>
        </w:rPr>
        <w:footnoteRef/>
      </w:r>
      <w:r w:rsidRPr="00A11EDB">
        <w:rPr>
          <w:rFonts w:ascii="Times New Roman" w:hAnsi="Times New Roman"/>
        </w:rPr>
        <w:t xml:space="preserve"> Artículo 365  de  la CPC</w:t>
      </w:r>
    </w:p>
  </w:footnote>
  <w:footnote w:id="57">
    <w:p w:rsidR="00EA516E" w:rsidRPr="00DD478F" w:rsidRDefault="00EA516E" w:rsidP="001C2EB1">
      <w:pPr>
        <w:pStyle w:val="Textonotapie"/>
      </w:pPr>
      <w:r w:rsidRPr="00A11EDB">
        <w:rPr>
          <w:rStyle w:val="Refdenotaalpie"/>
          <w:rFonts w:ascii="Times New Roman" w:hAnsi="Times New Roman"/>
        </w:rPr>
        <w:footnoteRef/>
      </w:r>
      <w:r w:rsidRPr="00A11EDB">
        <w:rPr>
          <w:rFonts w:ascii="Times New Roman" w:hAnsi="Times New Roman"/>
        </w:rPr>
        <w:t xml:space="preserve"> Artículo  52  de  la  CPC  modificado  Acto  legislativo 02  de 2000</w:t>
      </w:r>
    </w:p>
  </w:footnote>
  <w:footnote w:id="58">
    <w:p w:rsidR="00EA516E" w:rsidRPr="00A11EDB" w:rsidRDefault="00EA516E" w:rsidP="001C2EB1">
      <w:pPr>
        <w:pStyle w:val="Textonotapie"/>
        <w:rPr>
          <w:rFonts w:ascii="Times New Roman" w:hAnsi="Times New Roman"/>
        </w:rPr>
      </w:pPr>
      <w:r w:rsidRPr="00A11EDB">
        <w:rPr>
          <w:rStyle w:val="Refdenotaalpie"/>
          <w:rFonts w:ascii="Times New Roman" w:hAnsi="Times New Roman"/>
        </w:rPr>
        <w:footnoteRef/>
      </w:r>
      <w:r w:rsidRPr="00A11EDB">
        <w:rPr>
          <w:rFonts w:ascii="Times New Roman" w:hAnsi="Times New Roman"/>
        </w:rPr>
        <w:t xml:space="preserve"> Plan  de  desarrollo  2012-2015; Gobierno  firme  por  un Quindío  más humano</w:t>
      </w:r>
    </w:p>
  </w:footnote>
  <w:footnote w:id="59">
    <w:p w:rsidR="00EA516E" w:rsidRPr="00A15FD2" w:rsidRDefault="00EA516E" w:rsidP="001C2EB1">
      <w:pPr>
        <w:pStyle w:val="Textonotapie"/>
        <w:rPr>
          <w:rFonts w:ascii="Times New Roman" w:hAnsi="Times New Roman"/>
        </w:rPr>
      </w:pPr>
      <w:r w:rsidRPr="00A15FD2">
        <w:rPr>
          <w:rStyle w:val="Refdenotaalpie"/>
          <w:rFonts w:ascii="Times New Roman" w:hAnsi="Times New Roman"/>
        </w:rPr>
        <w:footnoteRef/>
      </w:r>
      <w:r w:rsidRPr="00A15FD2">
        <w:rPr>
          <w:rFonts w:ascii="Times New Roman" w:hAnsi="Times New Roman"/>
        </w:rPr>
        <w:t xml:space="preserve"> </w:t>
      </w:r>
      <w:proofErr w:type="spellStart"/>
      <w:r w:rsidRPr="00A15FD2">
        <w:rPr>
          <w:rFonts w:ascii="Times New Roman" w:hAnsi="Times New Roman"/>
        </w:rPr>
        <w:t>Indeportes</w:t>
      </w:r>
      <w:proofErr w:type="spellEnd"/>
      <w:r w:rsidRPr="00A15FD2">
        <w:rPr>
          <w:rFonts w:ascii="Times New Roman" w:hAnsi="Times New Roman"/>
        </w:rPr>
        <w:t xml:space="preserve"> Quindío, informe  de gestión 2013 </w:t>
      </w:r>
    </w:p>
  </w:footnote>
  <w:footnote w:id="60">
    <w:p w:rsidR="00EA516E" w:rsidRPr="00F55039" w:rsidRDefault="00EA516E" w:rsidP="00D36E27">
      <w:pPr>
        <w:pStyle w:val="Textonotapie"/>
        <w:rPr>
          <w:rFonts w:ascii="Times New Roman" w:hAnsi="Times New Roman"/>
        </w:rPr>
      </w:pPr>
      <w:r w:rsidRPr="0081055D">
        <w:rPr>
          <w:rStyle w:val="Refdenotaalpie"/>
          <w:rFonts w:ascii="Times New Roman" w:hAnsi="Times New Roman"/>
        </w:rPr>
        <w:footnoteRef/>
      </w:r>
      <w:r w:rsidRPr="0081055D">
        <w:rPr>
          <w:rFonts w:ascii="Times New Roman" w:hAnsi="Times New Roman"/>
        </w:rPr>
        <w:t xml:space="preserve"> </w:t>
      </w:r>
      <w:r w:rsidRPr="00F55039">
        <w:rPr>
          <w:rFonts w:ascii="Times New Roman" w:hAnsi="Times New Roman"/>
        </w:rPr>
        <w:t>Constitución Política de Colombia 1991</w:t>
      </w:r>
    </w:p>
  </w:footnote>
  <w:footnote w:id="61">
    <w:p w:rsidR="00EA516E" w:rsidRDefault="00EA516E" w:rsidP="00D36E27">
      <w:pPr>
        <w:pStyle w:val="Textonotapie"/>
      </w:pPr>
      <w:r w:rsidRPr="0006708C">
        <w:rPr>
          <w:rStyle w:val="Refdenotaalpie"/>
          <w:rFonts w:ascii="Times New Roman" w:hAnsi="Times New Roman"/>
        </w:rPr>
        <w:footnoteRef/>
      </w:r>
      <w:r w:rsidRPr="0006708C">
        <w:rPr>
          <w:rFonts w:ascii="Times New Roman" w:hAnsi="Times New Roman"/>
        </w:rPr>
        <w:t xml:space="preserve"> Manual de procedimientos técnicos, programa ampliado de inmunización</w:t>
      </w:r>
      <w:r>
        <w:t>.</w:t>
      </w:r>
    </w:p>
  </w:footnote>
  <w:footnote w:id="62">
    <w:p w:rsidR="00EA516E" w:rsidRDefault="00EA516E" w:rsidP="00D36E27">
      <w:pPr>
        <w:pStyle w:val="Textonotapie"/>
      </w:pPr>
      <w:r>
        <w:rPr>
          <w:rStyle w:val="Refdenotaalpie"/>
        </w:rPr>
        <w:footnoteRef/>
      </w:r>
      <w:r>
        <w:t xml:space="preserve"> Plan de Desarrollo 2012- 2015</w:t>
      </w:r>
    </w:p>
  </w:footnote>
  <w:footnote w:id="63">
    <w:p w:rsidR="00EA516E" w:rsidRDefault="00EA516E" w:rsidP="00D36E27">
      <w:pPr>
        <w:pStyle w:val="Textonotapie"/>
      </w:pPr>
      <w:r>
        <w:rPr>
          <w:rStyle w:val="Refdenotaalpie"/>
        </w:rPr>
        <w:footnoteRef/>
      </w:r>
      <w:r>
        <w:t xml:space="preserve">   Ministerio de la Protección Social.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16E" w:rsidRDefault="00EA516E">
    <w:pPr>
      <w:pStyle w:val="Encabezado"/>
    </w:pPr>
  </w:p>
  <w:p w:rsidR="00EA516E" w:rsidRDefault="00EA516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16E" w:rsidRDefault="00EA516E">
    <w:pPr>
      <w:pStyle w:val="Encabezado"/>
      <w:rPr>
        <w:rFonts w:ascii="Arial" w:eastAsiaTheme="majorEastAsia" w:hAnsi="Arial" w:cs="Arial"/>
        <w:b/>
        <w:noProof/>
        <w:sz w:val="48"/>
        <w:szCs w:val="48"/>
        <w:lang w:val="es-ES" w:eastAsia="es-ES"/>
      </w:rPr>
    </w:pPr>
    <w:r w:rsidRPr="008732D6">
      <w:rPr>
        <w:noProof/>
      </w:rPr>
      <w:drawing>
        <wp:anchor distT="0" distB="0" distL="114300" distR="114300" simplePos="0" relativeHeight="251665408" behindDoc="1" locked="0" layoutInCell="1" allowOverlap="1" wp14:anchorId="14BBE245" wp14:editId="06E4321C">
          <wp:simplePos x="0" y="0"/>
          <wp:positionH relativeFrom="column">
            <wp:posOffset>5501640</wp:posOffset>
          </wp:positionH>
          <wp:positionV relativeFrom="paragraph">
            <wp:posOffset>-297815</wp:posOffset>
          </wp:positionV>
          <wp:extent cx="1028700" cy="492125"/>
          <wp:effectExtent l="0" t="0" r="0" b="3175"/>
          <wp:wrapTight wrapText="bothSides">
            <wp:wrapPolygon edited="0">
              <wp:start x="0" y="0"/>
              <wp:lineTo x="0" y="20903"/>
              <wp:lineTo x="21200" y="20903"/>
              <wp:lineTo x="21200" y="0"/>
              <wp:lineTo x="0" y="0"/>
            </wp:wrapPolygon>
          </wp:wrapTight>
          <wp:docPr id="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 cstate="print">
                    <a:extLst>
                      <a:ext uri="{28A0092B-C50C-407E-A947-70E740481C1C}">
                        <a14:useLocalDpi xmlns:a14="http://schemas.microsoft.com/office/drawing/2010/main" val="0"/>
                      </a:ext>
                    </a:extLst>
                  </a:blip>
                  <a:srcRect l="3690" t="15107" r="8484" b="4289"/>
                  <a:stretch/>
                </pic:blipFill>
                <pic:spPr>
                  <a:xfrm>
                    <a:off x="0" y="0"/>
                    <a:ext cx="1028700" cy="492125"/>
                  </a:xfrm>
                  <a:prstGeom prst="rect">
                    <a:avLst/>
                  </a:prstGeom>
                </pic:spPr>
              </pic:pic>
            </a:graphicData>
          </a:graphic>
          <wp14:sizeRelH relativeFrom="page">
            <wp14:pctWidth>0</wp14:pctWidth>
          </wp14:sizeRelH>
          <wp14:sizeRelV relativeFrom="page">
            <wp14:pctHeight>0</wp14:pctHeight>
          </wp14:sizeRelV>
        </wp:anchor>
      </w:drawing>
    </w:r>
  </w:p>
  <w:p w:rsidR="00EA516E" w:rsidRDefault="00EA516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16E" w:rsidRDefault="00EA516E">
    <w:pPr>
      <w:pStyle w:val="Encabezado"/>
    </w:pPr>
    <w:r w:rsidRPr="008732D6">
      <w:rPr>
        <w:noProof/>
      </w:rPr>
      <w:drawing>
        <wp:anchor distT="0" distB="0" distL="114300" distR="114300" simplePos="0" relativeHeight="251669504" behindDoc="1" locked="0" layoutInCell="1" allowOverlap="1" wp14:anchorId="2AAF21F1" wp14:editId="1BB5E7BB">
          <wp:simplePos x="0" y="0"/>
          <wp:positionH relativeFrom="column">
            <wp:posOffset>5188585</wp:posOffset>
          </wp:positionH>
          <wp:positionV relativeFrom="paragraph">
            <wp:posOffset>-367030</wp:posOffset>
          </wp:positionV>
          <wp:extent cx="1424305" cy="681355"/>
          <wp:effectExtent l="0" t="0" r="4445" b="4445"/>
          <wp:wrapTight wrapText="bothSides">
            <wp:wrapPolygon edited="0">
              <wp:start x="0" y="0"/>
              <wp:lineTo x="0" y="21137"/>
              <wp:lineTo x="21379" y="21137"/>
              <wp:lineTo x="21379" y="0"/>
              <wp:lineTo x="0" y="0"/>
            </wp:wrapPolygon>
          </wp:wrapTight>
          <wp:docPr id="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 cstate="print">
                    <a:extLst>
                      <a:ext uri="{28A0092B-C50C-407E-A947-70E740481C1C}">
                        <a14:useLocalDpi xmlns:a14="http://schemas.microsoft.com/office/drawing/2010/main" val="0"/>
                      </a:ext>
                    </a:extLst>
                  </a:blip>
                  <a:srcRect l="3690" t="15107" r="8484" b="4289"/>
                  <a:stretch/>
                </pic:blipFill>
                <pic:spPr>
                  <a:xfrm>
                    <a:off x="0" y="0"/>
                    <a:ext cx="1424305" cy="68135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16E" w:rsidRDefault="00EA516E">
    <w:pPr>
      <w:pStyle w:val="Encabezado"/>
    </w:pPr>
    <w:r w:rsidRPr="008732D6">
      <w:rPr>
        <w:noProof/>
      </w:rPr>
      <w:drawing>
        <wp:anchor distT="0" distB="0" distL="114300" distR="114300" simplePos="0" relativeHeight="251660288" behindDoc="1" locked="0" layoutInCell="1" allowOverlap="1" wp14:anchorId="3F981D42" wp14:editId="49A747B7">
          <wp:simplePos x="0" y="0"/>
          <wp:positionH relativeFrom="column">
            <wp:posOffset>5188585</wp:posOffset>
          </wp:positionH>
          <wp:positionV relativeFrom="paragraph">
            <wp:posOffset>-367030</wp:posOffset>
          </wp:positionV>
          <wp:extent cx="1424305" cy="681355"/>
          <wp:effectExtent l="0" t="0" r="4445" b="4445"/>
          <wp:wrapTight wrapText="bothSides">
            <wp:wrapPolygon edited="0">
              <wp:start x="0" y="0"/>
              <wp:lineTo x="0" y="21137"/>
              <wp:lineTo x="21379" y="21137"/>
              <wp:lineTo x="21379" y="0"/>
              <wp:lineTo x="0" y="0"/>
            </wp:wrapPolygon>
          </wp:wrapTight>
          <wp:docPr id="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 cstate="print">
                    <a:extLst>
                      <a:ext uri="{28A0092B-C50C-407E-A947-70E740481C1C}">
                        <a14:useLocalDpi xmlns:a14="http://schemas.microsoft.com/office/drawing/2010/main" val="0"/>
                      </a:ext>
                    </a:extLst>
                  </a:blip>
                  <a:srcRect l="3690" t="15107" r="8484" b="4289"/>
                  <a:stretch/>
                </pic:blipFill>
                <pic:spPr>
                  <a:xfrm>
                    <a:off x="0" y="0"/>
                    <a:ext cx="1424305" cy="6813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1FCB"/>
    <w:multiLevelType w:val="hybridMultilevel"/>
    <w:tmpl w:val="439C28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0D3567F"/>
    <w:multiLevelType w:val="hybridMultilevel"/>
    <w:tmpl w:val="0DFE478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
    <w:nsid w:val="07FF6F2C"/>
    <w:multiLevelType w:val="hybridMultilevel"/>
    <w:tmpl w:val="89BA31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1F4766C"/>
    <w:multiLevelType w:val="hybridMultilevel"/>
    <w:tmpl w:val="9F9459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F360178"/>
    <w:multiLevelType w:val="hybridMultilevel"/>
    <w:tmpl w:val="F146993C"/>
    <w:lvl w:ilvl="0" w:tplc="0C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365067A3"/>
    <w:multiLevelType w:val="hybridMultilevel"/>
    <w:tmpl w:val="B21EB22A"/>
    <w:lvl w:ilvl="0" w:tplc="D3CE2C08">
      <w:start w:val="1"/>
      <w:numFmt w:val="decimal"/>
      <w:lvlText w:val="%1."/>
      <w:lvlJc w:val="left"/>
      <w:pPr>
        <w:ind w:left="720" w:hanging="360"/>
      </w:pPr>
      <w:rPr>
        <w:rFonts w:hint="default"/>
        <w:sz w:val="4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D343CD2"/>
    <w:multiLevelType w:val="multilevel"/>
    <w:tmpl w:val="128A79F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3A95B5F"/>
    <w:multiLevelType w:val="hybridMultilevel"/>
    <w:tmpl w:val="4AFC3D1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0A935CF"/>
    <w:multiLevelType w:val="hybridMultilevel"/>
    <w:tmpl w:val="E8A0DD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3AC35AE"/>
    <w:multiLevelType w:val="hybridMultilevel"/>
    <w:tmpl w:val="31CCDB24"/>
    <w:lvl w:ilvl="0" w:tplc="0C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572C748B"/>
    <w:multiLevelType w:val="hybridMultilevel"/>
    <w:tmpl w:val="A24CABAC"/>
    <w:lvl w:ilvl="0" w:tplc="240A0001">
      <w:start w:val="1"/>
      <w:numFmt w:val="bullet"/>
      <w:lvlText w:val=""/>
      <w:lvlJc w:val="left"/>
      <w:pPr>
        <w:ind w:left="1020" w:hanging="360"/>
      </w:pPr>
      <w:rPr>
        <w:rFonts w:ascii="Symbol" w:hAnsi="Symbol" w:hint="default"/>
      </w:rPr>
    </w:lvl>
    <w:lvl w:ilvl="1" w:tplc="240A0003" w:tentative="1">
      <w:start w:val="1"/>
      <w:numFmt w:val="bullet"/>
      <w:lvlText w:val="o"/>
      <w:lvlJc w:val="left"/>
      <w:pPr>
        <w:ind w:left="1740" w:hanging="360"/>
      </w:pPr>
      <w:rPr>
        <w:rFonts w:ascii="Courier New" w:hAnsi="Courier New" w:cs="Courier New" w:hint="default"/>
      </w:rPr>
    </w:lvl>
    <w:lvl w:ilvl="2" w:tplc="240A0005" w:tentative="1">
      <w:start w:val="1"/>
      <w:numFmt w:val="bullet"/>
      <w:lvlText w:val=""/>
      <w:lvlJc w:val="left"/>
      <w:pPr>
        <w:ind w:left="2460" w:hanging="360"/>
      </w:pPr>
      <w:rPr>
        <w:rFonts w:ascii="Wingdings" w:hAnsi="Wingdings" w:hint="default"/>
      </w:rPr>
    </w:lvl>
    <w:lvl w:ilvl="3" w:tplc="240A0001" w:tentative="1">
      <w:start w:val="1"/>
      <w:numFmt w:val="bullet"/>
      <w:lvlText w:val=""/>
      <w:lvlJc w:val="left"/>
      <w:pPr>
        <w:ind w:left="3180" w:hanging="360"/>
      </w:pPr>
      <w:rPr>
        <w:rFonts w:ascii="Symbol" w:hAnsi="Symbol" w:hint="default"/>
      </w:rPr>
    </w:lvl>
    <w:lvl w:ilvl="4" w:tplc="240A0003" w:tentative="1">
      <w:start w:val="1"/>
      <w:numFmt w:val="bullet"/>
      <w:lvlText w:val="o"/>
      <w:lvlJc w:val="left"/>
      <w:pPr>
        <w:ind w:left="3900" w:hanging="360"/>
      </w:pPr>
      <w:rPr>
        <w:rFonts w:ascii="Courier New" w:hAnsi="Courier New" w:cs="Courier New" w:hint="default"/>
      </w:rPr>
    </w:lvl>
    <w:lvl w:ilvl="5" w:tplc="240A0005" w:tentative="1">
      <w:start w:val="1"/>
      <w:numFmt w:val="bullet"/>
      <w:lvlText w:val=""/>
      <w:lvlJc w:val="left"/>
      <w:pPr>
        <w:ind w:left="4620" w:hanging="360"/>
      </w:pPr>
      <w:rPr>
        <w:rFonts w:ascii="Wingdings" w:hAnsi="Wingdings" w:hint="default"/>
      </w:rPr>
    </w:lvl>
    <w:lvl w:ilvl="6" w:tplc="240A0001" w:tentative="1">
      <w:start w:val="1"/>
      <w:numFmt w:val="bullet"/>
      <w:lvlText w:val=""/>
      <w:lvlJc w:val="left"/>
      <w:pPr>
        <w:ind w:left="5340" w:hanging="360"/>
      </w:pPr>
      <w:rPr>
        <w:rFonts w:ascii="Symbol" w:hAnsi="Symbol" w:hint="default"/>
      </w:rPr>
    </w:lvl>
    <w:lvl w:ilvl="7" w:tplc="240A0003" w:tentative="1">
      <w:start w:val="1"/>
      <w:numFmt w:val="bullet"/>
      <w:lvlText w:val="o"/>
      <w:lvlJc w:val="left"/>
      <w:pPr>
        <w:ind w:left="6060" w:hanging="360"/>
      </w:pPr>
      <w:rPr>
        <w:rFonts w:ascii="Courier New" w:hAnsi="Courier New" w:cs="Courier New" w:hint="default"/>
      </w:rPr>
    </w:lvl>
    <w:lvl w:ilvl="8" w:tplc="240A0005" w:tentative="1">
      <w:start w:val="1"/>
      <w:numFmt w:val="bullet"/>
      <w:lvlText w:val=""/>
      <w:lvlJc w:val="left"/>
      <w:pPr>
        <w:ind w:left="6780" w:hanging="360"/>
      </w:pPr>
      <w:rPr>
        <w:rFonts w:ascii="Wingdings" w:hAnsi="Wingdings" w:hint="default"/>
      </w:rPr>
    </w:lvl>
  </w:abstractNum>
  <w:abstractNum w:abstractNumId="11">
    <w:nsid w:val="58947F2E"/>
    <w:multiLevelType w:val="hybridMultilevel"/>
    <w:tmpl w:val="C69A8074"/>
    <w:lvl w:ilvl="0" w:tplc="0C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5E6D4AED"/>
    <w:multiLevelType w:val="hybridMultilevel"/>
    <w:tmpl w:val="6526BBF4"/>
    <w:lvl w:ilvl="0" w:tplc="C58E778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673819D4"/>
    <w:multiLevelType w:val="hybridMultilevel"/>
    <w:tmpl w:val="D300205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4">
    <w:nsid w:val="70C915C6"/>
    <w:multiLevelType w:val="hybridMultilevel"/>
    <w:tmpl w:val="E58818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5"/>
  </w:num>
  <w:num w:numId="3">
    <w:abstractNumId w:val="14"/>
  </w:num>
  <w:num w:numId="4">
    <w:abstractNumId w:val="10"/>
  </w:num>
  <w:num w:numId="5">
    <w:abstractNumId w:val="7"/>
  </w:num>
  <w:num w:numId="6">
    <w:abstractNumId w:val="0"/>
  </w:num>
  <w:num w:numId="7">
    <w:abstractNumId w:val="11"/>
  </w:num>
  <w:num w:numId="8">
    <w:abstractNumId w:val="4"/>
  </w:num>
  <w:num w:numId="9">
    <w:abstractNumId w:val="9"/>
  </w:num>
  <w:num w:numId="10">
    <w:abstractNumId w:val="13"/>
  </w:num>
  <w:num w:numId="11">
    <w:abstractNumId w:val="2"/>
  </w:num>
  <w:num w:numId="12">
    <w:abstractNumId w:val="8"/>
  </w:num>
  <w:num w:numId="13">
    <w:abstractNumId w:val="12"/>
  </w:num>
  <w:num w:numId="14">
    <w:abstractNumId w:val="1"/>
  </w:num>
  <w:num w:numId="1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629"/>
    <w:rsid w:val="0000152C"/>
    <w:rsid w:val="00002051"/>
    <w:rsid w:val="000039E0"/>
    <w:rsid w:val="00004DFB"/>
    <w:rsid w:val="00006230"/>
    <w:rsid w:val="00007B7B"/>
    <w:rsid w:val="00010464"/>
    <w:rsid w:val="000124A4"/>
    <w:rsid w:val="00012BC5"/>
    <w:rsid w:val="00012E12"/>
    <w:rsid w:val="000135E2"/>
    <w:rsid w:val="0001447D"/>
    <w:rsid w:val="000169ED"/>
    <w:rsid w:val="00016BD9"/>
    <w:rsid w:val="0002265D"/>
    <w:rsid w:val="00022763"/>
    <w:rsid w:val="00022F35"/>
    <w:rsid w:val="00023CF1"/>
    <w:rsid w:val="00025258"/>
    <w:rsid w:val="000257E8"/>
    <w:rsid w:val="00026420"/>
    <w:rsid w:val="00026D49"/>
    <w:rsid w:val="00031D8F"/>
    <w:rsid w:val="00032FAD"/>
    <w:rsid w:val="00033BB9"/>
    <w:rsid w:val="00035572"/>
    <w:rsid w:val="000379FF"/>
    <w:rsid w:val="000400EB"/>
    <w:rsid w:val="000410FB"/>
    <w:rsid w:val="00041934"/>
    <w:rsid w:val="00041E90"/>
    <w:rsid w:val="000424B0"/>
    <w:rsid w:val="000440BE"/>
    <w:rsid w:val="00044D31"/>
    <w:rsid w:val="00047AE1"/>
    <w:rsid w:val="00051635"/>
    <w:rsid w:val="00051810"/>
    <w:rsid w:val="00052699"/>
    <w:rsid w:val="00053464"/>
    <w:rsid w:val="00053835"/>
    <w:rsid w:val="00056062"/>
    <w:rsid w:val="00057B45"/>
    <w:rsid w:val="000602BC"/>
    <w:rsid w:val="000612CD"/>
    <w:rsid w:val="00061A72"/>
    <w:rsid w:val="0006639D"/>
    <w:rsid w:val="00067FBC"/>
    <w:rsid w:val="000703A6"/>
    <w:rsid w:val="00070AF6"/>
    <w:rsid w:val="00073162"/>
    <w:rsid w:val="00073B98"/>
    <w:rsid w:val="00075E04"/>
    <w:rsid w:val="00077352"/>
    <w:rsid w:val="00077BED"/>
    <w:rsid w:val="00077CDB"/>
    <w:rsid w:val="00080485"/>
    <w:rsid w:val="00082665"/>
    <w:rsid w:val="00083202"/>
    <w:rsid w:val="00084B52"/>
    <w:rsid w:val="000863E2"/>
    <w:rsid w:val="000914D3"/>
    <w:rsid w:val="00092D9B"/>
    <w:rsid w:val="00092E2C"/>
    <w:rsid w:val="00093806"/>
    <w:rsid w:val="000A2112"/>
    <w:rsid w:val="000A2524"/>
    <w:rsid w:val="000A2B52"/>
    <w:rsid w:val="000A561C"/>
    <w:rsid w:val="000A5EE0"/>
    <w:rsid w:val="000A65E2"/>
    <w:rsid w:val="000A714E"/>
    <w:rsid w:val="000A7F67"/>
    <w:rsid w:val="000B07BB"/>
    <w:rsid w:val="000B10B0"/>
    <w:rsid w:val="000B1F10"/>
    <w:rsid w:val="000B26CF"/>
    <w:rsid w:val="000B3706"/>
    <w:rsid w:val="000B4A86"/>
    <w:rsid w:val="000B5266"/>
    <w:rsid w:val="000B6170"/>
    <w:rsid w:val="000B65D3"/>
    <w:rsid w:val="000B66ED"/>
    <w:rsid w:val="000C36F3"/>
    <w:rsid w:val="000C3CD9"/>
    <w:rsid w:val="000C3D1E"/>
    <w:rsid w:val="000C6568"/>
    <w:rsid w:val="000C7B5F"/>
    <w:rsid w:val="000D1152"/>
    <w:rsid w:val="000D20F2"/>
    <w:rsid w:val="000D6327"/>
    <w:rsid w:val="000D688E"/>
    <w:rsid w:val="000D6BB7"/>
    <w:rsid w:val="000E0376"/>
    <w:rsid w:val="000E078E"/>
    <w:rsid w:val="000E1CFC"/>
    <w:rsid w:val="000E354F"/>
    <w:rsid w:val="000E358B"/>
    <w:rsid w:val="000E3EA5"/>
    <w:rsid w:val="000E6943"/>
    <w:rsid w:val="000F020D"/>
    <w:rsid w:val="000F1787"/>
    <w:rsid w:val="000F3436"/>
    <w:rsid w:val="000F3BFC"/>
    <w:rsid w:val="000F3C51"/>
    <w:rsid w:val="000F3F9A"/>
    <w:rsid w:val="000F42F1"/>
    <w:rsid w:val="000F4B66"/>
    <w:rsid w:val="00100A38"/>
    <w:rsid w:val="00103CC5"/>
    <w:rsid w:val="00103F32"/>
    <w:rsid w:val="00105B7F"/>
    <w:rsid w:val="00106842"/>
    <w:rsid w:val="00114854"/>
    <w:rsid w:val="0012201A"/>
    <w:rsid w:val="00122729"/>
    <w:rsid w:val="00123E91"/>
    <w:rsid w:val="00124B25"/>
    <w:rsid w:val="00125E1A"/>
    <w:rsid w:val="001267AF"/>
    <w:rsid w:val="00127A8E"/>
    <w:rsid w:val="00135BA1"/>
    <w:rsid w:val="00140117"/>
    <w:rsid w:val="0014092B"/>
    <w:rsid w:val="001431C3"/>
    <w:rsid w:val="00143E02"/>
    <w:rsid w:val="0014403C"/>
    <w:rsid w:val="0014483E"/>
    <w:rsid w:val="00145573"/>
    <w:rsid w:val="00146AB2"/>
    <w:rsid w:val="00150BCD"/>
    <w:rsid w:val="001534BE"/>
    <w:rsid w:val="00153840"/>
    <w:rsid w:val="00153984"/>
    <w:rsid w:val="001540C2"/>
    <w:rsid w:val="00154105"/>
    <w:rsid w:val="00155BD4"/>
    <w:rsid w:val="00156A85"/>
    <w:rsid w:val="00156BB2"/>
    <w:rsid w:val="00156FF0"/>
    <w:rsid w:val="00160D1D"/>
    <w:rsid w:val="00160E82"/>
    <w:rsid w:val="00161112"/>
    <w:rsid w:val="00161715"/>
    <w:rsid w:val="00161BE0"/>
    <w:rsid w:val="00161EDA"/>
    <w:rsid w:val="00163D7F"/>
    <w:rsid w:val="00163DDC"/>
    <w:rsid w:val="00166C7D"/>
    <w:rsid w:val="00170437"/>
    <w:rsid w:val="00170543"/>
    <w:rsid w:val="00171A31"/>
    <w:rsid w:val="00172EE9"/>
    <w:rsid w:val="001739B5"/>
    <w:rsid w:val="00175FC0"/>
    <w:rsid w:val="0017617C"/>
    <w:rsid w:val="001770DD"/>
    <w:rsid w:val="00181506"/>
    <w:rsid w:val="001816E5"/>
    <w:rsid w:val="001850CD"/>
    <w:rsid w:val="00190853"/>
    <w:rsid w:val="00191871"/>
    <w:rsid w:val="001918B3"/>
    <w:rsid w:val="00191C7D"/>
    <w:rsid w:val="00191F8B"/>
    <w:rsid w:val="0019245F"/>
    <w:rsid w:val="00193CA0"/>
    <w:rsid w:val="00196922"/>
    <w:rsid w:val="001A3DE9"/>
    <w:rsid w:val="001A4B65"/>
    <w:rsid w:val="001A4D7E"/>
    <w:rsid w:val="001A5670"/>
    <w:rsid w:val="001B09B5"/>
    <w:rsid w:val="001B1A7E"/>
    <w:rsid w:val="001B2A2C"/>
    <w:rsid w:val="001B7190"/>
    <w:rsid w:val="001B72E3"/>
    <w:rsid w:val="001B7997"/>
    <w:rsid w:val="001C087D"/>
    <w:rsid w:val="001C16EB"/>
    <w:rsid w:val="001C2EB1"/>
    <w:rsid w:val="001C38A1"/>
    <w:rsid w:val="001C3D9C"/>
    <w:rsid w:val="001C57E5"/>
    <w:rsid w:val="001C727C"/>
    <w:rsid w:val="001D3458"/>
    <w:rsid w:val="001D352C"/>
    <w:rsid w:val="001D4492"/>
    <w:rsid w:val="001E0B4D"/>
    <w:rsid w:val="001E1979"/>
    <w:rsid w:val="001E4353"/>
    <w:rsid w:val="001E44BB"/>
    <w:rsid w:val="001E71CF"/>
    <w:rsid w:val="001E7204"/>
    <w:rsid w:val="001E790F"/>
    <w:rsid w:val="001E7CA9"/>
    <w:rsid w:val="001F1445"/>
    <w:rsid w:val="001F1AA9"/>
    <w:rsid w:val="001F1CE1"/>
    <w:rsid w:val="001F2497"/>
    <w:rsid w:val="001F343C"/>
    <w:rsid w:val="001F4916"/>
    <w:rsid w:val="001F4A89"/>
    <w:rsid w:val="002005F6"/>
    <w:rsid w:val="00203DC0"/>
    <w:rsid w:val="00203ECD"/>
    <w:rsid w:val="002044DE"/>
    <w:rsid w:val="002056D7"/>
    <w:rsid w:val="002068E2"/>
    <w:rsid w:val="00207B84"/>
    <w:rsid w:val="002133DF"/>
    <w:rsid w:val="002136E8"/>
    <w:rsid w:val="00214F1B"/>
    <w:rsid w:val="002230BF"/>
    <w:rsid w:val="0022356E"/>
    <w:rsid w:val="00225672"/>
    <w:rsid w:val="00227D88"/>
    <w:rsid w:val="00230334"/>
    <w:rsid w:val="00230A42"/>
    <w:rsid w:val="00236BCE"/>
    <w:rsid w:val="002432DC"/>
    <w:rsid w:val="00243CB9"/>
    <w:rsid w:val="00244590"/>
    <w:rsid w:val="00245F10"/>
    <w:rsid w:val="0024627E"/>
    <w:rsid w:val="0024689B"/>
    <w:rsid w:val="002471C6"/>
    <w:rsid w:val="002476E4"/>
    <w:rsid w:val="002503AA"/>
    <w:rsid w:val="00250835"/>
    <w:rsid w:val="0025127B"/>
    <w:rsid w:val="002525C7"/>
    <w:rsid w:val="0025321F"/>
    <w:rsid w:val="0025496D"/>
    <w:rsid w:val="0025508C"/>
    <w:rsid w:val="00255119"/>
    <w:rsid w:val="0025539B"/>
    <w:rsid w:val="00255C96"/>
    <w:rsid w:val="00256AAB"/>
    <w:rsid w:val="002605C4"/>
    <w:rsid w:val="00260BAA"/>
    <w:rsid w:val="00260F8B"/>
    <w:rsid w:val="002654C8"/>
    <w:rsid w:val="00267120"/>
    <w:rsid w:val="00267A46"/>
    <w:rsid w:val="00271BBA"/>
    <w:rsid w:val="00273AFB"/>
    <w:rsid w:val="00276103"/>
    <w:rsid w:val="00276674"/>
    <w:rsid w:val="00276F3C"/>
    <w:rsid w:val="00282669"/>
    <w:rsid w:val="0028310E"/>
    <w:rsid w:val="002834A9"/>
    <w:rsid w:val="00284113"/>
    <w:rsid w:val="00287472"/>
    <w:rsid w:val="002903AB"/>
    <w:rsid w:val="0029143C"/>
    <w:rsid w:val="00293A8C"/>
    <w:rsid w:val="002940FE"/>
    <w:rsid w:val="002942E1"/>
    <w:rsid w:val="00294CD2"/>
    <w:rsid w:val="00294DBF"/>
    <w:rsid w:val="002972E6"/>
    <w:rsid w:val="0029774E"/>
    <w:rsid w:val="002A1BBA"/>
    <w:rsid w:val="002A3172"/>
    <w:rsid w:val="002A409F"/>
    <w:rsid w:val="002B3957"/>
    <w:rsid w:val="002B4302"/>
    <w:rsid w:val="002B44E2"/>
    <w:rsid w:val="002C0732"/>
    <w:rsid w:val="002C282E"/>
    <w:rsid w:val="002C2BE0"/>
    <w:rsid w:val="002C2F7E"/>
    <w:rsid w:val="002C333A"/>
    <w:rsid w:val="002C36A2"/>
    <w:rsid w:val="002C3B11"/>
    <w:rsid w:val="002C45DB"/>
    <w:rsid w:val="002C46B6"/>
    <w:rsid w:val="002C64F1"/>
    <w:rsid w:val="002C663D"/>
    <w:rsid w:val="002C791A"/>
    <w:rsid w:val="002E026F"/>
    <w:rsid w:val="002E2885"/>
    <w:rsid w:val="002E437E"/>
    <w:rsid w:val="002E46D4"/>
    <w:rsid w:val="002E51F7"/>
    <w:rsid w:val="002F0523"/>
    <w:rsid w:val="002F0D3A"/>
    <w:rsid w:val="002F3593"/>
    <w:rsid w:val="002F3779"/>
    <w:rsid w:val="002F5068"/>
    <w:rsid w:val="002F5C45"/>
    <w:rsid w:val="002F5D16"/>
    <w:rsid w:val="002F6657"/>
    <w:rsid w:val="00302239"/>
    <w:rsid w:val="003029AD"/>
    <w:rsid w:val="00302D8D"/>
    <w:rsid w:val="0030309F"/>
    <w:rsid w:val="003039CE"/>
    <w:rsid w:val="00303CF2"/>
    <w:rsid w:val="003054DE"/>
    <w:rsid w:val="003105C0"/>
    <w:rsid w:val="003110C2"/>
    <w:rsid w:val="00311B65"/>
    <w:rsid w:val="003125A6"/>
    <w:rsid w:val="00312926"/>
    <w:rsid w:val="00314D73"/>
    <w:rsid w:val="00315672"/>
    <w:rsid w:val="00315B08"/>
    <w:rsid w:val="0032272F"/>
    <w:rsid w:val="00322BFA"/>
    <w:rsid w:val="00324C92"/>
    <w:rsid w:val="0032551F"/>
    <w:rsid w:val="0032715B"/>
    <w:rsid w:val="003305CD"/>
    <w:rsid w:val="00331087"/>
    <w:rsid w:val="00333246"/>
    <w:rsid w:val="00333D61"/>
    <w:rsid w:val="00334C5E"/>
    <w:rsid w:val="00335172"/>
    <w:rsid w:val="003416CA"/>
    <w:rsid w:val="00342EA0"/>
    <w:rsid w:val="00344E97"/>
    <w:rsid w:val="003458C3"/>
    <w:rsid w:val="003464E6"/>
    <w:rsid w:val="003475B6"/>
    <w:rsid w:val="00351553"/>
    <w:rsid w:val="003527E3"/>
    <w:rsid w:val="00353F04"/>
    <w:rsid w:val="003551B7"/>
    <w:rsid w:val="00356AED"/>
    <w:rsid w:val="00356EA1"/>
    <w:rsid w:val="00357340"/>
    <w:rsid w:val="00360208"/>
    <w:rsid w:val="00360560"/>
    <w:rsid w:val="0036070E"/>
    <w:rsid w:val="00360FDD"/>
    <w:rsid w:val="003633A2"/>
    <w:rsid w:val="00363A30"/>
    <w:rsid w:val="00365679"/>
    <w:rsid w:val="00371216"/>
    <w:rsid w:val="00371EB1"/>
    <w:rsid w:val="003746EA"/>
    <w:rsid w:val="00375574"/>
    <w:rsid w:val="003775A3"/>
    <w:rsid w:val="003776C5"/>
    <w:rsid w:val="00381FB3"/>
    <w:rsid w:val="00383167"/>
    <w:rsid w:val="0038518C"/>
    <w:rsid w:val="00385E73"/>
    <w:rsid w:val="0038757C"/>
    <w:rsid w:val="00392A38"/>
    <w:rsid w:val="00393B17"/>
    <w:rsid w:val="00394DCD"/>
    <w:rsid w:val="00394EF0"/>
    <w:rsid w:val="003958F7"/>
    <w:rsid w:val="00396F4C"/>
    <w:rsid w:val="003A0995"/>
    <w:rsid w:val="003A496F"/>
    <w:rsid w:val="003A4B24"/>
    <w:rsid w:val="003A57A6"/>
    <w:rsid w:val="003A6025"/>
    <w:rsid w:val="003A6433"/>
    <w:rsid w:val="003B0211"/>
    <w:rsid w:val="003B3716"/>
    <w:rsid w:val="003B498F"/>
    <w:rsid w:val="003B5B35"/>
    <w:rsid w:val="003B6096"/>
    <w:rsid w:val="003B6981"/>
    <w:rsid w:val="003B7371"/>
    <w:rsid w:val="003B799D"/>
    <w:rsid w:val="003C0AED"/>
    <w:rsid w:val="003C748E"/>
    <w:rsid w:val="003D248E"/>
    <w:rsid w:val="003D2662"/>
    <w:rsid w:val="003D274B"/>
    <w:rsid w:val="003D572F"/>
    <w:rsid w:val="003D5815"/>
    <w:rsid w:val="003D5F04"/>
    <w:rsid w:val="003D6F30"/>
    <w:rsid w:val="003D7BE1"/>
    <w:rsid w:val="003E0BFC"/>
    <w:rsid w:val="003E284F"/>
    <w:rsid w:val="003E2B6C"/>
    <w:rsid w:val="003E33B0"/>
    <w:rsid w:val="003E3E5C"/>
    <w:rsid w:val="003E3F32"/>
    <w:rsid w:val="003E48DA"/>
    <w:rsid w:val="003E6D9F"/>
    <w:rsid w:val="003F096A"/>
    <w:rsid w:val="003F4FD9"/>
    <w:rsid w:val="003F51C8"/>
    <w:rsid w:val="003F5C3D"/>
    <w:rsid w:val="003F5ED3"/>
    <w:rsid w:val="003F71B3"/>
    <w:rsid w:val="00401932"/>
    <w:rsid w:val="004048E7"/>
    <w:rsid w:val="0040570C"/>
    <w:rsid w:val="00406000"/>
    <w:rsid w:val="00406FF7"/>
    <w:rsid w:val="00410197"/>
    <w:rsid w:val="00411FCF"/>
    <w:rsid w:val="00414DCB"/>
    <w:rsid w:val="00415B5A"/>
    <w:rsid w:val="004179E3"/>
    <w:rsid w:val="00417D7A"/>
    <w:rsid w:val="00417FD7"/>
    <w:rsid w:val="0042091E"/>
    <w:rsid w:val="0042174F"/>
    <w:rsid w:val="00422284"/>
    <w:rsid w:val="00424EF3"/>
    <w:rsid w:val="00424F96"/>
    <w:rsid w:val="00425256"/>
    <w:rsid w:val="004253CE"/>
    <w:rsid w:val="004264AF"/>
    <w:rsid w:val="004311AD"/>
    <w:rsid w:val="004316FE"/>
    <w:rsid w:val="00431797"/>
    <w:rsid w:val="0044513A"/>
    <w:rsid w:val="00446848"/>
    <w:rsid w:val="004477C7"/>
    <w:rsid w:val="00451DC6"/>
    <w:rsid w:val="004523A5"/>
    <w:rsid w:val="004526A1"/>
    <w:rsid w:val="004529E0"/>
    <w:rsid w:val="0045398B"/>
    <w:rsid w:val="00453B94"/>
    <w:rsid w:val="004546B7"/>
    <w:rsid w:val="0045508B"/>
    <w:rsid w:val="00455B21"/>
    <w:rsid w:val="004561B8"/>
    <w:rsid w:val="00457510"/>
    <w:rsid w:val="004612A0"/>
    <w:rsid w:val="004652C1"/>
    <w:rsid w:val="00465883"/>
    <w:rsid w:val="00466673"/>
    <w:rsid w:val="0046724C"/>
    <w:rsid w:val="00467A11"/>
    <w:rsid w:val="00467DC8"/>
    <w:rsid w:val="0047159F"/>
    <w:rsid w:val="004721FD"/>
    <w:rsid w:val="0047535A"/>
    <w:rsid w:val="00475B5C"/>
    <w:rsid w:val="00475CE1"/>
    <w:rsid w:val="00480573"/>
    <w:rsid w:val="00480C3E"/>
    <w:rsid w:val="00481373"/>
    <w:rsid w:val="0048264A"/>
    <w:rsid w:val="004829B0"/>
    <w:rsid w:val="00483565"/>
    <w:rsid w:val="00483AAE"/>
    <w:rsid w:val="00484D27"/>
    <w:rsid w:val="00486068"/>
    <w:rsid w:val="004861E3"/>
    <w:rsid w:val="00487ADD"/>
    <w:rsid w:val="00487F4C"/>
    <w:rsid w:val="00492269"/>
    <w:rsid w:val="00493C5C"/>
    <w:rsid w:val="00493E31"/>
    <w:rsid w:val="00494615"/>
    <w:rsid w:val="00495B95"/>
    <w:rsid w:val="00496863"/>
    <w:rsid w:val="004971A3"/>
    <w:rsid w:val="00497AA0"/>
    <w:rsid w:val="004A0277"/>
    <w:rsid w:val="004A1284"/>
    <w:rsid w:val="004A210D"/>
    <w:rsid w:val="004A57AC"/>
    <w:rsid w:val="004B2F96"/>
    <w:rsid w:val="004B4634"/>
    <w:rsid w:val="004B6565"/>
    <w:rsid w:val="004B6E8B"/>
    <w:rsid w:val="004C1723"/>
    <w:rsid w:val="004C212E"/>
    <w:rsid w:val="004C555B"/>
    <w:rsid w:val="004C6718"/>
    <w:rsid w:val="004C7B91"/>
    <w:rsid w:val="004C7C37"/>
    <w:rsid w:val="004D23C6"/>
    <w:rsid w:val="004D2C2B"/>
    <w:rsid w:val="004D3141"/>
    <w:rsid w:val="004D3C41"/>
    <w:rsid w:val="004D3D76"/>
    <w:rsid w:val="004D61F4"/>
    <w:rsid w:val="004E20E0"/>
    <w:rsid w:val="004E2503"/>
    <w:rsid w:val="004E3A9F"/>
    <w:rsid w:val="004E4362"/>
    <w:rsid w:val="004E4591"/>
    <w:rsid w:val="004E52BC"/>
    <w:rsid w:val="004E55E7"/>
    <w:rsid w:val="004E6D47"/>
    <w:rsid w:val="004E7B57"/>
    <w:rsid w:val="004F1687"/>
    <w:rsid w:val="004F2C36"/>
    <w:rsid w:val="004F4DFA"/>
    <w:rsid w:val="004F60CB"/>
    <w:rsid w:val="004F7CCE"/>
    <w:rsid w:val="00500EEC"/>
    <w:rsid w:val="00501327"/>
    <w:rsid w:val="00502027"/>
    <w:rsid w:val="005034D3"/>
    <w:rsid w:val="00503565"/>
    <w:rsid w:val="00503873"/>
    <w:rsid w:val="00506176"/>
    <w:rsid w:val="00506446"/>
    <w:rsid w:val="00506BD9"/>
    <w:rsid w:val="00506E77"/>
    <w:rsid w:val="00507433"/>
    <w:rsid w:val="00507661"/>
    <w:rsid w:val="00507701"/>
    <w:rsid w:val="0050794C"/>
    <w:rsid w:val="00511642"/>
    <w:rsid w:val="00511799"/>
    <w:rsid w:val="0051455E"/>
    <w:rsid w:val="00514ECE"/>
    <w:rsid w:val="00516257"/>
    <w:rsid w:val="005162F2"/>
    <w:rsid w:val="00520833"/>
    <w:rsid w:val="00526B74"/>
    <w:rsid w:val="00527376"/>
    <w:rsid w:val="005314FF"/>
    <w:rsid w:val="005317C2"/>
    <w:rsid w:val="00532BE5"/>
    <w:rsid w:val="005332B6"/>
    <w:rsid w:val="0053405B"/>
    <w:rsid w:val="00535E8C"/>
    <w:rsid w:val="00535F7A"/>
    <w:rsid w:val="005360AA"/>
    <w:rsid w:val="0053666F"/>
    <w:rsid w:val="00536690"/>
    <w:rsid w:val="0054072D"/>
    <w:rsid w:val="00541A4F"/>
    <w:rsid w:val="00542F25"/>
    <w:rsid w:val="00546028"/>
    <w:rsid w:val="00546641"/>
    <w:rsid w:val="00552063"/>
    <w:rsid w:val="00552296"/>
    <w:rsid w:val="005528B3"/>
    <w:rsid w:val="005537BD"/>
    <w:rsid w:val="005559F7"/>
    <w:rsid w:val="0055793F"/>
    <w:rsid w:val="00557F83"/>
    <w:rsid w:val="00560D86"/>
    <w:rsid w:val="005618E5"/>
    <w:rsid w:val="00561C81"/>
    <w:rsid w:val="0056342E"/>
    <w:rsid w:val="005644DC"/>
    <w:rsid w:val="00564568"/>
    <w:rsid w:val="005646D6"/>
    <w:rsid w:val="00564C69"/>
    <w:rsid w:val="00564DD2"/>
    <w:rsid w:val="00565593"/>
    <w:rsid w:val="00571E8B"/>
    <w:rsid w:val="00573BF9"/>
    <w:rsid w:val="00574678"/>
    <w:rsid w:val="00575447"/>
    <w:rsid w:val="00575873"/>
    <w:rsid w:val="005763AF"/>
    <w:rsid w:val="0057781E"/>
    <w:rsid w:val="005800A7"/>
    <w:rsid w:val="00581B92"/>
    <w:rsid w:val="00583583"/>
    <w:rsid w:val="00584A67"/>
    <w:rsid w:val="0058699B"/>
    <w:rsid w:val="00590AA9"/>
    <w:rsid w:val="00590BF0"/>
    <w:rsid w:val="00591B6B"/>
    <w:rsid w:val="00592245"/>
    <w:rsid w:val="00592FE0"/>
    <w:rsid w:val="00594143"/>
    <w:rsid w:val="00594A28"/>
    <w:rsid w:val="005956CB"/>
    <w:rsid w:val="005960BB"/>
    <w:rsid w:val="0059787B"/>
    <w:rsid w:val="005A1216"/>
    <w:rsid w:val="005A1D59"/>
    <w:rsid w:val="005A282B"/>
    <w:rsid w:val="005A2DFE"/>
    <w:rsid w:val="005A33DF"/>
    <w:rsid w:val="005A4A3F"/>
    <w:rsid w:val="005A4ECF"/>
    <w:rsid w:val="005A513D"/>
    <w:rsid w:val="005A73B3"/>
    <w:rsid w:val="005B0A5F"/>
    <w:rsid w:val="005B1E38"/>
    <w:rsid w:val="005B2596"/>
    <w:rsid w:val="005B290D"/>
    <w:rsid w:val="005B3FEC"/>
    <w:rsid w:val="005B4026"/>
    <w:rsid w:val="005B5DCC"/>
    <w:rsid w:val="005C0E1C"/>
    <w:rsid w:val="005C1F3A"/>
    <w:rsid w:val="005C213C"/>
    <w:rsid w:val="005C3005"/>
    <w:rsid w:val="005C43F1"/>
    <w:rsid w:val="005C5348"/>
    <w:rsid w:val="005C69E5"/>
    <w:rsid w:val="005C6AC6"/>
    <w:rsid w:val="005D0CFD"/>
    <w:rsid w:val="005D0E5B"/>
    <w:rsid w:val="005D1D0D"/>
    <w:rsid w:val="005D4077"/>
    <w:rsid w:val="005D4AF5"/>
    <w:rsid w:val="005D51F4"/>
    <w:rsid w:val="005D6926"/>
    <w:rsid w:val="005E36B6"/>
    <w:rsid w:val="005E544E"/>
    <w:rsid w:val="005E5D9A"/>
    <w:rsid w:val="005E624F"/>
    <w:rsid w:val="005E7D1E"/>
    <w:rsid w:val="005F173B"/>
    <w:rsid w:val="005F28D3"/>
    <w:rsid w:val="005F3485"/>
    <w:rsid w:val="005F3B75"/>
    <w:rsid w:val="005F54D2"/>
    <w:rsid w:val="005F5A59"/>
    <w:rsid w:val="005F5B76"/>
    <w:rsid w:val="005F69DA"/>
    <w:rsid w:val="006014FE"/>
    <w:rsid w:val="0060436C"/>
    <w:rsid w:val="006055C0"/>
    <w:rsid w:val="00607479"/>
    <w:rsid w:val="006076E9"/>
    <w:rsid w:val="00610A18"/>
    <w:rsid w:val="00610E15"/>
    <w:rsid w:val="006111C6"/>
    <w:rsid w:val="00611BAE"/>
    <w:rsid w:val="00615127"/>
    <w:rsid w:val="006157B8"/>
    <w:rsid w:val="00615993"/>
    <w:rsid w:val="00615D69"/>
    <w:rsid w:val="0062305F"/>
    <w:rsid w:val="006239DC"/>
    <w:rsid w:val="00624581"/>
    <w:rsid w:val="00625C35"/>
    <w:rsid w:val="006261C8"/>
    <w:rsid w:val="006277FF"/>
    <w:rsid w:val="0063015F"/>
    <w:rsid w:val="00630A0B"/>
    <w:rsid w:val="0063469D"/>
    <w:rsid w:val="00635015"/>
    <w:rsid w:val="006373AC"/>
    <w:rsid w:val="006379C3"/>
    <w:rsid w:val="00640F55"/>
    <w:rsid w:val="00642CFB"/>
    <w:rsid w:val="00646860"/>
    <w:rsid w:val="00647F67"/>
    <w:rsid w:val="00647FC1"/>
    <w:rsid w:val="006506C8"/>
    <w:rsid w:val="00652C28"/>
    <w:rsid w:val="00653A6F"/>
    <w:rsid w:val="00653B1F"/>
    <w:rsid w:val="00655BAF"/>
    <w:rsid w:val="006573FC"/>
    <w:rsid w:val="0066019D"/>
    <w:rsid w:val="00661A11"/>
    <w:rsid w:val="00661DA8"/>
    <w:rsid w:val="00663F6E"/>
    <w:rsid w:val="006679FA"/>
    <w:rsid w:val="00672327"/>
    <w:rsid w:val="0067260B"/>
    <w:rsid w:val="0067337F"/>
    <w:rsid w:val="00673745"/>
    <w:rsid w:val="00673B22"/>
    <w:rsid w:val="00675D1A"/>
    <w:rsid w:val="006761DF"/>
    <w:rsid w:val="0068239B"/>
    <w:rsid w:val="0068296A"/>
    <w:rsid w:val="00682E2F"/>
    <w:rsid w:val="00683C74"/>
    <w:rsid w:val="006853FA"/>
    <w:rsid w:val="00687997"/>
    <w:rsid w:val="00691E4F"/>
    <w:rsid w:val="00692FCD"/>
    <w:rsid w:val="00693A7C"/>
    <w:rsid w:val="00693F64"/>
    <w:rsid w:val="00696357"/>
    <w:rsid w:val="0069684A"/>
    <w:rsid w:val="006A1A84"/>
    <w:rsid w:val="006A1F5A"/>
    <w:rsid w:val="006A35E7"/>
    <w:rsid w:val="006A3883"/>
    <w:rsid w:val="006A45B1"/>
    <w:rsid w:val="006A45FE"/>
    <w:rsid w:val="006A48B3"/>
    <w:rsid w:val="006A4FC1"/>
    <w:rsid w:val="006A5629"/>
    <w:rsid w:val="006A5D7E"/>
    <w:rsid w:val="006B1573"/>
    <w:rsid w:val="006B4CB2"/>
    <w:rsid w:val="006B5833"/>
    <w:rsid w:val="006B595B"/>
    <w:rsid w:val="006B6644"/>
    <w:rsid w:val="006C27A0"/>
    <w:rsid w:val="006C27CA"/>
    <w:rsid w:val="006C2EEF"/>
    <w:rsid w:val="006C3172"/>
    <w:rsid w:val="006C6D74"/>
    <w:rsid w:val="006C799E"/>
    <w:rsid w:val="006C7AA9"/>
    <w:rsid w:val="006C7D3F"/>
    <w:rsid w:val="006D2DB1"/>
    <w:rsid w:val="006D3D58"/>
    <w:rsid w:val="006D3F8C"/>
    <w:rsid w:val="006D55D9"/>
    <w:rsid w:val="006D5CDD"/>
    <w:rsid w:val="006D6F8A"/>
    <w:rsid w:val="006E0BB7"/>
    <w:rsid w:val="006E59B5"/>
    <w:rsid w:val="006F086B"/>
    <w:rsid w:val="006F1BAF"/>
    <w:rsid w:val="006F1C63"/>
    <w:rsid w:val="006F37B7"/>
    <w:rsid w:val="006F54E4"/>
    <w:rsid w:val="006F5FB5"/>
    <w:rsid w:val="007008AE"/>
    <w:rsid w:val="00700C2B"/>
    <w:rsid w:val="00700D77"/>
    <w:rsid w:val="007010D5"/>
    <w:rsid w:val="0070254F"/>
    <w:rsid w:val="00703025"/>
    <w:rsid w:val="00704A0F"/>
    <w:rsid w:val="007052FB"/>
    <w:rsid w:val="00705AF9"/>
    <w:rsid w:val="00706F01"/>
    <w:rsid w:val="0071128F"/>
    <w:rsid w:val="00713A31"/>
    <w:rsid w:val="00714037"/>
    <w:rsid w:val="00714A17"/>
    <w:rsid w:val="00715AC3"/>
    <w:rsid w:val="0071785A"/>
    <w:rsid w:val="00720915"/>
    <w:rsid w:val="00721C50"/>
    <w:rsid w:val="00724A9D"/>
    <w:rsid w:val="00725CB0"/>
    <w:rsid w:val="00726656"/>
    <w:rsid w:val="00730BB2"/>
    <w:rsid w:val="00730D02"/>
    <w:rsid w:val="00732A41"/>
    <w:rsid w:val="00732EC0"/>
    <w:rsid w:val="00733671"/>
    <w:rsid w:val="0073700E"/>
    <w:rsid w:val="00737678"/>
    <w:rsid w:val="00737995"/>
    <w:rsid w:val="00746F2D"/>
    <w:rsid w:val="00746FE0"/>
    <w:rsid w:val="00751CB0"/>
    <w:rsid w:val="0075215B"/>
    <w:rsid w:val="00757940"/>
    <w:rsid w:val="00760763"/>
    <w:rsid w:val="00760B1F"/>
    <w:rsid w:val="00761CB7"/>
    <w:rsid w:val="00762219"/>
    <w:rsid w:val="00762800"/>
    <w:rsid w:val="00763DAB"/>
    <w:rsid w:val="00764478"/>
    <w:rsid w:val="007645B9"/>
    <w:rsid w:val="00766D1A"/>
    <w:rsid w:val="00767B5E"/>
    <w:rsid w:val="00775C1A"/>
    <w:rsid w:val="00777506"/>
    <w:rsid w:val="0077768E"/>
    <w:rsid w:val="007777EB"/>
    <w:rsid w:val="0078096E"/>
    <w:rsid w:val="00780A76"/>
    <w:rsid w:val="00783016"/>
    <w:rsid w:val="00783387"/>
    <w:rsid w:val="00783856"/>
    <w:rsid w:val="00783A66"/>
    <w:rsid w:val="00785CB8"/>
    <w:rsid w:val="007863FE"/>
    <w:rsid w:val="00786FB1"/>
    <w:rsid w:val="00790261"/>
    <w:rsid w:val="00794FB6"/>
    <w:rsid w:val="00795A3C"/>
    <w:rsid w:val="007A19D1"/>
    <w:rsid w:val="007A308E"/>
    <w:rsid w:val="007A568E"/>
    <w:rsid w:val="007A6EF0"/>
    <w:rsid w:val="007B4208"/>
    <w:rsid w:val="007B4303"/>
    <w:rsid w:val="007B6A00"/>
    <w:rsid w:val="007B6F3D"/>
    <w:rsid w:val="007C2BF0"/>
    <w:rsid w:val="007C2F90"/>
    <w:rsid w:val="007C3338"/>
    <w:rsid w:val="007C3D56"/>
    <w:rsid w:val="007C549D"/>
    <w:rsid w:val="007C5D31"/>
    <w:rsid w:val="007C6E1E"/>
    <w:rsid w:val="007D1B23"/>
    <w:rsid w:val="007D6A1C"/>
    <w:rsid w:val="007E1047"/>
    <w:rsid w:val="007E2985"/>
    <w:rsid w:val="007E4A31"/>
    <w:rsid w:val="007F0CE3"/>
    <w:rsid w:val="007F3A30"/>
    <w:rsid w:val="007F5371"/>
    <w:rsid w:val="007F7543"/>
    <w:rsid w:val="0080110A"/>
    <w:rsid w:val="00801359"/>
    <w:rsid w:val="0080193F"/>
    <w:rsid w:val="00803754"/>
    <w:rsid w:val="00803F07"/>
    <w:rsid w:val="0080475D"/>
    <w:rsid w:val="008064C8"/>
    <w:rsid w:val="00810B91"/>
    <w:rsid w:val="00811023"/>
    <w:rsid w:val="008130B6"/>
    <w:rsid w:val="00815D6D"/>
    <w:rsid w:val="00817335"/>
    <w:rsid w:val="008174F0"/>
    <w:rsid w:val="00820698"/>
    <w:rsid w:val="0082377B"/>
    <w:rsid w:val="00823843"/>
    <w:rsid w:val="00824E3C"/>
    <w:rsid w:val="008332AC"/>
    <w:rsid w:val="00833D4C"/>
    <w:rsid w:val="0083475D"/>
    <w:rsid w:val="00835C1C"/>
    <w:rsid w:val="0083622E"/>
    <w:rsid w:val="008369C5"/>
    <w:rsid w:val="008370C0"/>
    <w:rsid w:val="00837BB2"/>
    <w:rsid w:val="008400BC"/>
    <w:rsid w:val="00842019"/>
    <w:rsid w:val="0084493A"/>
    <w:rsid w:val="008453BC"/>
    <w:rsid w:val="00846580"/>
    <w:rsid w:val="00847920"/>
    <w:rsid w:val="00851C1C"/>
    <w:rsid w:val="0085200E"/>
    <w:rsid w:val="008532B7"/>
    <w:rsid w:val="00855F5C"/>
    <w:rsid w:val="00856E0D"/>
    <w:rsid w:val="0086090B"/>
    <w:rsid w:val="00861EA5"/>
    <w:rsid w:val="00865B50"/>
    <w:rsid w:val="008663AA"/>
    <w:rsid w:val="00870FA2"/>
    <w:rsid w:val="008725EB"/>
    <w:rsid w:val="008732D6"/>
    <w:rsid w:val="00875764"/>
    <w:rsid w:val="0088034F"/>
    <w:rsid w:val="008827B6"/>
    <w:rsid w:val="00882F89"/>
    <w:rsid w:val="00885C4C"/>
    <w:rsid w:val="00886AAB"/>
    <w:rsid w:val="0088736D"/>
    <w:rsid w:val="0089030D"/>
    <w:rsid w:val="00890E9F"/>
    <w:rsid w:val="00891BF4"/>
    <w:rsid w:val="00892DF7"/>
    <w:rsid w:val="0089381E"/>
    <w:rsid w:val="00894267"/>
    <w:rsid w:val="00897978"/>
    <w:rsid w:val="008A0CA5"/>
    <w:rsid w:val="008A12F1"/>
    <w:rsid w:val="008A15FD"/>
    <w:rsid w:val="008A3930"/>
    <w:rsid w:val="008A6870"/>
    <w:rsid w:val="008A6954"/>
    <w:rsid w:val="008B0551"/>
    <w:rsid w:val="008B0B0E"/>
    <w:rsid w:val="008B36DE"/>
    <w:rsid w:val="008B5FFD"/>
    <w:rsid w:val="008B7B7B"/>
    <w:rsid w:val="008D1376"/>
    <w:rsid w:val="008D3113"/>
    <w:rsid w:val="008D560A"/>
    <w:rsid w:val="008D5E31"/>
    <w:rsid w:val="008D610B"/>
    <w:rsid w:val="008D6FDD"/>
    <w:rsid w:val="008D77AA"/>
    <w:rsid w:val="008D7857"/>
    <w:rsid w:val="008E05AD"/>
    <w:rsid w:val="008E07F8"/>
    <w:rsid w:val="008E1893"/>
    <w:rsid w:val="008E1BA0"/>
    <w:rsid w:val="008E54D3"/>
    <w:rsid w:val="008E62ED"/>
    <w:rsid w:val="008E6E5C"/>
    <w:rsid w:val="008F027A"/>
    <w:rsid w:val="008F0683"/>
    <w:rsid w:val="008F21CB"/>
    <w:rsid w:val="008F2CDD"/>
    <w:rsid w:val="008F3407"/>
    <w:rsid w:val="008F38B0"/>
    <w:rsid w:val="008F5379"/>
    <w:rsid w:val="008F5B24"/>
    <w:rsid w:val="008F5FB2"/>
    <w:rsid w:val="008F6644"/>
    <w:rsid w:val="00902D71"/>
    <w:rsid w:val="0090357B"/>
    <w:rsid w:val="009055E5"/>
    <w:rsid w:val="00905CD4"/>
    <w:rsid w:val="00906D29"/>
    <w:rsid w:val="009107DD"/>
    <w:rsid w:val="00911730"/>
    <w:rsid w:val="009137C4"/>
    <w:rsid w:val="00916750"/>
    <w:rsid w:val="009209A8"/>
    <w:rsid w:val="0092121D"/>
    <w:rsid w:val="00922603"/>
    <w:rsid w:val="009243C8"/>
    <w:rsid w:val="009256D7"/>
    <w:rsid w:val="00926E13"/>
    <w:rsid w:val="00931129"/>
    <w:rsid w:val="00932B84"/>
    <w:rsid w:val="00932D73"/>
    <w:rsid w:val="00934F8C"/>
    <w:rsid w:val="0093528D"/>
    <w:rsid w:val="009354B9"/>
    <w:rsid w:val="009377F2"/>
    <w:rsid w:val="00937F22"/>
    <w:rsid w:val="00937F4E"/>
    <w:rsid w:val="00943BD7"/>
    <w:rsid w:val="00947987"/>
    <w:rsid w:val="009522C3"/>
    <w:rsid w:val="00953346"/>
    <w:rsid w:val="0095505F"/>
    <w:rsid w:val="00955A37"/>
    <w:rsid w:val="00955E1D"/>
    <w:rsid w:val="009562FB"/>
    <w:rsid w:val="00956FB2"/>
    <w:rsid w:val="00965EEA"/>
    <w:rsid w:val="00966C30"/>
    <w:rsid w:val="00966D70"/>
    <w:rsid w:val="00966F42"/>
    <w:rsid w:val="009671BF"/>
    <w:rsid w:val="009679ED"/>
    <w:rsid w:val="00967C8C"/>
    <w:rsid w:val="00971DA3"/>
    <w:rsid w:val="00974949"/>
    <w:rsid w:val="00976908"/>
    <w:rsid w:val="00976EC5"/>
    <w:rsid w:val="00977078"/>
    <w:rsid w:val="009814CD"/>
    <w:rsid w:val="009843D6"/>
    <w:rsid w:val="009863FB"/>
    <w:rsid w:val="00987C11"/>
    <w:rsid w:val="00990300"/>
    <w:rsid w:val="009914EC"/>
    <w:rsid w:val="0099163B"/>
    <w:rsid w:val="009919C1"/>
    <w:rsid w:val="00993720"/>
    <w:rsid w:val="009955BB"/>
    <w:rsid w:val="00995E41"/>
    <w:rsid w:val="00996257"/>
    <w:rsid w:val="00996CC1"/>
    <w:rsid w:val="009972CE"/>
    <w:rsid w:val="009A4D88"/>
    <w:rsid w:val="009A7DF4"/>
    <w:rsid w:val="009B1AC5"/>
    <w:rsid w:val="009B1CA3"/>
    <w:rsid w:val="009B398C"/>
    <w:rsid w:val="009B4FDF"/>
    <w:rsid w:val="009B5016"/>
    <w:rsid w:val="009B7C44"/>
    <w:rsid w:val="009C230A"/>
    <w:rsid w:val="009C349A"/>
    <w:rsid w:val="009C4B54"/>
    <w:rsid w:val="009C5114"/>
    <w:rsid w:val="009C537C"/>
    <w:rsid w:val="009C7E8F"/>
    <w:rsid w:val="009C7EA6"/>
    <w:rsid w:val="009D2504"/>
    <w:rsid w:val="009D5F3D"/>
    <w:rsid w:val="009D673A"/>
    <w:rsid w:val="009D6AB1"/>
    <w:rsid w:val="009E0F45"/>
    <w:rsid w:val="009E13F0"/>
    <w:rsid w:val="009E300B"/>
    <w:rsid w:val="009E7C1B"/>
    <w:rsid w:val="009F20C9"/>
    <w:rsid w:val="009F382D"/>
    <w:rsid w:val="009F4C4E"/>
    <w:rsid w:val="009F712E"/>
    <w:rsid w:val="009F7760"/>
    <w:rsid w:val="00A03528"/>
    <w:rsid w:val="00A039D3"/>
    <w:rsid w:val="00A03BCD"/>
    <w:rsid w:val="00A04CA7"/>
    <w:rsid w:val="00A062B4"/>
    <w:rsid w:val="00A06542"/>
    <w:rsid w:val="00A07882"/>
    <w:rsid w:val="00A120C5"/>
    <w:rsid w:val="00A13351"/>
    <w:rsid w:val="00A13EE2"/>
    <w:rsid w:val="00A14728"/>
    <w:rsid w:val="00A14EA8"/>
    <w:rsid w:val="00A17CBA"/>
    <w:rsid w:val="00A2387A"/>
    <w:rsid w:val="00A27662"/>
    <w:rsid w:val="00A30D89"/>
    <w:rsid w:val="00A30E8D"/>
    <w:rsid w:val="00A33966"/>
    <w:rsid w:val="00A33B86"/>
    <w:rsid w:val="00A346AF"/>
    <w:rsid w:val="00A3473A"/>
    <w:rsid w:val="00A359C4"/>
    <w:rsid w:val="00A360EB"/>
    <w:rsid w:val="00A36335"/>
    <w:rsid w:val="00A4063A"/>
    <w:rsid w:val="00A408C2"/>
    <w:rsid w:val="00A40A4D"/>
    <w:rsid w:val="00A41411"/>
    <w:rsid w:val="00A4240A"/>
    <w:rsid w:val="00A42598"/>
    <w:rsid w:val="00A42C1E"/>
    <w:rsid w:val="00A440DC"/>
    <w:rsid w:val="00A444DB"/>
    <w:rsid w:val="00A4467B"/>
    <w:rsid w:val="00A44B6E"/>
    <w:rsid w:val="00A478B6"/>
    <w:rsid w:val="00A50CCC"/>
    <w:rsid w:val="00A52EA0"/>
    <w:rsid w:val="00A545B5"/>
    <w:rsid w:val="00A548DF"/>
    <w:rsid w:val="00A54C79"/>
    <w:rsid w:val="00A62B33"/>
    <w:rsid w:val="00A64407"/>
    <w:rsid w:val="00A701F5"/>
    <w:rsid w:val="00A7165A"/>
    <w:rsid w:val="00A73094"/>
    <w:rsid w:val="00A73580"/>
    <w:rsid w:val="00A7424A"/>
    <w:rsid w:val="00A76866"/>
    <w:rsid w:val="00A771F9"/>
    <w:rsid w:val="00A813DC"/>
    <w:rsid w:val="00A82C13"/>
    <w:rsid w:val="00A82E5C"/>
    <w:rsid w:val="00A83CD2"/>
    <w:rsid w:val="00A83FBC"/>
    <w:rsid w:val="00A8553F"/>
    <w:rsid w:val="00A85821"/>
    <w:rsid w:val="00A9055E"/>
    <w:rsid w:val="00A90B9E"/>
    <w:rsid w:val="00A91345"/>
    <w:rsid w:val="00A917DA"/>
    <w:rsid w:val="00A93146"/>
    <w:rsid w:val="00A932FC"/>
    <w:rsid w:val="00A933E9"/>
    <w:rsid w:val="00A959AE"/>
    <w:rsid w:val="00A96161"/>
    <w:rsid w:val="00A9737F"/>
    <w:rsid w:val="00A9787F"/>
    <w:rsid w:val="00A97B5A"/>
    <w:rsid w:val="00AA125C"/>
    <w:rsid w:val="00AA22F8"/>
    <w:rsid w:val="00AA2A2E"/>
    <w:rsid w:val="00AA607C"/>
    <w:rsid w:val="00AA63D0"/>
    <w:rsid w:val="00AB0B41"/>
    <w:rsid w:val="00AB183B"/>
    <w:rsid w:val="00AB1E73"/>
    <w:rsid w:val="00AB446C"/>
    <w:rsid w:val="00AB7344"/>
    <w:rsid w:val="00AC2DCB"/>
    <w:rsid w:val="00AC31D3"/>
    <w:rsid w:val="00AC35E3"/>
    <w:rsid w:val="00AC4E29"/>
    <w:rsid w:val="00AD1A83"/>
    <w:rsid w:val="00AD2074"/>
    <w:rsid w:val="00AD3B0B"/>
    <w:rsid w:val="00AD480B"/>
    <w:rsid w:val="00AD5B19"/>
    <w:rsid w:val="00AD7D6B"/>
    <w:rsid w:val="00AE08A3"/>
    <w:rsid w:val="00AE161E"/>
    <w:rsid w:val="00AE1BB5"/>
    <w:rsid w:val="00AE1FFC"/>
    <w:rsid w:val="00AE5450"/>
    <w:rsid w:val="00AE5FB1"/>
    <w:rsid w:val="00AE7F74"/>
    <w:rsid w:val="00AF46E3"/>
    <w:rsid w:val="00AF65E6"/>
    <w:rsid w:val="00B00EC1"/>
    <w:rsid w:val="00B021C3"/>
    <w:rsid w:val="00B0278E"/>
    <w:rsid w:val="00B04BFA"/>
    <w:rsid w:val="00B07A7D"/>
    <w:rsid w:val="00B07B67"/>
    <w:rsid w:val="00B1006C"/>
    <w:rsid w:val="00B13058"/>
    <w:rsid w:val="00B141C9"/>
    <w:rsid w:val="00B173EA"/>
    <w:rsid w:val="00B17585"/>
    <w:rsid w:val="00B17CBD"/>
    <w:rsid w:val="00B222AE"/>
    <w:rsid w:val="00B22A26"/>
    <w:rsid w:val="00B23A7B"/>
    <w:rsid w:val="00B241D0"/>
    <w:rsid w:val="00B25FD1"/>
    <w:rsid w:val="00B2612E"/>
    <w:rsid w:val="00B2789B"/>
    <w:rsid w:val="00B3024C"/>
    <w:rsid w:val="00B33D47"/>
    <w:rsid w:val="00B35DFE"/>
    <w:rsid w:val="00B36393"/>
    <w:rsid w:val="00B375C6"/>
    <w:rsid w:val="00B40925"/>
    <w:rsid w:val="00B40EEF"/>
    <w:rsid w:val="00B41993"/>
    <w:rsid w:val="00B42B34"/>
    <w:rsid w:val="00B42BFA"/>
    <w:rsid w:val="00B42C9E"/>
    <w:rsid w:val="00B44A00"/>
    <w:rsid w:val="00B44EF8"/>
    <w:rsid w:val="00B45124"/>
    <w:rsid w:val="00B46DF4"/>
    <w:rsid w:val="00B50022"/>
    <w:rsid w:val="00B5068B"/>
    <w:rsid w:val="00B51A58"/>
    <w:rsid w:val="00B51C23"/>
    <w:rsid w:val="00B54C1B"/>
    <w:rsid w:val="00B56226"/>
    <w:rsid w:val="00B56623"/>
    <w:rsid w:val="00B60FA7"/>
    <w:rsid w:val="00B638CB"/>
    <w:rsid w:val="00B64AE0"/>
    <w:rsid w:val="00B64DEF"/>
    <w:rsid w:val="00B6543C"/>
    <w:rsid w:val="00B65BEB"/>
    <w:rsid w:val="00B71713"/>
    <w:rsid w:val="00B735C8"/>
    <w:rsid w:val="00B768D4"/>
    <w:rsid w:val="00B76923"/>
    <w:rsid w:val="00B77047"/>
    <w:rsid w:val="00B80648"/>
    <w:rsid w:val="00B83934"/>
    <w:rsid w:val="00B853CB"/>
    <w:rsid w:val="00B862B5"/>
    <w:rsid w:val="00B874CA"/>
    <w:rsid w:val="00B92B32"/>
    <w:rsid w:val="00B92C9D"/>
    <w:rsid w:val="00B92CDA"/>
    <w:rsid w:val="00B9499B"/>
    <w:rsid w:val="00B95267"/>
    <w:rsid w:val="00B955B0"/>
    <w:rsid w:val="00B95E25"/>
    <w:rsid w:val="00BA120F"/>
    <w:rsid w:val="00BA1BEE"/>
    <w:rsid w:val="00BA3076"/>
    <w:rsid w:val="00BA68CF"/>
    <w:rsid w:val="00BA6901"/>
    <w:rsid w:val="00BA7C84"/>
    <w:rsid w:val="00BB39A2"/>
    <w:rsid w:val="00BB5202"/>
    <w:rsid w:val="00BB5568"/>
    <w:rsid w:val="00BB59B7"/>
    <w:rsid w:val="00BB5AF2"/>
    <w:rsid w:val="00BB6697"/>
    <w:rsid w:val="00BB7CB6"/>
    <w:rsid w:val="00BC1A7F"/>
    <w:rsid w:val="00BC2360"/>
    <w:rsid w:val="00BC260A"/>
    <w:rsid w:val="00BC2FE8"/>
    <w:rsid w:val="00BC507F"/>
    <w:rsid w:val="00BC54F7"/>
    <w:rsid w:val="00BC71B4"/>
    <w:rsid w:val="00BC77DD"/>
    <w:rsid w:val="00BD703D"/>
    <w:rsid w:val="00BD70D3"/>
    <w:rsid w:val="00BD772F"/>
    <w:rsid w:val="00BE0C94"/>
    <w:rsid w:val="00BE1A47"/>
    <w:rsid w:val="00BE1CD2"/>
    <w:rsid w:val="00BE3911"/>
    <w:rsid w:val="00BE4402"/>
    <w:rsid w:val="00BE49FF"/>
    <w:rsid w:val="00BE671B"/>
    <w:rsid w:val="00BF1B22"/>
    <w:rsid w:val="00BF22F9"/>
    <w:rsid w:val="00BF257D"/>
    <w:rsid w:val="00BF3868"/>
    <w:rsid w:val="00BF5FC7"/>
    <w:rsid w:val="00BF7532"/>
    <w:rsid w:val="00C057F1"/>
    <w:rsid w:val="00C07FD1"/>
    <w:rsid w:val="00C134D5"/>
    <w:rsid w:val="00C137CE"/>
    <w:rsid w:val="00C14005"/>
    <w:rsid w:val="00C150F8"/>
    <w:rsid w:val="00C15F90"/>
    <w:rsid w:val="00C1690A"/>
    <w:rsid w:val="00C2019A"/>
    <w:rsid w:val="00C22122"/>
    <w:rsid w:val="00C22A42"/>
    <w:rsid w:val="00C241A4"/>
    <w:rsid w:val="00C30002"/>
    <w:rsid w:val="00C3008E"/>
    <w:rsid w:val="00C30BA3"/>
    <w:rsid w:val="00C3258F"/>
    <w:rsid w:val="00C336F5"/>
    <w:rsid w:val="00C36246"/>
    <w:rsid w:val="00C365D4"/>
    <w:rsid w:val="00C37566"/>
    <w:rsid w:val="00C414CB"/>
    <w:rsid w:val="00C41810"/>
    <w:rsid w:val="00C418FD"/>
    <w:rsid w:val="00C4190D"/>
    <w:rsid w:val="00C42272"/>
    <w:rsid w:val="00C42817"/>
    <w:rsid w:val="00C4375E"/>
    <w:rsid w:val="00C43EAF"/>
    <w:rsid w:val="00C43F49"/>
    <w:rsid w:val="00C452A2"/>
    <w:rsid w:val="00C5369D"/>
    <w:rsid w:val="00C57813"/>
    <w:rsid w:val="00C6026D"/>
    <w:rsid w:val="00C608E9"/>
    <w:rsid w:val="00C63239"/>
    <w:rsid w:val="00C657C5"/>
    <w:rsid w:val="00C66E91"/>
    <w:rsid w:val="00C67DB8"/>
    <w:rsid w:val="00C7234D"/>
    <w:rsid w:val="00C72A1B"/>
    <w:rsid w:val="00C72C5D"/>
    <w:rsid w:val="00C75CF5"/>
    <w:rsid w:val="00C76BEB"/>
    <w:rsid w:val="00C771DC"/>
    <w:rsid w:val="00C77DED"/>
    <w:rsid w:val="00C81B42"/>
    <w:rsid w:val="00C820B2"/>
    <w:rsid w:val="00C824A6"/>
    <w:rsid w:val="00C826BB"/>
    <w:rsid w:val="00C86C6B"/>
    <w:rsid w:val="00C94C9F"/>
    <w:rsid w:val="00C95CCF"/>
    <w:rsid w:val="00C96E22"/>
    <w:rsid w:val="00C9704A"/>
    <w:rsid w:val="00CA012F"/>
    <w:rsid w:val="00CA0782"/>
    <w:rsid w:val="00CA13C4"/>
    <w:rsid w:val="00CA1EFF"/>
    <w:rsid w:val="00CA4A61"/>
    <w:rsid w:val="00CA4B02"/>
    <w:rsid w:val="00CA4CCC"/>
    <w:rsid w:val="00CA50C8"/>
    <w:rsid w:val="00CA59D3"/>
    <w:rsid w:val="00CB1FE9"/>
    <w:rsid w:val="00CB4C85"/>
    <w:rsid w:val="00CB56E6"/>
    <w:rsid w:val="00CB6798"/>
    <w:rsid w:val="00CB6957"/>
    <w:rsid w:val="00CB69AF"/>
    <w:rsid w:val="00CC0866"/>
    <w:rsid w:val="00CC17B1"/>
    <w:rsid w:val="00CC1B05"/>
    <w:rsid w:val="00CC1B16"/>
    <w:rsid w:val="00CC3530"/>
    <w:rsid w:val="00CC4C0A"/>
    <w:rsid w:val="00CC6281"/>
    <w:rsid w:val="00CC768B"/>
    <w:rsid w:val="00CC7D1C"/>
    <w:rsid w:val="00CD0558"/>
    <w:rsid w:val="00CD3D65"/>
    <w:rsid w:val="00CD6F59"/>
    <w:rsid w:val="00CE1D3E"/>
    <w:rsid w:val="00CE2502"/>
    <w:rsid w:val="00CE3114"/>
    <w:rsid w:val="00CE4463"/>
    <w:rsid w:val="00CE618F"/>
    <w:rsid w:val="00CF0384"/>
    <w:rsid w:val="00CF1BC4"/>
    <w:rsid w:val="00CF1D32"/>
    <w:rsid w:val="00CF5CF0"/>
    <w:rsid w:val="00CF7687"/>
    <w:rsid w:val="00D0546B"/>
    <w:rsid w:val="00D064FD"/>
    <w:rsid w:val="00D06B66"/>
    <w:rsid w:val="00D07068"/>
    <w:rsid w:val="00D1442D"/>
    <w:rsid w:val="00D146A6"/>
    <w:rsid w:val="00D204AB"/>
    <w:rsid w:val="00D222C7"/>
    <w:rsid w:val="00D226E8"/>
    <w:rsid w:val="00D22718"/>
    <w:rsid w:val="00D23745"/>
    <w:rsid w:val="00D24457"/>
    <w:rsid w:val="00D31B53"/>
    <w:rsid w:val="00D31B7E"/>
    <w:rsid w:val="00D32A14"/>
    <w:rsid w:val="00D3690B"/>
    <w:rsid w:val="00D36E27"/>
    <w:rsid w:val="00D40919"/>
    <w:rsid w:val="00D415C6"/>
    <w:rsid w:val="00D41951"/>
    <w:rsid w:val="00D42039"/>
    <w:rsid w:val="00D45C8A"/>
    <w:rsid w:val="00D52B85"/>
    <w:rsid w:val="00D53116"/>
    <w:rsid w:val="00D531FD"/>
    <w:rsid w:val="00D54347"/>
    <w:rsid w:val="00D54F80"/>
    <w:rsid w:val="00D55842"/>
    <w:rsid w:val="00D63FC6"/>
    <w:rsid w:val="00D65FA7"/>
    <w:rsid w:val="00D700C2"/>
    <w:rsid w:val="00D703A3"/>
    <w:rsid w:val="00D72772"/>
    <w:rsid w:val="00D74C2D"/>
    <w:rsid w:val="00D7568F"/>
    <w:rsid w:val="00D774D4"/>
    <w:rsid w:val="00D778F8"/>
    <w:rsid w:val="00D77E30"/>
    <w:rsid w:val="00D77F41"/>
    <w:rsid w:val="00D802BC"/>
    <w:rsid w:val="00D80A7D"/>
    <w:rsid w:val="00D825CC"/>
    <w:rsid w:val="00D84CEB"/>
    <w:rsid w:val="00D86358"/>
    <w:rsid w:val="00D87B02"/>
    <w:rsid w:val="00D9172F"/>
    <w:rsid w:val="00D91820"/>
    <w:rsid w:val="00D92774"/>
    <w:rsid w:val="00D94406"/>
    <w:rsid w:val="00D95083"/>
    <w:rsid w:val="00D96F06"/>
    <w:rsid w:val="00DA10F5"/>
    <w:rsid w:val="00DA40D1"/>
    <w:rsid w:val="00DA4CFF"/>
    <w:rsid w:val="00DA543A"/>
    <w:rsid w:val="00DA5F3F"/>
    <w:rsid w:val="00DA6250"/>
    <w:rsid w:val="00DA6688"/>
    <w:rsid w:val="00DB02B6"/>
    <w:rsid w:val="00DB23C9"/>
    <w:rsid w:val="00DB2EB3"/>
    <w:rsid w:val="00DB307D"/>
    <w:rsid w:val="00DB3407"/>
    <w:rsid w:val="00DB4168"/>
    <w:rsid w:val="00DB56D1"/>
    <w:rsid w:val="00DB663E"/>
    <w:rsid w:val="00DC095B"/>
    <w:rsid w:val="00DC0A62"/>
    <w:rsid w:val="00DC150A"/>
    <w:rsid w:val="00DC1F86"/>
    <w:rsid w:val="00DC29AD"/>
    <w:rsid w:val="00DC49D2"/>
    <w:rsid w:val="00DC60A8"/>
    <w:rsid w:val="00DD3F20"/>
    <w:rsid w:val="00DD41AF"/>
    <w:rsid w:val="00DD5D1A"/>
    <w:rsid w:val="00DE0F8C"/>
    <w:rsid w:val="00DE246F"/>
    <w:rsid w:val="00DE5010"/>
    <w:rsid w:val="00DE5E8E"/>
    <w:rsid w:val="00DE614D"/>
    <w:rsid w:val="00DE7447"/>
    <w:rsid w:val="00DE76DA"/>
    <w:rsid w:val="00DF0446"/>
    <w:rsid w:val="00DF0B8D"/>
    <w:rsid w:val="00DF3AA6"/>
    <w:rsid w:val="00DF516D"/>
    <w:rsid w:val="00DF66C6"/>
    <w:rsid w:val="00DF7B3A"/>
    <w:rsid w:val="00DF7BDD"/>
    <w:rsid w:val="00E001D7"/>
    <w:rsid w:val="00E0031F"/>
    <w:rsid w:val="00E00AFF"/>
    <w:rsid w:val="00E019F2"/>
    <w:rsid w:val="00E01A39"/>
    <w:rsid w:val="00E01A73"/>
    <w:rsid w:val="00E032D0"/>
    <w:rsid w:val="00E03F8A"/>
    <w:rsid w:val="00E04B52"/>
    <w:rsid w:val="00E05917"/>
    <w:rsid w:val="00E104DD"/>
    <w:rsid w:val="00E13E4A"/>
    <w:rsid w:val="00E14B60"/>
    <w:rsid w:val="00E15700"/>
    <w:rsid w:val="00E158F1"/>
    <w:rsid w:val="00E15D6A"/>
    <w:rsid w:val="00E1704E"/>
    <w:rsid w:val="00E203FB"/>
    <w:rsid w:val="00E22E35"/>
    <w:rsid w:val="00E23B5E"/>
    <w:rsid w:val="00E25437"/>
    <w:rsid w:val="00E259ED"/>
    <w:rsid w:val="00E26712"/>
    <w:rsid w:val="00E27DA7"/>
    <w:rsid w:val="00E3470B"/>
    <w:rsid w:val="00E35B2C"/>
    <w:rsid w:val="00E36153"/>
    <w:rsid w:val="00E37085"/>
    <w:rsid w:val="00E40FF6"/>
    <w:rsid w:val="00E42C35"/>
    <w:rsid w:val="00E43DE6"/>
    <w:rsid w:val="00E44F7F"/>
    <w:rsid w:val="00E455DE"/>
    <w:rsid w:val="00E45E32"/>
    <w:rsid w:val="00E46E7E"/>
    <w:rsid w:val="00E522A9"/>
    <w:rsid w:val="00E5316A"/>
    <w:rsid w:val="00E55CF5"/>
    <w:rsid w:val="00E56F7D"/>
    <w:rsid w:val="00E57708"/>
    <w:rsid w:val="00E57E4A"/>
    <w:rsid w:val="00E6265F"/>
    <w:rsid w:val="00E6463B"/>
    <w:rsid w:val="00E73964"/>
    <w:rsid w:val="00E73BF4"/>
    <w:rsid w:val="00E75C28"/>
    <w:rsid w:val="00E75DF7"/>
    <w:rsid w:val="00E85F49"/>
    <w:rsid w:val="00E90FD4"/>
    <w:rsid w:val="00E91B88"/>
    <w:rsid w:val="00E921E2"/>
    <w:rsid w:val="00E94626"/>
    <w:rsid w:val="00E951E2"/>
    <w:rsid w:val="00E95C46"/>
    <w:rsid w:val="00E96167"/>
    <w:rsid w:val="00E97CD4"/>
    <w:rsid w:val="00EA1582"/>
    <w:rsid w:val="00EA3F6B"/>
    <w:rsid w:val="00EA4CF4"/>
    <w:rsid w:val="00EA516E"/>
    <w:rsid w:val="00EA518C"/>
    <w:rsid w:val="00EA7598"/>
    <w:rsid w:val="00EA7EBE"/>
    <w:rsid w:val="00EB053B"/>
    <w:rsid w:val="00EB1D68"/>
    <w:rsid w:val="00EB4344"/>
    <w:rsid w:val="00EB43E7"/>
    <w:rsid w:val="00EB68D0"/>
    <w:rsid w:val="00EB76E3"/>
    <w:rsid w:val="00EC114C"/>
    <w:rsid w:val="00EC1467"/>
    <w:rsid w:val="00EC14CC"/>
    <w:rsid w:val="00EC4321"/>
    <w:rsid w:val="00EC5039"/>
    <w:rsid w:val="00EC51A8"/>
    <w:rsid w:val="00EC5CE2"/>
    <w:rsid w:val="00EC650B"/>
    <w:rsid w:val="00EC7890"/>
    <w:rsid w:val="00ED54E9"/>
    <w:rsid w:val="00ED7335"/>
    <w:rsid w:val="00EE1085"/>
    <w:rsid w:val="00EE1681"/>
    <w:rsid w:val="00EE1F54"/>
    <w:rsid w:val="00EE4C04"/>
    <w:rsid w:val="00EE51BA"/>
    <w:rsid w:val="00EE5A0A"/>
    <w:rsid w:val="00EE62DE"/>
    <w:rsid w:val="00EE79CF"/>
    <w:rsid w:val="00EF0A6B"/>
    <w:rsid w:val="00EF13BF"/>
    <w:rsid w:val="00EF3522"/>
    <w:rsid w:val="00EF40A5"/>
    <w:rsid w:val="00EF58B7"/>
    <w:rsid w:val="00EF7624"/>
    <w:rsid w:val="00F01E02"/>
    <w:rsid w:val="00F02FD7"/>
    <w:rsid w:val="00F03025"/>
    <w:rsid w:val="00F03365"/>
    <w:rsid w:val="00F03E6E"/>
    <w:rsid w:val="00F03FF9"/>
    <w:rsid w:val="00F047F5"/>
    <w:rsid w:val="00F060F2"/>
    <w:rsid w:val="00F06920"/>
    <w:rsid w:val="00F07A3D"/>
    <w:rsid w:val="00F12519"/>
    <w:rsid w:val="00F142FE"/>
    <w:rsid w:val="00F14625"/>
    <w:rsid w:val="00F16B27"/>
    <w:rsid w:val="00F1710C"/>
    <w:rsid w:val="00F17BDD"/>
    <w:rsid w:val="00F215B4"/>
    <w:rsid w:val="00F218E7"/>
    <w:rsid w:val="00F21B88"/>
    <w:rsid w:val="00F2466B"/>
    <w:rsid w:val="00F24F12"/>
    <w:rsid w:val="00F25853"/>
    <w:rsid w:val="00F278FE"/>
    <w:rsid w:val="00F31846"/>
    <w:rsid w:val="00F34280"/>
    <w:rsid w:val="00F35C6D"/>
    <w:rsid w:val="00F36944"/>
    <w:rsid w:val="00F36F12"/>
    <w:rsid w:val="00F420E0"/>
    <w:rsid w:val="00F423E9"/>
    <w:rsid w:val="00F42A28"/>
    <w:rsid w:val="00F4483B"/>
    <w:rsid w:val="00F45602"/>
    <w:rsid w:val="00F464A9"/>
    <w:rsid w:val="00F47082"/>
    <w:rsid w:val="00F47B0C"/>
    <w:rsid w:val="00F50CF8"/>
    <w:rsid w:val="00F51BAA"/>
    <w:rsid w:val="00F52C5D"/>
    <w:rsid w:val="00F5304B"/>
    <w:rsid w:val="00F53B05"/>
    <w:rsid w:val="00F53E28"/>
    <w:rsid w:val="00F53EE6"/>
    <w:rsid w:val="00F53FE4"/>
    <w:rsid w:val="00F544AD"/>
    <w:rsid w:val="00F55BD3"/>
    <w:rsid w:val="00F5781D"/>
    <w:rsid w:val="00F6447E"/>
    <w:rsid w:val="00F66774"/>
    <w:rsid w:val="00F66DE1"/>
    <w:rsid w:val="00F6760B"/>
    <w:rsid w:val="00F67735"/>
    <w:rsid w:val="00F701C1"/>
    <w:rsid w:val="00F70FD0"/>
    <w:rsid w:val="00F71459"/>
    <w:rsid w:val="00F72107"/>
    <w:rsid w:val="00F725AA"/>
    <w:rsid w:val="00F72DE6"/>
    <w:rsid w:val="00F747B5"/>
    <w:rsid w:val="00F76CC9"/>
    <w:rsid w:val="00F8061B"/>
    <w:rsid w:val="00F8111B"/>
    <w:rsid w:val="00F81568"/>
    <w:rsid w:val="00F81834"/>
    <w:rsid w:val="00F8257E"/>
    <w:rsid w:val="00F829DF"/>
    <w:rsid w:val="00F83A5A"/>
    <w:rsid w:val="00F904DD"/>
    <w:rsid w:val="00F91FD4"/>
    <w:rsid w:val="00F939D7"/>
    <w:rsid w:val="00F93F3A"/>
    <w:rsid w:val="00F95477"/>
    <w:rsid w:val="00F95DD0"/>
    <w:rsid w:val="00F9635E"/>
    <w:rsid w:val="00F96AF4"/>
    <w:rsid w:val="00F96C4E"/>
    <w:rsid w:val="00F97B98"/>
    <w:rsid w:val="00FA04BE"/>
    <w:rsid w:val="00FA1C8F"/>
    <w:rsid w:val="00FA1EF1"/>
    <w:rsid w:val="00FA20EF"/>
    <w:rsid w:val="00FA2977"/>
    <w:rsid w:val="00FA2D4E"/>
    <w:rsid w:val="00FA3BD0"/>
    <w:rsid w:val="00FA4112"/>
    <w:rsid w:val="00FA4D4C"/>
    <w:rsid w:val="00FA6318"/>
    <w:rsid w:val="00FA6723"/>
    <w:rsid w:val="00FA6D6B"/>
    <w:rsid w:val="00FA7984"/>
    <w:rsid w:val="00FB12EE"/>
    <w:rsid w:val="00FB5121"/>
    <w:rsid w:val="00FB55A1"/>
    <w:rsid w:val="00FB5656"/>
    <w:rsid w:val="00FC011C"/>
    <w:rsid w:val="00FC056D"/>
    <w:rsid w:val="00FC29B4"/>
    <w:rsid w:val="00FC4521"/>
    <w:rsid w:val="00FC5A59"/>
    <w:rsid w:val="00FC5F7C"/>
    <w:rsid w:val="00FC7110"/>
    <w:rsid w:val="00FC7194"/>
    <w:rsid w:val="00FD1988"/>
    <w:rsid w:val="00FD2F70"/>
    <w:rsid w:val="00FD4899"/>
    <w:rsid w:val="00FD79D4"/>
    <w:rsid w:val="00FD7F4E"/>
    <w:rsid w:val="00FE0835"/>
    <w:rsid w:val="00FE17DB"/>
    <w:rsid w:val="00FE5352"/>
    <w:rsid w:val="00FE620A"/>
    <w:rsid w:val="00FE7D5E"/>
    <w:rsid w:val="00FF19C8"/>
    <w:rsid w:val="00FF37B5"/>
    <w:rsid w:val="00FF3FC5"/>
    <w:rsid w:val="00FF494E"/>
    <w:rsid w:val="00FF6243"/>
    <w:rsid w:val="00FF6E3A"/>
    <w:rsid w:val="00FF70D7"/>
    <w:rsid w:val="00FF73B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D1A"/>
    <w:pPr>
      <w:spacing w:after="0" w:line="240" w:lineRule="auto"/>
    </w:pPr>
    <w:rPr>
      <w:rFonts w:ascii="Times New Roman" w:eastAsia="Times New Roman" w:hAnsi="Times New Roman" w:cs="Times New Roman"/>
      <w:sz w:val="24"/>
      <w:szCs w:val="24"/>
      <w:lang w:eastAsia="es-CO"/>
    </w:rPr>
  </w:style>
  <w:style w:type="paragraph" w:styleId="Ttulo1">
    <w:name w:val="heading 1"/>
    <w:basedOn w:val="Ttulo3"/>
    <w:next w:val="Normal"/>
    <w:link w:val="Ttulo1Car"/>
    <w:uiPriority w:val="9"/>
    <w:qFormat/>
    <w:rsid w:val="00675D1A"/>
    <w:pPr>
      <w:keepLines w:val="0"/>
      <w:spacing w:before="0"/>
      <w:outlineLvl w:val="0"/>
    </w:pPr>
    <w:rPr>
      <w:rFonts w:ascii="Garamond" w:eastAsia="Calibri" w:hAnsi="Garamond" w:cs="Times New Roman"/>
      <w:b w:val="0"/>
      <w:color w:val="auto"/>
      <w:sz w:val="42"/>
      <w:szCs w:val="42"/>
      <w:lang w:val="es-ES"/>
    </w:rPr>
  </w:style>
  <w:style w:type="paragraph" w:styleId="Ttulo2">
    <w:name w:val="heading 2"/>
    <w:basedOn w:val="Normal"/>
    <w:next w:val="Normal"/>
    <w:link w:val="Ttulo2Car"/>
    <w:uiPriority w:val="9"/>
    <w:unhideWhenUsed/>
    <w:qFormat/>
    <w:rsid w:val="00795A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75D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40925"/>
    <w:pPr>
      <w:keepNext/>
      <w:spacing w:before="240" w:after="60" w:line="276" w:lineRule="auto"/>
      <w:ind w:left="864" w:hanging="864"/>
      <w:outlineLvl w:val="3"/>
    </w:pPr>
    <w:rPr>
      <w:rFonts w:ascii="Calibri" w:hAnsi="Calibri"/>
      <w:b/>
      <w:bCs/>
      <w:sz w:val="28"/>
      <w:szCs w:val="28"/>
      <w:lang w:eastAsia="en-US"/>
    </w:rPr>
  </w:style>
  <w:style w:type="paragraph" w:styleId="Ttulo5">
    <w:name w:val="heading 5"/>
    <w:basedOn w:val="Normal"/>
    <w:next w:val="Normal"/>
    <w:link w:val="Ttulo5Car"/>
    <w:uiPriority w:val="9"/>
    <w:semiHidden/>
    <w:unhideWhenUsed/>
    <w:qFormat/>
    <w:rsid w:val="00B40925"/>
    <w:pPr>
      <w:spacing w:before="240" w:after="60" w:line="276" w:lineRule="auto"/>
      <w:ind w:left="1008" w:hanging="1008"/>
      <w:outlineLvl w:val="4"/>
    </w:pPr>
    <w:rPr>
      <w:rFonts w:ascii="Calibri" w:hAnsi="Calibri"/>
      <w:b/>
      <w:bCs/>
      <w:i/>
      <w:iCs/>
      <w:sz w:val="26"/>
      <w:szCs w:val="26"/>
      <w:lang w:eastAsia="en-US"/>
    </w:rPr>
  </w:style>
  <w:style w:type="paragraph" w:styleId="Ttulo6">
    <w:name w:val="heading 6"/>
    <w:basedOn w:val="Normal"/>
    <w:next w:val="Normal"/>
    <w:link w:val="Ttulo6Car"/>
    <w:uiPriority w:val="9"/>
    <w:semiHidden/>
    <w:unhideWhenUsed/>
    <w:qFormat/>
    <w:rsid w:val="00B40925"/>
    <w:pPr>
      <w:spacing w:before="240" w:after="60" w:line="276" w:lineRule="auto"/>
      <w:ind w:left="1152" w:hanging="1152"/>
      <w:outlineLvl w:val="5"/>
    </w:pPr>
    <w:rPr>
      <w:rFonts w:ascii="Calibri" w:hAnsi="Calibri"/>
      <w:b/>
      <w:bCs/>
      <w:sz w:val="22"/>
      <w:szCs w:val="22"/>
      <w:lang w:eastAsia="en-US"/>
    </w:rPr>
  </w:style>
  <w:style w:type="paragraph" w:styleId="Ttulo7">
    <w:name w:val="heading 7"/>
    <w:basedOn w:val="Normal"/>
    <w:next w:val="Normal"/>
    <w:link w:val="Ttulo7Car"/>
    <w:uiPriority w:val="9"/>
    <w:semiHidden/>
    <w:unhideWhenUsed/>
    <w:qFormat/>
    <w:rsid w:val="00B40925"/>
    <w:pPr>
      <w:spacing w:before="240" w:after="60" w:line="276" w:lineRule="auto"/>
      <w:ind w:left="1296" w:hanging="1296"/>
      <w:outlineLvl w:val="6"/>
    </w:pPr>
    <w:rPr>
      <w:rFonts w:ascii="Calibri" w:hAnsi="Calibri"/>
      <w:lang w:eastAsia="en-US"/>
    </w:rPr>
  </w:style>
  <w:style w:type="paragraph" w:styleId="Ttulo8">
    <w:name w:val="heading 8"/>
    <w:basedOn w:val="Normal"/>
    <w:next w:val="Normal"/>
    <w:link w:val="Ttulo8Car"/>
    <w:uiPriority w:val="9"/>
    <w:semiHidden/>
    <w:unhideWhenUsed/>
    <w:qFormat/>
    <w:rsid w:val="00B40925"/>
    <w:pPr>
      <w:spacing w:before="240" w:after="60" w:line="276" w:lineRule="auto"/>
      <w:ind w:left="1440" w:hanging="1440"/>
      <w:outlineLvl w:val="7"/>
    </w:pPr>
    <w:rPr>
      <w:rFonts w:ascii="Calibri" w:hAnsi="Calibri"/>
      <w:i/>
      <w:iCs/>
      <w:lang w:eastAsia="en-US"/>
    </w:rPr>
  </w:style>
  <w:style w:type="paragraph" w:styleId="Ttulo9">
    <w:name w:val="heading 9"/>
    <w:basedOn w:val="Normal"/>
    <w:next w:val="Normal"/>
    <w:link w:val="Ttulo9Car"/>
    <w:uiPriority w:val="9"/>
    <w:semiHidden/>
    <w:unhideWhenUsed/>
    <w:qFormat/>
    <w:rsid w:val="00B40925"/>
    <w:pPr>
      <w:spacing w:before="240" w:after="60" w:line="276" w:lineRule="auto"/>
      <w:ind w:left="1584" w:hanging="1584"/>
      <w:outlineLvl w:val="8"/>
    </w:pPr>
    <w:rPr>
      <w:rFonts w:ascii="Cambria" w:hAnsi="Cambria"/>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675D1A"/>
    <w:rPr>
      <w:rFonts w:asciiTheme="majorHAnsi" w:eastAsiaTheme="majorEastAsia" w:hAnsiTheme="majorHAnsi" w:cstheme="majorBidi"/>
      <w:b/>
      <w:bCs/>
      <w:color w:val="4F81BD" w:themeColor="accent1"/>
      <w:sz w:val="24"/>
      <w:szCs w:val="24"/>
      <w:lang w:eastAsia="es-CO"/>
    </w:rPr>
  </w:style>
  <w:style w:type="character" w:customStyle="1" w:styleId="Ttulo1Car">
    <w:name w:val="Título 1 Car"/>
    <w:basedOn w:val="Fuentedeprrafopredeter"/>
    <w:link w:val="Ttulo1"/>
    <w:uiPriority w:val="9"/>
    <w:rsid w:val="00675D1A"/>
    <w:rPr>
      <w:rFonts w:ascii="Garamond" w:eastAsia="Calibri" w:hAnsi="Garamond" w:cs="Times New Roman"/>
      <w:bCs/>
      <w:sz w:val="42"/>
      <w:szCs w:val="42"/>
      <w:lang w:val="es-ES" w:eastAsia="es-CO"/>
    </w:rPr>
  </w:style>
  <w:style w:type="character" w:customStyle="1" w:styleId="Ttulo2Car">
    <w:name w:val="Título 2 Car"/>
    <w:basedOn w:val="Fuentedeprrafopredeter"/>
    <w:link w:val="Ttulo2"/>
    <w:uiPriority w:val="9"/>
    <w:rsid w:val="00795A3C"/>
    <w:rPr>
      <w:rFonts w:asciiTheme="majorHAnsi" w:eastAsiaTheme="majorEastAsia" w:hAnsiTheme="majorHAnsi" w:cstheme="majorBidi"/>
      <w:b/>
      <w:bCs/>
      <w:color w:val="4F81BD" w:themeColor="accent1"/>
      <w:sz w:val="26"/>
      <w:szCs w:val="26"/>
      <w:lang w:eastAsia="es-CO"/>
    </w:rPr>
  </w:style>
  <w:style w:type="character" w:customStyle="1" w:styleId="Ttulo4Car">
    <w:name w:val="Título 4 Car"/>
    <w:basedOn w:val="Fuentedeprrafopredeter"/>
    <w:link w:val="Ttulo4"/>
    <w:uiPriority w:val="9"/>
    <w:semiHidden/>
    <w:rsid w:val="00B40925"/>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B40925"/>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B40925"/>
    <w:rPr>
      <w:rFonts w:ascii="Calibri" w:eastAsia="Times New Roman" w:hAnsi="Calibri" w:cs="Times New Roman"/>
      <w:b/>
      <w:bCs/>
    </w:rPr>
  </w:style>
  <w:style w:type="character" w:customStyle="1" w:styleId="Ttulo7Car">
    <w:name w:val="Título 7 Car"/>
    <w:basedOn w:val="Fuentedeprrafopredeter"/>
    <w:link w:val="Ttulo7"/>
    <w:uiPriority w:val="9"/>
    <w:semiHidden/>
    <w:rsid w:val="00B40925"/>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B40925"/>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B40925"/>
    <w:rPr>
      <w:rFonts w:ascii="Cambria" w:eastAsia="Times New Roman" w:hAnsi="Cambria" w:cs="Times New Roman"/>
    </w:rPr>
  </w:style>
  <w:style w:type="paragraph" w:styleId="Encabezado">
    <w:name w:val="header"/>
    <w:basedOn w:val="Normal"/>
    <w:link w:val="EncabezadoCar"/>
    <w:uiPriority w:val="99"/>
    <w:unhideWhenUsed/>
    <w:rsid w:val="006A5629"/>
    <w:pPr>
      <w:tabs>
        <w:tab w:val="center" w:pos="4419"/>
        <w:tab w:val="right" w:pos="8838"/>
      </w:tabs>
    </w:pPr>
  </w:style>
  <w:style w:type="character" w:customStyle="1" w:styleId="EncabezadoCar">
    <w:name w:val="Encabezado Car"/>
    <w:basedOn w:val="Fuentedeprrafopredeter"/>
    <w:link w:val="Encabezado"/>
    <w:uiPriority w:val="99"/>
    <w:rsid w:val="006A5629"/>
  </w:style>
  <w:style w:type="paragraph" w:styleId="Piedepgina">
    <w:name w:val="footer"/>
    <w:basedOn w:val="Normal"/>
    <w:link w:val="PiedepginaCar"/>
    <w:uiPriority w:val="99"/>
    <w:unhideWhenUsed/>
    <w:rsid w:val="006A5629"/>
    <w:pPr>
      <w:tabs>
        <w:tab w:val="center" w:pos="4419"/>
        <w:tab w:val="right" w:pos="8838"/>
      </w:tabs>
    </w:pPr>
  </w:style>
  <w:style w:type="character" w:customStyle="1" w:styleId="PiedepginaCar">
    <w:name w:val="Pie de página Car"/>
    <w:basedOn w:val="Fuentedeprrafopredeter"/>
    <w:link w:val="Piedepgina"/>
    <w:uiPriority w:val="99"/>
    <w:rsid w:val="006A5629"/>
  </w:style>
  <w:style w:type="paragraph" w:styleId="Textodeglobo">
    <w:name w:val="Balloon Text"/>
    <w:basedOn w:val="Normal"/>
    <w:link w:val="TextodegloboCar"/>
    <w:uiPriority w:val="99"/>
    <w:semiHidden/>
    <w:unhideWhenUsed/>
    <w:rsid w:val="008732D6"/>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2D6"/>
    <w:rPr>
      <w:rFonts w:ascii="Tahoma" w:hAnsi="Tahoma" w:cs="Tahoma"/>
      <w:sz w:val="16"/>
      <w:szCs w:val="16"/>
    </w:rPr>
  </w:style>
  <w:style w:type="paragraph" w:styleId="Sinespaciado">
    <w:name w:val="No Spacing"/>
    <w:link w:val="SinespaciadoCar"/>
    <w:uiPriority w:val="1"/>
    <w:qFormat/>
    <w:rsid w:val="00675D1A"/>
    <w:pPr>
      <w:spacing w:after="0" w:line="240" w:lineRule="auto"/>
      <w:jc w:val="both"/>
    </w:pPr>
    <w:rPr>
      <w:rFonts w:ascii="Garamond" w:eastAsia="Calibri" w:hAnsi="Garamond" w:cs="Times New Roman"/>
      <w:lang w:val="es-ES"/>
    </w:rPr>
  </w:style>
  <w:style w:type="character" w:customStyle="1" w:styleId="SinespaciadoCar">
    <w:name w:val="Sin espaciado Car"/>
    <w:link w:val="Sinespaciado"/>
    <w:uiPriority w:val="1"/>
    <w:rsid w:val="00675D1A"/>
    <w:rPr>
      <w:rFonts w:ascii="Garamond" w:eastAsia="Calibri" w:hAnsi="Garamond" w:cs="Times New Roman"/>
      <w:lang w:val="es-ES"/>
    </w:rPr>
  </w:style>
  <w:style w:type="paragraph" w:styleId="Prrafodelista">
    <w:name w:val="List Paragraph"/>
    <w:basedOn w:val="Normal"/>
    <w:uiPriority w:val="34"/>
    <w:qFormat/>
    <w:rsid w:val="00675D1A"/>
    <w:pPr>
      <w:ind w:left="720"/>
      <w:contextualSpacing/>
    </w:pPr>
  </w:style>
  <w:style w:type="character" w:styleId="Hipervnculo">
    <w:name w:val="Hyperlink"/>
    <w:uiPriority w:val="99"/>
    <w:unhideWhenUsed/>
    <w:rsid w:val="00675D1A"/>
    <w:rPr>
      <w:color w:val="0000FF"/>
      <w:u w:val="single"/>
    </w:rPr>
  </w:style>
  <w:style w:type="character" w:styleId="Refdenotaalpie">
    <w:name w:val="footnote reference"/>
    <w:aliases w:val="referencia nota al pie,Texto de nota al pie,Nota de pie,Ref,de nota al pie,Texto nota al pie"/>
    <w:uiPriority w:val="99"/>
    <w:unhideWhenUsed/>
    <w:rsid w:val="00675D1A"/>
    <w:rPr>
      <w:vertAlign w:val="superscript"/>
    </w:rPr>
  </w:style>
  <w:style w:type="character" w:customStyle="1" w:styleId="apple-converted-space">
    <w:name w:val="apple-converted-space"/>
    <w:basedOn w:val="Fuentedeprrafopredeter"/>
    <w:rsid w:val="00675D1A"/>
  </w:style>
  <w:style w:type="paragraph" w:styleId="Textonotapie">
    <w:name w:val="footnote text"/>
    <w:aliases w:val="FA Fu,Footnote Text Char Char Char Char Char,Footnote Text Char Char Char Char,Footnote reference,Footnote Text Char Char Char, Car,Car,ft"/>
    <w:basedOn w:val="Normal"/>
    <w:link w:val="TextonotapieCar"/>
    <w:uiPriority w:val="99"/>
    <w:unhideWhenUsed/>
    <w:rsid w:val="00675D1A"/>
    <w:rPr>
      <w:rFonts w:ascii="Calibri" w:eastAsia="Calibri" w:hAnsi="Calibri"/>
      <w:sz w:val="20"/>
      <w:szCs w:val="20"/>
      <w:lang w:val="es-ES"/>
    </w:rPr>
  </w:style>
  <w:style w:type="character" w:customStyle="1" w:styleId="TextonotapieCar">
    <w:name w:val="Texto nota pie Car"/>
    <w:aliases w:val="FA Fu Car,Footnote Text Char Char Char Char Char Car,Footnote Text Char Char Char Char Car,Footnote reference Car,Footnote Text Char Char Char Car, Car Car,Car Car,ft Car"/>
    <w:basedOn w:val="Fuentedeprrafopredeter"/>
    <w:link w:val="Textonotapie"/>
    <w:uiPriority w:val="99"/>
    <w:rsid w:val="00675D1A"/>
    <w:rPr>
      <w:rFonts w:ascii="Calibri" w:eastAsia="Calibri" w:hAnsi="Calibri" w:cs="Times New Roman"/>
      <w:sz w:val="20"/>
      <w:szCs w:val="20"/>
      <w:lang w:val="es-ES" w:eastAsia="es-CO"/>
    </w:rPr>
  </w:style>
  <w:style w:type="paragraph" w:customStyle="1" w:styleId="Default">
    <w:name w:val="Default"/>
    <w:rsid w:val="00675D1A"/>
    <w:pPr>
      <w:autoSpaceDE w:val="0"/>
      <w:autoSpaceDN w:val="0"/>
      <w:adjustRightInd w:val="0"/>
      <w:spacing w:after="0" w:line="240" w:lineRule="auto"/>
    </w:pPr>
    <w:rPr>
      <w:rFonts w:ascii="Arial" w:eastAsia="Calibri" w:hAnsi="Arial" w:cs="Arial"/>
      <w:color w:val="000000"/>
      <w:sz w:val="24"/>
      <w:szCs w:val="24"/>
      <w:lang w:val="es-ES_tradnl" w:eastAsia="es-ES_tradnl"/>
    </w:rPr>
  </w:style>
  <w:style w:type="character" w:styleId="Hipervnculovisitado">
    <w:name w:val="FollowedHyperlink"/>
    <w:basedOn w:val="Fuentedeprrafopredeter"/>
    <w:uiPriority w:val="99"/>
    <w:semiHidden/>
    <w:unhideWhenUsed/>
    <w:rsid w:val="00610E15"/>
    <w:rPr>
      <w:color w:val="800080" w:themeColor="followedHyperlink"/>
      <w:u w:val="single"/>
    </w:rPr>
  </w:style>
  <w:style w:type="paragraph" w:styleId="TtulodeTDC">
    <w:name w:val="TOC Heading"/>
    <w:basedOn w:val="Ttulo1"/>
    <w:next w:val="Normal"/>
    <w:uiPriority w:val="39"/>
    <w:semiHidden/>
    <w:unhideWhenUsed/>
    <w:qFormat/>
    <w:rsid w:val="00E73BF4"/>
    <w:pPr>
      <w:keepLines/>
      <w:spacing w:before="480" w:line="276" w:lineRule="auto"/>
      <w:outlineLvl w:val="9"/>
    </w:pPr>
    <w:rPr>
      <w:rFonts w:asciiTheme="majorHAnsi" w:eastAsiaTheme="majorEastAsia" w:hAnsiTheme="majorHAnsi" w:cstheme="majorBidi"/>
      <w:b/>
      <w:color w:val="365F91" w:themeColor="accent1" w:themeShade="BF"/>
      <w:sz w:val="28"/>
      <w:szCs w:val="28"/>
      <w:lang w:val="es-CO"/>
    </w:rPr>
  </w:style>
  <w:style w:type="paragraph" w:styleId="TDC1">
    <w:name w:val="toc 1"/>
    <w:basedOn w:val="Normal"/>
    <w:next w:val="Normal"/>
    <w:autoRedefine/>
    <w:uiPriority w:val="39"/>
    <w:unhideWhenUsed/>
    <w:qFormat/>
    <w:rsid w:val="00E73BF4"/>
    <w:pPr>
      <w:spacing w:after="100"/>
    </w:pPr>
  </w:style>
  <w:style w:type="paragraph" w:styleId="TDC2">
    <w:name w:val="toc 2"/>
    <w:basedOn w:val="Normal"/>
    <w:next w:val="Normal"/>
    <w:autoRedefine/>
    <w:uiPriority w:val="39"/>
    <w:unhideWhenUsed/>
    <w:qFormat/>
    <w:rsid w:val="002C45DB"/>
    <w:pPr>
      <w:tabs>
        <w:tab w:val="right" w:leader="dot" w:pos="8830"/>
      </w:tabs>
      <w:spacing w:after="100"/>
      <w:ind w:left="240"/>
    </w:pPr>
  </w:style>
  <w:style w:type="character" w:customStyle="1" w:styleId="TextonotaalfinalCar">
    <w:name w:val="Texto nota al final Car"/>
    <w:basedOn w:val="Fuentedeprrafopredeter"/>
    <w:link w:val="Textonotaalfinal"/>
    <w:uiPriority w:val="99"/>
    <w:semiHidden/>
    <w:rsid w:val="00C22A42"/>
    <w:rPr>
      <w:sz w:val="20"/>
      <w:szCs w:val="20"/>
      <w:lang w:val="es-ES"/>
    </w:rPr>
  </w:style>
  <w:style w:type="paragraph" w:styleId="Textonotaalfinal">
    <w:name w:val="endnote text"/>
    <w:basedOn w:val="Normal"/>
    <w:link w:val="TextonotaalfinalCar"/>
    <w:uiPriority w:val="99"/>
    <w:semiHidden/>
    <w:unhideWhenUsed/>
    <w:rsid w:val="00C22A42"/>
    <w:rPr>
      <w:rFonts w:asciiTheme="minorHAnsi" w:eastAsiaTheme="minorHAnsi" w:hAnsiTheme="minorHAnsi" w:cstheme="minorBidi"/>
      <w:sz w:val="20"/>
      <w:szCs w:val="20"/>
      <w:lang w:val="es-ES" w:eastAsia="en-US"/>
    </w:rPr>
  </w:style>
  <w:style w:type="character" w:styleId="Textoennegrita">
    <w:name w:val="Strong"/>
    <w:basedOn w:val="Fuentedeprrafopredeter"/>
    <w:uiPriority w:val="22"/>
    <w:qFormat/>
    <w:rsid w:val="00C22A42"/>
    <w:rPr>
      <w:b/>
      <w:bCs/>
    </w:rPr>
  </w:style>
  <w:style w:type="character" w:customStyle="1" w:styleId="TextocomentarioCar">
    <w:name w:val="Texto comentario Car"/>
    <w:basedOn w:val="Fuentedeprrafopredeter"/>
    <w:link w:val="Textocomentario"/>
    <w:uiPriority w:val="99"/>
    <w:semiHidden/>
    <w:rsid w:val="00C22A42"/>
    <w:rPr>
      <w:sz w:val="20"/>
      <w:szCs w:val="20"/>
      <w:lang w:val="es-ES"/>
    </w:rPr>
  </w:style>
  <w:style w:type="paragraph" w:styleId="Textocomentario">
    <w:name w:val="annotation text"/>
    <w:basedOn w:val="Normal"/>
    <w:link w:val="TextocomentarioCar"/>
    <w:uiPriority w:val="99"/>
    <w:semiHidden/>
    <w:unhideWhenUsed/>
    <w:rsid w:val="00C22A42"/>
    <w:pPr>
      <w:spacing w:after="160"/>
    </w:pPr>
    <w:rPr>
      <w:rFonts w:asciiTheme="minorHAnsi" w:eastAsiaTheme="minorHAnsi" w:hAnsiTheme="minorHAnsi" w:cstheme="minorBidi"/>
      <w:sz w:val="20"/>
      <w:szCs w:val="20"/>
      <w:lang w:val="es-ES" w:eastAsia="en-US"/>
    </w:rPr>
  </w:style>
  <w:style w:type="character" w:customStyle="1" w:styleId="AsuntodelcomentarioCar">
    <w:name w:val="Asunto del comentario Car"/>
    <w:basedOn w:val="TextocomentarioCar"/>
    <w:link w:val="Asuntodelcomentario"/>
    <w:uiPriority w:val="99"/>
    <w:semiHidden/>
    <w:rsid w:val="00C22A42"/>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C22A42"/>
    <w:rPr>
      <w:b/>
      <w:bCs/>
    </w:rPr>
  </w:style>
  <w:style w:type="paragraph" w:styleId="NormalWeb">
    <w:name w:val="Normal (Web)"/>
    <w:basedOn w:val="Normal"/>
    <w:uiPriority w:val="99"/>
    <w:unhideWhenUsed/>
    <w:rsid w:val="00EA3F6B"/>
    <w:pPr>
      <w:spacing w:before="100" w:beforeAutospacing="1" w:after="100" w:afterAutospacing="1"/>
    </w:pPr>
    <w:rPr>
      <w:lang w:val="es-ES" w:eastAsia="es-ES"/>
    </w:rPr>
  </w:style>
  <w:style w:type="character" w:customStyle="1" w:styleId="texto">
    <w:name w:val="texto"/>
    <w:basedOn w:val="Fuentedeprrafopredeter"/>
    <w:rsid w:val="00BC507F"/>
  </w:style>
  <w:style w:type="character" w:customStyle="1" w:styleId="st">
    <w:name w:val="st"/>
    <w:basedOn w:val="Fuentedeprrafopredeter"/>
    <w:rsid w:val="00BC507F"/>
  </w:style>
  <w:style w:type="character" w:customStyle="1" w:styleId="a">
    <w:name w:val="a"/>
    <w:basedOn w:val="Fuentedeprrafopredeter"/>
    <w:rsid w:val="00F6760B"/>
  </w:style>
  <w:style w:type="character" w:customStyle="1" w:styleId="texto2">
    <w:name w:val="texto2"/>
    <w:basedOn w:val="Fuentedeprrafopredeter"/>
    <w:rsid w:val="00F6760B"/>
  </w:style>
  <w:style w:type="paragraph" w:styleId="Ttulo">
    <w:name w:val="Title"/>
    <w:basedOn w:val="Normal"/>
    <w:link w:val="TtuloCar"/>
    <w:qFormat/>
    <w:rsid w:val="00F6760B"/>
    <w:pPr>
      <w:tabs>
        <w:tab w:val="left" w:pos="-720"/>
      </w:tabs>
      <w:suppressAutoHyphens/>
      <w:overflowPunct w:val="0"/>
      <w:autoSpaceDE w:val="0"/>
      <w:autoSpaceDN w:val="0"/>
      <w:adjustRightInd w:val="0"/>
      <w:ind w:right="-91"/>
      <w:jc w:val="center"/>
      <w:textAlignment w:val="baseline"/>
    </w:pPr>
    <w:rPr>
      <w:rFonts w:ascii="Arial" w:hAnsi="Arial"/>
      <w:b/>
      <w:i/>
      <w:color w:val="000080"/>
      <w:spacing w:val="-3"/>
      <w:sz w:val="28"/>
      <w:szCs w:val="20"/>
      <w:lang w:val="es-ES" w:eastAsia="es-ES"/>
    </w:rPr>
  </w:style>
  <w:style w:type="character" w:customStyle="1" w:styleId="TtuloCar">
    <w:name w:val="Título Car"/>
    <w:basedOn w:val="Fuentedeprrafopredeter"/>
    <w:link w:val="Ttulo"/>
    <w:rsid w:val="00F6760B"/>
    <w:rPr>
      <w:rFonts w:ascii="Arial" w:eastAsia="Times New Roman" w:hAnsi="Arial" w:cs="Times New Roman"/>
      <w:b/>
      <w:i/>
      <w:color w:val="000080"/>
      <w:spacing w:val="-3"/>
      <w:sz w:val="28"/>
      <w:szCs w:val="20"/>
      <w:lang w:val="es-ES" w:eastAsia="es-ES"/>
    </w:rPr>
  </w:style>
  <w:style w:type="table" w:styleId="Tablaconcuadrcula">
    <w:name w:val="Table Grid"/>
    <w:basedOn w:val="Tablanormal"/>
    <w:uiPriority w:val="39"/>
    <w:rsid w:val="00AA6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F516D"/>
    <w:pPr>
      <w:spacing w:after="0" w:line="240" w:lineRule="auto"/>
    </w:pPr>
    <w:rPr>
      <w:rFonts w:ascii="Calibri" w:eastAsia="Calibri" w:hAnsi="Calibri" w:cs="Calibri"/>
      <w:color w:val="000000"/>
      <w:sz w:val="20"/>
      <w:lang w:val="es-ES" w:eastAsia="es-ES"/>
    </w:rPr>
  </w:style>
  <w:style w:type="character" w:customStyle="1" w:styleId="footnotedescriptionChar">
    <w:name w:val="footnote description Char"/>
    <w:link w:val="footnotedescription"/>
    <w:rsid w:val="00DF516D"/>
    <w:rPr>
      <w:rFonts w:ascii="Calibri" w:eastAsia="Calibri" w:hAnsi="Calibri" w:cs="Calibri"/>
      <w:color w:val="000000"/>
      <w:sz w:val="20"/>
      <w:lang w:val="es-ES" w:eastAsia="es-ES"/>
    </w:rPr>
  </w:style>
  <w:style w:type="character" w:customStyle="1" w:styleId="footnotemark">
    <w:name w:val="footnote mark"/>
    <w:hidden/>
    <w:rsid w:val="00DF516D"/>
    <w:rPr>
      <w:rFonts w:ascii="Calibri" w:eastAsia="Calibri" w:hAnsi="Calibri" w:cs="Calibri"/>
      <w:color w:val="000000"/>
      <w:sz w:val="20"/>
      <w:vertAlign w:val="superscript"/>
    </w:rPr>
  </w:style>
  <w:style w:type="character" w:customStyle="1" w:styleId="MapadeldocumentoCar">
    <w:name w:val="Mapa del documento Car"/>
    <w:link w:val="Mapadeldocumento"/>
    <w:uiPriority w:val="99"/>
    <w:semiHidden/>
    <w:rsid w:val="00406FF7"/>
    <w:rPr>
      <w:rFonts w:ascii="Tahoma" w:eastAsia="Calibri" w:hAnsi="Tahoma" w:cs="Tahoma"/>
      <w:sz w:val="16"/>
      <w:szCs w:val="16"/>
      <w:lang w:val="es-ES"/>
    </w:rPr>
  </w:style>
  <w:style w:type="paragraph" w:styleId="Mapadeldocumento">
    <w:name w:val="Document Map"/>
    <w:basedOn w:val="Normal"/>
    <w:link w:val="MapadeldocumentoCar"/>
    <w:uiPriority w:val="99"/>
    <w:semiHidden/>
    <w:unhideWhenUsed/>
    <w:rsid w:val="00406FF7"/>
    <w:rPr>
      <w:rFonts w:ascii="Tahoma" w:eastAsia="Calibri" w:hAnsi="Tahoma" w:cs="Tahoma"/>
      <w:sz w:val="16"/>
      <w:szCs w:val="16"/>
      <w:lang w:val="es-ES" w:eastAsia="en-US"/>
    </w:rPr>
  </w:style>
  <w:style w:type="character" w:customStyle="1" w:styleId="MapadeldocumentoCar1">
    <w:name w:val="Mapa del documento Car1"/>
    <w:basedOn w:val="Fuentedeprrafopredeter"/>
    <w:uiPriority w:val="99"/>
    <w:semiHidden/>
    <w:rsid w:val="00406FF7"/>
    <w:rPr>
      <w:rFonts w:ascii="Tahoma" w:eastAsia="Times New Roman" w:hAnsi="Tahoma" w:cs="Tahoma"/>
      <w:sz w:val="16"/>
      <w:szCs w:val="16"/>
      <w:lang w:eastAsia="es-CO"/>
    </w:rPr>
  </w:style>
  <w:style w:type="character" w:styleId="Refdenotaalfinal">
    <w:name w:val="endnote reference"/>
    <w:uiPriority w:val="99"/>
    <w:semiHidden/>
    <w:unhideWhenUsed/>
    <w:rsid w:val="00406FF7"/>
    <w:rPr>
      <w:vertAlign w:val="superscript"/>
    </w:rPr>
  </w:style>
  <w:style w:type="paragraph" w:styleId="TDC3">
    <w:name w:val="toc 3"/>
    <w:basedOn w:val="Normal"/>
    <w:next w:val="Normal"/>
    <w:autoRedefine/>
    <w:uiPriority w:val="39"/>
    <w:unhideWhenUsed/>
    <w:qFormat/>
    <w:rsid w:val="00406FF7"/>
    <w:pPr>
      <w:spacing w:after="100"/>
      <w:ind w:left="440"/>
    </w:pPr>
  </w:style>
  <w:style w:type="paragraph" w:styleId="Textoindependiente">
    <w:name w:val="Body Text"/>
    <w:basedOn w:val="Normal"/>
    <w:link w:val="TextoindependienteCar"/>
    <w:rsid w:val="00406FF7"/>
    <w:pPr>
      <w:jc w:val="center"/>
    </w:pPr>
    <w:rPr>
      <w:b/>
      <w:bCs/>
      <w:color w:val="008000"/>
      <w:sz w:val="22"/>
      <w:lang w:val="es-ES" w:eastAsia="es-ES"/>
    </w:rPr>
  </w:style>
  <w:style w:type="character" w:customStyle="1" w:styleId="TextoindependienteCar">
    <w:name w:val="Texto independiente Car"/>
    <w:basedOn w:val="Fuentedeprrafopredeter"/>
    <w:link w:val="Textoindependiente"/>
    <w:rsid w:val="00406FF7"/>
    <w:rPr>
      <w:rFonts w:ascii="Times New Roman" w:eastAsia="Times New Roman" w:hAnsi="Times New Roman" w:cs="Times New Roman"/>
      <w:b/>
      <w:bCs/>
      <w:color w:val="008000"/>
      <w:szCs w:val="24"/>
      <w:lang w:val="es-ES" w:eastAsia="es-ES"/>
    </w:rPr>
  </w:style>
  <w:style w:type="paragraph" w:customStyle="1" w:styleId="prrafobsico">
    <w:name w:val="prrafobsico"/>
    <w:basedOn w:val="Normal"/>
    <w:rsid w:val="00406FF7"/>
    <w:pPr>
      <w:spacing w:before="100" w:beforeAutospacing="1" w:after="100" w:afterAutospacing="1"/>
    </w:pPr>
    <w:rPr>
      <w:lang w:val="es-ES_tradnl" w:eastAsia="es-ES_tradnl"/>
    </w:rPr>
  </w:style>
  <w:style w:type="character" w:customStyle="1" w:styleId="A5">
    <w:name w:val="A5"/>
    <w:uiPriority w:val="99"/>
    <w:rsid w:val="00406FF7"/>
    <w:rPr>
      <w:b/>
      <w:bCs/>
      <w:color w:val="000000"/>
      <w:sz w:val="20"/>
      <w:szCs w:val="20"/>
    </w:rPr>
  </w:style>
  <w:style w:type="table" w:customStyle="1" w:styleId="Sombreadoclaro1">
    <w:name w:val="Sombreado claro1"/>
    <w:basedOn w:val="Tablanormal"/>
    <w:uiPriority w:val="60"/>
    <w:rsid w:val="00406FF7"/>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media11">
    <w:name w:val="Cuadrícula media 11"/>
    <w:basedOn w:val="Tablanormal"/>
    <w:uiPriority w:val="67"/>
    <w:rsid w:val="00406FF7"/>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1">
    <w:name w:val="Cuadrícula clara1"/>
    <w:basedOn w:val="Tablanormal"/>
    <w:uiPriority w:val="62"/>
    <w:rsid w:val="00406FF7"/>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1">
    <w:name w:val="Lista clara1"/>
    <w:basedOn w:val="Tablanormal"/>
    <w:uiPriority w:val="61"/>
    <w:rsid w:val="00406FF7"/>
    <w:pPr>
      <w:spacing w:after="0" w:line="240" w:lineRule="auto"/>
    </w:pPr>
    <w:rPr>
      <w:rFonts w:ascii="Calibri" w:eastAsia="Times New Roman" w:hAnsi="Calibri" w:cs="Times New Roman"/>
      <w:lang w:val="es-ES"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cxmsonormal">
    <w:name w:val="ecxmsonormal"/>
    <w:basedOn w:val="Normal"/>
    <w:rsid w:val="00406FF7"/>
    <w:pPr>
      <w:spacing w:before="100" w:beforeAutospacing="1" w:after="100" w:afterAutospacing="1"/>
    </w:pPr>
    <w:rPr>
      <w:lang w:val="es-ES_tradnl" w:eastAsia="es-ES_tradnl"/>
    </w:rPr>
  </w:style>
  <w:style w:type="paragraph" w:customStyle="1" w:styleId="rtejustify">
    <w:name w:val="rtejustify"/>
    <w:basedOn w:val="Normal"/>
    <w:rsid w:val="00406FF7"/>
    <w:pPr>
      <w:spacing w:before="100" w:beforeAutospacing="1" w:after="100" w:afterAutospacing="1"/>
    </w:pPr>
    <w:rPr>
      <w:lang w:val="es-MX" w:eastAsia="es-MX"/>
    </w:rPr>
  </w:style>
  <w:style w:type="character" w:customStyle="1" w:styleId="gq-postheadericon">
    <w:name w:val="gq-postheadericon"/>
    <w:basedOn w:val="Fuentedeprrafopredeter"/>
    <w:rsid w:val="00166C7D"/>
  </w:style>
  <w:style w:type="table" w:styleId="Listaclara-nfasis5">
    <w:name w:val="Light List Accent 5"/>
    <w:basedOn w:val="Tablanormal"/>
    <w:uiPriority w:val="61"/>
    <w:rsid w:val="001C2E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1C2EB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D1A"/>
    <w:pPr>
      <w:spacing w:after="0" w:line="240" w:lineRule="auto"/>
    </w:pPr>
    <w:rPr>
      <w:rFonts w:ascii="Times New Roman" w:eastAsia="Times New Roman" w:hAnsi="Times New Roman" w:cs="Times New Roman"/>
      <w:sz w:val="24"/>
      <w:szCs w:val="24"/>
      <w:lang w:eastAsia="es-CO"/>
    </w:rPr>
  </w:style>
  <w:style w:type="paragraph" w:styleId="Ttulo1">
    <w:name w:val="heading 1"/>
    <w:basedOn w:val="Ttulo3"/>
    <w:next w:val="Normal"/>
    <w:link w:val="Ttulo1Car"/>
    <w:uiPriority w:val="9"/>
    <w:qFormat/>
    <w:rsid w:val="00675D1A"/>
    <w:pPr>
      <w:keepLines w:val="0"/>
      <w:spacing w:before="0"/>
      <w:outlineLvl w:val="0"/>
    </w:pPr>
    <w:rPr>
      <w:rFonts w:ascii="Garamond" w:eastAsia="Calibri" w:hAnsi="Garamond" w:cs="Times New Roman"/>
      <w:b w:val="0"/>
      <w:color w:val="auto"/>
      <w:sz w:val="42"/>
      <w:szCs w:val="42"/>
      <w:lang w:val="es-ES"/>
    </w:rPr>
  </w:style>
  <w:style w:type="paragraph" w:styleId="Ttulo2">
    <w:name w:val="heading 2"/>
    <w:basedOn w:val="Normal"/>
    <w:next w:val="Normal"/>
    <w:link w:val="Ttulo2Car"/>
    <w:uiPriority w:val="9"/>
    <w:unhideWhenUsed/>
    <w:qFormat/>
    <w:rsid w:val="00795A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75D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40925"/>
    <w:pPr>
      <w:keepNext/>
      <w:spacing w:before="240" w:after="60" w:line="276" w:lineRule="auto"/>
      <w:ind w:left="864" w:hanging="864"/>
      <w:outlineLvl w:val="3"/>
    </w:pPr>
    <w:rPr>
      <w:rFonts w:ascii="Calibri" w:hAnsi="Calibri"/>
      <w:b/>
      <w:bCs/>
      <w:sz w:val="28"/>
      <w:szCs w:val="28"/>
      <w:lang w:eastAsia="en-US"/>
    </w:rPr>
  </w:style>
  <w:style w:type="paragraph" w:styleId="Ttulo5">
    <w:name w:val="heading 5"/>
    <w:basedOn w:val="Normal"/>
    <w:next w:val="Normal"/>
    <w:link w:val="Ttulo5Car"/>
    <w:uiPriority w:val="9"/>
    <w:semiHidden/>
    <w:unhideWhenUsed/>
    <w:qFormat/>
    <w:rsid w:val="00B40925"/>
    <w:pPr>
      <w:spacing w:before="240" w:after="60" w:line="276" w:lineRule="auto"/>
      <w:ind w:left="1008" w:hanging="1008"/>
      <w:outlineLvl w:val="4"/>
    </w:pPr>
    <w:rPr>
      <w:rFonts w:ascii="Calibri" w:hAnsi="Calibri"/>
      <w:b/>
      <w:bCs/>
      <w:i/>
      <w:iCs/>
      <w:sz w:val="26"/>
      <w:szCs w:val="26"/>
      <w:lang w:eastAsia="en-US"/>
    </w:rPr>
  </w:style>
  <w:style w:type="paragraph" w:styleId="Ttulo6">
    <w:name w:val="heading 6"/>
    <w:basedOn w:val="Normal"/>
    <w:next w:val="Normal"/>
    <w:link w:val="Ttulo6Car"/>
    <w:uiPriority w:val="9"/>
    <w:semiHidden/>
    <w:unhideWhenUsed/>
    <w:qFormat/>
    <w:rsid w:val="00B40925"/>
    <w:pPr>
      <w:spacing w:before="240" w:after="60" w:line="276" w:lineRule="auto"/>
      <w:ind w:left="1152" w:hanging="1152"/>
      <w:outlineLvl w:val="5"/>
    </w:pPr>
    <w:rPr>
      <w:rFonts w:ascii="Calibri" w:hAnsi="Calibri"/>
      <w:b/>
      <w:bCs/>
      <w:sz w:val="22"/>
      <w:szCs w:val="22"/>
      <w:lang w:eastAsia="en-US"/>
    </w:rPr>
  </w:style>
  <w:style w:type="paragraph" w:styleId="Ttulo7">
    <w:name w:val="heading 7"/>
    <w:basedOn w:val="Normal"/>
    <w:next w:val="Normal"/>
    <w:link w:val="Ttulo7Car"/>
    <w:uiPriority w:val="9"/>
    <w:semiHidden/>
    <w:unhideWhenUsed/>
    <w:qFormat/>
    <w:rsid w:val="00B40925"/>
    <w:pPr>
      <w:spacing w:before="240" w:after="60" w:line="276" w:lineRule="auto"/>
      <w:ind w:left="1296" w:hanging="1296"/>
      <w:outlineLvl w:val="6"/>
    </w:pPr>
    <w:rPr>
      <w:rFonts w:ascii="Calibri" w:hAnsi="Calibri"/>
      <w:lang w:eastAsia="en-US"/>
    </w:rPr>
  </w:style>
  <w:style w:type="paragraph" w:styleId="Ttulo8">
    <w:name w:val="heading 8"/>
    <w:basedOn w:val="Normal"/>
    <w:next w:val="Normal"/>
    <w:link w:val="Ttulo8Car"/>
    <w:uiPriority w:val="9"/>
    <w:semiHidden/>
    <w:unhideWhenUsed/>
    <w:qFormat/>
    <w:rsid w:val="00B40925"/>
    <w:pPr>
      <w:spacing w:before="240" w:after="60" w:line="276" w:lineRule="auto"/>
      <w:ind w:left="1440" w:hanging="1440"/>
      <w:outlineLvl w:val="7"/>
    </w:pPr>
    <w:rPr>
      <w:rFonts w:ascii="Calibri" w:hAnsi="Calibri"/>
      <w:i/>
      <w:iCs/>
      <w:lang w:eastAsia="en-US"/>
    </w:rPr>
  </w:style>
  <w:style w:type="paragraph" w:styleId="Ttulo9">
    <w:name w:val="heading 9"/>
    <w:basedOn w:val="Normal"/>
    <w:next w:val="Normal"/>
    <w:link w:val="Ttulo9Car"/>
    <w:uiPriority w:val="9"/>
    <w:semiHidden/>
    <w:unhideWhenUsed/>
    <w:qFormat/>
    <w:rsid w:val="00B40925"/>
    <w:pPr>
      <w:spacing w:before="240" w:after="60" w:line="276" w:lineRule="auto"/>
      <w:ind w:left="1584" w:hanging="1584"/>
      <w:outlineLvl w:val="8"/>
    </w:pPr>
    <w:rPr>
      <w:rFonts w:ascii="Cambria" w:hAnsi="Cambria"/>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675D1A"/>
    <w:rPr>
      <w:rFonts w:asciiTheme="majorHAnsi" w:eastAsiaTheme="majorEastAsia" w:hAnsiTheme="majorHAnsi" w:cstheme="majorBidi"/>
      <w:b/>
      <w:bCs/>
      <w:color w:val="4F81BD" w:themeColor="accent1"/>
      <w:sz w:val="24"/>
      <w:szCs w:val="24"/>
      <w:lang w:eastAsia="es-CO"/>
    </w:rPr>
  </w:style>
  <w:style w:type="character" w:customStyle="1" w:styleId="Ttulo1Car">
    <w:name w:val="Título 1 Car"/>
    <w:basedOn w:val="Fuentedeprrafopredeter"/>
    <w:link w:val="Ttulo1"/>
    <w:uiPriority w:val="9"/>
    <w:rsid w:val="00675D1A"/>
    <w:rPr>
      <w:rFonts w:ascii="Garamond" w:eastAsia="Calibri" w:hAnsi="Garamond" w:cs="Times New Roman"/>
      <w:bCs/>
      <w:sz w:val="42"/>
      <w:szCs w:val="42"/>
      <w:lang w:val="es-ES" w:eastAsia="es-CO"/>
    </w:rPr>
  </w:style>
  <w:style w:type="character" w:customStyle="1" w:styleId="Ttulo2Car">
    <w:name w:val="Título 2 Car"/>
    <w:basedOn w:val="Fuentedeprrafopredeter"/>
    <w:link w:val="Ttulo2"/>
    <w:uiPriority w:val="9"/>
    <w:rsid w:val="00795A3C"/>
    <w:rPr>
      <w:rFonts w:asciiTheme="majorHAnsi" w:eastAsiaTheme="majorEastAsia" w:hAnsiTheme="majorHAnsi" w:cstheme="majorBidi"/>
      <w:b/>
      <w:bCs/>
      <w:color w:val="4F81BD" w:themeColor="accent1"/>
      <w:sz w:val="26"/>
      <w:szCs w:val="26"/>
      <w:lang w:eastAsia="es-CO"/>
    </w:rPr>
  </w:style>
  <w:style w:type="character" w:customStyle="1" w:styleId="Ttulo4Car">
    <w:name w:val="Título 4 Car"/>
    <w:basedOn w:val="Fuentedeprrafopredeter"/>
    <w:link w:val="Ttulo4"/>
    <w:uiPriority w:val="9"/>
    <w:semiHidden/>
    <w:rsid w:val="00B40925"/>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B40925"/>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B40925"/>
    <w:rPr>
      <w:rFonts w:ascii="Calibri" w:eastAsia="Times New Roman" w:hAnsi="Calibri" w:cs="Times New Roman"/>
      <w:b/>
      <w:bCs/>
    </w:rPr>
  </w:style>
  <w:style w:type="character" w:customStyle="1" w:styleId="Ttulo7Car">
    <w:name w:val="Título 7 Car"/>
    <w:basedOn w:val="Fuentedeprrafopredeter"/>
    <w:link w:val="Ttulo7"/>
    <w:uiPriority w:val="9"/>
    <w:semiHidden/>
    <w:rsid w:val="00B40925"/>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B40925"/>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B40925"/>
    <w:rPr>
      <w:rFonts w:ascii="Cambria" w:eastAsia="Times New Roman" w:hAnsi="Cambria" w:cs="Times New Roman"/>
    </w:rPr>
  </w:style>
  <w:style w:type="paragraph" w:styleId="Encabezado">
    <w:name w:val="header"/>
    <w:basedOn w:val="Normal"/>
    <w:link w:val="EncabezadoCar"/>
    <w:uiPriority w:val="99"/>
    <w:unhideWhenUsed/>
    <w:rsid w:val="006A5629"/>
    <w:pPr>
      <w:tabs>
        <w:tab w:val="center" w:pos="4419"/>
        <w:tab w:val="right" w:pos="8838"/>
      </w:tabs>
    </w:pPr>
  </w:style>
  <w:style w:type="character" w:customStyle="1" w:styleId="EncabezadoCar">
    <w:name w:val="Encabezado Car"/>
    <w:basedOn w:val="Fuentedeprrafopredeter"/>
    <w:link w:val="Encabezado"/>
    <w:uiPriority w:val="99"/>
    <w:rsid w:val="006A5629"/>
  </w:style>
  <w:style w:type="paragraph" w:styleId="Piedepgina">
    <w:name w:val="footer"/>
    <w:basedOn w:val="Normal"/>
    <w:link w:val="PiedepginaCar"/>
    <w:uiPriority w:val="99"/>
    <w:unhideWhenUsed/>
    <w:rsid w:val="006A5629"/>
    <w:pPr>
      <w:tabs>
        <w:tab w:val="center" w:pos="4419"/>
        <w:tab w:val="right" w:pos="8838"/>
      </w:tabs>
    </w:pPr>
  </w:style>
  <w:style w:type="character" w:customStyle="1" w:styleId="PiedepginaCar">
    <w:name w:val="Pie de página Car"/>
    <w:basedOn w:val="Fuentedeprrafopredeter"/>
    <w:link w:val="Piedepgina"/>
    <w:uiPriority w:val="99"/>
    <w:rsid w:val="006A5629"/>
  </w:style>
  <w:style w:type="paragraph" w:styleId="Textodeglobo">
    <w:name w:val="Balloon Text"/>
    <w:basedOn w:val="Normal"/>
    <w:link w:val="TextodegloboCar"/>
    <w:uiPriority w:val="99"/>
    <w:semiHidden/>
    <w:unhideWhenUsed/>
    <w:rsid w:val="008732D6"/>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2D6"/>
    <w:rPr>
      <w:rFonts w:ascii="Tahoma" w:hAnsi="Tahoma" w:cs="Tahoma"/>
      <w:sz w:val="16"/>
      <w:szCs w:val="16"/>
    </w:rPr>
  </w:style>
  <w:style w:type="paragraph" w:styleId="Sinespaciado">
    <w:name w:val="No Spacing"/>
    <w:link w:val="SinespaciadoCar"/>
    <w:uiPriority w:val="1"/>
    <w:qFormat/>
    <w:rsid w:val="00675D1A"/>
    <w:pPr>
      <w:spacing w:after="0" w:line="240" w:lineRule="auto"/>
      <w:jc w:val="both"/>
    </w:pPr>
    <w:rPr>
      <w:rFonts w:ascii="Garamond" w:eastAsia="Calibri" w:hAnsi="Garamond" w:cs="Times New Roman"/>
      <w:lang w:val="es-ES"/>
    </w:rPr>
  </w:style>
  <w:style w:type="character" w:customStyle="1" w:styleId="SinespaciadoCar">
    <w:name w:val="Sin espaciado Car"/>
    <w:link w:val="Sinespaciado"/>
    <w:uiPriority w:val="1"/>
    <w:rsid w:val="00675D1A"/>
    <w:rPr>
      <w:rFonts w:ascii="Garamond" w:eastAsia="Calibri" w:hAnsi="Garamond" w:cs="Times New Roman"/>
      <w:lang w:val="es-ES"/>
    </w:rPr>
  </w:style>
  <w:style w:type="paragraph" w:styleId="Prrafodelista">
    <w:name w:val="List Paragraph"/>
    <w:basedOn w:val="Normal"/>
    <w:uiPriority w:val="34"/>
    <w:qFormat/>
    <w:rsid w:val="00675D1A"/>
    <w:pPr>
      <w:ind w:left="720"/>
      <w:contextualSpacing/>
    </w:pPr>
  </w:style>
  <w:style w:type="character" w:styleId="Hipervnculo">
    <w:name w:val="Hyperlink"/>
    <w:uiPriority w:val="99"/>
    <w:unhideWhenUsed/>
    <w:rsid w:val="00675D1A"/>
    <w:rPr>
      <w:color w:val="0000FF"/>
      <w:u w:val="single"/>
    </w:rPr>
  </w:style>
  <w:style w:type="character" w:styleId="Refdenotaalpie">
    <w:name w:val="footnote reference"/>
    <w:aliases w:val="referencia nota al pie,Texto de nota al pie,Nota de pie,Ref,de nota al pie,Texto nota al pie"/>
    <w:uiPriority w:val="99"/>
    <w:unhideWhenUsed/>
    <w:rsid w:val="00675D1A"/>
    <w:rPr>
      <w:vertAlign w:val="superscript"/>
    </w:rPr>
  </w:style>
  <w:style w:type="character" w:customStyle="1" w:styleId="apple-converted-space">
    <w:name w:val="apple-converted-space"/>
    <w:basedOn w:val="Fuentedeprrafopredeter"/>
    <w:rsid w:val="00675D1A"/>
  </w:style>
  <w:style w:type="paragraph" w:styleId="Textonotapie">
    <w:name w:val="footnote text"/>
    <w:aliases w:val="FA Fu,Footnote Text Char Char Char Char Char,Footnote Text Char Char Char Char,Footnote reference,Footnote Text Char Char Char, Car,Car,ft"/>
    <w:basedOn w:val="Normal"/>
    <w:link w:val="TextonotapieCar"/>
    <w:uiPriority w:val="99"/>
    <w:unhideWhenUsed/>
    <w:rsid w:val="00675D1A"/>
    <w:rPr>
      <w:rFonts w:ascii="Calibri" w:eastAsia="Calibri" w:hAnsi="Calibri"/>
      <w:sz w:val="20"/>
      <w:szCs w:val="20"/>
      <w:lang w:val="es-ES"/>
    </w:rPr>
  </w:style>
  <w:style w:type="character" w:customStyle="1" w:styleId="TextonotapieCar">
    <w:name w:val="Texto nota pie Car"/>
    <w:aliases w:val="FA Fu Car,Footnote Text Char Char Char Char Char Car,Footnote Text Char Char Char Char Car,Footnote reference Car,Footnote Text Char Char Char Car, Car Car,Car Car,ft Car"/>
    <w:basedOn w:val="Fuentedeprrafopredeter"/>
    <w:link w:val="Textonotapie"/>
    <w:uiPriority w:val="99"/>
    <w:rsid w:val="00675D1A"/>
    <w:rPr>
      <w:rFonts w:ascii="Calibri" w:eastAsia="Calibri" w:hAnsi="Calibri" w:cs="Times New Roman"/>
      <w:sz w:val="20"/>
      <w:szCs w:val="20"/>
      <w:lang w:val="es-ES" w:eastAsia="es-CO"/>
    </w:rPr>
  </w:style>
  <w:style w:type="paragraph" w:customStyle="1" w:styleId="Default">
    <w:name w:val="Default"/>
    <w:rsid w:val="00675D1A"/>
    <w:pPr>
      <w:autoSpaceDE w:val="0"/>
      <w:autoSpaceDN w:val="0"/>
      <w:adjustRightInd w:val="0"/>
      <w:spacing w:after="0" w:line="240" w:lineRule="auto"/>
    </w:pPr>
    <w:rPr>
      <w:rFonts w:ascii="Arial" w:eastAsia="Calibri" w:hAnsi="Arial" w:cs="Arial"/>
      <w:color w:val="000000"/>
      <w:sz w:val="24"/>
      <w:szCs w:val="24"/>
      <w:lang w:val="es-ES_tradnl" w:eastAsia="es-ES_tradnl"/>
    </w:rPr>
  </w:style>
  <w:style w:type="character" w:styleId="Hipervnculovisitado">
    <w:name w:val="FollowedHyperlink"/>
    <w:basedOn w:val="Fuentedeprrafopredeter"/>
    <w:uiPriority w:val="99"/>
    <w:semiHidden/>
    <w:unhideWhenUsed/>
    <w:rsid w:val="00610E15"/>
    <w:rPr>
      <w:color w:val="800080" w:themeColor="followedHyperlink"/>
      <w:u w:val="single"/>
    </w:rPr>
  </w:style>
  <w:style w:type="paragraph" w:styleId="TtulodeTDC">
    <w:name w:val="TOC Heading"/>
    <w:basedOn w:val="Ttulo1"/>
    <w:next w:val="Normal"/>
    <w:uiPriority w:val="39"/>
    <w:semiHidden/>
    <w:unhideWhenUsed/>
    <w:qFormat/>
    <w:rsid w:val="00E73BF4"/>
    <w:pPr>
      <w:keepLines/>
      <w:spacing w:before="480" w:line="276" w:lineRule="auto"/>
      <w:outlineLvl w:val="9"/>
    </w:pPr>
    <w:rPr>
      <w:rFonts w:asciiTheme="majorHAnsi" w:eastAsiaTheme="majorEastAsia" w:hAnsiTheme="majorHAnsi" w:cstheme="majorBidi"/>
      <w:b/>
      <w:color w:val="365F91" w:themeColor="accent1" w:themeShade="BF"/>
      <w:sz w:val="28"/>
      <w:szCs w:val="28"/>
      <w:lang w:val="es-CO"/>
    </w:rPr>
  </w:style>
  <w:style w:type="paragraph" w:styleId="TDC1">
    <w:name w:val="toc 1"/>
    <w:basedOn w:val="Normal"/>
    <w:next w:val="Normal"/>
    <w:autoRedefine/>
    <w:uiPriority w:val="39"/>
    <w:unhideWhenUsed/>
    <w:qFormat/>
    <w:rsid w:val="00E73BF4"/>
    <w:pPr>
      <w:spacing w:after="100"/>
    </w:pPr>
  </w:style>
  <w:style w:type="paragraph" w:styleId="TDC2">
    <w:name w:val="toc 2"/>
    <w:basedOn w:val="Normal"/>
    <w:next w:val="Normal"/>
    <w:autoRedefine/>
    <w:uiPriority w:val="39"/>
    <w:unhideWhenUsed/>
    <w:qFormat/>
    <w:rsid w:val="002C45DB"/>
    <w:pPr>
      <w:tabs>
        <w:tab w:val="right" w:leader="dot" w:pos="8830"/>
      </w:tabs>
      <w:spacing w:after="100"/>
      <w:ind w:left="240"/>
    </w:pPr>
  </w:style>
  <w:style w:type="character" w:customStyle="1" w:styleId="TextonotaalfinalCar">
    <w:name w:val="Texto nota al final Car"/>
    <w:basedOn w:val="Fuentedeprrafopredeter"/>
    <w:link w:val="Textonotaalfinal"/>
    <w:uiPriority w:val="99"/>
    <w:semiHidden/>
    <w:rsid w:val="00C22A42"/>
    <w:rPr>
      <w:sz w:val="20"/>
      <w:szCs w:val="20"/>
      <w:lang w:val="es-ES"/>
    </w:rPr>
  </w:style>
  <w:style w:type="paragraph" w:styleId="Textonotaalfinal">
    <w:name w:val="endnote text"/>
    <w:basedOn w:val="Normal"/>
    <w:link w:val="TextonotaalfinalCar"/>
    <w:uiPriority w:val="99"/>
    <w:semiHidden/>
    <w:unhideWhenUsed/>
    <w:rsid w:val="00C22A42"/>
    <w:rPr>
      <w:rFonts w:asciiTheme="minorHAnsi" w:eastAsiaTheme="minorHAnsi" w:hAnsiTheme="minorHAnsi" w:cstheme="minorBidi"/>
      <w:sz w:val="20"/>
      <w:szCs w:val="20"/>
      <w:lang w:val="es-ES" w:eastAsia="en-US"/>
    </w:rPr>
  </w:style>
  <w:style w:type="character" w:styleId="Textoennegrita">
    <w:name w:val="Strong"/>
    <w:basedOn w:val="Fuentedeprrafopredeter"/>
    <w:uiPriority w:val="22"/>
    <w:qFormat/>
    <w:rsid w:val="00C22A42"/>
    <w:rPr>
      <w:b/>
      <w:bCs/>
    </w:rPr>
  </w:style>
  <w:style w:type="character" w:customStyle="1" w:styleId="TextocomentarioCar">
    <w:name w:val="Texto comentario Car"/>
    <w:basedOn w:val="Fuentedeprrafopredeter"/>
    <w:link w:val="Textocomentario"/>
    <w:uiPriority w:val="99"/>
    <w:semiHidden/>
    <w:rsid w:val="00C22A42"/>
    <w:rPr>
      <w:sz w:val="20"/>
      <w:szCs w:val="20"/>
      <w:lang w:val="es-ES"/>
    </w:rPr>
  </w:style>
  <w:style w:type="paragraph" w:styleId="Textocomentario">
    <w:name w:val="annotation text"/>
    <w:basedOn w:val="Normal"/>
    <w:link w:val="TextocomentarioCar"/>
    <w:uiPriority w:val="99"/>
    <w:semiHidden/>
    <w:unhideWhenUsed/>
    <w:rsid w:val="00C22A42"/>
    <w:pPr>
      <w:spacing w:after="160"/>
    </w:pPr>
    <w:rPr>
      <w:rFonts w:asciiTheme="minorHAnsi" w:eastAsiaTheme="minorHAnsi" w:hAnsiTheme="minorHAnsi" w:cstheme="minorBidi"/>
      <w:sz w:val="20"/>
      <w:szCs w:val="20"/>
      <w:lang w:val="es-ES" w:eastAsia="en-US"/>
    </w:rPr>
  </w:style>
  <w:style w:type="character" w:customStyle="1" w:styleId="AsuntodelcomentarioCar">
    <w:name w:val="Asunto del comentario Car"/>
    <w:basedOn w:val="TextocomentarioCar"/>
    <w:link w:val="Asuntodelcomentario"/>
    <w:uiPriority w:val="99"/>
    <w:semiHidden/>
    <w:rsid w:val="00C22A42"/>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C22A42"/>
    <w:rPr>
      <w:b/>
      <w:bCs/>
    </w:rPr>
  </w:style>
  <w:style w:type="paragraph" w:styleId="NormalWeb">
    <w:name w:val="Normal (Web)"/>
    <w:basedOn w:val="Normal"/>
    <w:uiPriority w:val="99"/>
    <w:unhideWhenUsed/>
    <w:rsid w:val="00EA3F6B"/>
    <w:pPr>
      <w:spacing w:before="100" w:beforeAutospacing="1" w:after="100" w:afterAutospacing="1"/>
    </w:pPr>
    <w:rPr>
      <w:lang w:val="es-ES" w:eastAsia="es-ES"/>
    </w:rPr>
  </w:style>
  <w:style w:type="character" w:customStyle="1" w:styleId="texto">
    <w:name w:val="texto"/>
    <w:basedOn w:val="Fuentedeprrafopredeter"/>
    <w:rsid w:val="00BC507F"/>
  </w:style>
  <w:style w:type="character" w:customStyle="1" w:styleId="st">
    <w:name w:val="st"/>
    <w:basedOn w:val="Fuentedeprrafopredeter"/>
    <w:rsid w:val="00BC507F"/>
  </w:style>
  <w:style w:type="character" w:customStyle="1" w:styleId="a">
    <w:name w:val="a"/>
    <w:basedOn w:val="Fuentedeprrafopredeter"/>
    <w:rsid w:val="00F6760B"/>
  </w:style>
  <w:style w:type="character" w:customStyle="1" w:styleId="texto2">
    <w:name w:val="texto2"/>
    <w:basedOn w:val="Fuentedeprrafopredeter"/>
    <w:rsid w:val="00F6760B"/>
  </w:style>
  <w:style w:type="paragraph" w:styleId="Ttulo">
    <w:name w:val="Title"/>
    <w:basedOn w:val="Normal"/>
    <w:link w:val="TtuloCar"/>
    <w:qFormat/>
    <w:rsid w:val="00F6760B"/>
    <w:pPr>
      <w:tabs>
        <w:tab w:val="left" w:pos="-720"/>
      </w:tabs>
      <w:suppressAutoHyphens/>
      <w:overflowPunct w:val="0"/>
      <w:autoSpaceDE w:val="0"/>
      <w:autoSpaceDN w:val="0"/>
      <w:adjustRightInd w:val="0"/>
      <w:ind w:right="-91"/>
      <w:jc w:val="center"/>
      <w:textAlignment w:val="baseline"/>
    </w:pPr>
    <w:rPr>
      <w:rFonts w:ascii="Arial" w:hAnsi="Arial"/>
      <w:b/>
      <w:i/>
      <w:color w:val="000080"/>
      <w:spacing w:val="-3"/>
      <w:sz w:val="28"/>
      <w:szCs w:val="20"/>
      <w:lang w:val="es-ES" w:eastAsia="es-ES"/>
    </w:rPr>
  </w:style>
  <w:style w:type="character" w:customStyle="1" w:styleId="TtuloCar">
    <w:name w:val="Título Car"/>
    <w:basedOn w:val="Fuentedeprrafopredeter"/>
    <w:link w:val="Ttulo"/>
    <w:rsid w:val="00F6760B"/>
    <w:rPr>
      <w:rFonts w:ascii="Arial" w:eastAsia="Times New Roman" w:hAnsi="Arial" w:cs="Times New Roman"/>
      <w:b/>
      <w:i/>
      <w:color w:val="000080"/>
      <w:spacing w:val="-3"/>
      <w:sz w:val="28"/>
      <w:szCs w:val="20"/>
      <w:lang w:val="es-ES" w:eastAsia="es-ES"/>
    </w:rPr>
  </w:style>
  <w:style w:type="table" w:styleId="Tablaconcuadrcula">
    <w:name w:val="Table Grid"/>
    <w:basedOn w:val="Tablanormal"/>
    <w:uiPriority w:val="39"/>
    <w:rsid w:val="00AA6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F516D"/>
    <w:pPr>
      <w:spacing w:after="0" w:line="240" w:lineRule="auto"/>
    </w:pPr>
    <w:rPr>
      <w:rFonts w:ascii="Calibri" w:eastAsia="Calibri" w:hAnsi="Calibri" w:cs="Calibri"/>
      <w:color w:val="000000"/>
      <w:sz w:val="20"/>
      <w:lang w:val="es-ES" w:eastAsia="es-ES"/>
    </w:rPr>
  </w:style>
  <w:style w:type="character" w:customStyle="1" w:styleId="footnotedescriptionChar">
    <w:name w:val="footnote description Char"/>
    <w:link w:val="footnotedescription"/>
    <w:rsid w:val="00DF516D"/>
    <w:rPr>
      <w:rFonts w:ascii="Calibri" w:eastAsia="Calibri" w:hAnsi="Calibri" w:cs="Calibri"/>
      <w:color w:val="000000"/>
      <w:sz w:val="20"/>
      <w:lang w:val="es-ES" w:eastAsia="es-ES"/>
    </w:rPr>
  </w:style>
  <w:style w:type="character" w:customStyle="1" w:styleId="footnotemark">
    <w:name w:val="footnote mark"/>
    <w:hidden/>
    <w:rsid w:val="00DF516D"/>
    <w:rPr>
      <w:rFonts w:ascii="Calibri" w:eastAsia="Calibri" w:hAnsi="Calibri" w:cs="Calibri"/>
      <w:color w:val="000000"/>
      <w:sz w:val="20"/>
      <w:vertAlign w:val="superscript"/>
    </w:rPr>
  </w:style>
  <w:style w:type="character" w:customStyle="1" w:styleId="MapadeldocumentoCar">
    <w:name w:val="Mapa del documento Car"/>
    <w:link w:val="Mapadeldocumento"/>
    <w:uiPriority w:val="99"/>
    <w:semiHidden/>
    <w:rsid w:val="00406FF7"/>
    <w:rPr>
      <w:rFonts w:ascii="Tahoma" w:eastAsia="Calibri" w:hAnsi="Tahoma" w:cs="Tahoma"/>
      <w:sz w:val="16"/>
      <w:szCs w:val="16"/>
      <w:lang w:val="es-ES"/>
    </w:rPr>
  </w:style>
  <w:style w:type="paragraph" w:styleId="Mapadeldocumento">
    <w:name w:val="Document Map"/>
    <w:basedOn w:val="Normal"/>
    <w:link w:val="MapadeldocumentoCar"/>
    <w:uiPriority w:val="99"/>
    <w:semiHidden/>
    <w:unhideWhenUsed/>
    <w:rsid w:val="00406FF7"/>
    <w:rPr>
      <w:rFonts w:ascii="Tahoma" w:eastAsia="Calibri" w:hAnsi="Tahoma" w:cs="Tahoma"/>
      <w:sz w:val="16"/>
      <w:szCs w:val="16"/>
      <w:lang w:val="es-ES" w:eastAsia="en-US"/>
    </w:rPr>
  </w:style>
  <w:style w:type="character" w:customStyle="1" w:styleId="MapadeldocumentoCar1">
    <w:name w:val="Mapa del documento Car1"/>
    <w:basedOn w:val="Fuentedeprrafopredeter"/>
    <w:uiPriority w:val="99"/>
    <w:semiHidden/>
    <w:rsid w:val="00406FF7"/>
    <w:rPr>
      <w:rFonts w:ascii="Tahoma" w:eastAsia="Times New Roman" w:hAnsi="Tahoma" w:cs="Tahoma"/>
      <w:sz w:val="16"/>
      <w:szCs w:val="16"/>
      <w:lang w:eastAsia="es-CO"/>
    </w:rPr>
  </w:style>
  <w:style w:type="character" w:styleId="Refdenotaalfinal">
    <w:name w:val="endnote reference"/>
    <w:uiPriority w:val="99"/>
    <w:semiHidden/>
    <w:unhideWhenUsed/>
    <w:rsid w:val="00406FF7"/>
    <w:rPr>
      <w:vertAlign w:val="superscript"/>
    </w:rPr>
  </w:style>
  <w:style w:type="paragraph" w:styleId="TDC3">
    <w:name w:val="toc 3"/>
    <w:basedOn w:val="Normal"/>
    <w:next w:val="Normal"/>
    <w:autoRedefine/>
    <w:uiPriority w:val="39"/>
    <w:unhideWhenUsed/>
    <w:qFormat/>
    <w:rsid w:val="00406FF7"/>
    <w:pPr>
      <w:spacing w:after="100"/>
      <w:ind w:left="440"/>
    </w:pPr>
  </w:style>
  <w:style w:type="paragraph" w:styleId="Textoindependiente">
    <w:name w:val="Body Text"/>
    <w:basedOn w:val="Normal"/>
    <w:link w:val="TextoindependienteCar"/>
    <w:rsid w:val="00406FF7"/>
    <w:pPr>
      <w:jc w:val="center"/>
    </w:pPr>
    <w:rPr>
      <w:b/>
      <w:bCs/>
      <w:color w:val="008000"/>
      <w:sz w:val="22"/>
      <w:lang w:val="es-ES" w:eastAsia="es-ES"/>
    </w:rPr>
  </w:style>
  <w:style w:type="character" w:customStyle="1" w:styleId="TextoindependienteCar">
    <w:name w:val="Texto independiente Car"/>
    <w:basedOn w:val="Fuentedeprrafopredeter"/>
    <w:link w:val="Textoindependiente"/>
    <w:rsid w:val="00406FF7"/>
    <w:rPr>
      <w:rFonts w:ascii="Times New Roman" w:eastAsia="Times New Roman" w:hAnsi="Times New Roman" w:cs="Times New Roman"/>
      <w:b/>
      <w:bCs/>
      <w:color w:val="008000"/>
      <w:szCs w:val="24"/>
      <w:lang w:val="es-ES" w:eastAsia="es-ES"/>
    </w:rPr>
  </w:style>
  <w:style w:type="paragraph" w:customStyle="1" w:styleId="prrafobsico">
    <w:name w:val="prrafobsico"/>
    <w:basedOn w:val="Normal"/>
    <w:rsid w:val="00406FF7"/>
    <w:pPr>
      <w:spacing w:before="100" w:beforeAutospacing="1" w:after="100" w:afterAutospacing="1"/>
    </w:pPr>
    <w:rPr>
      <w:lang w:val="es-ES_tradnl" w:eastAsia="es-ES_tradnl"/>
    </w:rPr>
  </w:style>
  <w:style w:type="character" w:customStyle="1" w:styleId="A5">
    <w:name w:val="A5"/>
    <w:uiPriority w:val="99"/>
    <w:rsid w:val="00406FF7"/>
    <w:rPr>
      <w:b/>
      <w:bCs/>
      <w:color w:val="000000"/>
      <w:sz w:val="20"/>
      <w:szCs w:val="20"/>
    </w:rPr>
  </w:style>
  <w:style w:type="table" w:customStyle="1" w:styleId="Sombreadoclaro1">
    <w:name w:val="Sombreado claro1"/>
    <w:basedOn w:val="Tablanormal"/>
    <w:uiPriority w:val="60"/>
    <w:rsid w:val="00406FF7"/>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media11">
    <w:name w:val="Cuadrícula media 11"/>
    <w:basedOn w:val="Tablanormal"/>
    <w:uiPriority w:val="67"/>
    <w:rsid w:val="00406FF7"/>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1">
    <w:name w:val="Cuadrícula clara1"/>
    <w:basedOn w:val="Tablanormal"/>
    <w:uiPriority w:val="62"/>
    <w:rsid w:val="00406FF7"/>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1">
    <w:name w:val="Lista clara1"/>
    <w:basedOn w:val="Tablanormal"/>
    <w:uiPriority w:val="61"/>
    <w:rsid w:val="00406FF7"/>
    <w:pPr>
      <w:spacing w:after="0" w:line="240" w:lineRule="auto"/>
    </w:pPr>
    <w:rPr>
      <w:rFonts w:ascii="Calibri" w:eastAsia="Times New Roman" w:hAnsi="Calibri" w:cs="Times New Roman"/>
      <w:lang w:val="es-ES"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cxmsonormal">
    <w:name w:val="ecxmsonormal"/>
    <w:basedOn w:val="Normal"/>
    <w:rsid w:val="00406FF7"/>
    <w:pPr>
      <w:spacing w:before="100" w:beforeAutospacing="1" w:after="100" w:afterAutospacing="1"/>
    </w:pPr>
    <w:rPr>
      <w:lang w:val="es-ES_tradnl" w:eastAsia="es-ES_tradnl"/>
    </w:rPr>
  </w:style>
  <w:style w:type="paragraph" w:customStyle="1" w:styleId="rtejustify">
    <w:name w:val="rtejustify"/>
    <w:basedOn w:val="Normal"/>
    <w:rsid w:val="00406FF7"/>
    <w:pPr>
      <w:spacing w:before="100" w:beforeAutospacing="1" w:after="100" w:afterAutospacing="1"/>
    </w:pPr>
    <w:rPr>
      <w:lang w:val="es-MX" w:eastAsia="es-MX"/>
    </w:rPr>
  </w:style>
  <w:style w:type="character" w:customStyle="1" w:styleId="gq-postheadericon">
    <w:name w:val="gq-postheadericon"/>
    <w:basedOn w:val="Fuentedeprrafopredeter"/>
    <w:rsid w:val="00166C7D"/>
  </w:style>
  <w:style w:type="table" w:styleId="Listaclara-nfasis5">
    <w:name w:val="Light List Accent 5"/>
    <w:basedOn w:val="Tablanormal"/>
    <w:uiPriority w:val="61"/>
    <w:rsid w:val="001C2E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1C2EB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83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chart" Target="charts/chart76.xml"/><Relationship Id="rId21" Type="http://schemas.openxmlformats.org/officeDocument/2006/relationships/image" Target="media/image6.emf"/><Relationship Id="rId42" Type="http://schemas.openxmlformats.org/officeDocument/2006/relationships/chart" Target="charts/chart23.xml"/><Relationship Id="rId47" Type="http://schemas.openxmlformats.org/officeDocument/2006/relationships/chart" Target="charts/chart26.xml"/><Relationship Id="rId63" Type="http://schemas.openxmlformats.org/officeDocument/2006/relationships/package" Target="embeddings/Microsoft_Excel_Worksheet3.xlsx"/><Relationship Id="rId68" Type="http://schemas.openxmlformats.org/officeDocument/2006/relationships/chart" Target="charts/chart38.xml"/><Relationship Id="rId84" Type="http://schemas.openxmlformats.org/officeDocument/2006/relationships/chart" Target="charts/chart52.xml"/><Relationship Id="rId89" Type="http://schemas.openxmlformats.org/officeDocument/2006/relationships/image" Target="media/image18.jpeg"/><Relationship Id="rId112" Type="http://schemas.openxmlformats.org/officeDocument/2006/relationships/chart" Target="charts/chart73.xml"/><Relationship Id="rId133" Type="http://schemas.openxmlformats.org/officeDocument/2006/relationships/chart" Target="charts/chart87.xml"/><Relationship Id="rId138" Type="http://schemas.openxmlformats.org/officeDocument/2006/relationships/image" Target="media/image30.emf"/><Relationship Id="rId154" Type="http://schemas.openxmlformats.org/officeDocument/2006/relationships/hyperlink" Target="http://www.dane.gov.co" TargetMode="External"/><Relationship Id="rId16" Type="http://schemas.openxmlformats.org/officeDocument/2006/relationships/chart" Target="charts/chart1.xml"/><Relationship Id="rId107" Type="http://schemas.openxmlformats.org/officeDocument/2006/relationships/chart" Target="charts/chart68.xml"/><Relationship Id="rId11" Type="http://schemas.openxmlformats.org/officeDocument/2006/relationships/image" Target="media/image3.jpeg"/><Relationship Id="rId32" Type="http://schemas.openxmlformats.org/officeDocument/2006/relationships/chart" Target="charts/chart15.xml"/><Relationship Id="rId37" Type="http://schemas.openxmlformats.org/officeDocument/2006/relationships/chart" Target="charts/chart19.xml"/><Relationship Id="rId53" Type="http://schemas.openxmlformats.org/officeDocument/2006/relationships/chart" Target="charts/chart32.xml"/><Relationship Id="rId58" Type="http://schemas.openxmlformats.org/officeDocument/2006/relationships/image" Target="media/image12.emf"/><Relationship Id="rId74" Type="http://schemas.openxmlformats.org/officeDocument/2006/relationships/chart" Target="charts/chart43.xml"/><Relationship Id="rId79" Type="http://schemas.openxmlformats.org/officeDocument/2006/relationships/chart" Target="charts/chart48.xml"/><Relationship Id="rId102" Type="http://schemas.openxmlformats.org/officeDocument/2006/relationships/image" Target="media/image22.png"/><Relationship Id="rId123" Type="http://schemas.openxmlformats.org/officeDocument/2006/relationships/image" Target="media/image27.png"/><Relationship Id="rId128" Type="http://schemas.openxmlformats.org/officeDocument/2006/relationships/chart" Target="charts/chart83.xml"/><Relationship Id="rId144" Type="http://schemas.openxmlformats.org/officeDocument/2006/relationships/hyperlink" Target="http://biblioteca.clacso.edu.ar/gsdl/collect/clacso/index/assoc/D9376.dir/06spicker.pdf" TargetMode="External"/><Relationship Id="rId149" Type="http://schemas.openxmlformats.org/officeDocument/2006/relationships/hyperlink" Target="http://www.dane.gov.co/files/pobreza/SeminarioTecnico_JoaoAcevedo_mar14_2012.pdf" TargetMode="External"/><Relationship Id="rId5" Type="http://schemas.openxmlformats.org/officeDocument/2006/relationships/settings" Target="settings.xml"/><Relationship Id="rId90" Type="http://schemas.openxmlformats.org/officeDocument/2006/relationships/chart" Target="charts/chart57.xml"/><Relationship Id="rId95" Type="http://schemas.openxmlformats.org/officeDocument/2006/relationships/image" Target="media/image20.png"/><Relationship Id="rId22" Type="http://schemas.openxmlformats.org/officeDocument/2006/relationships/chart" Target="charts/chart6.xml"/><Relationship Id="rId27" Type="http://schemas.openxmlformats.org/officeDocument/2006/relationships/chart" Target="charts/chart10.xml"/><Relationship Id="rId43" Type="http://schemas.openxmlformats.org/officeDocument/2006/relationships/header" Target="header1.xml"/><Relationship Id="rId48" Type="http://schemas.openxmlformats.org/officeDocument/2006/relationships/chart" Target="charts/chart27.xml"/><Relationship Id="rId64" Type="http://schemas.openxmlformats.org/officeDocument/2006/relationships/image" Target="media/image15.emf"/><Relationship Id="rId69" Type="http://schemas.openxmlformats.org/officeDocument/2006/relationships/image" Target="media/image16.jpeg"/><Relationship Id="rId113" Type="http://schemas.openxmlformats.org/officeDocument/2006/relationships/image" Target="media/image24.emf"/><Relationship Id="rId118" Type="http://schemas.openxmlformats.org/officeDocument/2006/relationships/image" Target="media/image26.png"/><Relationship Id="rId134" Type="http://schemas.openxmlformats.org/officeDocument/2006/relationships/chart" Target="charts/chart88.xml"/><Relationship Id="rId139" Type="http://schemas.openxmlformats.org/officeDocument/2006/relationships/chart" Target="charts/chart92.xml"/><Relationship Id="rId80" Type="http://schemas.openxmlformats.org/officeDocument/2006/relationships/chart" Target="charts/chart49.xml"/><Relationship Id="rId85" Type="http://schemas.openxmlformats.org/officeDocument/2006/relationships/chart" Target="charts/chart53.xml"/><Relationship Id="rId150" Type="http://schemas.openxmlformats.org/officeDocument/2006/relationships/hyperlink" Target="https://www.dane.gov.co/files/...vida/pobreza/bol_pobreza_13.pdf" TargetMode="External"/><Relationship Id="rId155" Type="http://schemas.openxmlformats.org/officeDocument/2006/relationships/header" Target="header4.xml"/><Relationship Id="rId12" Type="http://schemas.openxmlformats.org/officeDocument/2006/relationships/hyperlink" Target="http://es.wikipedia.org/wiki/Departamentos_de_Colombia" TargetMode="External"/><Relationship Id="rId17" Type="http://schemas.openxmlformats.org/officeDocument/2006/relationships/chart" Target="charts/chart2.xml"/><Relationship Id="rId33" Type="http://schemas.openxmlformats.org/officeDocument/2006/relationships/image" Target="media/image8.jpeg"/><Relationship Id="rId38" Type="http://schemas.openxmlformats.org/officeDocument/2006/relationships/chart" Target="charts/chart20.xml"/><Relationship Id="rId59" Type="http://schemas.openxmlformats.org/officeDocument/2006/relationships/package" Target="embeddings/Microsoft_Excel_Worksheet1.xlsx"/><Relationship Id="rId103" Type="http://schemas.openxmlformats.org/officeDocument/2006/relationships/image" Target="media/image23.png"/><Relationship Id="rId108" Type="http://schemas.openxmlformats.org/officeDocument/2006/relationships/chart" Target="charts/chart69.xml"/><Relationship Id="rId124" Type="http://schemas.openxmlformats.org/officeDocument/2006/relationships/header" Target="header3.xml"/><Relationship Id="rId129" Type="http://schemas.openxmlformats.org/officeDocument/2006/relationships/chart" Target="charts/chart84.xml"/><Relationship Id="rId20" Type="http://schemas.openxmlformats.org/officeDocument/2006/relationships/chart" Target="charts/chart5.xml"/><Relationship Id="rId41" Type="http://schemas.openxmlformats.org/officeDocument/2006/relationships/image" Target="media/image9.jpeg"/><Relationship Id="rId54" Type="http://schemas.openxmlformats.org/officeDocument/2006/relationships/chart" Target="charts/chart33.xml"/><Relationship Id="rId62" Type="http://schemas.openxmlformats.org/officeDocument/2006/relationships/image" Target="media/image14.emf"/><Relationship Id="rId70" Type="http://schemas.openxmlformats.org/officeDocument/2006/relationships/chart" Target="charts/chart39.xml"/><Relationship Id="rId75" Type="http://schemas.openxmlformats.org/officeDocument/2006/relationships/chart" Target="charts/chart44.xml"/><Relationship Id="rId83" Type="http://schemas.openxmlformats.org/officeDocument/2006/relationships/image" Target="media/image17.jpeg"/><Relationship Id="rId88" Type="http://schemas.openxmlformats.org/officeDocument/2006/relationships/chart" Target="charts/chart56.xml"/><Relationship Id="rId91" Type="http://schemas.openxmlformats.org/officeDocument/2006/relationships/chart" Target="charts/chart58.xml"/><Relationship Id="rId96" Type="http://schemas.openxmlformats.org/officeDocument/2006/relationships/hyperlink" Target="file:///C:\Users\AUXPLANEACION08\AppData\Local\Microsoft\Windows\Temporary%20Internet%20Files\Content.IE5\AppData\Local\Microsoft\Windows\Temporary%20Internet%20Files\Elizabeth%20Pimienta%20V\AppData\Roaming\Microsoft\Word\www.fao.org\hunger\es\" TargetMode="External"/><Relationship Id="rId111" Type="http://schemas.openxmlformats.org/officeDocument/2006/relationships/chart" Target="charts/chart72.xml"/><Relationship Id="rId132" Type="http://schemas.openxmlformats.org/officeDocument/2006/relationships/image" Target="media/image29.png"/><Relationship Id="rId140" Type="http://schemas.openxmlformats.org/officeDocument/2006/relationships/chart" Target="charts/chart93.xml"/><Relationship Id="rId145" Type="http://schemas.openxmlformats.org/officeDocument/2006/relationships/hyperlink" Target="http://www.un.org/es/millenniumgoals/pdf/mdg-report-2014-spanish.pdf" TargetMode="External"/><Relationship Id="rId153" Type="http://schemas.openxmlformats.org/officeDocument/2006/relationships/hyperlink" Target="http://www2.unwto.org/es/content/por-que-el-turism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chart" Target="charts/chart28.xml"/><Relationship Id="rId57" Type="http://schemas.openxmlformats.org/officeDocument/2006/relationships/image" Target="media/image11.jpeg"/><Relationship Id="rId106" Type="http://schemas.openxmlformats.org/officeDocument/2006/relationships/chart" Target="charts/chart67.xml"/><Relationship Id="rId114" Type="http://schemas.openxmlformats.org/officeDocument/2006/relationships/image" Target="media/image25.emf"/><Relationship Id="rId119" Type="http://schemas.openxmlformats.org/officeDocument/2006/relationships/chart" Target="charts/chart77.xml"/><Relationship Id="rId127" Type="http://schemas.openxmlformats.org/officeDocument/2006/relationships/chart" Target="charts/chart82.xml"/><Relationship Id="rId10" Type="http://schemas.openxmlformats.org/officeDocument/2006/relationships/image" Target="media/image2.jpg"/><Relationship Id="rId31" Type="http://schemas.openxmlformats.org/officeDocument/2006/relationships/chart" Target="charts/chart14.xml"/><Relationship Id="rId44" Type="http://schemas.openxmlformats.org/officeDocument/2006/relationships/footer" Target="footer1.xml"/><Relationship Id="rId52" Type="http://schemas.openxmlformats.org/officeDocument/2006/relationships/chart" Target="charts/chart31.xml"/><Relationship Id="rId60" Type="http://schemas.openxmlformats.org/officeDocument/2006/relationships/image" Target="media/image13.emf"/><Relationship Id="rId65" Type="http://schemas.openxmlformats.org/officeDocument/2006/relationships/package" Target="embeddings/Microsoft_Excel_Worksheet4.xlsx"/><Relationship Id="rId73" Type="http://schemas.openxmlformats.org/officeDocument/2006/relationships/chart" Target="charts/chart42.xml"/><Relationship Id="rId78" Type="http://schemas.openxmlformats.org/officeDocument/2006/relationships/chart" Target="charts/chart47.xml"/><Relationship Id="rId81" Type="http://schemas.openxmlformats.org/officeDocument/2006/relationships/chart" Target="charts/chart50.xml"/><Relationship Id="rId86" Type="http://schemas.openxmlformats.org/officeDocument/2006/relationships/chart" Target="charts/chart54.xml"/><Relationship Id="rId94" Type="http://schemas.openxmlformats.org/officeDocument/2006/relationships/chart" Target="charts/chart60.xml"/><Relationship Id="rId99" Type="http://schemas.openxmlformats.org/officeDocument/2006/relationships/chart" Target="charts/chart62.xml"/><Relationship Id="rId101" Type="http://schemas.openxmlformats.org/officeDocument/2006/relationships/chart" Target="charts/chart64.xml"/><Relationship Id="rId122" Type="http://schemas.openxmlformats.org/officeDocument/2006/relationships/chart" Target="charts/chart80.xml"/><Relationship Id="rId130" Type="http://schemas.openxmlformats.org/officeDocument/2006/relationships/chart" Target="charts/chart85.xml"/><Relationship Id="rId135" Type="http://schemas.openxmlformats.org/officeDocument/2006/relationships/chart" Target="charts/chart89.xml"/><Relationship Id="rId143" Type="http://schemas.openxmlformats.org/officeDocument/2006/relationships/hyperlink" Target="http://biblioteca.clacso.edu.ar/ar/libros/clacso/crop/glosario/glosario.pdf" TargetMode="External"/><Relationship Id="rId148" Type="http://schemas.openxmlformats.org/officeDocument/2006/relationships/hyperlink" Target="https://www.sisben.gov.co/Informaci%C3%B3n/tabid/96/articleType/ArticleView/articleId/14/Publicacion-Base-Certificada-Corte-Noviembre-de-2013.aspx" TargetMode="External"/><Relationship Id="rId151" Type="http://schemas.openxmlformats.org/officeDocument/2006/relationships/hyperlink" Target="http://www.dane.gov.co/files/investigaciones/condiciones_vida/pobreza/Quindio_Pobreza_2012.pdf" TargetMode="Externa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es.wikipedia.org/wiki/Armenia_(Quind%C3%ADo)" TargetMode="External"/><Relationship Id="rId18" Type="http://schemas.openxmlformats.org/officeDocument/2006/relationships/chart" Target="charts/chart3.xml"/><Relationship Id="rId39" Type="http://schemas.openxmlformats.org/officeDocument/2006/relationships/chart" Target="charts/chart21.xml"/><Relationship Id="rId109" Type="http://schemas.openxmlformats.org/officeDocument/2006/relationships/chart" Target="charts/chart70.xml"/><Relationship Id="rId34" Type="http://schemas.openxmlformats.org/officeDocument/2006/relationships/chart" Target="charts/chart16.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chart" Target="charts/chart45.xml"/><Relationship Id="rId97" Type="http://schemas.openxmlformats.org/officeDocument/2006/relationships/chart" Target="charts/chart61.xml"/><Relationship Id="rId104" Type="http://schemas.openxmlformats.org/officeDocument/2006/relationships/chart" Target="charts/chart65.xml"/><Relationship Id="rId120" Type="http://schemas.openxmlformats.org/officeDocument/2006/relationships/chart" Target="charts/chart78.xml"/><Relationship Id="rId125" Type="http://schemas.openxmlformats.org/officeDocument/2006/relationships/image" Target="media/image28.png"/><Relationship Id="rId141" Type="http://schemas.openxmlformats.org/officeDocument/2006/relationships/hyperlink" Target="https://www.dane.gov.co/files/banco_datos/Migracion/migracion_interna_Clbia.pdf" TargetMode="External"/><Relationship Id="rId146" Type="http://schemas.openxmlformats.org/officeDocument/2006/relationships/hyperlink" Target="http://bibliotecavirtual.clacso.org.ar/ar/libros/clacso/crop/glosario/b.pdf" TargetMode="External"/><Relationship Id="rId7" Type="http://schemas.openxmlformats.org/officeDocument/2006/relationships/footnotes" Target="footnotes.xml"/><Relationship Id="rId71" Type="http://schemas.openxmlformats.org/officeDocument/2006/relationships/chart" Target="charts/chart40.xml"/><Relationship Id="rId92" Type="http://schemas.openxmlformats.org/officeDocument/2006/relationships/chart" Target="charts/chart59.xml"/><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image" Target="media/image7.emf"/><Relationship Id="rId40" Type="http://schemas.openxmlformats.org/officeDocument/2006/relationships/chart" Target="charts/chart22.xml"/><Relationship Id="rId45" Type="http://schemas.openxmlformats.org/officeDocument/2006/relationships/chart" Target="charts/chart24.xml"/><Relationship Id="rId66" Type="http://schemas.openxmlformats.org/officeDocument/2006/relationships/chart" Target="charts/chart36.xml"/><Relationship Id="rId87" Type="http://schemas.openxmlformats.org/officeDocument/2006/relationships/chart" Target="charts/chart55.xml"/><Relationship Id="rId110" Type="http://schemas.openxmlformats.org/officeDocument/2006/relationships/chart" Target="charts/chart71.xml"/><Relationship Id="rId115" Type="http://schemas.openxmlformats.org/officeDocument/2006/relationships/chart" Target="charts/chart74.xml"/><Relationship Id="rId131" Type="http://schemas.openxmlformats.org/officeDocument/2006/relationships/chart" Target="charts/chart86.xml"/><Relationship Id="rId136" Type="http://schemas.openxmlformats.org/officeDocument/2006/relationships/chart" Target="charts/chart90.xml"/><Relationship Id="rId157" Type="http://schemas.openxmlformats.org/officeDocument/2006/relationships/theme" Target="theme/theme1.xml"/><Relationship Id="rId61" Type="http://schemas.openxmlformats.org/officeDocument/2006/relationships/package" Target="embeddings/Microsoft_Excel_Worksheet2.xlsx"/><Relationship Id="rId82" Type="http://schemas.openxmlformats.org/officeDocument/2006/relationships/chart" Target="charts/chart51.xml"/><Relationship Id="rId152" Type="http://schemas.openxmlformats.org/officeDocument/2006/relationships/hyperlink" Target="http://www.minminas.gov.co/minminas/downloads/UserFiles/File/GAS/Gas%20Natural/COBERTURAS/2013/Preliminar%20II%20COBERTURAS_IV_TRIM_2013_10_03_2014%20%282%29.pdf" TargetMode="External"/><Relationship Id="rId19" Type="http://schemas.openxmlformats.org/officeDocument/2006/relationships/chart" Target="charts/chart4.xml"/><Relationship Id="rId14" Type="http://schemas.openxmlformats.org/officeDocument/2006/relationships/image" Target="media/image4.jpeg"/><Relationship Id="rId30" Type="http://schemas.openxmlformats.org/officeDocument/2006/relationships/chart" Target="charts/chart13.xml"/><Relationship Id="rId35" Type="http://schemas.openxmlformats.org/officeDocument/2006/relationships/chart" Target="charts/chart17.xml"/><Relationship Id="rId56" Type="http://schemas.openxmlformats.org/officeDocument/2006/relationships/chart" Target="charts/chart35.xml"/><Relationship Id="rId77" Type="http://schemas.openxmlformats.org/officeDocument/2006/relationships/chart" Target="charts/chart46.xml"/><Relationship Id="rId100" Type="http://schemas.openxmlformats.org/officeDocument/2006/relationships/chart" Target="charts/chart63.xml"/><Relationship Id="rId105" Type="http://schemas.openxmlformats.org/officeDocument/2006/relationships/chart" Target="charts/chart66.xml"/><Relationship Id="rId126" Type="http://schemas.openxmlformats.org/officeDocument/2006/relationships/chart" Target="charts/chart81.xml"/><Relationship Id="rId147" Type="http://schemas.openxmlformats.org/officeDocument/2006/relationships/hyperlink" Target="http://bojaca-cundinamarca.gov.co/apc-aa-files/63323939623666643533363962663062/conpes_117_de_2008_1.pdf" TargetMode="External"/><Relationship Id="rId8" Type="http://schemas.openxmlformats.org/officeDocument/2006/relationships/endnotes" Target="endnotes.xml"/><Relationship Id="rId51" Type="http://schemas.openxmlformats.org/officeDocument/2006/relationships/chart" Target="charts/chart30.xml"/><Relationship Id="rId72" Type="http://schemas.openxmlformats.org/officeDocument/2006/relationships/chart" Target="charts/chart41.xml"/><Relationship Id="rId93" Type="http://schemas.openxmlformats.org/officeDocument/2006/relationships/image" Target="media/image19.png"/><Relationship Id="rId98" Type="http://schemas.openxmlformats.org/officeDocument/2006/relationships/header" Target="header2.xml"/><Relationship Id="rId121" Type="http://schemas.openxmlformats.org/officeDocument/2006/relationships/chart" Target="charts/chart79.xml"/><Relationship Id="rId142" Type="http://schemas.openxmlformats.org/officeDocument/2006/relationships/hyperlink" Target="http://www.migracioncolombia.gov.co/index.php/estudios-migratorios/estadisticas" TargetMode="External"/><Relationship Id="rId3" Type="http://schemas.openxmlformats.org/officeDocument/2006/relationships/styles" Target="styles.xml"/><Relationship Id="rId25" Type="http://schemas.openxmlformats.org/officeDocument/2006/relationships/chart" Target="charts/chart8.xml"/><Relationship Id="rId46" Type="http://schemas.openxmlformats.org/officeDocument/2006/relationships/chart" Target="charts/chart25.xml"/><Relationship Id="rId67" Type="http://schemas.openxmlformats.org/officeDocument/2006/relationships/chart" Target="charts/chart37.xml"/><Relationship Id="rId116" Type="http://schemas.openxmlformats.org/officeDocument/2006/relationships/chart" Target="charts/chart75.xml"/><Relationship Id="rId137" Type="http://schemas.openxmlformats.org/officeDocument/2006/relationships/chart" Target="charts/chart9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header4.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loriaInes\Documents\Evidencias%203ra.%20Cta%20de%20Cobro%20C.P.S.%20No.%20120\Borrador%20Anuario%20Estad&#237;stico%20A&#241;o%202013\Borrador%20cuadros%20y%20mapas%20del%20Dx.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loriaInes\Documents\Cta%2008%20Adici&#242;n%20No.%2001\Diagn&#243;stico\Tbala%20pobreza%20y%20pobreza%20extrem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loriaInes\Documents\Cta%20Adici&#242;n%20No.%2002\Diagn&#243;stico\Tbala%20pobreza%20y%20pobreza%20extrem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loriaInes\Documents\CTA%20No.%2001%20OCT%20a%20DIC%2014\Ajustes%20contrato%20No.%20120%20Octubre%202014\Gini%20Arm.%202012%202013\Gin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loriaInes\Documents\CTA%20No.%2001%20OCT%20a%20DIC%2014\Ajustes%20contrato%20No.%20120%20Octubre%202014\Gini%20Arm.%202012%202013\Gin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loriaInes\Documents\Evidencias%204ta.%20Cta%20No%2004%20C.P.S.%20120\DIAGN&#211;STICO\Cuadros%20SISBE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OBSERVATORIO%20ECON&#211;MICO\INFORME%20DIAGN&#211;STICO\CAPITULOS\CONSOLIDACI&#211;N%20AJUSTADA\DIAGNOSTICOS%20CLARITA%20-%20GLORIA\Copia%20de%20Soporte%20estratificaci&#243;n.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Ximena%20Pardo%20P8\XPARDOP\COBERTURAS\Tasas%20201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Elizabeth%20Pimienta%20V\Desktop\EDUCACI&#211;N\tablas%20apoyo%20analisis%20de%20Educaci&#243;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lizabeth%20Pimienta%20V\Desktop\EDUCACI&#211;N\tablas%20apoyo%20analisis%20de%20Educaci&#243;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OBSERVATORIO%20ECON&#211;MICO\ANUARIO%20ESTAD&#205;STICO\VIGENCIA%202013\CARTA%20ESTAD&#205;STICA\SOPORTES\Piramides%20poblacionales.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Elizabeth%20Pimienta%20V\Desktop\EDUCACI&#211;N\tablas%20apoyo%20analisis%20de%20Educaci&#243;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Elizabeth%20Pimienta%20V\Desktop\EDUCACI&#211;N\tablas%20apoyo%20analisis%20de%20Educaci&#243;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Elizabeth%20Pimienta%20V\Desktop\EDUCACI&#211;N\tablas%20apoyo%20analisis%20de%20Educaci&#243;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E:\OBSERVATORIO%20ECON&#211;MICO\ANUARIO%20ESTAD&#205;STICO\VIGENCIA%202013\CARTA%20ESTAD&#205;STICA\SOPORTES\Piramides%20poblacionales.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Administrador\Escritorio\CAPITULO%20SERVICIOS%20PUBLICOS\GRAFICOS%20SERVICIOS%20PUBLICO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Administrador\Escritorio\Libro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Documents%20and%20Settings\Administrador\Mis%20documentos\Downloads\Libro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Windows\Temp\Libro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UXPLANEACION08\AppData\Local\Microsoft\Windows\Temporary%20Internet%20Files\Content.IE5\U4G8TZML\GRAFICO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E:\OBSERVATORIO%20ECON&#211;MICO\ANUARIO%20ESTAD&#205;STICO\VIGENCIA%202013\CARTA%20ESTAD&#205;STICA\SOPORTES\Piramides%20poblacionales.xlsx"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Administrador\Escritorio\capito%20construccion\Libro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Administrador\Escritorio\capito%20construccion\Libro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Administrador\Escritorio\capito%20construccion\Libro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UXPLANEACION13\AppData\Local\Microsoft\Windows\Temporary%20Internet%20Files\Content.IE5\H73NKIIN\graficos%20construcci&#243;n.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UXPLANEACION08\AppData\Local\Microsoft\Windows\Temporary%20Internet%20Files\Content.IE5\9H0RWUKR\graficos%20construcci&#243;n%20(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UXPLANEACION08\AppData\Local\Microsoft\Windows\Temporary%20Internet%20Files\Content.IE5\9H0RWUKR\graficos%20construcci&#243;n%20(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UXPLANEACION08\AppData\Local\Microsoft\Windows\Temporary%20Internet%20Files\Content.IE5\9H0RWUKR\graficos%20construcci&#243;n%20(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Documents%20and%20Settings\Administrador\Escritorio\capito%20construccion\Libro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Documents%20and%20Settings\Administrador\Escritorio\capito%20construccion\Libro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Documents%20and%20Settings\Administrador\Escritorio\capito%20construccion\Libro1.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E:\OBSERVATORIO%20ECON&#211;MICO\ANUARIO%20ESTAD&#205;STICO\VIGENCIA%202013\CARTA%20ESTAD&#205;STICA\SOPORTES\Piramides%20poblacionales.xlsx" TargetMode="External"/><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1" Type="http://schemas.openxmlformats.org/officeDocument/2006/relationships/oleObject" Target="file:///C:\Documents%20and%20Settings\Administrador\Escritorio\clara\capitulo%20construccion\ANEXOS\anexos_finviv_IVtrim13.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Administrador\Escritorio\clara\capitulo%20construccion\ANEXOS\anexos_finviv_IVtrim13.xls" TargetMode="External"/></Relationships>
</file>

<file path=word/charts/_rels/chart5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7.xml"/></Relationships>
</file>

<file path=word/charts/_rels/chart5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8.xml"/></Relationships>
</file>

<file path=word/charts/_rels/chart5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9.xml"/></Relationships>
</file>

<file path=word/charts/_rels/chart55.xml.rels><?xml version="1.0" encoding="UTF-8" standalone="yes"?>
<Relationships xmlns="http://schemas.openxmlformats.org/package/2006/relationships"><Relationship Id="rId2" Type="http://schemas.openxmlformats.org/officeDocument/2006/relationships/oleObject" Target="file:///G:\PLANEACI&#211;N\cuenta%20de%20cobro\Marzo-abril\cuadros%20y%20gr&#225;ficas%202013.xlsx" TargetMode="External"/><Relationship Id="rId1" Type="http://schemas.openxmlformats.org/officeDocument/2006/relationships/themeOverride" Target="../theme/themeOverride10.xml"/></Relationships>
</file>

<file path=word/charts/_rels/chart56.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1.xml"/></Relationships>
</file>

<file path=word/charts/_rels/chart57.xml.rels><?xml version="1.0" encoding="UTF-8" standalone="yes"?>
<Relationships xmlns="http://schemas.openxmlformats.org/package/2006/relationships"><Relationship Id="rId2" Type="http://schemas.openxmlformats.org/officeDocument/2006/relationships/oleObject" Target="file:///G:\PLANEACI&#211;N\cuenta%20de%20cobro\Abril-Mayo\Anuario\FINANZAS%20P&#218;BLICAS%202013.xlsx" TargetMode="External"/><Relationship Id="rId1" Type="http://schemas.openxmlformats.org/officeDocument/2006/relationships/themeOverride" Target="../theme/themeOverride12.xml"/></Relationships>
</file>

<file path=word/charts/_rels/chart58.xml.rels><?xml version="1.0" encoding="UTF-8" standalone="yes"?>
<Relationships xmlns="http://schemas.openxmlformats.org/package/2006/relationships"><Relationship Id="rId2" Type="http://schemas.openxmlformats.org/officeDocument/2006/relationships/oleObject" Target="file:///G:\PLANEACI&#211;N\cuenta%20de%20cobro\Abril-Mayo\Anuario\FINANZAS%20P&#218;BLICAS%202013.xlsx" TargetMode="External"/><Relationship Id="rId1" Type="http://schemas.openxmlformats.org/officeDocument/2006/relationships/themeOverride" Target="../theme/themeOverride13.xml"/></Relationships>
</file>

<file path=word/charts/_rels/chart5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F:\DIAGN&#211;STICO\Borrador%20Discapacidad.xlsx" TargetMode="External"/><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oleObject" Target="file:///G:\PLANEACI&#211;N\cuenta%20de%20cobro\Abril-Mayo\Anuario\PRECIOS.xlsx" TargetMode="External"/><Relationship Id="rId1" Type="http://schemas.openxmlformats.org/officeDocument/2006/relationships/themeOverride" Target="../theme/themeOverride14.xml"/></Relationships>
</file>

<file path=word/charts/_rels/chart6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2.xml.rels><?xml version="1.0" encoding="UTF-8" standalone="yes"?>
<Relationships xmlns="http://schemas.openxmlformats.org/package/2006/relationships"><Relationship Id="rId2" Type="http://schemas.openxmlformats.org/officeDocument/2006/relationships/oleObject" Target="file:///C:\Users\AUXPLANEACION08\AppData\Local\Microsoft\Windows\Temporary%20Internet%20Files\Content.IE5\J21K44C9\Clases%20de%20Pastos%20graficos.xlsx" TargetMode="External"/><Relationship Id="rId1" Type="http://schemas.openxmlformats.org/officeDocument/2006/relationships/themeOverride" Target="../theme/themeOverride15.xml"/></Relationships>
</file>

<file path=word/charts/_rels/chart63.xml.rels><?xml version="1.0" encoding="UTF-8" standalone="yes"?>
<Relationships xmlns="http://schemas.openxmlformats.org/package/2006/relationships"><Relationship Id="rId1" Type="http://schemas.openxmlformats.org/officeDocument/2006/relationships/oleObject" Target="file:///C:\Users\Elizabeth%20Pimienta%20V\Desktop\AGRICULTURAA\cuadros%20en%20excel%20para%20sector%20agropecurio\graficos%20y%20tablas%20del%20diagnostico.xlsx" TargetMode="External"/></Relationships>
</file>

<file path=word/charts/_rels/chart64.xml.rels><?xml version="1.0" encoding="UTF-8" standalone="yes"?>
<Relationships xmlns="http://schemas.openxmlformats.org/package/2006/relationships"><Relationship Id="rId2" Type="http://schemas.openxmlformats.org/officeDocument/2006/relationships/oleObject" Target="file:///C:\Users\Elizabeth%20Pimienta%20V\Desktop\graficos%20y%20tablas%20del%20diagnostico.xlsx" TargetMode="External"/><Relationship Id="rId1" Type="http://schemas.openxmlformats.org/officeDocument/2006/relationships/themeOverride" Target="../theme/themeOverride16.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CLARITA\Desktop\DOCUMENTOS%20OBSERVATORIO\salario%20minimo.xlsx" TargetMode="External"/><Relationship Id="rId1" Type="http://schemas.openxmlformats.org/officeDocument/2006/relationships/themeOverride" Target="../theme/themeOverride17.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CLARITA\Desktop\DOCUMENTOS%20OBSERVATORIO\salario%20minimo.xlsx" TargetMode="External"/><Relationship Id="rId1" Type="http://schemas.openxmlformats.org/officeDocument/2006/relationships/themeOverride" Target="../theme/themeOverride18.xml"/></Relationships>
</file>

<file path=word/charts/_rels/chart67.xml.rels><?xml version="1.0" encoding="UTF-8" standalone="yes"?>
<Relationships xmlns="http://schemas.openxmlformats.org/package/2006/relationships"><Relationship Id="rId2" Type="http://schemas.openxmlformats.org/officeDocument/2006/relationships/oleObject" Target="file:///C:\Windows\Temp\GEIH_QUINDIO_2013.xlsx" TargetMode="External"/><Relationship Id="rId1" Type="http://schemas.openxmlformats.org/officeDocument/2006/relationships/themeOverride" Target="../theme/themeOverride19.xml"/></Relationships>
</file>

<file path=word/charts/_rels/chart68.xml.rels><?xml version="1.0" encoding="UTF-8" standalone="yes"?>
<Relationships xmlns="http://schemas.openxmlformats.org/package/2006/relationships"><Relationship Id="rId2" Type="http://schemas.openxmlformats.org/officeDocument/2006/relationships/oleObject" Target="file:///C:\Windows\Temp\GEIH_QUINDIO_2013.xlsx" TargetMode="External"/><Relationship Id="rId1" Type="http://schemas.openxmlformats.org/officeDocument/2006/relationships/themeOverride" Target="../theme/themeOverride20.xml"/></Relationships>
</file>

<file path=word/charts/_rels/chart69.xml.rels><?xml version="1.0" encoding="UTF-8" standalone="yes"?>
<Relationships xmlns="http://schemas.openxmlformats.org/package/2006/relationships"><Relationship Id="rId2" Type="http://schemas.openxmlformats.org/officeDocument/2006/relationships/oleObject" Target="file:///C:\Documents%20and%20Settings\Administrador\Escritorio\ANUARIO%20ESTADISTICO\GEIH_QUINDIO_2013.xlsx" TargetMode="External"/><Relationship Id="rId1" Type="http://schemas.openxmlformats.org/officeDocument/2006/relationships/themeOverride" Target="../theme/themeOverride2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UXPLANEACION08\Desktop\GIMB\Borrador%20Discapacidad.xlsx" TargetMode="External"/><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2" Type="http://schemas.openxmlformats.org/officeDocument/2006/relationships/oleObject" Target="file:///C:\Documents%20and%20Settings\Administrador\Escritorio\ANUARIO%20ESTADISTICO\GEIH_QUINDIO_2013.xlsx" TargetMode="External"/><Relationship Id="rId1" Type="http://schemas.openxmlformats.org/officeDocument/2006/relationships/themeOverride" Target="../theme/themeOverride22.xml"/></Relationships>
</file>

<file path=word/charts/_rels/chart71.xml.rels><?xml version="1.0" encoding="UTF-8" standalone="yes"?>
<Relationships xmlns="http://schemas.openxmlformats.org/package/2006/relationships"><Relationship Id="rId2" Type="http://schemas.openxmlformats.org/officeDocument/2006/relationships/oleObject" Target="file:///C:\Documents%20and%20Settings\Administrador\Escritorio\ANUARIO%20ESTADISTICO\GEIH_QUINDIO_2013.xlsx" TargetMode="External"/><Relationship Id="rId1" Type="http://schemas.openxmlformats.org/officeDocument/2006/relationships/themeOverride" Target="../theme/themeOverride23.xml"/></Relationships>
</file>

<file path=word/charts/_rels/chart72.xml.rels><?xml version="1.0" encoding="UTF-8" standalone="yes"?>
<Relationships xmlns="http://schemas.openxmlformats.org/package/2006/relationships"><Relationship Id="rId2" Type="http://schemas.openxmlformats.org/officeDocument/2006/relationships/oleObject" Target="file:///C:\Documents%20and%20Settings\Administrador\Escritorio\ANUARIO%20ESTADISTICO\GEIH_QUINDIO_2013.xlsx" TargetMode="External"/><Relationship Id="rId1" Type="http://schemas.openxmlformats.org/officeDocument/2006/relationships/themeOverride" Target="../theme/themeOverride24.xml"/></Relationships>
</file>

<file path=word/charts/_rels/chart73.xml.rels><?xml version="1.0" encoding="UTF-8" standalone="yes"?>
<Relationships xmlns="http://schemas.openxmlformats.org/package/2006/relationships"><Relationship Id="rId2" Type="http://schemas.openxmlformats.org/officeDocument/2006/relationships/oleObject" Target="file:///C:\Documents%20and%20Settings\Administrador\Escritorio\ANUARIO%20ESTADISTICO\GEIH_QUINDIO_2013.xlsx" TargetMode="External"/><Relationship Id="rId1" Type="http://schemas.openxmlformats.org/officeDocument/2006/relationships/themeOverride" Target="../theme/themeOverride25.xml"/></Relationships>
</file>

<file path=word/charts/_rels/chart7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6.xml"/></Relationships>
</file>

<file path=word/charts/_rels/chart7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7.xml"/></Relationships>
</file>

<file path=word/charts/_rels/chart7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AUXPLANEACION08\AppData\Local\Microsoft\Windows\Temporary%20Internet%20Files\Content.IE5\POUUPF0M\GRAFICA1%20TURISMO.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D:\INFORMACION%20OSKAR\OBSERVATORIO%20ECONOMICO\Turismo\2.%20Carta%20Estadistica%20Turismo.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D:\INFORMACION%20OSKAR\OBSERVATORIO%20ECONOMICO\Turismo\2.%20Carta%20Estadistica%20Turism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loriaInes\Documents\Cta%20Adici&#242;n%20No.%2002\Diagn&#243;stico\Tbala%20pobreza%20y%20pobreza%20extrema.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D:\INFORMACION%20OSKAR\OBSERVATORIO%20ECONOMICO\Turismo\2.%20Carta%20Estadistica%20Turismo.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Elizabeth%20Pimienta%20V\Desktop\SALUD\Tablas%20para%20analisis%20salud\VITALES%202011%20Revisado%20ULT.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Elizabeth%20Pimienta%20V\Desktop\Tablas%20para%20analisis%20salud\tabla%20sin%20colocar.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Elizabeth%20Pimienta%20V\Desktop\Tablas%20para%20analisis%20salud\tabla%20sin%20colocar.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Elizabeth%20Pimienta%20V\Desktop\Tablas%20para%20analisis%20salud\tabla%20sin%20colocar.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Elizabeth%20Pimienta%20V\Desktop\Tablas%20para%20analisis%20salud\tabla%20sin%20colocar.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Elizabeth%20Pimienta%20V\Desktop\Tablas%20para%20analisis%20salud\tabla%20sin%20colocar.xlsx" TargetMode="External"/></Relationships>
</file>

<file path=word/charts/_rels/chart87.xml.rels><?xml version="1.0" encoding="UTF-8" standalone="yes"?>
<Relationships xmlns="http://schemas.openxmlformats.org/package/2006/relationships"><Relationship Id="rId2" Type="http://schemas.openxmlformats.org/officeDocument/2006/relationships/oleObject" Target="file:///E:\OBSERVATORIO%20ECON&#211;MICO\INFORME%20DIAGN&#211;STICO\CAPITULOS\Archivos%20de%20procesamiento\PIB%20-2013.xlsx" TargetMode="External"/><Relationship Id="rId1" Type="http://schemas.openxmlformats.org/officeDocument/2006/relationships/themeOverride" Target="../theme/themeOverride28.xml"/></Relationships>
</file>

<file path=word/charts/_rels/chart88.xml.rels><?xml version="1.0" encoding="UTF-8" standalone="yes"?>
<Relationships xmlns="http://schemas.openxmlformats.org/package/2006/relationships"><Relationship Id="rId2" Type="http://schemas.openxmlformats.org/officeDocument/2006/relationships/oleObject" Target="file:///E:\OBSERVATORIO%20ECON&#211;MICO\INFORME%20DIAGN&#211;STICO\CAPITULOS\Archivos%20de%20procesamiento\PIB%20-2013.xlsx" TargetMode="External"/><Relationship Id="rId1" Type="http://schemas.openxmlformats.org/officeDocument/2006/relationships/themeOverride" Target="../theme/themeOverride29.xml"/></Relationships>
</file>

<file path=word/charts/_rels/chart89.xml.rels><?xml version="1.0" encoding="UTF-8" standalone="yes"?>
<Relationships xmlns="http://schemas.openxmlformats.org/package/2006/relationships"><Relationship Id="rId2" Type="http://schemas.openxmlformats.org/officeDocument/2006/relationships/oleObject" Target="file:///E:\OBSERVATORIO%20ECON&#211;MICO\INFORME%20DIAGN&#211;STICO\CAPITULOS\Archivos%20de%20procesamiento\PIB%20-2013.xlsx" TargetMode="External"/><Relationship Id="rId1" Type="http://schemas.openxmlformats.org/officeDocument/2006/relationships/themeOverride" Target="../theme/themeOverride30.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GloriaInes\Documents\Cta%20Adici&#242;n%20No.%2002\Diagn&#243;stico\Tbala%20pobreza%20y%20pobreza%20extrema.xlsx" TargetMode="External"/></Relationships>
</file>

<file path=word/charts/_rels/chart90.xml.rels><?xml version="1.0" encoding="UTF-8" standalone="yes"?>
<Relationships xmlns="http://schemas.openxmlformats.org/package/2006/relationships"><Relationship Id="rId2" Type="http://schemas.openxmlformats.org/officeDocument/2006/relationships/oleObject" Target="file:///E:\OBSERVATORIO%20ECON&#211;MICO\INFORME%20DIAGN&#211;STICO\CAPITULOS\Archivos%20de%20procesamiento\PIB%20-2013.xlsx" TargetMode="External"/><Relationship Id="rId1" Type="http://schemas.openxmlformats.org/officeDocument/2006/relationships/themeOverride" Target="../theme/themeOverride31.xml"/></Relationships>
</file>

<file path=word/charts/_rels/chart91.xml.rels><?xml version="1.0" encoding="UTF-8" standalone="yes"?>
<Relationships xmlns="http://schemas.openxmlformats.org/package/2006/relationships"><Relationship Id="rId2" Type="http://schemas.openxmlformats.org/officeDocument/2006/relationships/oleObject" Target="file:///E:\OBSERVATORIO%20ECON&#211;MICO\INFORME%20DIAGN&#211;STICO\CAPITULOS\Archivos%20de%20procesamiento\PIB%20-2013.xlsx" TargetMode="External"/><Relationship Id="rId1" Type="http://schemas.openxmlformats.org/officeDocument/2006/relationships/themeOverride" Target="../theme/themeOverride32.xml"/></Relationships>
</file>

<file path=word/charts/_rels/chart92.xml.rels><?xml version="1.0" encoding="UTF-8" standalone="yes"?>
<Relationships xmlns="http://schemas.openxmlformats.org/package/2006/relationships"><Relationship Id="rId1" Type="http://schemas.openxmlformats.org/officeDocument/2006/relationships/oleObject" Target="file:///E:\OBSERVATORIO%20ECON&#211;MICO\INFORME%20DIAGN&#211;STICO\CAPITULOS\Archivos%20de%20procesamiento\PIB%20-2013.xlsx" TargetMode="External"/></Relationships>
</file>

<file path=word/charts/_rels/chart93.xml.rels><?xml version="1.0" encoding="UTF-8" standalone="yes"?>
<Relationships xmlns="http://schemas.openxmlformats.org/package/2006/relationships"><Relationship Id="rId2" Type="http://schemas.openxmlformats.org/officeDocument/2006/relationships/oleObject" Target="file:///E:\OBSERVATORIO%20ECON&#211;MICO\INFORME%20DIAGN&#211;STICO\CAPITULOS\Archivos%20de%20procesamiento\PIB%20-2013.xlsx" TargetMode="External"/><Relationship Id="rId1" Type="http://schemas.openxmlformats.org/officeDocument/2006/relationships/themeOverride" Target="../theme/themeOverride3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9662944276737526"/>
          <c:y val="3.6745784474782411E-2"/>
          <c:w val="0.80337063624243465"/>
          <c:h val="0.67228941703464062"/>
        </c:manualLayout>
      </c:layout>
      <c:bar3DChart>
        <c:barDir val="col"/>
        <c:grouping val="clustered"/>
        <c:varyColors val="0"/>
        <c:ser>
          <c:idx val="1"/>
          <c:order val="0"/>
          <c:tx>
            <c:strRef>
              <c:f>[1]Hoja1!$B$5</c:f>
              <c:strCache>
                <c:ptCount val="1"/>
                <c:pt idx="0">
                  <c:v>Total</c:v>
                </c:pt>
              </c:strCache>
            </c:strRef>
          </c:tx>
          <c:invertIfNegative val="0"/>
          <c:cat>
            <c:numRef>
              <c:f>[1]Hoja1!$C$4:$K$4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[1]Hoja1!$C$5:$K$5</c:f>
              <c:numCache>
                <c:formatCode>General</c:formatCode>
                <c:ptCount val="9"/>
                <c:pt idx="0">
                  <c:v>534506</c:v>
                </c:pt>
                <c:pt idx="1">
                  <c:v>537530</c:v>
                </c:pt>
                <c:pt idx="2">
                  <c:v>540533</c:v>
                </c:pt>
                <c:pt idx="3">
                  <c:v>543579</c:v>
                </c:pt>
                <c:pt idx="4">
                  <c:v>546593</c:v>
                </c:pt>
                <c:pt idx="5">
                  <c:v>549662</c:v>
                </c:pt>
                <c:pt idx="6">
                  <c:v>552755</c:v>
                </c:pt>
                <c:pt idx="7">
                  <c:v>555836</c:v>
                </c:pt>
                <c:pt idx="8">
                  <c:v>558969</c:v>
                </c:pt>
              </c:numCache>
            </c:numRef>
          </c:val>
        </c:ser>
        <c:ser>
          <c:idx val="2"/>
          <c:order val="1"/>
          <c:tx>
            <c:strRef>
              <c:f>[1]Hoja1!$B$6</c:f>
              <c:strCache>
                <c:ptCount val="1"/>
                <c:pt idx="0">
                  <c:v>Cabecera</c:v>
                </c:pt>
              </c:strCache>
            </c:strRef>
          </c:tx>
          <c:invertIfNegative val="0"/>
          <c:cat>
            <c:numRef>
              <c:f>[1]Hoja1!$C$4:$K$4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[1]Hoja1!$C$6:$K$6</c:f>
              <c:numCache>
                <c:formatCode>General</c:formatCode>
                <c:ptCount val="9"/>
                <c:pt idx="0">
                  <c:v>462333</c:v>
                </c:pt>
                <c:pt idx="1">
                  <c:v>465801</c:v>
                </c:pt>
                <c:pt idx="2">
                  <c:v>469193</c:v>
                </c:pt>
                <c:pt idx="3">
                  <c:v>472563</c:v>
                </c:pt>
                <c:pt idx="4">
                  <c:v>475905</c:v>
                </c:pt>
                <c:pt idx="5">
                  <c:v>479253</c:v>
                </c:pt>
                <c:pt idx="6">
                  <c:v>482623</c:v>
                </c:pt>
                <c:pt idx="7">
                  <c:v>485952</c:v>
                </c:pt>
                <c:pt idx="8">
                  <c:v>489301</c:v>
                </c:pt>
              </c:numCache>
            </c:numRef>
          </c:val>
        </c:ser>
        <c:ser>
          <c:idx val="3"/>
          <c:order val="2"/>
          <c:tx>
            <c:strRef>
              <c:f>[1]Hoja1!$B$7</c:f>
              <c:strCache>
                <c:ptCount val="1"/>
                <c:pt idx="0">
                  <c:v>Resto</c:v>
                </c:pt>
              </c:strCache>
            </c:strRef>
          </c:tx>
          <c:invertIfNegative val="0"/>
          <c:cat>
            <c:numRef>
              <c:f>[1]Hoja1!$C$4:$K$4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[1]Hoja1!$C$7:$K$7</c:f>
              <c:numCache>
                <c:formatCode>General</c:formatCode>
                <c:ptCount val="9"/>
                <c:pt idx="0">
                  <c:v>72173</c:v>
                </c:pt>
                <c:pt idx="1">
                  <c:v>71729</c:v>
                </c:pt>
                <c:pt idx="2">
                  <c:v>71340</c:v>
                </c:pt>
                <c:pt idx="3">
                  <c:v>71016</c:v>
                </c:pt>
                <c:pt idx="4">
                  <c:v>70688</c:v>
                </c:pt>
                <c:pt idx="5">
                  <c:v>70409</c:v>
                </c:pt>
                <c:pt idx="6">
                  <c:v>70132</c:v>
                </c:pt>
                <c:pt idx="7">
                  <c:v>69884</c:v>
                </c:pt>
                <c:pt idx="8">
                  <c:v>69668</c:v>
                </c:pt>
              </c:numCache>
            </c:numRef>
          </c:val>
        </c:ser>
        <c:dLbls>
          <c:showLegendKey val="0"/>
          <c:showVal val="0"/>
          <c:showCatName val="0"/>
          <c:showSerName val="0"/>
          <c:showPercent val="0"/>
          <c:showBubbleSize val="0"/>
        </c:dLbls>
        <c:gapWidth val="150"/>
        <c:shape val="box"/>
        <c:axId val="153194880"/>
        <c:axId val="153196416"/>
        <c:axId val="0"/>
      </c:bar3DChart>
      <c:catAx>
        <c:axId val="153194880"/>
        <c:scaling>
          <c:orientation val="minMax"/>
        </c:scaling>
        <c:delete val="0"/>
        <c:axPos val="b"/>
        <c:numFmt formatCode="General" sourceLinked="1"/>
        <c:majorTickMark val="out"/>
        <c:minorTickMark val="none"/>
        <c:tickLblPos val="nextTo"/>
        <c:txPr>
          <a:bodyPr rot="-5400000" vert="horz"/>
          <a:lstStyle/>
          <a:p>
            <a:pPr>
              <a:defRPr lang="es-MX">
                <a:latin typeface="Times New Roman" pitchFamily="18" charset="0"/>
                <a:cs typeface="Times New Roman" pitchFamily="18" charset="0"/>
              </a:defRPr>
            </a:pPr>
            <a:endParaRPr lang="es-CO"/>
          </a:p>
        </c:txPr>
        <c:crossAx val="153196416"/>
        <c:crosses val="autoZero"/>
        <c:auto val="1"/>
        <c:lblAlgn val="ctr"/>
        <c:lblOffset val="100"/>
        <c:noMultiLvlLbl val="0"/>
      </c:catAx>
      <c:valAx>
        <c:axId val="153196416"/>
        <c:scaling>
          <c:orientation val="minMax"/>
        </c:scaling>
        <c:delete val="0"/>
        <c:axPos val="l"/>
        <c:title>
          <c:tx>
            <c:rich>
              <a:bodyPr rot="-5400000" vert="horz"/>
              <a:lstStyle/>
              <a:p>
                <a:pPr>
                  <a:defRPr lang="es-MX">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Habitantes</a:t>
                </a:r>
              </a:p>
            </c:rich>
          </c:tx>
          <c:layout>
            <c:manualLayout>
              <c:xMode val="edge"/>
              <c:yMode val="edge"/>
              <c:x val="6.0639068909951925E-3"/>
              <c:y val="0.28575058833351596"/>
            </c:manualLayout>
          </c:layout>
          <c:overlay val="0"/>
        </c:title>
        <c:numFmt formatCode="General" sourceLinked="1"/>
        <c:majorTickMark val="out"/>
        <c:minorTickMark val="none"/>
        <c:tickLblPos val="nextTo"/>
        <c:txPr>
          <a:bodyPr rot="0" vert="horz"/>
          <a:lstStyle/>
          <a:p>
            <a:pPr>
              <a:defRPr lang="es-MX">
                <a:latin typeface="Times New Roman" panose="02020603050405020304" pitchFamily="18" charset="0"/>
                <a:cs typeface="Times New Roman" panose="02020603050405020304" pitchFamily="18" charset="0"/>
              </a:defRPr>
            </a:pPr>
            <a:endParaRPr lang="es-CO"/>
          </a:p>
        </c:txPr>
        <c:crossAx val="153194880"/>
        <c:crosses val="autoZero"/>
        <c:crossBetween val="between"/>
      </c:valAx>
    </c:plotArea>
    <c:legend>
      <c:legendPos val="r"/>
      <c:layout>
        <c:manualLayout>
          <c:xMode val="edge"/>
          <c:yMode val="edge"/>
          <c:x val="0.28300222999736485"/>
          <c:y val="0.892966196456217"/>
          <c:w val="0.65498059482920945"/>
          <c:h val="0.10469153191123452"/>
        </c:manualLayout>
      </c:layout>
      <c:overlay val="0"/>
      <c:txPr>
        <a:bodyPr/>
        <a:lstStyle/>
        <a:p>
          <a:pPr>
            <a:defRPr lang="es-MX"/>
          </a:pPr>
          <a:endParaRPr lang="es-CO"/>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7561020205214703"/>
          <c:y val="0"/>
          <c:w val="0.78917287745448927"/>
          <c:h val="0.83837375602679132"/>
        </c:manualLayout>
      </c:layout>
      <c:bar3DChart>
        <c:barDir val="bar"/>
        <c:grouping val="clustered"/>
        <c:varyColors val="0"/>
        <c:ser>
          <c:idx val="0"/>
          <c:order val="0"/>
          <c:tx>
            <c:strRef>
              <c:f>Hoja1!$F$92</c:f>
              <c:strCache>
                <c:ptCount val="1"/>
                <c:pt idx="0">
                  <c:v>2012</c:v>
                </c:pt>
              </c:strCache>
            </c:strRef>
          </c:tx>
          <c:invertIfNegative val="0"/>
          <c:dLbls>
            <c:dLbl>
              <c:idx val="0"/>
              <c:layout>
                <c:manualLayout>
                  <c:x val="1.7417371361569001E-2"/>
                  <c:y val="-4.6325833019436524E-3"/>
                </c:manualLayout>
              </c:layout>
              <c:showLegendKey val="0"/>
              <c:showVal val="1"/>
              <c:showCatName val="0"/>
              <c:showSerName val="0"/>
              <c:showPercent val="0"/>
              <c:showBubbleSize val="0"/>
            </c:dLbl>
            <c:dLbl>
              <c:idx val="1"/>
              <c:layout>
                <c:manualLayout>
                  <c:x val="1.3288182825294936E-2"/>
                  <c:y val="0"/>
                </c:manualLayout>
              </c:layout>
              <c:showLegendKey val="0"/>
              <c:showVal val="1"/>
              <c:showCatName val="0"/>
              <c:showSerName val="0"/>
              <c:showPercent val="0"/>
              <c:showBubbleSize val="0"/>
            </c:dLbl>
            <c:txPr>
              <a:bodyPr/>
              <a:lstStyle/>
              <a:p>
                <a:pPr>
                  <a:defRPr lang="es-MX" sz="800">
                    <a:latin typeface="Times New Roman" pitchFamily="18" charset="0"/>
                    <a:cs typeface="Times New Roman" pitchFamily="18" charset="0"/>
                  </a:defRPr>
                </a:pPr>
                <a:endParaRPr lang="es-CO"/>
              </a:p>
            </c:txPr>
            <c:showLegendKey val="0"/>
            <c:showVal val="1"/>
            <c:showCatName val="0"/>
            <c:showSerName val="0"/>
            <c:showPercent val="0"/>
            <c:showBubbleSize val="0"/>
            <c:showLeaderLines val="0"/>
          </c:dLbls>
          <c:cat>
            <c:strRef>
              <c:f>Hoja1!$G$91:$H$91</c:f>
              <c:strCache>
                <c:ptCount val="2"/>
                <c:pt idx="0">
                  <c:v>Quindío</c:v>
                </c:pt>
                <c:pt idx="1">
                  <c:v>Total Nacional</c:v>
                </c:pt>
              </c:strCache>
            </c:strRef>
          </c:cat>
          <c:val>
            <c:numRef>
              <c:f>Hoja1!$G$92:$H$92</c:f>
              <c:numCache>
                <c:formatCode>General</c:formatCode>
                <c:ptCount val="2"/>
                <c:pt idx="0">
                  <c:v>12.1</c:v>
                </c:pt>
                <c:pt idx="1">
                  <c:v>10.4</c:v>
                </c:pt>
              </c:numCache>
            </c:numRef>
          </c:val>
        </c:ser>
        <c:ser>
          <c:idx val="1"/>
          <c:order val="1"/>
          <c:tx>
            <c:strRef>
              <c:f>Hoja1!$F$93</c:f>
              <c:strCache>
                <c:ptCount val="1"/>
                <c:pt idx="0">
                  <c:v>2013</c:v>
                </c:pt>
              </c:strCache>
            </c:strRef>
          </c:tx>
          <c:invertIfNegative val="0"/>
          <c:dLbls>
            <c:dLbl>
              <c:idx val="0"/>
              <c:layout>
                <c:manualLayout>
                  <c:x val="1.6066173611371824E-2"/>
                  <c:y val="-3.2426842686088052E-2"/>
                </c:manualLayout>
              </c:layout>
              <c:showLegendKey val="0"/>
              <c:showVal val="1"/>
              <c:showCatName val="0"/>
              <c:showSerName val="0"/>
              <c:showPercent val="0"/>
              <c:showBubbleSize val="0"/>
            </c:dLbl>
            <c:dLbl>
              <c:idx val="1"/>
              <c:layout>
                <c:manualLayout>
                  <c:x val="2.4399330193137798E-2"/>
                  <c:y val="-3.2427256161927091E-2"/>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es-CO"/>
              </a:p>
            </c:txPr>
            <c:showLegendKey val="0"/>
            <c:showVal val="0"/>
            <c:showCatName val="0"/>
            <c:showSerName val="0"/>
            <c:showPercent val="0"/>
            <c:showBubbleSize val="0"/>
          </c:dLbls>
          <c:cat>
            <c:strRef>
              <c:f>Hoja1!$G$91:$H$91</c:f>
              <c:strCache>
                <c:ptCount val="2"/>
                <c:pt idx="0">
                  <c:v>Quindío</c:v>
                </c:pt>
                <c:pt idx="1">
                  <c:v>Total Nacional</c:v>
                </c:pt>
              </c:strCache>
            </c:strRef>
          </c:cat>
          <c:val>
            <c:numRef>
              <c:f>Hoja1!$G$93:$H$93</c:f>
              <c:numCache>
                <c:formatCode>General</c:formatCode>
                <c:ptCount val="2"/>
                <c:pt idx="0">
                  <c:v>9.2000000000000011</c:v>
                </c:pt>
                <c:pt idx="1">
                  <c:v>9.1</c:v>
                </c:pt>
              </c:numCache>
            </c:numRef>
          </c:val>
        </c:ser>
        <c:dLbls>
          <c:showLegendKey val="0"/>
          <c:showVal val="0"/>
          <c:showCatName val="0"/>
          <c:showSerName val="0"/>
          <c:showPercent val="0"/>
          <c:showBubbleSize val="0"/>
        </c:dLbls>
        <c:gapWidth val="150"/>
        <c:shape val="box"/>
        <c:axId val="189745024"/>
        <c:axId val="189746560"/>
        <c:axId val="0"/>
      </c:bar3DChart>
      <c:catAx>
        <c:axId val="189745024"/>
        <c:scaling>
          <c:orientation val="minMax"/>
        </c:scaling>
        <c:delete val="0"/>
        <c:axPos val="l"/>
        <c:majorTickMark val="out"/>
        <c:minorTickMark val="none"/>
        <c:tickLblPos val="nextTo"/>
        <c:txPr>
          <a:bodyPr/>
          <a:lstStyle/>
          <a:p>
            <a:pPr>
              <a:defRPr lang="es-MX"/>
            </a:pPr>
            <a:endParaRPr lang="es-CO"/>
          </a:p>
        </c:txPr>
        <c:crossAx val="189746560"/>
        <c:crosses val="autoZero"/>
        <c:auto val="1"/>
        <c:lblAlgn val="ctr"/>
        <c:lblOffset val="100"/>
        <c:noMultiLvlLbl val="0"/>
      </c:catAx>
      <c:valAx>
        <c:axId val="189746560"/>
        <c:scaling>
          <c:orientation val="minMax"/>
        </c:scaling>
        <c:delete val="0"/>
        <c:axPos val="b"/>
        <c:numFmt formatCode="General" sourceLinked="1"/>
        <c:majorTickMark val="out"/>
        <c:minorTickMark val="none"/>
        <c:tickLblPos val="nextTo"/>
        <c:txPr>
          <a:bodyPr/>
          <a:lstStyle/>
          <a:p>
            <a:pPr>
              <a:defRPr lang="es-MX" sz="700">
                <a:latin typeface="Times New Roman" pitchFamily="18" charset="0"/>
                <a:cs typeface="Times New Roman" pitchFamily="18" charset="0"/>
              </a:defRPr>
            </a:pPr>
            <a:endParaRPr lang="es-CO"/>
          </a:p>
        </c:txPr>
        <c:crossAx val="189745024"/>
        <c:crosses val="autoZero"/>
        <c:crossBetween val="between"/>
      </c:valAx>
    </c:plotArea>
    <c:legend>
      <c:legendPos val="r"/>
      <c:layout>
        <c:manualLayout>
          <c:xMode val="edge"/>
          <c:yMode val="edge"/>
          <c:x val="3.340501792114698E-2"/>
          <c:y val="0.44102557428255373"/>
          <c:w val="0.11740135608049"/>
          <c:h val="0.1675355812401994"/>
        </c:manualLayout>
      </c:layout>
      <c:overlay val="0"/>
      <c:txPr>
        <a:bodyPr/>
        <a:lstStyle/>
        <a:p>
          <a:pPr>
            <a:defRPr lang="es-MX" sz="800">
              <a:latin typeface="Times New Roman" pitchFamily="18" charset="0"/>
              <a:cs typeface="Times New Roman" pitchFamily="18" charset="0"/>
            </a:defRPr>
          </a:pPr>
          <a:endParaRPr lang="es-CO"/>
        </a:p>
      </c:txPr>
    </c:legend>
    <c:plotVisOnly val="1"/>
    <c:dispBlanksAs val="gap"/>
    <c:showDLblsOverMax val="0"/>
  </c:chart>
  <c:spPr>
    <a:ln cap="sq"/>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1367027074208441E-2"/>
          <c:y val="5.2705452096096013E-2"/>
          <c:w val="0.94863297292579152"/>
          <c:h val="0.60470761411036233"/>
        </c:manualLayout>
      </c:layout>
      <c:bar3DChart>
        <c:barDir val="col"/>
        <c:grouping val="clustered"/>
        <c:varyColors val="0"/>
        <c:ser>
          <c:idx val="0"/>
          <c:order val="0"/>
          <c:tx>
            <c:strRef>
              <c:f>Hoja1!$G$74</c:f>
              <c:strCache>
                <c:ptCount val="1"/>
                <c:pt idx="0">
                  <c:v>2012</c:v>
                </c:pt>
              </c:strCache>
            </c:strRef>
          </c:tx>
          <c:invertIfNegative val="0"/>
          <c:dLbls>
            <c:dLbl>
              <c:idx val="0"/>
              <c:layout>
                <c:manualLayout>
                  <c:x val="1.3888888888889034E-2"/>
                  <c:y val="-4.2463430931756503E-17"/>
                </c:manualLayout>
              </c:layout>
              <c:showLegendKey val="0"/>
              <c:showVal val="1"/>
              <c:showCatName val="0"/>
              <c:showSerName val="0"/>
              <c:showPercent val="0"/>
              <c:showBubbleSize val="0"/>
            </c:dLbl>
            <c:dLbl>
              <c:idx val="1"/>
              <c:layout>
                <c:manualLayout>
                  <c:x val="1.3888888888889034E-2"/>
                  <c:y val="-9.2648555940942762E-3"/>
                </c:manualLayout>
              </c:layout>
              <c:showLegendKey val="0"/>
              <c:showVal val="1"/>
              <c:showCatName val="0"/>
              <c:showSerName val="0"/>
              <c:showPercent val="0"/>
              <c:showBubbleSize val="0"/>
            </c:dLbl>
            <c:dLbl>
              <c:idx val="2"/>
              <c:layout>
                <c:manualLayout>
                  <c:x val="8.3333333333333506E-3"/>
                  <c:y val="-4.6324277970471823E-3"/>
                </c:manualLayout>
              </c:layout>
              <c:showLegendKey val="0"/>
              <c:showVal val="1"/>
              <c:showCatName val="0"/>
              <c:showSerName val="0"/>
              <c:showPercent val="0"/>
              <c:showBubbleSize val="0"/>
            </c:dLbl>
            <c:txPr>
              <a:bodyPr/>
              <a:lstStyle/>
              <a:p>
                <a:pPr>
                  <a:defRPr lang="es-MX" sz="800" b="0">
                    <a:latin typeface="Times New Roman" pitchFamily="18" charset="0"/>
                    <a:cs typeface="Times New Roman" pitchFamily="18" charset="0"/>
                  </a:defRPr>
                </a:pPr>
                <a:endParaRPr lang="es-CO"/>
              </a:p>
            </c:txPr>
            <c:showLegendKey val="0"/>
            <c:showVal val="1"/>
            <c:showCatName val="0"/>
            <c:showSerName val="0"/>
            <c:showPercent val="0"/>
            <c:showBubbleSize val="0"/>
            <c:showLeaderLines val="0"/>
          </c:dLbls>
          <c:cat>
            <c:multiLvlStrRef>
              <c:f>Hoja1!$H$72:$K$73</c:f>
              <c:multiLvlStrCache>
                <c:ptCount val="4"/>
                <c:lvl>
                  <c:pt idx="0">
                    <c:v>Total Nacional</c:v>
                  </c:pt>
                  <c:pt idx="1">
                    <c:v>Quindío</c:v>
                  </c:pt>
                  <c:pt idx="2">
                    <c:v>Total Nacional</c:v>
                  </c:pt>
                  <c:pt idx="3">
                    <c:v>Quindío</c:v>
                  </c:pt>
                </c:lvl>
                <c:lvl>
                  <c:pt idx="0">
                    <c:v>Severidad</c:v>
                  </c:pt>
                  <c:pt idx="2">
                    <c:v>Brecha</c:v>
                  </c:pt>
                </c:lvl>
              </c:multiLvlStrCache>
            </c:multiLvlStrRef>
          </c:cat>
          <c:val>
            <c:numRef>
              <c:f>Hoja1!$H$74:$K$74</c:f>
              <c:numCache>
                <c:formatCode>General</c:formatCode>
                <c:ptCount val="4"/>
                <c:pt idx="0">
                  <c:v>7</c:v>
                </c:pt>
                <c:pt idx="1">
                  <c:v>9.2000000000000011</c:v>
                </c:pt>
                <c:pt idx="2">
                  <c:v>12.9</c:v>
                </c:pt>
                <c:pt idx="3">
                  <c:v>16.2</c:v>
                </c:pt>
              </c:numCache>
            </c:numRef>
          </c:val>
        </c:ser>
        <c:ser>
          <c:idx val="1"/>
          <c:order val="1"/>
          <c:tx>
            <c:strRef>
              <c:f>Hoja1!$G$75</c:f>
              <c:strCache>
                <c:ptCount val="1"/>
                <c:pt idx="0">
                  <c:v>2013</c:v>
                </c:pt>
              </c:strCache>
            </c:strRef>
          </c:tx>
          <c:invertIfNegative val="0"/>
          <c:dLbls>
            <c:dLbl>
              <c:idx val="0"/>
              <c:layout>
                <c:manualLayout>
                  <c:x val="2.7777777777778224E-2"/>
                  <c:y val="-9.2648555940942727E-3"/>
                </c:manualLayout>
              </c:layout>
              <c:showLegendKey val="0"/>
              <c:showVal val="1"/>
              <c:showCatName val="0"/>
              <c:showSerName val="0"/>
              <c:showPercent val="0"/>
              <c:showBubbleSize val="0"/>
            </c:dLbl>
            <c:dLbl>
              <c:idx val="1"/>
              <c:layout>
                <c:manualLayout>
                  <c:x val="3.3333333333333354E-2"/>
                  <c:y val="-9.2648555940942762E-3"/>
                </c:manualLayout>
              </c:layout>
              <c:showLegendKey val="0"/>
              <c:showVal val="1"/>
              <c:showCatName val="0"/>
              <c:showSerName val="0"/>
              <c:showPercent val="0"/>
              <c:showBubbleSize val="0"/>
            </c:dLbl>
            <c:dLbl>
              <c:idx val="2"/>
              <c:layout>
                <c:manualLayout>
                  <c:x val="3.0555555555555582E-2"/>
                  <c:y val="-9.2648555940942762E-3"/>
                </c:manualLayout>
              </c:layout>
              <c:showLegendKey val="0"/>
              <c:showVal val="1"/>
              <c:showCatName val="0"/>
              <c:showSerName val="0"/>
              <c:showPercent val="0"/>
              <c:showBubbleSize val="0"/>
            </c:dLbl>
            <c:dLbl>
              <c:idx val="3"/>
              <c:layout>
                <c:manualLayout>
                  <c:x val="3.0555555555555582E-2"/>
                  <c:y val="-4.6324277970471433E-3"/>
                </c:manualLayout>
              </c:layout>
              <c:showLegendKey val="0"/>
              <c:showVal val="1"/>
              <c:showCatName val="0"/>
              <c:showSerName val="0"/>
              <c:showPercent val="0"/>
              <c:showBubbleSize val="0"/>
            </c:dLbl>
            <c:txPr>
              <a:bodyPr/>
              <a:lstStyle/>
              <a:p>
                <a:pPr>
                  <a:defRPr lang="es-MX" sz="800" b="0">
                    <a:latin typeface="Times New Roman" pitchFamily="18" charset="0"/>
                    <a:cs typeface="Times New Roman" pitchFamily="18" charset="0"/>
                  </a:defRPr>
                </a:pPr>
                <a:endParaRPr lang="es-CO"/>
              </a:p>
            </c:txPr>
            <c:showLegendKey val="0"/>
            <c:showVal val="1"/>
            <c:showCatName val="0"/>
            <c:showSerName val="0"/>
            <c:showPercent val="0"/>
            <c:showBubbleSize val="0"/>
            <c:showLeaderLines val="0"/>
          </c:dLbls>
          <c:cat>
            <c:multiLvlStrRef>
              <c:f>Hoja1!$H$72:$K$73</c:f>
              <c:multiLvlStrCache>
                <c:ptCount val="4"/>
                <c:lvl>
                  <c:pt idx="0">
                    <c:v>Total Nacional</c:v>
                  </c:pt>
                  <c:pt idx="1">
                    <c:v>Quindío</c:v>
                  </c:pt>
                  <c:pt idx="2">
                    <c:v>Total Nacional</c:v>
                  </c:pt>
                  <c:pt idx="3">
                    <c:v>Quindío</c:v>
                  </c:pt>
                </c:lvl>
                <c:lvl>
                  <c:pt idx="0">
                    <c:v>Severidad</c:v>
                  </c:pt>
                  <c:pt idx="2">
                    <c:v>Brecha</c:v>
                  </c:pt>
                </c:lvl>
              </c:multiLvlStrCache>
            </c:multiLvlStrRef>
          </c:cat>
          <c:val>
            <c:numRef>
              <c:f>Hoja1!$H$75:$K$75</c:f>
              <c:numCache>
                <c:formatCode>General</c:formatCode>
                <c:ptCount val="4"/>
                <c:pt idx="0">
                  <c:v>6.4</c:v>
                </c:pt>
                <c:pt idx="1">
                  <c:v>7.4</c:v>
                </c:pt>
                <c:pt idx="2">
                  <c:v>11.8</c:v>
                </c:pt>
                <c:pt idx="3">
                  <c:v>13.6</c:v>
                </c:pt>
              </c:numCache>
            </c:numRef>
          </c:val>
        </c:ser>
        <c:dLbls>
          <c:showLegendKey val="0"/>
          <c:showVal val="0"/>
          <c:showCatName val="0"/>
          <c:showSerName val="0"/>
          <c:showPercent val="0"/>
          <c:showBubbleSize val="0"/>
        </c:dLbls>
        <c:gapWidth val="150"/>
        <c:shape val="box"/>
        <c:axId val="189998592"/>
        <c:axId val="190000128"/>
        <c:axId val="0"/>
      </c:bar3DChart>
      <c:catAx>
        <c:axId val="189998592"/>
        <c:scaling>
          <c:orientation val="minMax"/>
        </c:scaling>
        <c:delete val="0"/>
        <c:axPos val="b"/>
        <c:majorTickMark val="out"/>
        <c:minorTickMark val="none"/>
        <c:tickLblPos val="nextTo"/>
        <c:txPr>
          <a:bodyPr/>
          <a:lstStyle/>
          <a:p>
            <a:pPr>
              <a:defRPr lang="es-MX" sz="900" b="0">
                <a:latin typeface="Times New Roman" pitchFamily="18" charset="0"/>
                <a:cs typeface="Times New Roman" pitchFamily="18" charset="0"/>
              </a:defRPr>
            </a:pPr>
            <a:endParaRPr lang="es-CO"/>
          </a:p>
        </c:txPr>
        <c:crossAx val="190000128"/>
        <c:crosses val="autoZero"/>
        <c:auto val="1"/>
        <c:lblAlgn val="ctr"/>
        <c:lblOffset val="100"/>
        <c:noMultiLvlLbl val="0"/>
      </c:catAx>
      <c:valAx>
        <c:axId val="190000128"/>
        <c:scaling>
          <c:orientation val="minMax"/>
        </c:scaling>
        <c:delete val="0"/>
        <c:axPos val="l"/>
        <c:numFmt formatCode="General" sourceLinked="1"/>
        <c:majorTickMark val="out"/>
        <c:minorTickMark val="none"/>
        <c:tickLblPos val="nextTo"/>
        <c:txPr>
          <a:bodyPr/>
          <a:lstStyle/>
          <a:p>
            <a:pPr>
              <a:defRPr lang="es-MX" sz="800" b="0">
                <a:latin typeface="Times New Roman" pitchFamily="18" charset="0"/>
                <a:cs typeface="Times New Roman" pitchFamily="18" charset="0"/>
              </a:defRPr>
            </a:pPr>
            <a:endParaRPr lang="es-CO"/>
          </a:p>
        </c:txPr>
        <c:crossAx val="189998592"/>
        <c:crosses val="autoZero"/>
        <c:crossBetween val="between"/>
      </c:valAx>
    </c:plotArea>
    <c:legend>
      <c:legendPos val="r"/>
      <c:layout>
        <c:manualLayout>
          <c:xMode val="edge"/>
          <c:yMode val="edge"/>
          <c:x val="0.32982086614173678"/>
          <c:y val="0.92579908467604244"/>
          <c:w val="0.37120500492421632"/>
          <c:h val="7.4200915323961794E-2"/>
        </c:manualLayout>
      </c:layout>
      <c:overlay val="0"/>
      <c:txPr>
        <a:bodyPr/>
        <a:lstStyle/>
        <a:p>
          <a:pPr>
            <a:defRPr lang="es-MX" sz="900" b="0">
              <a:latin typeface="Times New Roman" pitchFamily="18" charset="0"/>
              <a:cs typeface="Times New Roman" pitchFamily="18" charset="0"/>
            </a:defRPr>
          </a:pPr>
          <a:endParaRPr lang="es-CO"/>
        </a:p>
      </c:txPr>
    </c:legend>
    <c:plotVisOnly val="1"/>
    <c:dispBlanksAs val="gap"/>
    <c:showDLblsOverMax val="0"/>
  </c:chart>
  <c:spPr>
    <a:ln cap="sq"/>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0824612113360029E-2"/>
          <c:y val="6.3968979186243696E-2"/>
          <c:w val="0.9010312773403325"/>
          <c:h val="0.56784593283864204"/>
        </c:manualLayout>
      </c:layout>
      <c:bar3DChart>
        <c:barDir val="col"/>
        <c:grouping val="clustered"/>
        <c:varyColors val="0"/>
        <c:ser>
          <c:idx val="0"/>
          <c:order val="0"/>
          <c:tx>
            <c:strRef>
              <c:f>[Gini.xlsx]Dptos!$C$7</c:f>
              <c:strCache>
                <c:ptCount val="1"/>
                <c:pt idx="0">
                  <c:v>2012</c:v>
                </c:pt>
              </c:strCache>
            </c:strRef>
          </c:tx>
          <c:invertIfNegative val="0"/>
          <c:cat>
            <c:strRef>
              <c:f>[Gini.xlsx]Dptos!$B$8:$B$32</c:f>
              <c:strCache>
                <c:ptCount val="25"/>
                <c:pt idx="0">
                  <c:v>Antioquia</c:v>
                </c:pt>
                <c:pt idx="1">
                  <c:v>Atlántico</c:v>
                </c:pt>
                <c:pt idx="2">
                  <c:v>Bogotá D.C.</c:v>
                </c:pt>
                <c:pt idx="3">
                  <c:v>Bolivar</c:v>
                </c:pt>
                <c:pt idx="4">
                  <c:v>Boyacá</c:v>
                </c:pt>
                <c:pt idx="5">
                  <c:v>Caldas</c:v>
                </c:pt>
                <c:pt idx="6">
                  <c:v>Caqueta</c:v>
                </c:pt>
                <c:pt idx="7">
                  <c:v>Cauca</c:v>
                </c:pt>
                <c:pt idx="8">
                  <c:v>Cesar</c:v>
                </c:pt>
                <c:pt idx="9">
                  <c:v>Chocó</c:v>
                </c:pt>
                <c:pt idx="10">
                  <c:v>Córdoba</c:v>
                </c:pt>
                <c:pt idx="11">
                  <c:v>Cundinamarca</c:v>
                </c:pt>
                <c:pt idx="12">
                  <c:v>Huila</c:v>
                </c:pt>
                <c:pt idx="13">
                  <c:v>La Guajira</c:v>
                </c:pt>
                <c:pt idx="14">
                  <c:v>Magdalena</c:v>
                </c:pt>
                <c:pt idx="15">
                  <c:v>Meta</c:v>
                </c:pt>
                <c:pt idx="16">
                  <c:v>Nariño</c:v>
                </c:pt>
                <c:pt idx="17">
                  <c:v>Norte de Santander</c:v>
                </c:pt>
                <c:pt idx="18">
                  <c:v>Quindío</c:v>
                </c:pt>
                <c:pt idx="19">
                  <c:v>Risaralda</c:v>
                </c:pt>
                <c:pt idx="20">
                  <c:v>Santader</c:v>
                </c:pt>
                <c:pt idx="21">
                  <c:v>Sucre</c:v>
                </c:pt>
                <c:pt idx="22">
                  <c:v>Tolima</c:v>
                </c:pt>
                <c:pt idx="23">
                  <c:v>Valle del Cauca</c:v>
                </c:pt>
                <c:pt idx="24">
                  <c:v>Total Nacional</c:v>
                </c:pt>
              </c:strCache>
            </c:strRef>
          </c:cat>
          <c:val>
            <c:numRef>
              <c:f>[Gini.xlsx]Dptos!$C$8:$C$32</c:f>
              <c:numCache>
                <c:formatCode>0.000</c:formatCode>
                <c:ptCount val="25"/>
                <c:pt idx="0">
                  <c:v>0.52900000000000003</c:v>
                </c:pt>
                <c:pt idx="1">
                  <c:v>0.46400000000000002</c:v>
                </c:pt>
                <c:pt idx="2">
                  <c:v>0.49700000000000144</c:v>
                </c:pt>
                <c:pt idx="3">
                  <c:v>0.50700000000000001</c:v>
                </c:pt>
                <c:pt idx="4">
                  <c:v>0.53200000000000003</c:v>
                </c:pt>
                <c:pt idx="5">
                  <c:v>0.52200000000000002</c:v>
                </c:pt>
                <c:pt idx="6">
                  <c:v>0.47900000000000031</c:v>
                </c:pt>
                <c:pt idx="7">
                  <c:v>0.56499999999999995</c:v>
                </c:pt>
                <c:pt idx="8">
                  <c:v>0.51800000000000002</c:v>
                </c:pt>
                <c:pt idx="9">
                  <c:v>0.61600000000000288</c:v>
                </c:pt>
                <c:pt idx="10">
                  <c:v>0.54200000000000004</c:v>
                </c:pt>
                <c:pt idx="11">
                  <c:v>0.46300000000000002</c:v>
                </c:pt>
                <c:pt idx="12">
                  <c:v>0.55900000000000005</c:v>
                </c:pt>
                <c:pt idx="13">
                  <c:v>0.55600000000000005</c:v>
                </c:pt>
                <c:pt idx="14">
                  <c:v>0.51</c:v>
                </c:pt>
                <c:pt idx="15">
                  <c:v>0.505</c:v>
                </c:pt>
                <c:pt idx="16">
                  <c:v>0.502</c:v>
                </c:pt>
                <c:pt idx="17">
                  <c:v>0.48500000000000032</c:v>
                </c:pt>
                <c:pt idx="18">
                  <c:v>0.52500000000000002</c:v>
                </c:pt>
                <c:pt idx="19">
                  <c:v>0.48700000000000032</c:v>
                </c:pt>
                <c:pt idx="20">
                  <c:v>0.48700000000000032</c:v>
                </c:pt>
                <c:pt idx="21">
                  <c:v>0.48300000000000032</c:v>
                </c:pt>
                <c:pt idx="22">
                  <c:v>0.52300000000000002</c:v>
                </c:pt>
                <c:pt idx="23">
                  <c:v>0.51800000000000002</c:v>
                </c:pt>
                <c:pt idx="24">
                  <c:v>0.53900000000000003</c:v>
                </c:pt>
              </c:numCache>
            </c:numRef>
          </c:val>
        </c:ser>
        <c:ser>
          <c:idx val="1"/>
          <c:order val="1"/>
          <c:tx>
            <c:strRef>
              <c:f>[Gini.xlsx]Dptos!$D$7</c:f>
              <c:strCache>
                <c:ptCount val="1"/>
                <c:pt idx="0">
                  <c:v>2013</c:v>
                </c:pt>
              </c:strCache>
            </c:strRef>
          </c:tx>
          <c:invertIfNegative val="0"/>
          <c:cat>
            <c:strRef>
              <c:f>[Gini.xlsx]Dptos!$B$8:$B$32</c:f>
              <c:strCache>
                <c:ptCount val="25"/>
                <c:pt idx="0">
                  <c:v>Antioquia</c:v>
                </c:pt>
                <c:pt idx="1">
                  <c:v>Atlántico</c:v>
                </c:pt>
                <c:pt idx="2">
                  <c:v>Bogotá D.C.</c:v>
                </c:pt>
                <c:pt idx="3">
                  <c:v>Bolivar</c:v>
                </c:pt>
                <c:pt idx="4">
                  <c:v>Boyacá</c:v>
                </c:pt>
                <c:pt idx="5">
                  <c:v>Caldas</c:v>
                </c:pt>
                <c:pt idx="6">
                  <c:v>Caqueta</c:v>
                </c:pt>
                <c:pt idx="7">
                  <c:v>Cauca</c:v>
                </c:pt>
                <c:pt idx="8">
                  <c:v>Cesar</c:v>
                </c:pt>
                <c:pt idx="9">
                  <c:v>Chocó</c:v>
                </c:pt>
                <c:pt idx="10">
                  <c:v>Córdoba</c:v>
                </c:pt>
                <c:pt idx="11">
                  <c:v>Cundinamarca</c:v>
                </c:pt>
                <c:pt idx="12">
                  <c:v>Huila</c:v>
                </c:pt>
                <c:pt idx="13">
                  <c:v>La Guajira</c:v>
                </c:pt>
                <c:pt idx="14">
                  <c:v>Magdalena</c:v>
                </c:pt>
                <c:pt idx="15">
                  <c:v>Meta</c:v>
                </c:pt>
                <c:pt idx="16">
                  <c:v>Nariño</c:v>
                </c:pt>
                <c:pt idx="17">
                  <c:v>Norte de Santander</c:v>
                </c:pt>
                <c:pt idx="18">
                  <c:v>Quindío</c:v>
                </c:pt>
                <c:pt idx="19">
                  <c:v>Risaralda</c:v>
                </c:pt>
                <c:pt idx="20">
                  <c:v>Santader</c:v>
                </c:pt>
                <c:pt idx="21">
                  <c:v>Sucre</c:v>
                </c:pt>
                <c:pt idx="22">
                  <c:v>Tolima</c:v>
                </c:pt>
                <c:pt idx="23">
                  <c:v>Valle del Cauca</c:v>
                </c:pt>
                <c:pt idx="24">
                  <c:v>Total Nacional</c:v>
                </c:pt>
              </c:strCache>
            </c:strRef>
          </c:cat>
          <c:val>
            <c:numRef>
              <c:f>[Gini.xlsx]Dptos!$D$8:$D$32</c:f>
              <c:numCache>
                <c:formatCode>0.000</c:formatCode>
                <c:ptCount val="25"/>
                <c:pt idx="0">
                  <c:v>0.53200000000000003</c:v>
                </c:pt>
                <c:pt idx="1">
                  <c:v>0.45300000000000001</c:v>
                </c:pt>
                <c:pt idx="2">
                  <c:v>0.504</c:v>
                </c:pt>
                <c:pt idx="3">
                  <c:v>0.501</c:v>
                </c:pt>
                <c:pt idx="4">
                  <c:v>0.53300000000000003</c:v>
                </c:pt>
                <c:pt idx="5">
                  <c:v>0.52400000000000002</c:v>
                </c:pt>
                <c:pt idx="6">
                  <c:v>0.46700000000000008</c:v>
                </c:pt>
                <c:pt idx="7">
                  <c:v>0.54800000000000004</c:v>
                </c:pt>
                <c:pt idx="8">
                  <c:v>0.48900000000000032</c:v>
                </c:pt>
                <c:pt idx="9">
                  <c:v>0.60300000000000065</c:v>
                </c:pt>
                <c:pt idx="10">
                  <c:v>0.52700000000000002</c:v>
                </c:pt>
                <c:pt idx="11">
                  <c:v>0.46600000000000008</c:v>
                </c:pt>
                <c:pt idx="12">
                  <c:v>0.54600000000000004</c:v>
                </c:pt>
                <c:pt idx="13">
                  <c:v>0.56200000000000061</c:v>
                </c:pt>
                <c:pt idx="14">
                  <c:v>0.49600000000000088</c:v>
                </c:pt>
                <c:pt idx="15">
                  <c:v>0.47000000000000008</c:v>
                </c:pt>
                <c:pt idx="16">
                  <c:v>0.52</c:v>
                </c:pt>
                <c:pt idx="17">
                  <c:v>0.48000000000000032</c:v>
                </c:pt>
                <c:pt idx="18">
                  <c:v>0.5</c:v>
                </c:pt>
                <c:pt idx="19">
                  <c:v>0.501</c:v>
                </c:pt>
                <c:pt idx="20">
                  <c:v>0.49200000000000038</c:v>
                </c:pt>
                <c:pt idx="21">
                  <c:v>0.46900000000000008</c:v>
                </c:pt>
                <c:pt idx="22">
                  <c:v>0.51100000000000001</c:v>
                </c:pt>
                <c:pt idx="23">
                  <c:v>0.504</c:v>
                </c:pt>
                <c:pt idx="24">
                  <c:v>0.53900000000000003</c:v>
                </c:pt>
              </c:numCache>
            </c:numRef>
          </c:val>
        </c:ser>
        <c:ser>
          <c:idx val="2"/>
          <c:order val="2"/>
          <c:invertIfNegative val="0"/>
          <c:cat>
            <c:strRef>
              <c:f>[Gini.xlsx]Dptos!$B$8:$B$32</c:f>
              <c:strCache>
                <c:ptCount val="25"/>
                <c:pt idx="0">
                  <c:v>Antioquia</c:v>
                </c:pt>
                <c:pt idx="1">
                  <c:v>Atlántico</c:v>
                </c:pt>
                <c:pt idx="2">
                  <c:v>Bogotá D.C.</c:v>
                </c:pt>
                <c:pt idx="3">
                  <c:v>Bolivar</c:v>
                </c:pt>
                <c:pt idx="4">
                  <c:v>Boyacá</c:v>
                </c:pt>
                <c:pt idx="5">
                  <c:v>Caldas</c:v>
                </c:pt>
                <c:pt idx="6">
                  <c:v>Caqueta</c:v>
                </c:pt>
                <c:pt idx="7">
                  <c:v>Cauca</c:v>
                </c:pt>
                <c:pt idx="8">
                  <c:v>Cesar</c:v>
                </c:pt>
                <c:pt idx="9">
                  <c:v>Chocó</c:v>
                </c:pt>
                <c:pt idx="10">
                  <c:v>Córdoba</c:v>
                </c:pt>
                <c:pt idx="11">
                  <c:v>Cundinamarca</c:v>
                </c:pt>
                <c:pt idx="12">
                  <c:v>Huila</c:v>
                </c:pt>
                <c:pt idx="13">
                  <c:v>La Guajira</c:v>
                </c:pt>
                <c:pt idx="14">
                  <c:v>Magdalena</c:v>
                </c:pt>
                <c:pt idx="15">
                  <c:v>Meta</c:v>
                </c:pt>
                <c:pt idx="16">
                  <c:v>Nariño</c:v>
                </c:pt>
                <c:pt idx="17">
                  <c:v>Norte de Santander</c:v>
                </c:pt>
                <c:pt idx="18">
                  <c:v>Quindío</c:v>
                </c:pt>
                <c:pt idx="19">
                  <c:v>Risaralda</c:v>
                </c:pt>
                <c:pt idx="20">
                  <c:v>Santader</c:v>
                </c:pt>
                <c:pt idx="21">
                  <c:v>Sucre</c:v>
                </c:pt>
                <c:pt idx="22">
                  <c:v>Tolima</c:v>
                </c:pt>
                <c:pt idx="23">
                  <c:v>Valle del Cauca</c:v>
                </c:pt>
                <c:pt idx="24">
                  <c:v>Total Nacional</c:v>
                </c:pt>
              </c:strCache>
            </c:strRef>
          </c:cat>
          <c:val>
            <c:numRef>
              <c:f>[Gini.xlsx]Dptos!$G$5</c:f>
              <c:numCache>
                <c:formatCode>General</c:formatCode>
                <c:ptCount val="1"/>
                <c:pt idx="0">
                  <c:v>0</c:v>
                </c:pt>
              </c:numCache>
            </c:numRef>
          </c:val>
        </c:ser>
        <c:dLbls>
          <c:showLegendKey val="0"/>
          <c:showVal val="0"/>
          <c:showCatName val="0"/>
          <c:showSerName val="0"/>
          <c:showPercent val="0"/>
          <c:showBubbleSize val="0"/>
        </c:dLbls>
        <c:gapWidth val="150"/>
        <c:shape val="box"/>
        <c:axId val="190030592"/>
        <c:axId val="190032128"/>
        <c:axId val="0"/>
      </c:bar3DChart>
      <c:catAx>
        <c:axId val="190030592"/>
        <c:scaling>
          <c:orientation val="minMax"/>
        </c:scaling>
        <c:delete val="0"/>
        <c:axPos val="b"/>
        <c:majorTickMark val="out"/>
        <c:minorTickMark val="none"/>
        <c:tickLblPos val="nextTo"/>
        <c:txPr>
          <a:bodyPr rot="-5400000" vert="horz"/>
          <a:lstStyle/>
          <a:p>
            <a:pPr>
              <a:defRPr lang="es-MX" sz="900">
                <a:latin typeface="Times New Roman" pitchFamily="18" charset="0"/>
                <a:cs typeface="Times New Roman" pitchFamily="18" charset="0"/>
              </a:defRPr>
            </a:pPr>
            <a:endParaRPr lang="es-CO"/>
          </a:p>
        </c:txPr>
        <c:crossAx val="190032128"/>
        <c:crosses val="autoZero"/>
        <c:auto val="1"/>
        <c:lblAlgn val="ctr"/>
        <c:lblOffset val="100"/>
        <c:noMultiLvlLbl val="0"/>
      </c:catAx>
      <c:valAx>
        <c:axId val="190032128"/>
        <c:scaling>
          <c:orientation val="minMax"/>
        </c:scaling>
        <c:delete val="0"/>
        <c:axPos val="l"/>
        <c:numFmt formatCode="0.000" sourceLinked="1"/>
        <c:majorTickMark val="out"/>
        <c:minorTickMark val="none"/>
        <c:tickLblPos val="nextTo"/>
        <c:txPr>
          <a:bodyPr/>
          <a:lstStyle/>
          <a:p>
            <a:pPr>
              <a:defRPr lang="es-MX">
                <a:latin typeface="Times New Roman" panose="02020603050405020304" pitchFamily="18" charset="0"/>
                <a:cs typeface="Times New Roman" panose="02020603050405020304" pitchFamily="18" charset="0"/>
              </a:defRPr>
            </a:pPr>
            <a:endParaRPr lang="es-CO"/>
          </a:p>
        </c:txPr>
        <c:crossAx val="190030592"/>
        <c:crosses val="autoZero"/>
        <c:crossBetween val="between"/>
      </c:valAx>
    </c:plotArea>
    <c:legend>
      <c:legendPos val="r"/>
      <c:legendEntry>
        <c:idx val="2"/>
        <c:delete val="1"/>
      </c:legendEntry>
      <c:layout>
        <c:manualLayout>
          <c:xMode val="edge"/>
          <c:yMode val="edge"/>
          <c:x val="0.19953302399985762"/>
          <c:y val="0.91367368013424555"/>
          <c:w val="0.56029040895650573"/>
          <c:h val="8.2420291725829348E-2"/>
        </c:manualLayout>
      </c:layout>
      <c:overlay val="0"/>
      <c:txPr>
        <a:bodyPr/>
        <a:lstStyle/>
        <a:p>
          <a:pPr>
            <a:defRPr lang="es-MX"/>
          </a:pPr>
          <a:endParaRPr lang="es-CO"/>
        </a:p>
      </c:txPr>
    </c:legend>
    <c:plotVisOnly val="1"/>
    <c:dispBlanksAs val="gap"/>
    <c:showDLblsOverMax val="0"/>
  </c:chart>
  <c:spPr>
    <a:no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0676374658188647E-2"/>
          <c:y val="3.9272910035181775E-2"/>
          <c:w val="0.90932362534181133"/>
          <c:h val="0.60262299659351093"/>
        </c:manualLayout>
      </c:layout>
      <c:bar3DChart>
        <c:barDir val="col"/>
        <c:grouping val="clustered"/>
        <c:varyColors val="0"/>
        <c:ser>
          <c:idx val="0"/>
          <c:order val="0"/>
          <c:tx>
            <c:strRef>
              <c:f>[Gini.xlsx]Armenia!$D$7</c:f>
              <c:strCache>
                <c:ptCount val="1"/>
                <c:pt idx="0">
                  <c:v>Armenia</c:v>
                </c:pt>
              </c:strCache>
            </c:strRef>
          </c:tx>
          <c:invertIfNegative val="0"/>
          <c:dLbls>
            <c:showLegendKey val="0"/>
            <c:showVal val="1"/>
            <c:showCatName val="0"/>
            <c:showSerName val="0"/>
            <c:showPercent val="0"/>
            <c:showBubbleSize val="0"/>
            <c:showLeaderLines val="0"/>
          </c:dLbls>
          <c:cat>
            <c:multiLvlStrRef>
              <c:f>[Gini.xlsx]Armenia!$E$4:$J$6</c:f>
              <c:multiLvlStrCache>
                <c:ptCount val="6"/>
                <c:lvl>
                  <c:pt idx="0">
                    <c:v>Pobreza</c:v>
                  </c:pt>
                  <c:pt idx="1">
                    <c:v>Pobreza Extrema</c:v>
                  </c:pt>
                  <c:pt idx="2">
                    <c:v>Gini</c:v>
                  </c:pt>
                  <c:pt idx="3">
                    <c:v>Pobreza</c:v>
                  </c:pt>
                  <c:pt idx="4">
                    <c:v>Pobreza Extrema</c:v>
                  </c:pt>
                  <c:pt idx="5">
                    <c:v>Gini</c:v>
                  </c:pt>
                </c:lvl>
                <c:lvl>
                  <c:pt idx="0">
                    <c:v>2012</c:v>
                  </c:pt>
                  <c:pt idx="3">
                    <c:v>2013</c:v>
                  </c:pt>
                </c:lvl>
              </c:multiLvlStrCache>
            </c:multiLvlStrRef>
          </c:cat>
          <c:val>
            <c:numRef>
              <c:f>[Gini.xlsx]Armenia!$E$7:$J$7</c:f>
              <c:numCache>
                <c:formatCode>0.0</c:formatCode>
                <c:ptCount val="6"/>
                <c:pt idx="0">
                  <c:v>32.1</c:v>
                </c:pt>
                <c:pt idx="1">
                  <c:v>8.2000000000000011</c:v>
                </c:pt>
                <c:pt idx="2" formatCode="0.000">
                  <c:v>0.52300000000000002</c:v>
                </c:pt>
                <c:pt idx="3">
                  <c:v>28.4</c:v>
                </c:pt>
                <c:pt idx="4">
                  <c:v>6.6</c:v>
                </c:pt>
                <c:pt idx="5" formatCode="0.000">
                  <c:v>0.49800000000000144</c:v>
                </c:pt>
              </c:numCache>
            </c:numRef>
          </c:val>
        </c:ser>
        <c:dLbls>
          <c:showLegendKey val="0"/>
          <c:showVal val="0"/>
          <c:showCatName val="0"/>
          <c:showSerName val="0"/>
          <c:showPercent val="0"/>
          <c:showBubbleSize val="0"/>
        </c:dLbls>
        <c:gapWidth val="150"/>
        <c:shape val="cylinder"/>
        <c:axId val="231545856"/>
        <c:axId val="231551744"/>
        <c:axId val="0"/>
      </c:bar3DChart>
      <c:catAx>
        <c:axId val="231545856"/>
        <c:scaling>
          <c:orientation val="minMax"/>
        </c:scaling>
        <c:delete val="0"/>
        <c:axPos val="b"/>
        <c:majorTickMark val="out"/>
        <c:minorTickMark val="none"/>
        <c:tickLblPos val="nextTo"/>
        <c:crossAx val="231551744"/>
        <c:crosses val="autoZero"/>
        <c:auto val="1"/>
        <c:lblAlgn val="ctr"/>
        <c:lblOffset val="100"/>
        <c:noMultiLvlLbl val="0"/>
      </c:catAx>
      <c:valAx>
        <c:axId val="231551744"/>
        <c:scaling>
          <c:orientation val="minMax"/>
        </c:scaling>
        <c:delete val="0"/>
        <c:axPos val="l"/>
        <c:numFmt formatCode="0.0" sourceLinked="1"/>
        <c:majorTickMark val="out"/>
        <c:minorTickMark val="none"/>
        <c:tickLblPos val="nextTo"/>
        <c:crossAx val="231545856"/>
        <c:crosses val="autoZero"/>
        <c:crossBetween val="between"/>
      </c:valAx>
      <c:spPr>
        <a:ln w="6350" cap="rnd">
          <a:round/>
        </a:ln>
      </c:spPr>
    </c:plotArea>
    <c:plotVisOnly val="1"/>
    <c:dispBlanksAs val="gap"/>
    <c:showDLblsOverMax val="0"/>
  </c:chart>
  <c:spPr>
    <a:noFill/>
  </c:spPr>
  <c:txPr>
    <a:bodyPr/>
    <a:lstStyle/>
    <a:p>
      <a:pPr>
        <a:defRPr>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pPr>
        <a:ln w="63500"/>
      </c:spPr>
    </c:sideWall>
    <c:backWall>
      <c:thickness val="0"/>
      <c:spPr>
        <a:ln w="63500"/>
      </c:spPr>
    </c:backWall>
    <c:plotArea>
      <c:layout>
        <c:manualLayout>
          <c:layoutTarget val="inner"/>
          <c:xMode val="edge"/>
          <c:yMode val="edge"/>
          <c:x val="9.4912832381575343E-2"/>
          <c:y val="2.825230585705581E-2"/>
          <c:w val="0.90402924874007362"/>
          <c:h val="0.6700134073199161"/>
        </c:manualLayout>
      </c:layout>
      <c:bar3DChart>
        <c:barDir val="col"/>
        <c:grouping val="clustered"/>
        <c:varyColors val="0"/>
        <c:ser>
          <c:idx val="0"/>
          <c:order val="0"/>
          <c:tx>
            <c:strRef>
              <c:f>'Gráfico PR %HR'!$O$10</c:f>
              <c:strCache>
                <c:ptCount val="1"/>
                <c:pt idx="0">
                  <c:v>% Población Registrada</c:v>
                </c:pt>
              </c:strCache>
            </c:strRef>
          </c:tx>
          <c:invertIfNegative val="0"/>
          <c:dLbls>
            <c:txPr>
              <a:bodyPr/>
              <a:lstStyle/>
              <a:p>
                <a:pPr>
                  <a:defRPr lang="es-MX" sz="700">
                    <a:latin typeface="Times New Roman" pitchFamily="18" charset="0"/>
                    <a:cs typeface="Times New Roman" pitchFamily="18" charset="0"/>
                  </a:defRPr>
                </a:pPr>
                <a:endParaRPr lang="es-CO"/>
              </a:p>
            </c:txPr>
            <c:showLegendKey val="0"/>
            <c:showVal val="1"/>
            <c:showCatName val="0"/>
            <c:showSerName val="0"/>
            <c:showPercent val="0"/>
            <c:showBubbleSize val="0"/>
            <c:showLeaderLines val="0"/>
          </c:dLbls>
          <c:cat>
            <c:strRef>
              <c:f>'Gráfico PR %HR'!$N$11:$N$22</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'Gráfico PR %HR'!$O$11:$O$22</c:f>
              <c:numCache>
                <c:formatCode>0.00%</c:formatCode>
                <c:ptCount val="12"/>
                <c:pt idx="0">
                  <c:v>0.66111612540658371</c:v>
                </c:pt>
                <c:pt idx="1">
                  <c:v>0.89708939708939761</c:v>
                </c:pt>
                <c:pt idx="2">
                  <c:v>0.72131894453195156</c:v>
                </c:pt>
                <c:pt idx="3">
                  <c:v>0.75575817371483178</c:v>
                </c:pt>
                <c:pt idx="4">
                  <c:v>0.94666666666666666</c:v>
                </c:pt>
                <c:pt idx="5">
                  <c:v>0.76115702479338865</c:v>
                </c:pt>
                <c:pt idx="6">
                  <c:v>0.86820668693009162</c:v>
                </c:pt>
                <c:pt idx="7">
                  <c:v>0.83944144905210361</c:v>
                </c:pt>
                <c:pt idx="8">
                  <c:v>0.89809802487198243</c:v>
                </c:pt>
                <c:pt idx="9">
                  <c:v>0.95947461156495273</c:v>
                </c:pt>
                <c:pt idx="10">
                  <c:v>0.88814446329470664</c:v>
                </c:pt>
                <c:pt idx="11">
                  <c:v>0.76518445784822564</c:v>
                </c:pt>
              </c:numCache>
            </c:numRef>
          </c:val>
        </c:ser>
        <c:ser>
          <c:idx val="1"/>
          <c:order val="1"/>
          <c:tx>
            <c:strRef>
              <c:f>'Gráfico PR %HR'!$P$10</c:f>
              <c:strCache>
                <c:ptCount val="1"/>
                <c:pt idx="0">
                  <c:v>% Hogares Registrados</c:v>
                </c:pt>
              </c:strCache>
            </c:strRef>
          </c:tx>
          <c:invertIfNegative val="0"/>
          <c:dLbls>
            <c:dLbl>
              <c:idx val="0"/>
              <c:layout>
                <c:manualLayout>
                  <c:x val="2.3429012268035201E-2"/>
                  <c:y val="4.1666680336837599E-3"/>
                </c:manualLayout>
              </c:layout>
              <c:showLegendKey val="0"/>
              <c:showVal val="1"/>
              <c:showCatName val="0"/>
              <c:showSerName val="0"/>
              <c:showPercent val="0"/>
              <c:showBubbleSize val="0"/>
            </c:dLbl>
            <c:dLbl>
              <c:idx val="1"/>
              <c:layout>
                <c:manualLayout>
                  <c:x val="2.7689030883919278E-2"/>
                  <c:y val="4.1666680336837599E-3"/>
                </c:manualLayout>
              </c:layout>
              <c:showLegendKey val="0"/>
              <c:showVal val="1"/>
              <c:showCatName val="0"/>
              <c:showSerName val="0"/>
              <c:showPercent val="0"/>
              <c:showBubbleSize val="0"/>
            </c:dLbl>
            <c:dLbl>
              <c:idx val="2"/>
              <c:layout>
                <c:manualLayout>
                  <c:x val="2.5558937720644416E-2"/>
                  <c:y val="4.1666680336837599E-3"/>
                </c:manualLayout>
              </c:layout>
              <c:showLegendKey val="0"/>
              <c:showVal val="1"/>
              <c:showCatName val="0"/>
              <c:showSerName val="0"/>
              <c:showPercent val="0"/>
              <c:showBubbleSize val="0"/>
            </c:dLbl>
            <c:dLbl>
              <c:idx val="3"/>
              <c:layout>
                <c:manualLayout>
                  <c:x val="2.5559105431310004E-2"/>
                  <c:y val="4.1666680336837599E-3"/>
                </c:manualLayout>
              </c:layout>
              <c:showLegendKey val="0"/>
              <c:showVal val="1"/>
              <c:showCatName val="0"/>
              <c:showSerName val="0"/>
              <c:showPercent val="0"/>
              <c:showBubbleSize val="0"/>
            </c:dLbl>
            <c:dLbl>
              <c:idx val="4"/>
              <c:layout>
                <c:manualLayout>
                  <c:x val="2.342917997870075E-2"/>
                  <c:y val="4.1666680336837599E-3"/>
                </c:manualLayout>
              </c:layout>
              <c:showLegendKey val="0"/>
              <c:showVal val="1"/>
              <c:showCatName val="0"/>
              <c:showSerName val="0"/>
              <c:showPercent val="0"/>
              <c:showBubbleSize val="0"/>
            </c:dLbl>
            <c:dLbl>
              <c:idx val="5"/>
              <c:layout>
                <c:manualLayout>
                  <c:x val="2.5559105431310004E-2"/>
                  <c:y val="-4.1666680336837599E-3"/>
                </c:manualLayout>
              </c:layout>
              <c:showLegendKey val="0"/>
              <c:showVal val="1"/>
              <c:showCatName val="0"/>
              <c:showSerName val="0"/>
              <c:showPercent val="0"/>
              <c:showBubbleSize val="0"/>
            </c:dLbl>
            <c:dLbl>
              <c:idx val="6"/>
              <c:layout>
                <c:manualLayout>
                  <c:x val="2.7688695462588002E-2"/>
                  <c:y val="0"/>
                </c:manualLayout>
              </c:layout>
              <c:showLegendKey val="0"/>
              <c:showVal val="1"/>
              <c:showCatName val="0"/>
              <c:showSerName val="0"/>
              <c:showPercent val="0"/>
              <c:showBubbleSize val="0"/>
            </c:dLbl>
            <c:dLbl>
              <c:idx val="7"/>
              <c:layout>
                <c:manualLayout>
                  <c:x val="2.5559105431310004E-2"/>
                  <c:y val="4.1666680336837599E-3"/>
                </c:manualLayout>
              </c:layout>
              <c:showLegendKey val="0"/>
              <c:showVal val="1"/>
              <c:showCatName val="0"/>
              <c:showSerName val="0"/>
              <c:showPercent val="0"/>
              <c:showBubbleSize val="0"/>
            </c:dLbl>
            <c:dLbl>
              <c:idx val="8"/>
              <c:layout>
                <c:manualLayout>
                  <c:x val="2.342917997870075E-2"/>
                  <c:y val="0"/>
                </c:manualLayout>
              </c:layout>
              <c:showLegendKey val="0"/>
              <c:showVal val="1"/>
              <c:showCatName val="0"/>
              <c:showSerName val="0"/>
              <c:showPercent val="0"/>
              <c:showBubbleSize val="0"/>
            </c:dLbl>
            <c:dLbl>
              <c:idx val="9"/>
              <c:layout>
                <c:manualLayout>
                  <c:x val="2.5559105431310004E-2"/>
                  <c:y val="0"/>
                </c:manualLayout>
              </c:layout>
              <c:showLegendKey val="0"/>
              <c:showVal val="1"/>
              <c:showCatName val="0"/>
              <c:showSerName val="0"/>
              <c:showPercent val="0"/>
              <c:showBubbleSize val="0"/>
            </c:dLbl>
            <c:dLbl>
              <c:idx val="10"/>
              <c:layout>
                <c:manualLayout>
                  <c:x val="2.7689030883919278E-2"/>
                  <c:y val="-4.1666680336837599E-3"/>
                </c:manualLayout>
              </c:layout>
              <c:showLegendKey val="0"/>
              <c:showVal val="1"/>
              <c:showCatName val="0"/>
              <c:showSerName val="0"/>
              <c:showPercent val="0"/>
              <c:showBubbleSize val="0"/>
            </c:dLbl>
            <c:dLbl>
              <c:idx val="11"/>
              <c:layout>
                <c:manualLayout>
                  <c:x val="2.7689030883919278E-2"/>
                  <c:y val="-4.1666680336837599E-3"/>
                </c:manualLayout>
              </c:layout>
              <c:showLegendKey val="0"/>
              <c:showVal val="1"/>
              <c:showCatName val="0"/>
              <c:showSerName val="0"/>
              <c:showPercent val="0"/>
              <c:showBubbleSize val="0"/>
            </c:dLbl>
            <c:txPr>
              <a:bodyPr/>
              <a:lstStyle/>
              <a:p>
                <a:pPr>
                  <a:defRPr lang="es-MX" sz="600">
                    <a:latin typeface="Times New Roman" pitchFamily="18" charset="0"/>
                    <a:cs typeface="Times New Roman" pitchFamily="18" charset="0"/>
                  </a:defRPr>
                </a:pPr>
                <a:endParaRPr lang="es-CO"/>
              </a:p>
            </c:txPr>
            <c:showLegendKey val="0"/>
            <c:showVal val="1"/>
            <c:showCatName val="0"/>
            <c:showSerName val="0"/>
            <c:showPercent val="0"/>
            <c:showBubbleSize val="0"/>
            <c:showLeaderLines val="0"/>
          </c:dLbls>
          <c:cat>
            <c:strRef>
              <c:f>'Gráfico PR %HR'!$N$11:$N$22</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'Gráfico PR %HR'!$P$11:$P$22</c:f>
              <c:numCache>
                <c:formatCode>0.00%</c:formatCode>
                <c:ptCount val="12"/>
                <c:pt idx="0">
                  <c:v>0.20461844995827741</c:v>
                </c:pt>
                <c:pt idx="1">
                  <c:v>0.33090783090783238</c:v>
                </c:pt>
                <c:pt idx="2">
                  <c:v>0.22473606789986891</c:v>
                </c:pt>
                <c:pt idx="3">
                  <c:v>0.25458442486306282</c:v>
                </c:pt>
                <c:pt idx="4">
                  <c:v>0.30084507042253522</c:v>
                </c:pt>
                <c:pt idx="5">
                  <c:v>0.24951164537941445</c:v>
                </c:pt>
                <c:pt idx="6">
                  <c:v>0.30176291793313081</c:v>
                </c:pt>
                <c:pt idx="7">
                  <c:v>0.27251720625139764</c:v>
                </c:pt>
                <c:pt idx="8">
                  <c:v>0.30568154108753981</c:v>
                </c:pt>
                <c:pt idx="9">
                  <c:v>0.31827646964600476</c:v>
                </c:pt>
                <c:pt idx="10">
                  <c:v>0.29082439543376504</c:v>
                </c:pt>
                <c:pt idx="11">
                  <c:v>0.26749894795904211</c:v>
                </c:pt>
              </c:numCache>
            </c:numRef>
          </c:val>
        </c:ser>
        <c:dLbls>
          <c:showLegendKey val="0"/>
          <c:showVal val="0"/>
          <c:showCatName val="0"/>
          <c:showSerName val="0"/>
          <c:showPercent val="0"/>
          <c:showBubbleSize val="0"/>
        </c:dLbls>
        <c:gapWidth val="150"/>
        <c:shape val="box"/>
        <c:axId val="231585664"/>
        <c:axId val="231587200"/>
        <c:axId val="0"/>
      </c:bar3DChart>
      <c:catAx>
        <c:axId val="231585664"/>
        <c:scaling>
          <c:orientation val="minMax"/>
        </c:scaling>
        <c:delete val="0"/>
        <c:axPos val="b"/>
        <c:majorTickMark val="out"/>
        <c:minorTickMark val="none"/>
        <c:tickLblPos val="nextTo"/>
        <c:txPr>
          <a:bodyPr rot="-5400000" vert="horz"/>
          <a:lstStyle/>
          <a:p>
            <a:pPr>
              <a:defRPr lang="es-MX" sz="800">
                <a:latin typeface="Times New Roman" pitchFamily="18" charset="0"/>
                <a:cs typeface="Times New Roman" pitchFamily="18" charset="0"/>
              </a:defRPr>
            </a:pPr>
            <a:endParaRPr lang="es-CO"/>
          </a:p>
        </c:txPr>
        <c:crossAx val="231587200"/>
        <c:crosses val="autoZero"/>
        <c:auto val="1"/>
        <c:lblAlgn val="ctr"/>
        <c:lblOffset val="100"/>
        <c:noMultiLvlLbl val="0"/>
      </c:catAx>
      <c:valAx>
        <c:axId val="231587200"/>
        <c:scaling>
          <c:orientation val="minMax"/>
        </c:scaling>
        <c:delete val="0"/>
        <c:axPos val="l"/>
        <c:numFmt formatCode="0.00%" sourceLinked="1"/>
        <c:majorTickMark val="out"/>
        <c:minorTickMark val="none"/>
        <c:tickLblPos val="nextTo"/>
        <c:txPr>
          <a:bodyPr/>
          <a:lstStyle/>
          <a:p>
            <a:pPr>
              <a:defRPr lang="es-MX" sz="700" b="0">
                <a:latin typeface="Times New Roman" pitchFamily="18" charset="0"/>
                <a:cs typeface="Times New Roman" pitchFamily="18" charset="0"/>
              </a:defRPr>
            </a:pPr>
            <a:endParaRPr lang="es-CO"/>
          </a:p>
        </c:txPr>
        <c:crossAx val="231585664"/>
        <c:crosses val="autoZero"/>
        <c:crossBetween val="between"/>
      </c:valAx>
    </c:plotArea>
    <c:legend>
      <c:legendPos val="r"/>
      <c:layout>
        <c:manualLayout>
          <c:xMode val="edge"/>
          <c:yMode val="edge"/>
          <c:x val="0.20471637985978344"/>
          <c:y val="0.93657173694409845"/>
          <c:w val="0.59382384085354523"/>
          <c:h val="6.3428263055903114E-2"/>
        </c:manualLayout>
      </c:layout>
      <c:overlay val="0"/>
      <c:txPr>
        <a:bodyPr/>
        <a:lstStyle/>
        <a:p>
          <a:pPr>
            <a:defRPr lang="es-MX" sz="800">
              <a:latin typeface="Times New Roman" pitchFamily="18" charset="0"/>
              <a:cs typeface="Times New Roman" pitchFamily="18" charset="0"/>
            </a:defRPr>
          </a:pPr>
          <a:endParaRPr lang="es-CO"/>
        </a:p>
      </c:txPr>
    </c:legend>
    <c:plotVisOnly val="1"/>
    <c:dispBlanksAs val="gap"/>
    <c:showDLblsOverMax val="0"/>
  </c:chart>
  <c:spPr>
    <a:ln cap="sq"/>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percentStacked"/>
        <c:varyColors val="0"/>
        <c:ser>
          <c:idx val="0"/>
          <c:order val="0"/>
          <c:tx>
            <c:v>Estrato 1</c:v>
          </c:tx>
          <c:invertIfNegative val="0"/>
          <c:cat>
            <c:strRef>
              <c:f>Hoja1!$B$77:$B$88</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Hoja1!$C$77:$C$88</c:f>
              <c:numCache>
                <c:formatCode>General</c:formatCode>
                <c:ptCount val="12"/>
                <c:pt idx="0" formatCode="#,##0">
                  <c:v>18700</c:v>
                </c:pt>
                <c:pt idx="1">
                  <c:v>22</c:v>
                </c:pt>
                <c:pt idx="2" formatCode="#,##0">
                  <c:v>1480</c:v>
                </c:pt>
                <c:pt idx="3" formatCode="#,##0">
                  <c:v>1099</c:v>
                </c:pt>
                <c:pt idx="4" formatCode="#,##0">
                  <c:v>571</c:v>
                </c:pt>
                <c:pt idx="5">
                  <c:v>227</c:v>
                </c:pt>
                <c:pt idx="6">
                  <c:v>309</c:v>
                </c:pt>
                <c:pt idx="7">
                  <c:v>338</c:v>
                </c:pt>
                <c:pt idx="8" formatCode="#,##0">
                  <c:v>2422</c:v>
                </c:pt>
                <c:pt idx="9" formatCode="#,##0">
                  <c:v>1064</c:v>
                </c:pt>
                <c:pt idx="10" formatCode="#,##0">
                  <c:v>863</c:v>
                </c:pt>
                <c:pt idx="11" formatCode="#,##0">
                  <c:v>114</c:v>
                </c:pt>
              </c:numCache>
            </c:numRef>
          </c:val>
        </c:ser>
        <c:ser>
          <c:idx val="1"/>
          <c:order val="1"/>
          <c:tx>
            <c:v>Estrato2</c:v>
          </c:tx>
          <c:invertIfNegative val="0"/>
          <c:cat>
            <c:strRef>
              <c:f>Hoja1!$B$77:$B$88</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Hoja1!$D$77:$D$88</c:f>
              <c:numCache>
                <c:formatCode>General</c:formatCode>
                <c:ptCount val="12"/>
                <c:pt idx="0" formatCode="#,##0">
                  <c:v>18830</c:v>
                </c:pt>
                <c:pt idx="1">
                  <c:v>246</c:v>
                </c:pt>
                <c:pt idx="2" formatCode="#,##0">
                  <c:v>9776</c:v>
                </c:pt>
                <c:pt idx="3">
                  <c:v>2945</c:v>
                </c:pt>
                <c:pt idx="4" formatCode="#,##0">
                  <c:v>230</c:v>
                </c:pt>
                <c:pt idx="5" formatCode="#,##0">
                  <c:v>1444</c:v>
                </c:pt>
                <c:pt idx="6">
                  <c:v>736</c:v>
                </c:pt>
                <c:pt idx="7" formatCode="#,##0">
                  <c:v>6352</c:v>
                </c:pt>
                <c:pt idx="8" formatCode="#,##0">
                  <c:v>3839</c:v>
                </c:pt>
                <c:pt idx="9">
                  <c:v>22</c:v>
                </c:pt>
                <c:pt idx="10" formatCode="#,##0">
                  <c:v>4688</c:v>
                </c:pt>
                <c:pt idx="11" formatCode="#,##0">
                  <c:v>757</c:v>
                </c:pt>
              </c:numCache>
            </c:numRef>
          </c:val>
        </c:ser>
        <c:ser>
          <c:idx val="2"/>
          <c:order val="2"/>
          <c:tx>
            <c:v>Estrato3</c:v>
          </c:tx>
          <c:invertIfNegative val="0"/>
          <c:cat>
            <c:strRef>
              <c:f>Hoja1!$B$77:$B$88</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Hoja1!$E$77:$E$88</c:f>
              <c:numCache>
                <c:formatCode>General</c:formatCode>
                <c:ptCount val="12"/>
                <c:pt idx="0" formatCode="#,##0">
                  <c:v>23349</c:v>
                </c:pt>
                <c:pt idx="1">
                  <c:v>54</c:v>
                </c:pt>
                <c:pt idx="2" formatCode="#,##0">
                  <c:v>4239</c:v>
                </c:pt>
                <c:pt idx="3">
                  <c:v>996</c:v>
                </c:pt>
                <c:pt idx="4" formatCode="#,##0">
                  <c:v>49</c:v>
                </c:pt>
                <c:pt idx="5">
                  <c:v>541</c:v>
                </c:pt>
                <c:pt idx="6">
                  <c:v>267</c:v>
                </c:pt>
                <c:pt idx="7">
                  <c:v>270</c:v>
                </c:pt>
                <c:pt idx="8">
                  <c:v>806</c:v>
                </c:pt>
                <c:pt idx="9">
                  <c:v>23</c:v>
                </c:pt>
                <c:pt idx="10" formatCode="#,##0">
                  <c:v>1204</c:v>
                </c:pt>
                <c:pt idx="11" formatCode="#,##0">
                  <c:v>153</c:v>
                </c:pt>
              </c:numCache>
            </c:numRef>
          </c:val>
        </c:ser>
        <c:ser>
          <c:idx val="3"/>
          <c:order val="3"/>
          <c:tx>
            <c:v>Estrato4</c:v>
          </c:tx>
          <c:invertIfNegative val="0"/>
          <c:cat>
            <c:strRef>
              <c:f>Hoja1!$B$77:$B$88</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Hoja1!$F$77:$F$88</c:f>
              <c:numCache>
                <c:formatCode>General</c:formatCode>
                <c:ptCount val="12"/>
                <c:pt idx="0" formatCode="#,##0">
                  <c:v>7395</c:v>
                </c:pt>
                <c:pt idx="1">
                  <c:v>0</c:v>
                </c:pt>
                <c:pt idx="2" formatCode="#,##0">
                  <c:v>1316</c:v>
                </c:pt>
                <c:pt idx="3">
                  <c:v>38</c:v>
                </c:pt>
                <c:pt idx="4" formatCode="#,##0">
                  <c:v>0</c:v>
                </c:pt>
                <c:pt idx="5">
                  <c:v>0</c:v>
                </c:pt>
                <c:pt idx="6">
                  <c:v>0</c:v>
                </c:pt>
                <c:pt idx="7">
                  <c:v>10</c:v>
                </c:pt>
                <c:pt idx="8">
                  <c:v>1</c:v>
                </c:pt>
                <c:pt idx="9">
                  <c:v>0</c:v>
                </c:pt>
                <c:pt idx="10" formatCode="#,##0">
                  <c:v>1</c:v>
                </c:pt>
                <c:pt idx="11" formatCode="#,##0">
                  <c:v>7</c:v>
                </c:pt>
              </c:numCache>
            </c:numRef>
          </c:val>
        </c:ser>
        <c:ser>
          <c:idx val="4"/>
          <c:order val="4"/>
          <c:tx>
            <c:v>Estrato5</c:v>
          </c:tx>
          <c:invertIfNegative val="0"/>
          <c:cat>
            <c:strRef>
              <c:f>Hoja1!$B$77:$B$88</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Hoja1!$G$77:$G$88</c:f>
              <c:numCache>
                <c:formatCode>General</c:formatCode>
                <c:ptCount val="12"/>
                <c:pt idx="0" formatCode="#,##0">
                  <c:v>8586</c:v>
                </c:pt>
                <c:pt idx="1">
                  <c:v>0</c:v>
                </c:pt>
                <c:pt idx="2">
                  <c:v>78</c:v>
                </c:pt>
                <c:pt idx="3">
                  <c:v>16</c:v>
                </c:pt>
                <c:pt idx="4" formatCode="#,##0">
                  <c:v>0</c:v>
                </c:pt>
                <c:pt idx="5">
                  <c:v>0</c:v>
                </c:pt>
                <c:pt idx="6">
                  <c:v>0</c:v>
                </c:pt>
                <c:pt idx="7">
                  <c:v>37</c:v>
                </c:pt>
                <c:pt idx="8">
                  <c:v>0</c:v>
                </c:pt>
                <c:pt idx="9">
                  <c:v>0</c:v>
                </c:pt>
                <c:pt idx="10" formatCode="#,##0">
                  <c:v>0</c:v>
                </c:pt>
                <c:pt idx="11" formatCode="#,##0">
                  <c:v>2</c:v>
                </c:pt>
              </c:numCache>
            </c:numRef>
          </c:val>
        </c:ser>
        <c:ser>
          <c:idx val="5"/>
          <c:order val="5"/>
          <c:tx>
            <c:v>Estrato6</c:v>
          </c:tx>
          <c:invertIfNegative val="0"/>
          <c:cat>
            <c:strRef>
              <c:f>Hoja1!$B$77:$B$88</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Hoja1!$H$77:$H$88</c:f>
              <c:numCache>
                <c:formatCode>General</c:formatCode>
                <c:ptCount val="12"/>
                <c:pt idx="0" formatCode="#,##0">
                  <c:v>1054</c:v>
                </c:pt>
                <c:pt idx="1">
                  <c:v>0</c:v>
                </c:pt>
                <c:pt idx="2">
                  <c:v>89</c:v>
                </c:pt>
                <c:pt idx="3">
                  <c:v>3</c:v>
                </c:pt>
                <c:pt idx="4" formatCode="#,##0">
                  <c:v>0</c:v>
                </c:pt>
                <c:pt idx="5">
                  <c:v>0</c:v>
                </c:pt>
                <c:pt idx="6">
                  <c:v>0</c:v>
                </c:pt>
                <c:pt idx="7">
                  <c:v>30</c:v>
                </c:pt>
                <c:pt idx="8">
                  <c:v>2</c:v>
                </c:pt>
                <c:pt idx="9">
                  <c:v>0</c:v>
                </c:pt>
                <c:pt idx="10" formatCode="#,##0">
                  <c:v>0</c:v>
                </c:pt>
                <c:pt idx="11" formatCode="#,##0">
                  <c:v>1</c:v>
                </c:pt>
              </c:numCache>
            </c:numRef>
          </c:val>
        </c:ser>
        <c:dLbls>
          <c:showLegendKey val="0"/>
          <c:showVal val="0"/>
          <c:showCatName val="0"/>
          <c:showSerName val="0"/>
          <c:showPercent val="0"/>
          <c:showBubbleSize val="0"/>
        </c:dLbls>
        <c:gapWidth val="150"/>
        <c:overlap val="100"/>
        <c:axId val="231710080"/>
        <c:axId val="231736448"/>
      </c:barChart>
      <c:catAx>
        <c:axId val="231710080"/>
        <c:scaling>
          <c:orientation val="minMax"/>
        </c:scaling>
        <c:delete val="0"/>
        <c:axPos val="b"/>
        <c:numFmt formatCode="General" sourceLinked="1"/>
        <c:majorTickMark val="none"/>
        <c:minorTickMark val="none"/>
        <c:tickLblPos val="nextTo"/>
        <c:crossAx val="231736448"/>
        <c:crosses val="autoZero"/>
        <c:auto val="1"/>
        <c:lblAlgn val="ctr"/>
        <c:lblOffset val="100"/>
        <c:noMultiLvlLbl val="0"/>
      </c:catAx>
      <c:valAx>
        <c:axId val="231736448"/>
        <c:scaling>
          <c:orientation val="minMax"/>
        </c:scaling>
        <c:delete val="0"/>
        <c:axPos val="l"/>
        <c:numFmt formatCode="0%" sourceLinked="1"/>
        <c:majorTickMark val="none"/>
        <c:minorTickMark val="none"/>
        <c:tickLblPos val="nextTo"/>
        <c:crossAx val="231710080"/>
        <c:crosses val="autoZero"/>
        <c:crossBetween val="between"/>
      </c:valAx>
      <c:dTable>
        <c:showHorzBorder val="1"/>
        <c:showVertBorder val="1"/>
        <c:showOutline val="1"/>
        <c:showKeys val="1"/>
        <c:txPr>
          <a:bodyPr/>
          <a:lstStyle/>
          <a:p>
            <a:pPr rtl="0">
              <a:defRPr sz="600">
                <a:latin typeface="Arial Narrow" pitchFamily="34" charset="0"/>
              </a:defRPr>
            </a:pPr>
            <a:endParaRPr lang="es-CO"/>
          </a:p>
        </c:txPr>
      </c:dTable>
      <c:spPr>
        <a:noFill/>
        <a:ln w="25400">
          <a:noFill/>
        </a:ln>
      </c:spPr>
    </c:plotArea>
    <c:plotVisOnly val="1"/>
    <c:dispBlanksAs val="gap"/>
    <c:showDLblsOverMax val="0"/>
  </c:chart>
  <c:spPr>
    <a:ln cap="rnd"/>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invertIfNegative val="0"/>
          <c:dPt>
            <c:idx val="2"/>
            <c:invertIfNegative val="0"/>
            <c:bubble3D val="0"/>
          </c:dPt>
          <c:dPt>
            <c:idx val="4"/>
            <c:invertIfNegative val="0"/>
            <c:bubble3D val="0"/>
          </c:dPt>
          <c:dLbls>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'[Tasas 2013.xlsx]Hoja1'!$A$60:$A$64</c:f>
              <c:strCache>
                <c:ptCount val="5"/>
                <c:pt idx="0">
                  <c:v>Antioquia</c:v>
                </c:pt>
                <c:pt idx="1">
                  <c:v>Caldas</c:v>
                </c:pt>
                <c:pt idx="2">
                  <c:v>Quindio</c:v>
                </c:pt>
                <c:pt idx="3">
                  <c:v>Risaralda</c:v>
                </c:pt>
                <c:pt idx="4">
                  <c:v>Nacional</c:v>
                </c:pt>
              </c:strCache>
            </c:strRef>
          </c:cat>
          <c:val>
            <c:numRef>
              <c:f>'[Tasas 2013.xlsx]Hoja1'!$B$60:$B$64</c:f>
              <c:numCache>
                <c:formatCode>0.00%</c:formatCode>
                <c:ptCount val="5"/>
                <c:pt idx="0">
                  <c:v>0.91927592109130518</c:v>
                </c:pt>
                <c:pt idx="1">
                  <c:v>0.82544090322973673</c:v>
                </c:pt>
                <c:pt idx="2">
                  <c:v>0.85870413039385329</c:v>
                </c:pt>
                <c:pt idx="3">
                  <c:v>0.89808242793142712</c:v>
                </c:pt>
                <c:pt idx="4">
                  <c:v>0.87548261578334285</c:v>
                </c:pt>
              </c:numCache>
            </c:numRef>
          </c:val>
        </c:ser>
        <c:dLbls>
          <c:showLegendKey val="0"/>
          <c:showVal val="0"/>
          <c:showCatName val="0"/>
          <c:showSerName val="0"/>
          <c:showPercent val="0"/>
          <c:showBubbleSize val="0"/>
        </c:dLbls>
        <c:gapWidth val="146"/>
        <c:overlap val="100"/>
        <c:axId val="231749120"/>
        <c:axId val="231750656"/>
      </c:barChart>
      <c:catAx>
        <c:axId val="231749120"/>
        <c:scaling>
          <c:orientation val="minMax"/>
        </c:scaling>
        <c:delete val="0"/>
        <c:axPos val="b"/>
        <c:numFmt formatCode="General" sourceLinked="1"/>
        <c:majorTickMark val="none"/>
        <c:minorTickMark val="none"/>
        <c:tickLblPos val="nextTo"/>
        <c:txPr>
          <a:bodyPr rot="-60000000" vert="horz"/>
          <a:lstStyle/>
          <a:p>
            <a:pPr>
              <a:defRPr/>
            </a:pPr>
            <a:endParaRPr lang="es-CO"/>
          </a:p>
        </c:txPr>
        <c:crossAx val="231750656"/>
        <c:crosses val="autoZero"/>
        <c:auto val="1"/>
        <c:lblAlgn val="ctr"/>
        <c:lblOffset val="100"/>
        <c:noMultiLvlLbl val="0"/>
      </c:catAx>
      <c:valAx>
        <c:axId val="231750656"/>
        <c:scaling>
          <c:orientation val="minMax"/>
        </c:scaling>
        <c:delete val="0"/>
        <c:axPos val="l"/>
        <c:numFmt formatCode="0%" sourceLinked="0"/>
        <c:majorTickMark val="none"/>
        <c:minorTickMark val="none"/>
        <c:tickLblPos val="nextTo"/>
        <c:txPr>
          <a:bodyPr rot="-60000000" vert="horz"/>
          <a:lstStyle/>
          <a:p>
            <a:pPr>
              <a:defRPr/>
            </a:pPr>
            <a:endParaRPr lang="es-CO"/>
          </a:p>
        </c:txPr>
        <c:crossAx val="23174912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Hoja6!$E$15</c:f>
              <c:strCache>
                <c:ptCount val="1"/>
                <c:pt idx="0">
                  <c:v>Oficial</c:v>
                </c:pt>
              </c:strCache>
            </c:strRef>
          </c:tx>
          <c:invertIfNegative val="0"/>
          <c:dLbls>
            <c:txPr>
              <a:bodyPr rot="0" vert="horz"/>
              <a:lstStyle/>
              <a:p>
                <a:pPr>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Hoja6!$D$16:$D$19</c:f>
              <c:strCache>
                <c:ptCount val="4"/>
                <c:pt idx="0">
                  <c:v>PRESCOLAR</c:v>
                </c:pt>
                <c:pt idx="1">
                  <c:v>PRIMARIA</c:v>
                </c:pt>
                <c:pt idx="2">
                  <c:v>SECUNDARIA</c:v>
                </c:pt>
                <c:pt idx="3">
                  <c:v>MEDIA</c:v>
                </c:pt>
              </c:strCache>
            </c:strRef>
          </c:cat>
          <c:val>
            <c:numRef>
              <c:f>Hoja6!$E$16:$E$19</c:f>
              <c:numCache>
                <c:formatCode>0%</c:formatCode>
                <c:ptCount val="4"/>
                <c:pt idx="0">
                  <c:v>0.7</c:v>
                </c:pt>
                <c:pt idx="1">
                  <c:v>0.89</c:v>
                </c:pt>
                <c:pt idx="2">
                  <c:v>0.88</c:v>
                </c:pt>
                <c:pt idx="3">
                  <c:v>0.57999999999999996</c:v>
                </c:pt>
              </c:numCache>
            </c:numRef>
          </c:val>
        </c:ser>
        <c:ser>
          <c:idx val="1"/>
          <c:order val="1"/>
          <c:tx>
            <c:strRef>
              <c:f>Hoja6!$F$15</c:f>
              <c:strCache>
                <c:ptCount val="1"/>
                <c:pt idx="0">
                  <c:v>Privada</c:v>
                </c:pt>
              </c:strCache>
            </c:strRef>
          </c:tx>
          <c:invertIfNegative val="0"/>
          <c:dLbls>
            <c:txPr>
              <a:bodyPr rot="0" vert="horz"/>
              <a:lstStyle/>
              <a:p>
                <a:pPr>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Hoja6!$D$16:$D$19</c:f>
              <c:strCache>
                <c:ptCount val="4"/>
                <c:pt idx="0">
                  <c:v>PRESCOLAR</c:v>
                </c:pt>
                <c:pt idx="1">
                  <c:v>PRIMARIA</c:v>
                </c:pt>
                <c:pt idx="2">
                  <c:v>SECUNDARIA</c:v>
                </c:pt>
                <c:pt idx="3">
                  <c:v>MEDIA</c:v>
                </c:pt>
              </c:strCache>
            </c:strRef>
          </c:cat>
          <c:val>
            <c:numRef>
              <c:f>Hoja6!$F$16:$F$19</c:f>
              <c:numCache>
                <c:formatCode>0%</c:formatCode>
                <c:ptCount val="4"/>
                <c:pt idx="0">
                  <c:v>0.04</c:v>
                </c:pt>
                <c:pt idx="1">
                  <c:v>0.03</c:v>
                </c:pt>
                <c:pt idx="2">
                  <c:v>0.03</c:v>
                </c:pt>
                <c:pt idx="3">
                  <c:v>0.02</c:v>
                </c:pt>
              </c:numCache>
            </c:numRef>
          </c:val>
        </c:ser>
        <c:dLbls>
          <c:dLblPos val="outEnd"/>
          <c:showLegendKey val="0"/>
          <c:showVal val="1"/>
          <c:showCatName val="0"/>
          <c:showSerName val="0"/>
          <c:showPercent val="0"/>
          <c:showBubbleSize val="0"/>
        </c:dLbls>
        <c:gapWidth val="164"/>
        <c:overlap val="-22"/>
        <c:axId val="231768064"/>
        <c:axId val="231769600"/>
      </c:barChart>
      <c:catAx>
        <c:axId val="231768064"/>
        <c:scaling>
          <c:orientation val="minMax"/>
        </c:scaling>
        <c:delete val="0"/>
        <c:axPos val="b"/>
        <c:numFmt formatCode="General" sourceLinked="1"/>
        <c:majorTickMark val="none"/>
        <c:minorTickMark val="none"/>
        <c:tickLblPos val="nextTo"/>
        <c:txPr>
          <a:bodyPr rot="-60000000" vert="horz"/>
          <a:lstStyle/>
          <a:p>
            <a:pPr>
              <a:defRPr/>
            </a:pPr>
            <a:endParaRPr lang="es-CO"/>
          </a:p>
        </c:txPr>
        <c:crossAx val="231769600"/>
        <c:crosses val="autoZero"/>
        <c:auto val="1"/>
        <c:lblAlgn val="ctr"/>
        <c:lblOffset val="100"/>
        <c:noMultiLvlLbl val="0"/>
      </c:catAx>
      <c:valAx>
        <c:axId val="231769600"/>
        <c:scaling>
          <c:orientation val="minMax"/>
        </c:scaling>
        <c:delete val="0"/>
        <c:axPos val="l"/>
        <c:numFmt formatCode="0%" sourceLinked="1"/>
        <c:majorTickMark val="none"/>
        <c:minorTickMark val="none"/>
        <c:tickLblPos val="nextTo"/>
        <c:txPr>
          <a:bodyPr rot="-60000000" vert="horz"/>
          <a:lstStyle/>
          <a:p>
            <a:pPr>
              <a:defRPr/>
            </a:pPr>
            <a:endParaRPr lang="es-CO"/>
          </a:p>
        </c:txPr>
        <c:crossAx val="231768064"/>
        <c:crosses val="autoZero"/>
        <c:crossBetween val="between"/>
      </c:valAx>
    </c:plotArea>
    <c:legend>
      <c:legendPos val="t"/>
      <c:overlay val="0"/>
      <c:txPr>
        <a:bodyPr rot="0" vert="horz"/>
        <a:lstStyle/>
        <a:p>
          <a:pPr>
            <a:defRPr/>
          </a:pPr>
          <a:endParaRPr lang="es-CO"/>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2671275846616734"/>
          <c:y val="0.15223657541028013"/>
          <c:w val="0.85052301389155627"/>
          <c:h val="0.54378436483835424"/>
        </c:manualLayout>
      </c:layout>
      <c:barChart>
        <c:barDir val="col"/>
        <c:grouping val="clustered"/>
        <c:varyColors val="0"/>
        <c:ser>
          <c:idx val="0"/>
          <c:order val="0"/>
          <c:tx>
            <c:strRef>
              <c:f>Hoja3!$B$5:$B$6</c:f>
              <c:strCache>
                <c:ptCount val="2"/>
                <c:pt idx="0">
                  <c:v>TASAS BRUTAS %</c:v>
                </c:pt>
              </c:strCache>
            </c:strRef>
          </c:tx>
          <c:invertIfNegative val="0"/>
          <c:dLbls>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Hoja3!$A$7:$A$10</c:f>
              <c:strCache>
                <c:ptCount val="4"/>
                <c:pt idx="0">
                  <c:v>0-5 </c:v>
                </c:pt>
                <c:pt idx="1">
                  <c:v>6 A 10</c:v>
                </c:pt>
                <c:pt idx="2">
                  <c:v>11 A 14</c:v>
                </c:pt>
                <c:pt idx="3">
                  <c:v>15 A 16</c:v>
                </c:pt>
              </c:strCache>
            </c:strRef>
          </c:cat>
          <c:val>
            <c:numRef>
              <c:f>Hoja3!$B$7:$B$10</c:f>
              <c:numCache>
                <c:formatCode>0%</c:formatCode>
                <c:ptCount val="4"/>
                <c:pt idx="0">
                  <c:v>0.75</c:v>
                </c:pt>
                <c:pt idx="1">
                  <c:v>0.93</c:v>
                </c:pt>
                <c:pt idx="2">
                  <c:v>0.91</c:v>
                </c:pt>
                <c:pt idx="3">
                  <c:v>0.61</c:v>
                </c:pt>
              </c:numCache>
            </c:numRef>
          </c:val>
        </c:ser>
        <c:ser>
          <c:idx val="1"/>
          <c:order val="1"/>
          <c:tx>
            <c:strRef>
              <c:f>Hoja3!$C$5:$C$6</c:f>
              <c:strCache>
                <c:ptCount val="2"/>
                <c:pt idx="0">
                  <c:v>TASAS BRUTAS %</c:v>
                </c:pt>
              </c:strCache>
            </c:strRef>
          </c:tx>
          <c:invertIfNegative val="0"/>
          <c:cat>
            <c:strRef>
              <c:f>Hoja3!$A$7:$A$10</c:f>
              <c:strCache>
                <c:ptCount val="4"/>
                <c:pt idx="0">
                  <c:v>0-5 </c:v>
                </c:pt>
                <c:pt idx="1">
                  <c:v>6 A 10</c:v>
                </c:pt>
                <c:pt idx="2">
                  <c:v>11 A 14</c:v>
                </c:pt>
                <c:pt idx="3">
                  <c:v>15 A 16</c:v>
                </c:pt>
              </c:strCache>
            </c:strRef>
          </c:cat>
          <c:val>
            <c:numRef>
              <c:f>Hoja3!$C$7:$C$10</c:f>
            </c:numRef>
          </c:val>
        </c:ser>
        <c:ser>
          <c:idx val="2"/>
          <c:order val="2"/>
          <c:tx>
            <c:strRef>
              <c:f>Hoja3!$D$5:$D$6</c:f>
              <c:strCache>
                <c:ptCount val="2"/>
                <c:pt idx="0">
                  <c:v>TASAS NETAS %</c:v>
                </c:pt>
              </c:strCache>
            </c:strRef>
          </c:tx>
          <c:invertIfNegative val="0"/>
          <c:dLbls>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Hoja3!$A$7:$A$10</c:f>
              <c:strCache>
                <c:ptCount val="4"/>
                <c:pt idx="0">
                  <c:v>0-5 </c:v>
                </c:pt>
                <c:pt idx="1">
                  <c:v>6 A 10</c:v>
                </c:pt>
                <c:pt idx="2">
                  <c:v>11 A 14</c:v>
                </c:pt>
                <c:pt idx="3">
                  <c:v>15 A 16</c:v>
                </c:pt>
              </c:strCache>
            </c:strRef>
          </c:cat>
          <c:val>
            <c:numRef>
              <c:f>Hoja3!$D$7:$D$10</c:f>
              <c:numCache>
                <c:formatCode>0%</c:formatCode>
                <c:ptCount val="4"/>
                <c:pt idx="0">
                  <c:v>0.42</c:v>
                </c:pt>
                <c:pt idx="1">
                  <c:v>0.76</c:v>
                </c:pt>
                <c:pt idx="2">
                  <c:v>0.72</c:v>
                </c:pt>
                <c:pt idx="3">
                  <c:v>0.42</c:v>
                </c:pt>
              </c:numCache>
            </c:numRef>
          </c:val>
        </c:ser>
        <c:dLbls>
          <c:showLegendKey val="0"/>
          <c:showVal val="0"/>
          <c:showCatName val="0"/>
          <c:showSerName val="0"/>
          <c:showPercent val="0"/>
          <c:showBubbleSize val="0"/>
        </c:dLbls>
        <c:gapWidth val="219"/>
        <c:overlap val="-27"/>
        <c:axId val="231792000"/>
        <c:axId val="231814272"/>
      </c:barChart>
      <c:catAx>
        <c:axId val="231792000"/>
        <c:scaling>
          <c:orientation val="minMax"/>
        </c:scaling>
        <c:delete val="0"/>
        <c:axPos val="b"/>
        <c:numFmt formatCode="General" sourceLinked="1"/>
        <c:majorTickMark val="none"/>
        <c:minorTickMark val="none"/>
        <c:tickLblPos val="nextTo"/>
        <c:txPr>
          <a:bodyPr rot="-60000000" vert="horz"/>
          <a:lstStyle/>
          <a:p>
            <a:pPr>
              <a:defRPr/>
            </a:pPr>
            <a:endParaRPr lang="es-CO"/>
          </a:p>
        </c:txPr>
        <c:crossAx val="231814272"/>
        <c:crosses val="autoZero"/>
        <c:auto val="1"/>
        <c:lblAlgn val="ctr"/>
        <c:lblOffset val="100"/>
        <c:noMultiLvlLbl val="0"/>
      </c:catAx>
      <c:valAx>
        <c:axId val="231814272"/>
        <c:scaling>
          <c:orientation val="minMax"/>
        </c:scaling>
        <c:delete val="0"/>
        <c:axPos val="l"/>
        <c:numFmt formatCode="0%" sourceLinked="1"/>
        <c:majorTickMark val="none"/>
        <c:minorTickMark val="none"/>
        <c:tickLblPos val="nextTo"/>
        <c:txPr>
          <a:bodyPr rot="-60000000" vert="horz"/>
          <a:lstStyle/>
          <a:p>
            <a:pPr>
              <a:defRPr/>
            </a:pPr>
            <a:endParaRPr lang="es-CO"/>
          </a:p>
        </c:txPr>
        <c:crossAx val="231792000"/>
        <c:crosses val="autoZero"/>
        <c:crossBetween val="between"/>
      </c:valAx>
    </c:plotArea>
    <c:legend>
      <c:legendPos val="b"/>
      <c:overlay val="0"/>
      <c:txPr>
        <a:bodyPr rot="0" vert="horz"/>
        <a:lstStyle/>
        <a:p>
          <a:pPr>
            <a:defRPr/>
          </a:pPr>
          <a:endParaRPr lang="es-CO"/>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9005582048722783"/>
          <c:y val="2.5466953291198389E-2"/>
          <c:w val="0.80823696653795352"/>
          <c:h val="0.70671370330760175"/>
        </c:manualLayout>
      </c:layout>
      <c:bar3DChart>
        <c:barDir val="col"/>
        <c:grouping val="clustered"/>
        <c:varyColors val="0"/>
        <c:ser>
          <c:idx val="0"/>
          <c:order val="0"/>
          <c:tx>
            <c:strRef>
              <c:f>Hoja4!$F$15:$F$16</c:f>
              <c:strCache>
                <c:ptCount val="1"/>
                <c:pt idx="0">
                  <c:v>Instituciones Urbano</c:v>
                </c:pt>
              </c:strCache>
            </c:strRef>
          </c:tx>
          <c:invertIfNegative val="0"/>
          <c:dLbls>
            <c:showLegendKey val="0"/>
            <c:showVal val="1"/>
            <c:showCatName val="0"/>
            <c:showSerName val="0"/>
            <c:showPercent val="0"/>
            <c:showBubbleSize val="0"/>
            <c:showLeaderLines val="0"/>
          </c:dLbls>
          <c:cat>
            <c:strRef>
              <c:f>Hoja4!$E$17:$E$27</c:f>
              <c:strCache>
                <c:ptCount val="11"/>
                <c:pt idx="0">
                  <c:v>Buenavista </c:v>
                </c:pt>
                <c:pt idx="1">
                  <c:v>Calarcá </c:v>
                </c:pt>
                <c:pt idx="2">
                  <c:v>Circasia </c:v>
                </c:pt>
                <c:pt idx="3">
                  <c:v>Córdoba </c:v>
                </c:pt>
                <c:pt idx="4">
                  <c:v>Filandia </c:v>
                </c:pt>
                <c:pt idx="5">
                  <c:v>Génova </c:v>
                </c:pt>
                <c:pt idx="6">
                  <c:v>Montenegro </c:v>
                </c:pt>
                <c:pt idx="7">
                  <c:v>Pijao </c:v>
                </c:pt>
                <c:pt idx="8">
                  <c:v>Quimbaya </c:v>
                </c:pt>
                <c:pt idx="9">
                  <c:v>Salento </c:v>
                </c:pt>
                <c:pt idx="10">
                  <c:v>La Tebaida </c:v>
                </c:pt>
              </c:strCache>
            </c:strRef>
          </c:cat>
          <c:val>
            <c:numRef>
              <c:f>Hoja4!$F$17:$F$27</c:f>
              <c:numCache>
                <c:formatCode>General</c:formatCode>
                <c:ptCount val="11"/>
                <c:pt idx="0">
                  <c:v>1</c:v>
                </c:pt>
                <c:pt idx="1">
                  <c:v>10</c:v>
                </c:pt>
                <c:pt idx="2">
                  <c:v>4</c:v>
                </c:pt>
                <c:pt idx="3">
                  <c:v>1</c:v>
                </c:pt>
                <c:pt idx="4">
                  <c:v>2</c:v>
                </c:pt>
                <c:pt idx="5">
                  <c:v>2</c:v>
                </c:pt>
                <c:pt idx="6">
                  <c:v>1</c:v>
                </c:pt>
                <c:pt idx="7">
                  <c:v>2</c:v>
                </c:pt>
                <c:pt idx="8">
                  <c:v>4</c:v>
                </c:pt>
                <c:pt idx="9">
                  <c:v>1</c:v>
                </c:pt>
                <c:pt idx="10">
                  <c:v>6</c:v>
                </c:pt>
              </c:numCache>
            </c:numRef>
          </c:val>
        </c:ser>
        <c:ser>
          <c:idx val="1"/>
          <c:order val="1"/>
          <c:tx>
            <c:strRef>
              <c:f>Hoja4!$G$15:$G$16</c:f>
              <c:strCache>
                <c:ptCount val="1"/>
                <c:pt idx="0">
                  <c:v>Instituciones Rural</c:v>
                </c:pt>
              </c:strCache>
            </c:strRef>
          </c:tx>
          <c:invertIfNegative val="0"/>
          <c:dLbls>
            <c:dLbl>
              <c:idx val="1"/>
              <c:layout>
                <c:manualLayout>
                  <c:x val="3.4144259496372174E-3"/>
                  <c:y val="0"/>
                </c:manualLayout>
              </c:layout>
              <c:showLegendKey val="0"/>
              <c:showVal val="1"/>
              <c:showCatName val="0"/>
              <c:showSerName val="0"/>
              <c:showPercent val="0"/>
              <c:showBubbleSize val="0"/>
            </c:dLbl>
            <c:dLbl>
              <c:idx val="2"/>
              <c:layout>
                <c:manualLayout>
                  <c:x val="5.1216389244558257E-3"/>
                  <c:y val="0"/>
                </c:manualLayout>
              </c:layout>
              <c:showLegendKey val="0"/>
              <c:showVal val="1"/>
              <c:showCatName val="0"/>
              <c:showSerName val="0"/>
              <c:showPercent val="0"/>
              <c:showBubbleSize val="0"/>
            </c:dLbl>
            <c:dLbl>
              <c:idx val="5"/>
              <c:layout>
                <c:manualLayout>
                  <c:x val="3.4144259496372174E-3"/>
                  <c:y val="0"/>
                </c:manualLayout>
              </c:layout>
              <c:showLegendKey val="0"/>
              <c:showVal val="1"/>
              <c:showCatName val="0"/>
              <c:showSerName val="0"/>
              <c:showPercent val="0"/>
              <c:showBubbleSize val="0"/>
            </c:dLbl>
            <c:dLbl>
              <c:idx val="10"/>
              <c:layout>
                <c:manualLayout>
                  <c:x val="3.4144259496372174E-3"/>
                  <c:y val="8.34637317225928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Hoja4!$E$17:$E$27</c:f>
              <c:strCache>
                <c:ptCount val="11"/>
                <c:pt idx="0">
                  <c:v>Buenavista </c:v>
                </c:pt>
                <c:pt idx="1">
                  <c:v>Calarcá </c:v>
                </c:pt>
                <c:pt idx="2">
                  <c:v>Circasia </c:v>
                </c:pt>
                <c:pt idx="3">
                  <c:v>Córdoba </c:v>
                </c:pt>
                <c:pt idx="4">
                  <c:v>Filandia </c:v>
                </c:pt>
                <c:pt idx="5">
                  <c:v>Génova </c:v>
                </c:pt>
                <c:pt idx="6">
                  <c:v>Montenegro </c:v>
                </c:pt>
                <c:pt idx="7">
                  <c:v>Pijao </c:v>
                </c:pt>
                <c:pt idx="8">
                  <c:v>Quimbaya </c:v>
                </c:pt>
                <c:pt idx="9">
                  <c:v>Salento </c:v>
                </c:pt>
                <c:pt idx="10">
                  <c:v>La Tebaida </c:v>
                </c:pt>
              </c:strCache>
            </c:strRef>
          </c:cat>
          <c:val>
            <c:numRef>
              <c:f>Hoja4!$G$17:$G$27</c:f>
              <c:numCache>
                <c:formatCode>General</c:formatCode>
                <c:ptCount val="11"/>
                <c:pt idx="0">
                  <c:v>1</c:v>
                </c:pt>
                <c:pt idx="1">
                  <c:v>4</c:v>
                </c:pt>
                <c:pt idx="2">
                  <c:v>1</c:v>
                </c:pt>
                <c:pt idx="3">
                  <c:v>1</c:v>
                </c:pt>
                <c:pt idx="4">
                  <c:v>2</c:v>
                </c:pt>
                <c:pt idx="5">
                  <c:v>0</c:v>
                </c:pt>
                <c:pt idx="6">
                  <c:v>4</c:v>
                </c:pt>
                <c:pt idx="7">
                  <c:v>2</c:v>
                </c:pt>
                <c:pt idx="8">
                  <c:v>3</c:v>
                </c:pt>
                <c:pt idx="9">
                  <c:v>1</c:v>
                </c:pt>
                <c:pt idx="10">
                  <c:v>1</c:v>
                </c:pt>
              </c:numCache>
            </c:numRef>
          </c:val>
        </c:ser>
        <c:ser>
          <c:idx val="2"/>
          <c:order val="2"/>
          <c:tx>
            <c:strRef>
              <c:f>Hoja4!$H$15:$H$16</c:f>
              <c:strCache>
                <c:ptCount val="1"/>
                <c:pt idx="0">
                  <c:v>Sedes Urbano</c:v>
                </c:pt>
              </c:strCache>
            </c:strRef>
          </c:tx>
          <c:invertIfNegative val="0"/>
          <c:dLbls>
            <c:showLegendKey val="0"/>
            <c:showVal val="1"/>
            <c:showCatName val="0"/>
            <c:showSerName val="0"/>
            <c:showPercent val="0"/>
            <c:showBubbleSize val="0"/>
            <c:showLeaderLines val="0"/>
          </c:dLbls>
          <c:cat>
            <c:strRef>
              <c:f>Hoja4!$E$17:$E$27</c:f>
              <c:strCache>
                <c:ptCount val="11"/>
                <c:pt idx="0">
                  <c:v>Buenavista </c:v>
                </c:pt>
                <c:pt idx="1">
                  <c:v>Calarcá </c:v>
                </c:pt>
                <c:pt idx="2">
                  <c:v>Circasia </c:v>
                </c:pt>
                <c:pt idx="3">
                  <c:v>Córdoba </c:v>
                </c:pt>
                <c:pt idx="4">
                  <c:v>Filandia </c:v>
                </c:pt>
                <c:pt idx="5">
                  <c:v>Génova </c:v>
                </c:pt>
                <c:pt idx="6">
                  <c:v>Montenegro </c:v>
                </c:pt>
                <c:pt idx="7">
                  <c:v>Pijao </c:v>
                </c:pt>
                <c:pt idx="8">
                  <c:v>Quimbaya </c:v>
                </c:pt>
                <c:pt idx="9">
                  <c:v>Salento </c:v>
                </c:pt>
                <c:pt idx="10">
                  <c:v>La Tebaida </c:v>
                </c:pt>
              </c:strCache>
            </c:strRef>
          </c:cat>
          <c:val>
            <c:numRef>
              <c:f>Hoja4!$H$17:$H$27</c:f>
              <c:numCache>
                <c:formatCode>General</c:formatCode>
                <c:ptCount val="11"/>
                <c:pt idx="0">
                  <c:v>1</c:v>
                </c:pt>
                <c:pt idx="1">
                  <c:v>11</c:v>
                </c:pt>
                <c:pt idx="2">
                  <c:v>6</c:v>
                </c:pt>
                <c:pt idx="3">
                  <c:v>1</c:v>
                </c:pt>
                <c:pt idx="4">
                  <c:v>3</c:v>
                </c:pt>
                <c:pt idx="5">
                  <c:v>5</c:v>
                </c:pt>
                <c:pt idx="6">
                  <c:v>9</c:v>
                </c:pt>
                <c:pt idx="7">
                  <c:v>3</c:v>
                </c:pt>
                <c:pt idx="8">
                  <c:v>10</c:v>
                </c:pt>
                <c:pt idx="9">
                  <c:v>3</c:v>
                </c:pt>
                <c:pt idx="10">
                  <c:v>6</c:v>
                </c:pt>
              </c:numCache>
            </c:numRef>
          </c:val>
        </c:ser>
        <c:ser>
          <c:idx val="3"/>
          <c:order val="3"/>
          <c:tx>
            <c:strRef>
              <c:f>Hoja4!$I$15:$I$16</c:f>
              <c:strCache>
                <c:ptCount val="1"/>
                <c:pt idx="0">
                  <c:v>Sedes Rural</c:v>
                </c:pt>
              </c:strCache>
            </c:strRef>
          </c:tx>
          <c:invertIfNegative val="0"/>
          <c:dLbls>
            <c:showLegendKey val="0"/>
            <c:showVal val="1"/>
            <c:showCatName val="0"/>
            <c:showSerName val="0"/>
            <c:showPercent val="0"/>
            <c:showBubbleSize val="0"/>
            <c:showLeaderLines val="0"/>
          </c:dLbls>
          <c:cat>
            <c:strRef>
              <c:f>Hoja4!$E$17:$E$27</c:f>
              <c:strCache>
                <c:ptCount val="11"/>
                <c:pt idx="0">
                  <c:v>Buenavista </c:v>
                </c:pt>
                <c:pt idx="1">
                  <c:v>Calarcá </c:v>
                </c:pt>
                <c:pt idx="2">
                  <c:v>Circasia </c:v>
                </c:pt>
                <c:pt idx="3">
                  <c:v>Córdoba </c:v>
                </c:pt>
                <c:pt idx="4">
                  <c:v>Filandia </c:v>
                </c:pt>
                <c:pt idx="5">
                  <c:v>Génova </c:v>
                </c:pt>
                <c:pt idx="6">
                  <c:v>Montenegro </c:v>
                </c:pt>
                <c:pt idx="7">
                  <c:v>Pijao </c:v>
                </c:pt>
                <c:pt idx="8">
                  <c:v>Quimbaya </c:v>
                </c:pt>
                <c:pt idx="9">
                  <c:v>Salento </c:v>
                </c:pt>
                <c:pt idx="10">
                  <c:v>La Tebaida </c:v>
                </c:pt>
              </c:strCache>
            </c:strRef>
          </c:cat>
          <c:val>
            <c:numRef>
              <c:f>Hoja4!$I$17:$I$27</c:f>
              <c:numCache>
                <c:formatCode>General</c:formatCode>
                <c:ptCount val="11"/>
                <c:pt idx="0">
                  <c:v>11</c:v>
                </c:pt>
                <c:pt idx="1">
                  <c:v>32</c:v>
                </c:pt>
                <c:pt idx="2">
                  <c:v>21</c:v>
                </c:pt>
                <c:pt idx="3">
                  <c:v>12</c:v>
                </c:pt>
                <c:pt idx="4">
                  <c:v>24</c:v>
                </c:pt>
                <c:pt idx="5">
                  <c:v>26</c:v>
                </c:pt>
                <c:pt idx="6">
                  <c:v>19</c:v>
                </c:pt>
                <c:pt idx="7">
                  <c:v>18</c:v>
                </c:pt>
                <c:pt idx="8">
                  <c:v>23</c:v>
                </c:pt>
                <c:pt idx="9">
                  <c:v>14</c:v>
                </c:pt>
                <c:pt idx="10">
                  <c:v>8</c:v>
                </c:pt>
              </c:numCache>
            </c:numRef>
          </c:val>
        </c:ser>
        <c:dLbls>
          <c:showLegendKey val="0"/>
          <c:showVal val="0"/>
          <c:showCatName val="0"/>
          <c:showSerName val="0"/>
          <c:showPercent val="0"/>
          <c:showBubbleSize val="0"/>
        </c:dLbls>
        <c:gapWidth val="150"/>
        <c:shape val="box"/>
        <c:axId val="231863424"/>
        <c:axId val="231864960"/>
        <c:axId val="0"/>
      </c:bar3DChart>
      <c:catAx>
        <c:axId val="231863424"/>
        <c:scaling>
          <c:orientation val="minMax"/>
        </c:scaling>
        <c:delete val="0"/>
        <c:axPos val="b"/>
        <c:majorTickMark val="none"/>
        <c:minorTickMark val="none"/>
        <c:tickLblPos val="nextTo"/>
        <c:crossAx val="231864960"/>
        <c:crosses val="autoZero"/>
        <c:auto val="1"/>
        <c:lblAlgn val="ctr"/>
        <c:lblOffset val="100"/>
        <c:noMultiLvlLbl val="0"/>
      </c:catAx>
      <c:valAx>
        <c:axId val="231864960"/>
        <c:scaling>
          <c:orientation val="minMax"/>
        </c:scaling>
        <c:delete val="0"/>
        <c:axPos val="l"/>
        <c:numFmt formatCode="General" sourceLinked="1"/>
        <c:majorTickMark val="none"/>
        <c:minorTickMark val="none"/>
        <c:tickLblPos val="nextTo"/>
        <c:crossAx val="23186342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568495371644978"/>
          <c:y val="0.10057885829343834"/>
          <c:w val="0.74301586427570765"/>
          <c:h val="0.62675160750613756"/>
        </c:manualLayout>
      </c:layout>
      <c:barChart>
        <c:barDir val="bar"/>
        <c:grouping val="clustered"/>
        <c:varyColors val="0"/>
        <c:ser>
          <c:idx val="0"/>
          <c:order val="0"/>
          <c:tx>
            <c:strRef>
              <c:f>'Periodos Censales'!$I$26</c:f>
              <c:strCache>
                <c:ptCount val="1"/>
                <c:pt idx="0">
                  <c:v>Hombres</c:v>
                </c:pt>
              </c:strCache>
            </c:strRef>
          </c:tx>
          <c:invertIfNegative val="0"/>
          <c:cat>
            <c:strRef>
              <c:f>'Periodos Censales'!$H$27:$H$43</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'Periodos Censales'!$I$27:$I$43</c:f>
              <c:numCache>
                <c:formatCode>0%</c:formatCode>
                <c:ptCount val="17"/>
                <c:pt idx="0">
                  <c:v>-0.11718721371947848</c:v>
                </c:pt>
                <c:pt idx="1">
                  <c:v>-0.10614518315846062</c:v>
                </c:pt>
                <c:pt idx="2">
                  <c:v>-9.4003835395571264E-2</c:v>
                </c:pt>
                <c:pt idx="3">
                  <c:v>-8.8747470552550278E-2</c:v>
                </c:pt>
                <c:pt idx="4">
                  <c:v>-8.3014734922050262E-2</c:v>
                </c:pt>
                <c:pt idx="5">
                  <c:v>-8.5616452299813309E-2</c:v>
                </c:pt>
                <c:pt idx="6">
                  <c:v>-8.2383645417272305E-2</c:v>
                </c:pt>
                <c:pt idx="7">
                  <c:v>-7.1659195381238966E-2</c:v>
                </c:pt>
                <c:pt idx="8">
                  <c:v>-6.0657880272142077E-2</c:v>
                </c:pt>
                <c:pt idx="9">
                  <c:v>-4.8968474025577503E-2</c:v>
                </c:pt>
                <c:pt idx="10">
                  <c:v>-3.9343341191415609E-2</c:v>
                </c:pt>
                <c:pt idx="11">
                  <c:v>-3.4502273957989799E-2</c:v>
                </c:pt>
                <c:pt idx="12">
                  <c:v>-2.8415313895776752E-2</c:v>
                </c:pt>
                <c:pt idx="13">
                  <c:v>-2.3566103571966601E-2</c:v>
                </c:pt>
                <c:pt idx="14">
                  <c:v>-1.972663645580134E-2</c:v>
                </c:pt>
                <c:pt idx="15">
                  <c:v>-9.2505506764873537E-3</c:v>
                </c:pt>
                <c:pt idx="16">
                  <c:v>-6.811695106409877E-3</c:v>
                </c:pt>
              </c:numCache>
            </c:numRef>
          </c:val>
        </c:ser>
        <c:ser>
          <c:idx val="1"/>
          <c:order val="1"/>
          <c:tx>
            <c:strRef>
              <c:f>'Periodos Censales'!$J$26</c:f>
              <c:strCache>
                <c:ptCount val="1"/>
                <c:pt idx="0">
                  <c:v>Mujeres</c:v>
                </c:pt>
              </c:strCache>
            </c:strRef>
          </c:tx>
          <c:invertIfNegative val="0"/>
          <c:cat>
            <c:strRef>
              <c:f>'Periodos Censales'!$H$27:$H$43</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'Periodos Censales'!$J$27:$J$43</c:f>
              <c:numCache>
                <c:formatCode>0%</c:formatCode>
                <c:ptCount val="17"/>
                <c:pt idx="0">
                  <c:v>0.11012695484959677</c:v>
                </c:pt>
                <c:pt idx="1">
                  <c:v>9.9562427643584597E-2</c:v>
                </c:pt>
                <c:pt idx="2">
                  <c:v>9.3302984518179852E-2</c:v>
                </c:pt>
                <c:pt idx="3">
                  <c:v>8.7694994407707533E-2</c:v>
                </c:pt>
                <c:pt idx="4">
                  <c:v>8.2294998332123767E-2</c:v>
                </c:pt>
                <c:pt idx="5">
                  <c:v>8.8413162490434238E-2</c:v>
                </c:pt>
                <c:pt idx="6">
                  <c:v>8.490473480760545E-2</c:v>
                </c:pt>
                <c:pt idx="7">
                  <c:v>7.3865353295528124E-2</c:v>
                </c:pt>
                <c:pt idx="8">
                  <c:v>6.2476698781468921E-2</c:v>
                </c:pt>
                <c:pt idx="9">
                  <c:v>4.9906795125875834E-2</c:v>
                </c:pt>
                <c:pt idx="10">
                  <c:v>4.0252732374467748E-2</c:v>
                </c:pt>
                <c:pt idx="11">
                  <c:v>3.4817416557110091E-2</c:v>
                </c:pt>
                <c:pt idx="12">
                  <c:v>2.9798088809528483E-2</c:v>
                </c:pt>
                <c:pt idx="13">
                  <c:v>2.488472028726724E-2</c:v>
                </c:pt>
                <c:pt idx="14">
                  <c:v>2.0489374644349852E-2</c:v>
                </c:pt>
                <c:pt idx="15">
                  <c:v>9.7090045719444382E-3</c:v>
                </c:pt>
                <c:pt idx="16">
                  <c:v>7.4995585032278777E-3</c:v>
                </c:pt>
              </c:numCache>
            </c:numRef>
          </c:val>
        </c:ser>
        <c:dLbls>
          <c:showLegendKey val="0"/>
          <c:showVal val="0"/>
          <c:showCatName val="0"/>
          <c:showSerName val="0"/>
          <c:showPercent val="0"/>
          <c:showBubbleSize val="0"/>
        </c:dLbls>
        <c:gapWidth val="0"/>
        <c:overlap val="100"/>
        <c:axId val="549017856"/>
        <c:axId val="549023744"/>
      </c:barChart>
      <c:catAx>
        <c:axId val="549017856"/>
        <c:scaling>
          <c:orientation val="minMax"/>
        </c:scaling>
        <c:delete val="0"/>
        <c:axPos val="l"/>
        <c:majorTickMark val="out"/>
        <c:minorTickMark val="none"/>
        <c:tickLblPos val="low"/>
        <c:txPr>
          <a:bodyPr/>
          <a:lstStyle/>
          <a:p>
            <a:pPr>
              <a:defRPr lang="es-MX" sz="500"/>
            </a:pPr>
            <a:endParaRPr lang="es-CO"/>
          </a:p>
        </c:txPr>
        <c:crossAx val="549023744"/>
        <c:crosses val="autoZero"/>
        <c:auto val="1"/>
        <c:lblAlgn val="ctr"/>
        <c:lblOffset val="10"/>
        <c:tickLblSkip val="1"/>
        <c:noMultiLvlLbl val="0"/>
      </c:catAx>
      <c:valAx>
        <c:axId val="549023744"/>
        <c:scaling>
          <c:orientation val="minMax"/>
          <c:min val="-0.15000000000000024"/>
        </c:scaling>
        <c:delete val="0"/>
        <c:axPos val="b"/>
        <c:numFmt formatCode="0.0%;[Red]#,##0.0%" sourceLinked="0"/>
        <c:majorTickMark val="out"/>
        <c:minorTickMark val="none"/>
        <c:tickLblPos val="nextTo"/>
        <c:txPr>
          <a:bodyPr/>
          <a:lstStyle/>
          <a:p>
            <a:pPr>
              <a:defRPr lang="es-MX" sz="600"/>
            </a:pPr>
            <a:endParaRPr lang="es-CO"/>
          </a:p>
        </c:txPr>
        <c:crossAx val="549017856"/>
        <c:crossesAt val="1"/>
        <c:crossBetween val="midCat"/>
      </c:valAx>
    </c:plotArea>
    <c:legend>
      <c:legendPos val="r"/>
      <c:layout>
        <c:manualLayout>
          <c:xMode val="edge"/>
          <c:yMode val="edge"/>
          <c:x val="0.1802648731408574"/>
          <c:y val="0.88112191881164459"/>
          <c:w val="0.60862401574803582"/>
          <c:h val="8.1046485401988125E-2"/>
        </c:manualLayout>
      </c:layout>
      <c:overlay val="0"/>
      <c:txPr>
        <a:bodyPr/>
        <a:lstStyle/>
        <a:p>
          <a:pPr>
            <a:defRPr lang="es-MX" sz="900"/>
          </a:pPr>
          <a:endParaRPr lang="es-CO"/>
        </a:p>
      </c:txPr>
    </c:legend>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1501159230096238"/>
          <c:y val="0.22338072324292793"/>
          <c:w val="0.88498840769903764"/>
          <c:h val="0.66459025955088946"/>
        </c:manualLayout>
      </c:layout>
      <c:barChart>
        <c:barDir val="col"/>
        <c:grouping val="clustered"/>
        <c:varyColors val="0"/>
        <c:ser>
          <c:idx val="0"/>
          <c:order val="0"/>
          <c:tx>
            <c:strRef>
              <c:f>Hoja10!$A$24:$B$24</c:f>
              <c:strCache>
                <c:ptCount val="2"/>
                <c:pt idx="0">
                  <c:v>LENGUAJE</c:v>
                </c:pt>
                <c:pt idx="1">
                  <c:v>ETC QUINDIO</c:v>
                </c:pt>
              </c:strCache>
            </c:strRef>
          </c:tx>
          <c:invertIfNegative val="0"/>
          <c:dLbls>
            <c:txPr>
              <a:bodyPr rot="0" vert="horz"/>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Hoja10!$C$23:$F$23</c:f>
              <c:strCache>
                <c:ptCount val="4"/>
                <c:pt idx="0">
                  <c:v>INSUFICIENTE</c:v>
                </c:pt>
                <c:pt idx="1">
                  <c:v>MÍNIMO</c:v>
                </c:pt>
                <c:pt idx="2">
                  <c:v>SATISFACTORIO</c:v>
                </c:pt>
                <c:pt idx="3">
                  <c:v>AVANZADO</c:v>
                </c:pt>
              </c:strCache>
            </c:strRef>
          </c:cat>
          <c:val>
            <c:numRef>
              <c:f>Hoja10!$C$24:$F$24</c:f>
              <c:numCache>
                <c:formatCode>0%</c:formatCode>
                <c:ptCount val="4"/>
                <c:pt idx="0">
                  <c:v>0.19</c:v>
                </c:pt>
                <c:pt idx="1">
                  <c:v>0.33</c:v>
                </c:pt>
                <c:pt idx="2">
                  <c:v>0.32</c:v>
                </c:pt>
                <c:pt idx="3">
                  <c:v>0.16</c:v>
                </c:pt>
              </c:numCache>
            </c:numRef>
          </c:val>
        </c:ser>
        <c:ser>
          <c:idx val="1"/>
          <c:order val="1"/>
          <c:tx>
            <c:strRef>
              <c:f>Hoja10!$A$25:$B$25</c:f>
              <c:strCache>
                <c:ptCount val="2"/>
                <c:pt idx="0">
                  <c:v>LENGUAJE</c:v>
                </c:pt>
                <c:pt idx="1">
                  <c:v>COLOMBIA</c:v>
                </c:pt>
              </c:strCache>
            </c:strRef>
          </c:tx>
          <c:invertIfNegative val="0"/>
          <c:dLbls>
            <c:dLbl>
              <c:idx val="2"/>
              <c:layout>
                <c:manualLayout>
                  <c:x val="1.1111111111111112E-2"/>
                  <c:y val="9.2592592592592587E-3"/>
                </c:manualLayout>
              </c:layout>
              <c:showLegendKey val="0"/>
              <c:showVal val="1"/>
              <c:showCatName val="0"/>
              <c:showSerName val="0"/>
              <c:showPercent val="0"/>
              <c:showBubbleSize val="0"/>
            </c:dLbl>
            <c:txPr>
              <a:bodyPr rot="0" vert="horz"/>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Hoja10!$C$23:$F$23</c:f>
              <c:strCache>
                <c:ptCount val="4"/>
                <c:pt idx="0">
                  <c:v>INSUFICIENTE</c:v>
                </c:pt>
                <c:pt idx="1">
                  <c:v>MÍNIMO</c:v>
                </c:pt>
                <c:pt idx="2">
                  <c:v>SATISFACTORIO</c:v>
                </c:pt>
                <c:pt idx="3">
                  <c:v>AVANZADO</c:v>
                </c:pt>
              </c:strCache>
            </c:strRef>
          </c:cat>
          <c:val>
            <c:numRef>
              <c:f>Hoja10!$C$25:$F$25</c:f>
              <c:numCache>
                <c:formatCode>0%</c:formatCode>
                <c:ptCount val="4"/>
                <c:pt idx="0">
                  <c:v>0.2</c:v>
                </c:pt>
                <c:pt idx="1">
                  <c:v>0.28999999999999998</c:v>
                </c:pt>
                <c:pt idx="2">
                  <c:v>0.31</c:v>
                </c:pt>
                <c:pt idx="3">
                  <c:v>0.2</c:v>
                </c:pt>
              </c:numCache>
            </c:numRef>
          </c:val>
        </c:ser>
        <c:ser>
          <c:idx val="2"/>
          <c:order val="2"/>
          <c:tx>
            <c:strRef>
              <c:f>Hoja10!$A$26:$B$26</c:f>
              <c:strCache>
                <c:ptCount val="2"/>
                <c:pt idx="0">
                  <c:v>MATEMÁTICAS</c:v>
                </c:pt>
                <c:pt idx="1">
                  <c:v>ETC QUINDIO</c:v>
                </c:pt>
              </c:strCache>
            </c:strRef>
          </c:tx>
          <c:invertIfNegative val="0"/>
          <c:dLbls>
            <c:dLbl>
              <c:idx val="0"/>
              <c:layout>
                <c:manualLayout>
                  <c:x val="8.3333333333333072E-3"/>
                  <c:y val="1.3888888888888888E-2"/>
                </c:manualLayout>
              </c:layout>
              <c:showLegendKey val="0"/>
              <c:showVal val="1"/>
              <c:showCatName val="0"/>
              <c:showSerName val="0"/>
              <c:showPercent val="0"/>
              <c:showBubbleSize val="0"/>
            </c:dLbl>
            <c:txPr>
              <a:bodyPr rot="0" vert="horz"/>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Hoja10!$C$23:$F$23</c:f>
              <c:strCache>
                <c:ptCount val="4"/>
                <c:pt idx="0">
                  <c:v>INSUFICIENTE</c:v>
                </c:pt>
                <c:pt idx="1">
                  <c:v>MÍNIMO</c:v>
                </c:pt>
                <c:pt idx="2">
                  <c:v>SATISFACTORIO</c:v>
                </c:pt>
                <c:pt idx="3">
                  <c:v>AVANZADO</c:v>
                </c:pt>
              </c:strCache>
            </c:strRef>
          </c:cat>
          <c:val>
            <c:numRef>
              <c:f>Hoja10!$C$26:$F$26</c:f>
              <c:numCache>
                <c:formatCode>0%</c:formatCode>
                <c:ptCount val="4"/>
                <c:pt idx="0">
                  <c:v>0.19</c:v>
                </c:pt>
                <c:pt idx="1">
                  <c:v>0.32</c:v>
                </c:pt>
                <c:pt idx="2">
                  <c:v>0.27</c:v>
                </c:pt>
                <c:pt idx="3">
                  <c:v>0.22</c:v>
                </c:pt>
              </c:numCache>
            </c:numRef>
          </c:val>
        </c:ser>
        <c:ser>
          <c:idx val="3"/>
          <c:order val="3"/>
          <c:tx>
            <c:strRef>
              <c:f>Hoja10!$A$27:$B$27</c:f>
              <c:strCache>
                <c:ptCount val="2"/>
                <c:pt idx="0">
                  <c:v>MATEMÁTICAS</c:v>
                </c:pt>
                <c:pt idx="1">
                  <c:v>COLOMBIA</c:v>
                </c:pt>
              </c:strCache>
            </c:strRef>
          </c:tx>
          <c:invertIfNegative val="0"/>
          <c:dLbls>
            <c:dLbl>
              <c:idx val="0"/>
              <c:layout>
                <c:manualLayout>
                  <c:x val="1.3888888888888888E-2"/>
                  <c:y val="4.6296296296296294E-3"/>
                </c:manualLayout>
              </c:layout>
              <c:showLegendKey val="0"/>
              <c:showVal val="1"/>
              <c:showCatName val="0"/>
              <c:showSerName val="0"/>
              <c:showPercent val="0"/>
              <c:showBubbleSize val="0"/>
            </c:dLbl>
            <c:dLbl>
              <c:idx val="2"/>
              <c:layout>
                <c:manualLayout>
                  <c:x val="1.6666666666666566E-2"/>
                  <c:y val="1.3888888888888888E-2"/>
                </c:manualLayout>
              </c:layout>
              <c:showLegendKey val="0"/>
              <c:showVal val="1"/>
              <c:showCatName val="0"/>
              <c:showSerName val="0"/>
              <c:showPercent val="0"/>
              <c:showBubbleSize val="0"/>
            </c:dLbl>
            <c:txPr>
              <a:bodyPr rot="0" vert="horz"/>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Hoja10!$C$23:$F$23</c:f>
              <c:strCache>
                <c:ptCount val="4"/>
                <c:pt idx="0">
                  <c:v>INSUFICIENTE</c:v>
                </c:pt>
                <c:pt idx="1">
                  <c:v>MÍNIMO</c:v>
                </c:pt>
                <c:pt idx="2">
                  <c:v>SATISFACTORIO</c:v>
                </c:pt>
                <c:pt idx="3">
                  <c:v>AVANZADO</c:v>
                </c:pt>
              </c:strCache>
            </c:strRef>
          </c:cat>
          <c:val>
            <c:numRef>
              <c:f>Hoja10!$C$27:$F$27</c:f>
              <c:numCache>
                <c:formatCode>0%</c:formatCode>
                <c:ptCount val="4"/>
                <c:pt idx="0">
                  <c:v>0.18</c:v>
                </c:pt>
                <c:pt idx="1">
                  <c:v>0.28999999999999998</c:v>
                </c:pt>
                <c:pt idx="2">
                  <c:v>0.27</c:v>
                </c:pt>
                <c:pt idx="3">
                  <c:v>0.26</c:v>
                </c:pt>
              </c:numCache>
            </c:numRef>
          </c:val>
        </c:ser>
        <c:dLbls>
          <c:showLegendKey val="0"/>
          <c:showVal val="0"/>
          <c:showCatName val="0"/>
          <c:showSerName val="0"/>
          <c:showPercent val="0"/>
          <c:showBubbleSize val="0"/>
        </c:dLbls>
        <c:gapWidth val="164"/>
        <c:overlap val="-22"/>
        <c:axId val="231898496"/>
        <c:axId val="231916672"/>
      </c:barChart>
      <c:catAx>
        <c:axId val="231898496"/>
        <c:scaling>
          <c:orientation val="minMax"/>
        </c:scaling>
        <c:delete val="0"/>
        <c:axPos val="b"/>
        <c:numFmt formatCode="General" sourceLinked="1"/>
        <c:majorTickMark val="none"/>
        <c:minorTickMark val="none"/>
        <c:tickLblPos val="nextTo"/>
        <c:txPr>
          <a:bodyPr rot="-60000000" vert="horz"/>
          <a:lstStyle/>
          <a:p>
            <a:pPr>
              <a:defRPr/>
            </a:pPr>
            <a:endParaRPr lang="es-CO"/>
          </a:p>
        </c:txPr>
        <c:crossAx val="231916672"/>
        <c:crosses val="autoZero"/>
        <c:auto val="1"/>
        <c:lblAlgn val="ctr"/>
        <c:lblOffset val="100"/>
        <c:noMultiLvlLbl val="0"/>
      </c:catAx>
      <c:valAx>
        <c:axId val="231916672"/>
        <c:scaling>
          <c:orientation val="minMax"/>
        </c:scaling>
        <c:delete val="0"/>
        <c:axPos val="l"/>
        <c:numFmt formatCode="0%" sourceLinked="1"/>
        <c:majorTickMark val="none"/>
        <c:minorTickMark val="none"/>
        <c:tickLblPos val="nextTo"/>
        <c:txPr>
          <a:bodyPr rot="-60000000" vert="horz"/>
          <a:lstStyle/>
          <a:p>
            <a:pPr>
              <a:defRPr/>
            </a:pPr>
            <a:endParaRPr lang="es-CO"/>
          </a:p>
        </c:txPr>
        <c:crossAx val="231898496"/>
        <c:crosses val="autoZero"/>
        <c:crossBetween val="between"/>
      </c:valAx>
    </c:plotArea>
    <c:legend>
      <c:legendPos val="t"/>
      <c:layout>
        <c:manualLayout>
          <c:xMode val="edge"/>
          <c:yMode val="edge"/>
          <c:x val="7.6105424321959755E-2"/>
          <c:y val="3.2407407407407406E-2"/>
          <c:w val="0.89223359580052486"/>
          <c:h val="0.14930664916885386"/>
        </c:manualLayout>
      </c:layout>
      <c:overlay val="0"/>
      <c:txPr>
        <a:bodyPr rot="0" vert="horz"/>
        <a:lstStyle/>
        <a:p>
          <a:pPr>
            <a:defRPr/>
          </a:pPr>
          <a:endParaRPr lang="es-CO"/>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56036745406818E-2"/>
          <c:y val="5.498884068062921E-2"/>
          <c:w val="0.88498840769903764"/>
          <c:h val="0.67110039816451517"/>
        </c:manualLayout>
      </c:layout>
      <c:barChart>
        <c:barDir val="col"/>
        <c:grouping val="clustered"/>
        <c:varyColors val="0"/>
        <c:ser>
          <c:idx val="0"/>
          <c:order val="0"/>
          <c:tx>
            <c:strRef>
              <c:f>Hoja10!$C$3</c:f>
              <c:strCache>
                <c:ptCount val="1"/>
                <c:pt idx="0">
                  <c:v>INSUFICIENTE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howLegendKey val="0"/>
            <c:showVal val="1"/>
            <c:showCatName val="0"/>
            <c:showSerName val="0"/>
            <c:showPercent val="0"/>
            <c:showBubbleSize val="0"/>
            <c:showLeaderLines val="0"/>
          </c:dLbls>
          <c:cat>
            <c:multiLvlStrRef>
              <c:f>Hoja10!$A$4:$B$9</c:f>
              <c:multiLvlStrCache>
                <c:ptCount val="6"/>
                <c:lvl>
                  <c:pt idx="0">
                    <c:v>ETC QUINDIO </c:v>
                  </c:pt>
                  <c:pt idx="1">
                    <c:v>COLOMBIA</c:v>
                  </c:pt>
                  <c:pt idx="2">
                    <c:v>ETC QUINDIO </c:v>
                  </c:pt>
                  <c:pt idx="3">
                    <c:v>COLOMBIA</c:v>
                  </c:pt>
                  <c:pt idx="4">
                    <c:v>ETC QUINDIO </c:v>
                  </c:pt>
                  <c:pt idx="5">
                    <c:v>COLOMBIA</c:v>
                  </c:pt>
                </c:lvl>
                <c:lvl>
                  <c:pt idx="0">
                    <c:v>LENGUAJE</c:v>
                  </c:pt>
                  <c:pt idx="2">
                    <c:v>MATEMÁTICAS</c:v>
                  </c:pt>
                  <c:pt idx="4">
                    <c:v>COMPETENIAS CIUDADANAS</c:v>
                  </c:pt>
                </c:lvl>
              </c:multiLvlStrCache>
            </c:multiLvlStrRef>
          </c:cat>
          <c:val>
            <c:numRef>
              <c:f>Hoja10!$C$4:$C$9</c:f>
              <c:numCache>
                <c:formatCode>0%</c:formatCode>
                <c:ptCount val="6"/>
                <c:pt idx="0">
                  <c:v>0.18</c:v>
                </c:pt>
                <c:pt idx="1">
                  <c:v>0.17</c:v>
                </c:pt>
                <c:pt idx="2">
                  <c:v>0.39</c:v>
                </c:pt>
                <c:pt idx="3">
                  <c:v>0.36</c:v>
                </c:pt>
                <c:pt idx="4">
                  <c:v>0.26</c:v>
                </c:pt>
                <c:pt idx="5">
                  <c:v>0.28000000000000003</c:v>
                </c:pt>
              </c:numCache>
            </c:numRef>
          </c:val>
        </c:ser>
        <c:ser>
          <c:idx val="1"/>
          <c:order val="1"/>
          <c:tx>
            <c:strRef>
              <c:f>Hoja10!$D$3</c:f>
              <c:strCache>
                <c:ptCount val="1"/>
                <c:pt idx="0">
                  <c:v>MÍNIMO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howLegendKey val="0"/>
            <c:showVal val="1"/>
            <c:showCatName val="0"/>
            <c:showSerName val="0"/>
            <c:showPercent val="0"/>
            <c:showBubbleSize val="0"/>
            <c:showLeaderLines val="0"/>
          </c:dLbls>
          <c:cat>
            <c:multiLvlStrRef>
              <c:f>Hoja10!$A$4:$B$9</c:f>
              <c:multiLvlStrCache>
                <c:ptCount val="6"/>
                <c:lvl>
                  <c:pt idx="0">
                    <c:v>ETC QUINDIO </c:v>
                  </c:pt>
                  <c:pt idx="1">
                    <c:v>COLOMBIA</c:v>
                  </c:pt>
                  <c:pt idx="2">
                    <c:v>ETC QUINDIO </c:v>
                  </c:pt>
                  <c:pt idx="3">
                    <c:v>COLOMBIA</c:v>
                  </c:pt>
                  <c:pt idx="4">
                    <c:v>ETC QUINDIO </c:v>
                  </c:pt>
                  <c:pt idx="5">
                    <c:v>COLOMBIA</c:v>
                  </c:pt>
                </c:lvl>
                <c:lvl>
                  <c:pt idx="0">
                    <c:v>LENGUAJE</c:v>
                  </c:pt>
                  <c:pt idx="2">
                    <c:v>MATEMÁTICAS</c:v>
                  </c:pt>
                  <c:pt idx="4">
                    <c:v>COMPETENIAS CIUDADANAS</c:v>
                  </c:pt>
                </c:lvl>
              </c:multiLvlStrCache>
            </c:multiLvlStrRef>
          </c:cat>
          <c:val>
            <c:numRef>
              <c:f>Hoja10!$D$4:$D$9</c:f>
              <c:numCache>
                <c:formatCode>0%</c:formatCode>
                <c:ptCount val="6"/>
                <c:pt idx="0">
                  <c:v>0.43</c:v>
                </c:pt>
                <c:pt idx="1">
                  <c:v>0.4</c:v>
                </c:pt>
                <c:pt idx="2">
                  <c:v>0.33</c:v>
                </c:pt>
                <c:pt idx="3">
                  <c:v>0.3</c:v>
                </c:pt>
                <c:pt idx="4">
                  <c:v>0.35</c:v>
                </c:pt>
                <c:pt idx="5">
                  <c:v>0.31</c:v>
                </c:pt>
              </c:numCache>
            </c:numRef>
          </c:val>
        </c:ser>
        <c:ser>
          <c:idx val="2"/>
          <c:order val="2"/>
          <c:tx>
            <c:strRef>
              <c:f>Hoja10!$E$3</c:f>
              <c:strCache>
                <c:ptCount val="1"/>
                <c:pt idx="0">
                  <c:v>SATISFACTORIO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howLegendKey val="0"/>
            <c:showVal val="1"/>
            <c:showCatName val="0"/>
            <c:showSerName val="0"/>
            <c:showPercent val="0"/>
            <c:showBubbleSize val="0"/>
            <c:showLeaderLines val="0"/>
          </c:dLbls>
          <c:cat>
            <c:multiLvlStrRef>
              <c:f>Hoja10!$A$4:$B$9</c:f>
              <c:multiLvlStrCache>
                <c:ptCount val="6"/>
                <c:lvl>
                  <c:pt idx="0">
                    <c:v>ETC QUINDIO </c:v>
                  </c:pt>
                  <c:pt idx="1">
                    <c:v>COLOMBIA</c:v>
                  </c:pt>
                  <c:pt idx="2">
                    <c:v>ETC QUINDIO </c:v>
                  </c:pt>
                  <c:pt idx="3">
                    <c:v>COLOMBIA</c:v>
                  </c:pt>
                  <c:pt idx="4">
                    <c:v>ETC QUINDIO </c:v>
                  </c:pt>
                  <c:pt idx="5">
                    <c:v>COLOMBIA</c:v>
                  </c:pt>
                </c:lvl>
                <c:lvl>
                  <c:pt idx="0">
                    <c:v>LENGUAJE</c:v>
                  </c:pt>
                  <c:pt idx="2">
                    <c:v>MATEMÁTICAS</c:v>
                  </c:pt>
                  <c:pt idx="4">
                    <c:v>COMPETENIAS CIUDADANAS</c:v>
                  </c:pt>
                </c:lvl>
              </c:multiLvlStrCache>
            </c:multiLvlStrRef>
          </c:cat>
          <c:val>
            <c:numRef>
              <c:f>Hoja10!$E$4:$E$9</c:f>
              <c:numCache>
                <c:formatCode>0%</c:formatCode>
                <c:ptCount val="6"/>
                <c:pt idx="0">
                  <c:v>0.28000000000000003</c:v>
                </c:pt>
                <c:pt idx="1">
                  <c:v>0.28000000000000003</c:v>
                </c:pt>
                <c:pt idx="2">
                  <c:v>0.18</c:v>
                </c:pt>
                <c:pt idx="3">
                  <c:v>0.21</c:v>
                </c:pt>
                <c:pt idx="4">
                  <c:v>0.3</c:v>
                </c:pt>
                <c:pt idx="5">
                  <c:v>0.28999999999999998</c:v>
                </c:pt>
              </c:numCache>
            </c:numRef>
          </c:val>
        </c:ser>
        <c:ser>
          <c:idx val="3"/>
          <c:order val="3"/>
          <c:tx>
            <c:strRef>
              <c:f>Hoja10!$F$3</c:f>
              <c:strCache>
                <c:ptCount val="1"/>
                <c:pt idx="0">
                  <c:v>AVANZADO</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howLegendKey val="0"/>
            <c:showVal val="1"/>
            <c:showCatName val="0"/>
            <c:showSerName val="0"/>
            <c:showPercent val="0"/>
            <c:showBubbleSize val="0"/>
            <c:showLeaderLines val="0"/>
          </c:dLbls>
          <c:cat>
            <c:multiLvlStrRef>
              <c:f>Hoja10!$A$4:$B$9</c:f>
              <c:multiLvlStrCache>
                <c:ptCount val="6"/>
                <c:lvl>
                  <c:pt idx="0">
                    <c:v>ETC QUINDIO </c:v>
                  </c:pt>
                  <c:pt idx="1">
                    <c:v>COLOMBIA</c:v>
                  </c:pt>
                  <c:pt idx="2">
                    <c:v>ETC QUINDIO </c:v>
                  </c:pt>
                  <c:pt idx="3">
                    <c:v>COLOMBIA</c:v>
                  </c:pt>
                  <c:pt idx="4">
                    <c:v>ETC QUINDIO </c:v>
                  </c:pt>
                  <c:pt idx="5">
                    <c:v>COLOMBIA</c:v>
                  </c:pt>
                </c:lvl>
                <c:lvl>
                  <c:pt idx="0">
                    <c:v>LENGUAJE</c:v>
                  </c:pt>
                  <c:pt idx="2">
                    <c:v>MATEMÁTICAS</c:v>
                  </c:pt>
                  <c:pt idx="4">
                    <c:v>COMPETENIAS CIUDADANAS</c:v>
                  </c:pt>
                </c:lvl>
              </c:multiLvlStrCache>
            </c:multiLvlStrRef>
          </c:cat>
          <c:val>
            <c:numRef>
              <c:f>Hoja10!$F$4:$F$9</c:f>
              <c:numCache>
                <c:formatCode>0%</c:formatCode>
                <c:ptCount val="6"/>
                <c:pt idx="0">
                  <c:v>0.11</c:v>
                </c:pt>
                <c:pt idx="1">
                  <c:v>0.15</c:v>
                </c:pt>
                <c:pt idx="2">
                  <c:v>0.1</c:v>
                </c:pt>
                <c:pt idx="3">
                  <c:v>0.14000000000000001</c:v>
                </c:pt>
                <c:pt idx="4">
                  <c:v>0.09</c:v>
                </c:pt>
                <c:pt idx="5">
                  <c:v>0.12</c:v>
                </c:pt>
              </c:numCache>
            </c:numRef>
          </c:val>
        </c:ser>
        <c:dLbls>
          <c:showLegendKey val="0"/>
          <c:showVal val="0"/>
          <c:showCatName val="0"/>
          <c:showSerName val="0"/>
          <c:showPercent val="0"/>
          <c:showBubbleSize val="0"/>
        </c:dLbls>
        <c:gapWidth val="100"/>
        <c:overlap val="-24"/>
        <c:axId val="231973632"/>
        <c:axId val="231975168"/>
      </c:barChart>
      <c:catAx>
        <c:axId val="231973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CO"/>
          </a:p>
        </c:txPr>
        <c:crossAx val="231975168"/>
        <c:crosses val="autoZero"/>
        <c:auto val="1"/>
        <c:lblAlgn val="ctr"/>
        <c:lblOffset val="100"/>
        <c:noMultiLvlLbl val="0"/>
      </c:catAx>
      <c:valAx>
        <c:axId val="231975168"/>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es-CO"/>
          </a:p>
        </c:txPr>
        <c:crossAx val="231973632"/>
        <c:crosses val="autoZero"/>
        <c:crossBetween val="between"/>
      </c:valAx>
      <c:spPr>
        <a:noFill/>
        <a:ln w="25400">
          <a:noFill/>
        </a:ln>
        <a:effectLst/>
      </c:spPr>
    </c:plotArea>
    <c:legend>
      <c:legendPos val="b"/>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INSUFICIENTE</c:v>
          </c:tx>
          <c:spPr>
            <a:solidFill>
              <a:schemeClr val="accent1"/>
            </a:solidFill>
            <a:ln>
              <a:noFill/>
            </a:ln>
            <a:effectLst/>
          </c:spPr>
          <c:invertIfNegative val="0"/>
          <c:dLbls>
            <c:txPr>
              <a:bodyPr/>
              <a:lstStyle/>
              <a:p>
                <a:pPr>
                  <a:defRPr sz="700"/>
                </a:pPr>
                <a:endParaRPr lang="es-CO"/>
              </a:p>
            </c:txPr>
            <c:showLegendKey val="0"/>
            <c:showVal val="1"/>
            <c:showCatName val="0"/>
            <c:showSerName val="0"/>
            <c:showPercent val="0"/>
            <c:showBubbleSize val="0"/>
            <c:showLeaderLines val="0"/>
          </c:dLbls>
          <c:cat>
            <c:multiLvlStrRef>
              <c:f>Hoja10!$A$15:$B$20</c:f>
              <c:multiLvlStrCache>
                <c:ptCount val="6"/>
                <c:lvl>
                  <c:pt idx="0">
                    <c:v>ETC QUINDIO</c:v>
                  </c:pt>
                  <c:pt idx="1">
                    <c:v>COLOMBIA</c:v>
                  </c:pt>
                  <c:pt idx="2">
                    <c:v>ETC QUINDIO</c:v>
                  </c:pt>
                  <c:pt idx="3">
                    <c:v>COLOMBIA</c:v>
                  </c:pt>
                  <c:pt idx="4">
                    <c:v>ETC QUINDIO</c:v>
                  </c:pt>
                  <c:pt idx="5">
                    <c:v>COLOMBIA</c:v>
                  </c:pt>
                </c:lvl>
                <c:lvl>
                  <c:pt idx="0">
                    <c:v>LENGUAJE</c:v>
                  </c:pt>
                  <c:pt idx="2">
                    <c:v>MATEMÁTICAS</c:v>
                  </c:pt>
                  <c:pt idx="4">
                    <c:v>COMPETENIAS CIUDADANAS</c:v>
                  </c:pt>
                </c:lvl>
              </c:multiLvlStrCache>
            </c:multiLvlStrRef>
          </c:cat>
          <c:val>
            <c:numRef>
              <c:f>Hoja10!$C$15:$C$20</c:f>
              <c:numCache>
                <c:formatCode>0%</c:formatCode>
                <c:ptCount val="6"/>
                <c:pt idx="0">
                  <c:v>0.15</c:v>
                </c:pt>
                <c:pt idx="1">
                  <c:v>0.16</c:v>
                </c:pt>
                <c:pt idx="2">
                  <c:v>0.19</c:v>
                </c:pt>
                <c:pt idx="3">
                  <c:v>0.2</c:v>
                </c:pt>
                <c:pt idx="4">
                  <c:v>0.12</c:v>
                </c:pt>
                <c:pt idx="5">
                  <c:v>0.14000000000000001</c:v>
                </c:pt>
              </c:numCache>
            </c:numRef>
          </c:val>
        </c:ser>
        <c:ser>
          <c:idx val="1"/>
          <c:order val="1"/>
          <c:tx>
            <c:v>MINIMO</c:v>
          </c:tx>
          <c:spPr>
            <a:solidFill>
              <a:schemeClr val="accent3"/>
            </a:solidFill>
            <a:ln>
              <a:noFill/>
            </a:ln>
            <a:effectLst/>
          </c:spPr>
          <c:invertIfNegative val="0"/>
          <c:dLbls>
            <c:dLbl>
              <c:idx val="1"/>
              <c:layout>
                <c:manualLayout>
                  <c:x val="0"/>
                  <c:y val="8.6299892125134836E-3"/>
                </c:manualLayout>
              </c:layout>
              <c:spPr/>
              <c:txPr>
                <a:bodyPr/>
                <a:lstStyle/>
                <a:p>
                  <a:pPr>
                    <a:defRPr sz="700"/>
                  </a:pPr>
                  <a:endParaRPr lang="es-CO"/>
                </a:p>
              </c:txPr>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Hoja10!$A$15:$B$20</c:f>
              <c:multiLvlStrCache>
                <c:ptCount val="6"/>
                <c:lvl>
                  <c:pt idx="0">
                    <c:v>ETC QUINDIO</c:v>
                  </c:pt>
                  <c:pt idx="1">
                    <c:v>COLOMBIA</c:v>
                  </c:pt>
                  <c:pt idx="2">
                    <c:v>ETC QUINDIO</c:v>
                  </c:pt>
                  <c:pt idx="3">
                    <c:v>COLOMBIA</c:v>
                  </c:pt>
                  <c:pt idx="4">
                    <c:v>ETC QUINDIO</c:v>
                  </c:pt>
                  <c:pt idx="5">
                    <c:v>COLOMBIA</c:v>
                  </c:pt>
                </c:lvl>
                <c:lvl>
                  <c:pt idx="0">
                    <c:v>LENGUAJE</c:v>
                  </c:pt>
                  <c:pt idx="2">
                    <c:v>MATEMÁTICAS</c:v>
                  </c:pt>
                  <c:pt idx="4">
                    <c:v>COMPETENIAS CIUDADANAS</c:v>
                  </c:pt>
                </c:lvl>
              </c:multiLvlStrCache>
            </c:multiLvlStrRef>
          </c:cat>
          <c:val>
            <c:numRef>
              <c:f>Hoja10!$D$15:$D$20</c:f>
              <c:numCache>
                <c:formatCode>0%</c:formatCode>
                <c:ptCount val="6"/>
                <c:pt idx="0">
                  <c:v>0.45</c:v>
                </c:pt>
                <c:pt idx="1">
                  <c:v>0.4</c:v>
                </c:pt>
                <c:pt idx="2">
                  <c:v>0.61</c:v>
                </c:pt>
                <c:pt idx="3">
                  <c:v>0.52</c:v>
                </c:pt>
                <c:pt idx="4">
                  <c:v>0.31</c:v>
                </c:pt>
                <c:pt idx="5">
                  <c:v>0.3</c:v>
                </c:pt>
              </c:numCache>
            </c:numRef>
          </c:val>
        </c:ser>
        <c:ser>
          <c:idx val="2"/>
          <c:order val="2"/>
          <c:tx>
            <c:v>SATISFACTORIO</c:v>
          </c:tx>
          <c:spPr>
            <a:solidFill>
              <a:schemeClr val="accent5"/>
            </a:solidFill>
            <a:ln>
              <a:noFill/>
            </a:ln>
            <a:effectLst/>
          </c:spPr>
          <c:invertIfNegative val="0"/>
          <c:dLbls>
            <c:dLbl>
              <c:idx val="0"/>
              <c:layout>
                <c:manualLayout>
                  <c:x val="7.9681274900398405E-3"/>
                  <c:y val="-3.3976335482336553E-7"/>
                </c:manualLayout>
              </c:layout>
              <c:showLegendKey val="0"/>
              <c:showVal val="1"/>
              <c:showCatName val="0"/>
              <c:showSerName val="0"/>
              <c:showPercent val="0"/>
              <c:showBubbleSize val="0"/>
            </c:dLbl>
            <c:dLbl>
              <c:idx val="1"/>
              <c:layout>
                <c:manualLayout>
                  <c:x val="1.3280212483399735E-2"/>
                  <c:y val="1.2944983818770227E-2"/>
                </c:manualLayout>
              </c:layout>
              <c:showLegendKey val="0"/>
              <c:showVal val="1"/>
              <c:showCatName val="0"/>
              <c:showSerName val="0"/>
              <c:showPercent val="0"/>
              <c:showBubbleSize val="0"/>
            </c:dLbl>
            <c:dLbl>
              <c:idx val="2"/>
              <c:layout>
                <c:manualLayout>
                  <c:x val="7.9681274900398405E-3"/>
                  <c:y val="0"/>
                </c:manualLayout>
              </c:layout>
              <c:showLegendKey val="0"/>
              <c:showVal val="1"/>
              <c:showCatName val="0"/>
              <c:showSerName val="0"/>
              <c:showPercent val="0"/>
              <c:showBubbleSize val="0"/>
            </c:dLbl>
            <c:dLbl>
              <c:idx val="3"/>
              <c:layout>
                <c:manualLayout>
                  <c:x val="7.9681274900398405E-3"/>
                  <c:y val="1.294498381877022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Hoja10!$A$15:$B$20</c:f>
              <c:multiLvlStrCache>
                <c:ptCount val="6"/>
                <c:lvl>
                  <c:pt idx="0">
                    <c:v>ETC QUINDIO</c:v>
                  </c:pt>
                  <c:pt idx="1">
                    <c:v>COLOMBIA</c:v>
                  </c:pt>
                  <c:pt idx="2">
                    <c:v>ETC QUINDIO</c:v>
                  </c:pt>
                  <c:pt idx="3">
                    <c:v>COLOMBIA</c:v>
                  </c:pt>
                  <c:pt idx="4">
                    <c:v>ETC QUINDIO</c:v>
                  </c:pt>
                  <c:pt idx="5">
                    <c:v>COLOMBIA</c:v>
                  </c:pt>
                </c:lvl>
                <c:lvl>
                  <c:pt idx="0">
                    <c:v>LENGUAJE</c:v>
                  </c:pt>
                  <c:pt idx="2">
                    <c:v>MATEMÁTICAS</c:v>
                  </c:pt>
                  <c:pt idx="4">
                    <c:v>COMPETENIAS CIUDADANAS</c:v>
                  </c:pt>
                </c:lvl>
              </c:multiLvlStrCache>
            </c:multiLvlStrRef>
          </c:cat>
          <c:val>
            <c:numRef>
              <c:f>Hoja10!$E$15:$E$20</c:f>
              <c:numCache>
                <c:formatCode>0%</c:formatCode>
                <c:ptCount val="6"/>
                <c:pt idx="0">
                  <c:v>0.37</c:v>
                </c:pt>
                <c:pt idx="1">
                  <c:v>0.38</c:v>
                </c:pt>
                <c:pt idx="2">
                  <c:v>0.18</c:v>
                </c:pt>
                <c:pt idx="3">
                  <c:v>0.22</c:v>
                </c:pt>
                <c:pt idx="4">
                  <c:v>0.49</c:v>
                </c:pt>
                <c:pt idx="5">
                  <c:v>0.45</c:v>
                </c:pt>
              </c:numCache>
            </c:numRef>
          </c:val>
        </c:ser>
        <c:ser>
          <c:idx val="3"/>
          <c:order val="3"/>
          <c:tx>
            <c:v>AVANZADO</c:v>
          </c:tx>
          <c:spPr>
            <a:solidFill>
              <a:schemeClr val="accent1">
                <a:lumMod val="60000"/>
              </a:schemeClr>
            </a:solidFill>
            <a:ln>
              <a:noFill/>
            </a:ln>
            <a:effectLst/>
          </c:spPr>
          <c:invertIfNegative val="0"/>
          <c:dLbls>
            <c:dLbl>
              <c:idx val="0"/>
              <c:layout>
                <c:manualLayout>
                  <c:x val="2.6560424966799224E-3"/>
                  <c:y val="8.6299892125134055E-3"/>
                </c:manualLayout>
              </c:layout>
              <c:showLegendKey val="0"/>
              <c:showVal val="1"/>
              <c:showCatName val="0"/>
              <c:showSerName val="0"/>
              <c:showPercent val="0"/>
              <c:showBubbleSize val="0"/>
            </c:dLbl>
            <c:dLbl>
              <c:idx val="1"/>
              <c:layout>
                <c:manualLayout>
                  <c:x val="7.9681274900398405E-3"/>
                  <c:y val="4.3149946062567418E-3"/>
                </c:manualLayout>
              </c:layout>
              <c:showLegendKey val="0"/>
              <c:showVal val="1"/>
              <c:showCatName val="0"/>
              <c:showSerName val="0"/>
              <c:showPercent val="0"/>
              <c:showBubbleSize val="0"/>
            </c:dLbl>
            <c:dLbl>
              <c:idx val="2"/>
              <c:layout>
                <c:manualLayout>
                  <c:x val="7.9681274900398405E-3"/>
                  <c:y val="4.3149946062568216E-3"/>
                </c:manualLayout>
              </c:layout>
              <c:showLegendKey val="0"/>
              <c:showVal val="1"/>
              <c:showCatName val="0"/>
              <c:showSerName val="0"/>
              <c:showPercent val="0"/>
              <c:showBubbleSize val="0"/>
            </c:dLbl>
            <c:dLbl>
              <c:idx val="3"/>
              <c:layout>
                <c:manualLayout>
                  <c:x val="5.3120849933598934E-3"/>
                  <c:y val="2.1574973031283712E-2"/>
                </c:manualLayout>
              </c:layout>
              <c:showLegendKey val="0"/>
              <c:showVal val="1"/>
              <c:showCatName val="0"/>
              <c:showSerName val="0"/>
              <c:showPercent val="0"/>
              <c:showBubbleSize val="0"/>
            </c:dLbl>
            <c:dLbl>
              <c:idx val="5"/>
              <c:layout>
                <c:manualLayout>
                  <c:x val="1.0624169986719787E-2"/>
                  <c:y val="1.72599784250269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Hoja10!$A$15:$B$20</c:f>
              <c:multiLvlStrCache>
                <c:ptCount val="6"/>
                <c:lvl>
                  <c:pt idx="0">
                    <c:v>ETC QUINDIO</c:v>
                  </c:pt>
                  <c:pt idx="1">
                    <c:v>COLOMBIA</c:v>
                  </c:pt>
                  <c:pt idx="2">
                    <c:v>ETC QUINDIO</c:v>
                  </c:pt>
                  <c:pt idx="3">
                    <c:v>COLOMBIA</c:v>
                  </c:pt>
                  <c:pt idx="4">
                    <c:v>ETC QUINDIO</c:v>
                  </c:pt>
                  <c:pt idx="5">
                    <c:v>COLOMBIA</c:v>
                  </c:pt>
                </c:lvl>
                <c:lvl>
                  <c:pt idx="0">
                    <c:v>LENGUAJE</c:v>
                  </c:pt>
                  <c:pt idx="2">
                    <c:v>MATEMÁTICAS</c:v>
                  </c:pt>
                  <c:pt idx="4">
                    <c:v>COMPETENIAS CIUDADANAS</c:v>
                  </c:pt>
                </c:lvl>
              </c:multiLvlStrCache>
            </c:multiLvlStrRef>
          </c:cat>
          <c:val>
            <c:numRef>
              <c:f>Hoja10!$F$15:$F$20</c:f>
              <c:numCache>
                <c:formatCode>0%</c:formatCode>
                <c:ptCount val="6"/>
                <c:pt idx="0">
                  <c:v>0.03</c:v>
                </c:pt>
                <c:pt idx="1">
                  <c:v>0.06</c:v>
                </c:pt>
                <c:pt idx="2">
                  <c:v>0.02</c:v>
                </c:pt>
                <c:pt idx="3">
                  <c:v>0.05</c:v>
                </c:pt>
                <c:pt idx="4">
                  <c:v>0.08</c:v>
                </c:pt>
                <c:pt idx="5">
                  <c:v>0.11</c:v>
                </c:pt>
              </c:numCache>
            </c:numRef>
          </c:val>
        </c:ser>
        <c:dLbls>
          <c:showLegendKey val="0"/>
          <c:showVal val="0"/>
          <c:showCatName val="0"/>
          <c:showSerName val="0"/>
          <c:showPercent val="0"/>
          <c:showBubbleSize val="0"/>
        </c:dLbls>
        <c:gapWidth val="219"/>
        <c:overlap val="-27"/>
        <c:axId val="232024320"/>
        <c:axId val="232046592"/>
      </c:barChart>
      <c:catAx>
        <c:axId val="23202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00"/>
            </a:pPr>
            <a:endParaRPr lang="es-CO"/>
          </a:p>
        </c:txPr>
        <c:crossAx val="232046592"/>
        <c:crosses val="autoZero"/>
        <c:auto val="1"/>
        <c:lblAlgn val="ctr"/>
        <c:lblOffset val="100"/>
        <c:noMultiLvlLbl val="0"/>
      </c:catAx>
      <c:valAx>
        <c:axId val="232046592"/>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es-CO"/>
          </a:p>
        </c:txPr>
        <c:crossAx val="232024320"/>
        <c:crosses val="autoZero"/>
        <c:crossBetween val="between"/>
      </c:valAx>
      <c:spPr>
        <a:noFill/>
        <a:ln>
          <a:noFill/>
        </a:ln>
        <a:effectLst/>
      </c:spPr>
    </c:plotArea>
    <c:legend>
      <c:legendPos val="b"/>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2205279895568784E-2"/>
          <c:y val="0.16264479440070034"/>
          <c:w val="0.75783638156341571"/>
          <c:h val="0.7783216681248224"/>
        </c:manualLayout>
      </c:layout>
      <c:pie3DChart>
        <c:varyColors val="1"/>
        <c:ser>
          <c:idx val="0"/>
          <c:order val="0"/>
          <c:tx>
            <c:strRef>
              <c:f>Hoja1!$C$2</c:f>
              <c:strCache>
                <c:ptCount val="1"/>
                <c:pt idx="0">
                  <c:v>COBERTURA TOTAL (%)</c:v>
                </c:pt>
              </c:strCache>
            </c:strRef>
          </c:tx>
          <c:explosion val="25"/>
          <c:dPt>
            <c:idx val="0"/>
            <c:bubble3D val="0"/>
            <c:spPr>
              <a:solidFill>
                <a:schemeClr val="bg1">
                  <a:lumMod val="50000"/>
                </a:schemeClr>
              </a:solidFill>
            </c:spPr>
          </c:dPt>
          <c:dPt>
            <c:idx val="3"/>
            <c:bubble3D val="0"/>
            <c:spPr>
              <a:solidFill>
                <a:schemeClr val="tx2">
                  <a:lumMod val="20000"/>
                  <a:lumOff val="80000"/>
                </a:schemeClr>
              </a:solidFill>
            </c:spPr>
          </c:dPt>
          <c:dPt>
            <c:idx val="4"/>
            <c:bubble3D val="0"/>
            <c:spPr>
              <a:solidFill>
                <a:schemeClr val="accent5">
                  <a:lumMod val="50000"/>
                </a:schemeClr>
              </a:solidFill>
            </c:spPr>
          </c:dPt>
          <c:dPt>
            <c:idx val="5"/>
            <c:bubble3D val="0"/>
            <c:spPr>
              <a:solidFill>
                <a:schemeClr val="accent6">
                  <a:lumMod val="40000"/>
                  <a:lumOff val="60000"/>
                </a:schemeClr>
              </a:solidFill>
            </c:spPr>
          </c:dPt>
          <c:dPt>
            <c:idx val="6"/>
            <c:bubble3D val="0"/>
            <c:spPr>
              <a:solidFill>
                <a:schemeClr val="accent4">
                  <a:lumMod val="60000"/>
                  <a:lumOff val="40000"/>
                </a:schemeClr>
              </a:solidFill>
            </c:spPr>
          </c:dPt>
          <c:dPt>
            <c:idx val="9"/>
            <c:bubble3D val="0"/>
            <c:spPr>
              <a:solidFill>
                <a:schemeClr val="accent4">
                  <a:lumMod val="75000"/>
                </a:schemeClr>
              </a:solidFill>
            </c:spPr>
          </c:dPt>
          <c:dPt>
            <c:idx val="10"/>
            <c:bubble3D val="0"/>
            <c:spPr>
              <a:solidFill>
                <a:srgbClr val="FFFF99"/>
              </a:solidFill>
            </c:spPr>
          </c:dPt>
          <c:dLbls>
            <c:dLbl>
              <c:idx val="0"/>
              <c:layout>
                <c:manualLayout>
                  <c:x val="4.217991269609817E-4"/>
                  <c:y val="-2.5289880431612812E-2"/>
                </c:manualLayout>
              </c:layout>
              <c:showLegendKey val="0"/>
              <c:showVal val="1"/>
              <c:showCatName val="0"/>
              <c:showSerName val="0"/>
              <c:showPercent val="0"/>
              <c:showBubbleSize val="0"/>
            </c:dLbl>
            <c:dLbl>
              <c:idx val="1"/>
              <c:layout>
                <c:manualLayout>
                  <c:x val="-2.5682715586478062E-2"/>
                  <c:y val="-2.7679206765821428E-2"/>
                </c:manualLayout>
              </c:layout>
              <c:showLegendKey val="0"/>
              <c:showVal val="1"/>
              <c:showCatName val="0"/>
              <c:showSerName val="0"/>
              <c:showPercent val="0"/>
              <c:showBubbleSize val="0"/>
            </c:dLbl>
            <c:dLbl>
              <c:idx val="2"/>
              <c:layout>
                <c:manualLayout>
                  <c:x val="-1.1936841228179841E-2"/>
                  <c:y val="-5.2331291921844207E-2"/>
                </c:manualLayout>
              </c:layout>
              <c:showLegendKey val="0"/>
              <c:showVal val="1"/>
              <c:showCatName val="0"/>
              <c:showSerName val="0"/>
              <c:showPercent val="0"/>
              <c:showBubbleSize val="0"/>
            </c:dLbl>
            <c:dLbl>
              <c:idx val="3"/>
              <c:layout>
                <c:manualLayout>
                  <c:x val="-8.5818346780727306E-2"/>
                  <c:y val="-0.11009944590259567"/>
                </c:manualLayout>
              </c:layout>
              <c:showLegendKey val="0"/>
              <c:showVal val="1"/>
              <c:showCatName val="0"/>
              <c:showSerName val="0"/>
              <c:showPercent val="0"/>
              <c:showBubbleSize val="0"/>
            </c:dLbl>
            <c:dLbl>
              <c:idx val="4"/>
              <c:layout>
                <c:manualLayout>
                  <c:x val="-5.9891957949701702E-2"/>
                  <c:y val="6.4179935841353522E-2"/>
                </c:manualLayout>
              </c:layout>
              <c:showLegendKey val="0"/>
              <c:showVal val="1"/>
              <c:showCatName val="0"/>
              <c:showSerName val="0"/>
              <c:showPercent val="0"/>
              <c:showBubbleSize val="0"/>
            </c:dLbl>
            <c:dLbl>
              <c:idx val="5"/>
              <c:layout>
                <c:manualLayout>
                  <c:x val="-6.5453164508282632E-2"/>
                  <c:y val="-0.20143056031039624"/>
                </c:manualLayout>
              </c:layout>
              <c:showLegendKey val="0"/>
              <c:showVal val="1"/>
              <c:showCatName val="0"/>
              <c:showSerName val="0"/>
              <c:showPercent val="0"/>
              <c:showBubbleSize val="0"/>
            </c:dLbl>
            <c:dLbl>
              <c:idx val="6"/>
              <c:layout>
                <c:manualLayout>
                  <c:x val="6.9456702527568914E-2"/>
                  <c:y val="-0.19261409715090089"/>
                </c:manualLayout>
              </c:layout>
              <c:showLegendKey val="0"/>
              <c:showVal val="1"/>
              <c:showCatName val="0"/>
              <c:showSerName val="0"/>
              <c:showPercent val="0"/>
              <c:showBubbleSize val="0"/>
            </c:dLbl>
            <c:dLbl>
              <c:idx val="7"/>
              <c:layout>
                <c:manualLayout>
                  <c:x val="-8.4668262621019497E-3"/>
                  <c:y val="-2.7935638479973106E-3"/>
                </c:manualLayout>
              </c:layout>
              <c:showLegendKey val="0"/>
              <c:showVal val="1"/>
              <c:showCatName val="0"/>
              <c:showSerName val="0"/>
              <c:showPercent val="0"/>
              <c:showBubbleSize val="0"/>
            </c:dLbl>
            <c:dLbl>
              <c:idx val="8"/>
              <c:layout>
                <c:manualLayout>
                  <c:x val="7.937692973563569E-2"/>
                  <c:y val="-0.11694400699912511"/>
                </c:manualLayout>
              </c:layout>
              <c:showLegendKey val="0"/>
              <c:showVal val="1"/>
              <c:showCatName val="0"/>
              <c:showSerName val="0"/>
              <c:showPercent val="0"/>
              <c:showBubbleSize val="0"/>
            </c:dLbl>
            <c:dLbl>
              <c:idx val="9"/>
              <c:layout>
                <c:manualLayout>
                  <c:x val="9.2651381540271548E-3"/>
                  <c:y val="-6.628375619714201E-2"/>
                </c:manualLayout>
              </c:layout>
              <c:showLegendKey val="0"/>
              <c:showVal val="1"/>
              <c:showCatName val="0"/>
              <c:showSerName val="0"/>
              <c:showPercent val="0"/>
              <c:showBubbleSize val="0"/>
            </c:dLbl>
            <c:dLbl>
              <c:idx val="10"/>
              <c:layout>
                <c:manualLayout>
                  <c:x val="2.6842015118480819E-2"/>
                  <c:y val="-3.7909011373578563E-2"/>
                </c:manualLayout>
              </c:layout>
              <c:showLegendKey val="0"/>
              <c:showVal val="1"/>
              <c:showCatName val="0"/>
              <c:showSerName val="0"/>
              <c:showPercent val="0"/>
              <c:showBubbleSize val="0"/>
            </c:dLbl>
            <c:dLbl>
              <c:idx val="11"/>
              <c:layout>
                <c:manualLayout>
                  <c:x val="6.6679357388018848E-2"/>
                  <c:y val="-1.8808475027578261E-2"/>
                </c:manualLayout>
              </c:layout>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es-CO"/>
              </a:p>
            </c:txPr>
            <c:showLegendKey val="0"/>
            <c:showVal val="1"/>
            <c:showCatName val="0"/>
            <c:showSerName val="0"/>
            <c:showPercent val="0"/>
            <c:showBubbleSize val="0"/>
            <c:showLeaderLines val="1"/>
          </c:dLbls>
          <c:cat>
            <c:strRef>
              <c:f>Hoja1!$B$3:$B$15</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Hoja1!$C$3:$C$15</c:f>
              <c:numCache>
                <c:formatCode>0.00%</c:formatCode>
                <c:ptCount val="13"/>
                <c:pt idx="0" formatCode="0%">
                  <c:v>1</c:v>
                </c:pt>
                <c:pt idx="1">
                  <c:v>0.99119999999999997</c:v>
                </c:pt>
                <c:pt idx="2" formatCode="0%">
                  <c:v>1</c:v>
                </c:pt>
                <c:pt idx="3" formatCode="0%">
                  <c:v>1</c:v>
                </c:pt>
                <c:pt idx="4">
                  <c:v>0.9723999999999996</c:v>
                </c:pt>
                <c:pt idx="5">
                  <c:v>0.99409999999999998</c:v>
                </c:pt>
                <c:pt idx="6">
                  <c:v>0.97929999999999962</c:v>
                </c:pt>
                <c:pt idx="7" formatCode="0%">
                  <c:v>1</c:v>
                </c:pt>
                <c:pt idx="8" formatCode="0%">
                  <c:v>1</c:v>
                </c:pt>
                <c:pt idx="9">
                  <c:v>0.95900000000000063</c:v>
                </c:pt>
                <c:pt idx="10" formatCode="0%">
                  <c:v>1</c:v>
                </c:pt>
                <c:pt idx="11">
                  <c:v>0.97100000000000064</c:v>
                </c:pt>
              </c:numCache>
            </c:numRef>
          </c:val>
        </c:ser>
        <c:dLbls>
          <c:showLegendKey val="0"/>
          <c:showVal val="0"/>
          <c:showCatName val="0"/>
          <c:showSerName val="0"/>
          <c:showPercent val="0"/>
          <c:showBubbleSize val="0"/>
          <c:showLeaderLines val="1"/>
        </c:dLbls>
      </c:pie3DChart>
    </c:plotArea>
    <c:legend>
      <c:legendPos val="r"/>
      <c:legendEntry>
        <c:idx val="12"/>
        <c:delete val="1"/>
      </c:legendEntry>
      <c:layout>
        <c:manualLayout>
          <c:xMode val="edge"/>
          <c:yMode val="edge"/>
          <c:x val="0.86897814720075361"/>
          <c:y val="6.6054335173824516E-2"/>
          <c:w val="0.11284438489190005"/>
          <c:h val="0.89681642764489378"/>
        </c:manualLayout>
      </c:layout>
      <c:overlay val="0"/>
      <c:txPr>
        <a:bodyPr/>
        <a:lstStyle/>
        <a:p>
          <a:pPr>
            <a:defRPr sz="700"/>
          </a:pPr>
          <a:endParaRPr lang="es-CO"/>
        </a:p>
      </c:txPr>
    </c:legend>
    <c:plotVisOnly val="1"/>
    <c:dispBlanksAs val="gap"/>
    <c:showDLblsOverMax val="0"/>
  </c:chart>
  <c:spPr>
    <a:ln>
      <a:solidFill>
        <a:schemeClr val="bg1">
          <a:lumMod val="75000"/>
        </a:schemeClr>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2683920861523814E-2"/>
          <c:y val="1.8067147856517935E-2"/>
          <c:w val="0.90731331647415581"/>
          <c:h val="0.81153040244969377"/>
        </c:manualLayout>
      </c:layout>
      <c:bar3DChart>
        <c:barDir val="col"/>
        <c:grouping val="clustered"/>
        <c:varyColors val="0"/>
        <c:ser>
          <c:idx val="0"/>
          <c:order val="0"/>
          <c:tx>
            <c:strRef>
              <c:f>Hoja2!$F$3</c:f>
              <c:strCache>
                <c:ptCount val="1"/>
                <c:pt idx="0">
                  <c:v>Residencial</c:v>
                </c:pt>
              </c:strCache>
            </c:strRef>
          </c:tx>
          <c:invertIfNegative val="0"/>
          <c:cat>
            <c:strRef>
              <c:f>Hoja2!$E$4:$E$15</c:f>
              <c:strCache>
                <c:ptCount val="12"/>
                <c:pt idx="0">
                  <c:v>Armenia</c:v>
                </c:pt>
                <c:pt idx="1">
                  <c:v>Buenavista</c:v>
                </c:pt>
                <c:pt idx="2">
                  <c:v>Calarcá</c:v>
                </c:pt>
                <c:pt idx="3">
                  <c:v>Circasia</c:v>
                </c:pt>
                <c:pt idx="4">
                  <c:v>Córdoba</c:v>
                </c:pt>
                <c:pt idx="5">
                  <c:v>Filandia</c:v>
                </c:pt>
                <c:pt idx="6">
                  <c:v>Génova</c:v>
                </c:pt>
                <c:pt idx="7">
                  <c:v>La Tebaida </c:v>
                </c:pt>
                <c:pt idx="8">
                  <c:v>Montenegro </c:v>
                </c:pt>
                <c:pt idx="9">
                  <c:v>Pijao</c:v>
                </c:pt>
                <c:pt idx="10">
                  <c:v>Quimbaya</c:v>
                </c:pt>
                <c:pt idx="11">
                  <c:v>Salento</c:v>
                </c:pt>
              </c:strCache>
            </c:strRef>
          </c:cat>
          <c:val>
            <c:numRef>
              <c:f>Hoja2!$F$4:$F$15</c:f>
              <c:numCache>
                <c:formatCode>#,##0</c:formatCode>
                <c:ptCount val="12"/>
                <c:pt idx="0">
                  <c:v>118178230</c:v>
                </c:pt>
                <c:pt idx="1">
                  <c:v>856839</c:v>
                </c:pt>
                <c:pt idx="2">
                  <c:v>24184344</c:v>
                </c:pt>
                <c:pt idx="3">
                  <c:v>10023638</c:v>
                </c:pt>
                <c:pt idx="4">
                  <c:v>1427760</c:v>
                </c:pt>
                <c:pt idx="5">
                  <c:v>3994265</c:v>
                </c:pt>
                <c:pt idx="6">
                  <c:v>1946773</c:v>
                </c:pt>
                <c:pt idx="7">
                  <c:v>10852601</c:v>
                </c:pt>
                <c:pt idx="8">
                  <c:v>12150121</c:v>
                </c:pt>
                <c:pt idx="9">
                  <c:v>1498000</c:v>
                </c:pt>
                <c:pt idx="10">
                  <c:v>11151400</c:v>
                </c:pt>
                <c:pt idx="11">
                  <c:v>3110434</c:v>
                </c:pt>
              </c:numCache>
            </c:numRef>
          </c:val>
        </c:ser>
        <c:ser>
          <c:idx val="1"/>
          <c:order val="1"/>
          <c:tx>
            <c:strRef>
              <c:f>Hoja2!$G$3</c:f>
              <c:strCache>
                <c:ptCount val="1"/>
                <c:pt idx="0">
                  <c:v>Comercial</c:v>
                </c:pt>
              </c:strCache>
            </c:strRef>
          </c:tx>
          <c:invertIfNegative val="0"/>
          <c:cat>
            <c:strRef>
              <c:f>Hoja2!$E$4:$E$15</c:f>
              <c:strCache>
                <c:ptCount val="12"/>
                <c:pt idx="0">
                  <c:v>Armenia</c:v>
                </c:pt>
                <c:pt idx="1">
                  <c:v>Buenavista</c:v>
                </c:pt>
                <c:pt idx="2">
                  <c:v>Calarcá</c:v>
                </c:pt>
                <c:pt idx="3">
                  <c:v>Circasia</c:v>
                </c:pt>
                <c:pt idx="4">
                  <c:v>Córdoba</c:v>
                </c:pt>
                <c:pt idx="5">
                  <c:v>Filandia</c:v>
                </c:pt>
                <c:pt idx="6">
                  <c:v>Génova</c:v>
                </c:pt>
                <c:pt idx="7">
                  <c:v>La Tebaida </c:v>
                </c:pt>
                <c:pt idx="8">
                  <c:v>Montenegro </c:v>
                </c:pt>
                <c:pt idx="9">
                  <c:v>Pijao</c:v>
                </c:pt>
                <c:pt idx="10">
                  <c:v>Quimbaya</c:v>
                </c:pt>
                <c:pt idx="11">
                  <c:v>Salento</c:v>
                </c:pt>
              </c:strCache>
            </c:strRef>
          </c:cat>
          <c:val>
            <c:numRef>
              <c:f>Hoja2!$G$4:$G$15</c:f>
              <c:numCache>
                <c:formatCode>#,##0</c:formatCode>
                <c:ptCount val="12"/>
                <c:pt idx="0">
                  <c:v>63081743</c:v>
                </c:pt>
                <c:pt idx="1">
                  <c:v>172167</c:v>
                </c:pt>
                <c:pt idx="2">
                  <c:v>7158616</c:v>
                </c:pt>
                <c:pt idx="3">
                  <c:v>2571313</c:v>
                </c:pt>
                <c:pt idx="4">
                  <c:v>259853</c:v>
                </c:pt>
                <c:pt idx="5">
                  <c:v>919028</c:v>
                </c:pt>
                <c:pt idx="6">
                  <c:v>403095</c:v>
                </c:pt>
                <c:pt idx="7">
                  <c:v>3394293</c:v>
                </c:pt>
                <c:pt idx="8">
                  <c:v>5639310</c:v>
                </c:pt>
                <c:pt idx="9">
                  <c:v>260657</c:v>
                </c:pt>
                <c:pt idx="10">
                  <c:v>3586781</c:v>
                </c:pt>
                <c:pt idx="11">
                  <c:v>1457869</c:v>
                </c:pt>
              </c:numCache>
            </c:numRef>
          </c:val>
        </c:ser>
        <c:ser>
          <c:idx val="2"/>
          <c:order val="2"/>
          <c:tx>
            <c:strRef>
              <c:f>Hoja2!$H$3</c:f>
              <c:strCache>
                <c:ptCount val="1"/>
                <c:pt idx="0">
                  <c:v>Industrial</c:v>
                </c:pt>
              </c:strCache>
            </c:strRef>
          </c:tx>
          <c:invertIfNegative val="0"/>
          <c:cat>
            <c:strRef>
              <c:f>Hoja2!$E$4:$E$15</c:f>
              <c:strCache>
                <c:ptCount val="12"/>
                <c:pt idx="0">
                  <c:v>Armenia</c:v>
                </c:pt>
                <c:pt idx="1">
                  <c:v>Buenavista</c:v>
                </c:pt>
                <c:pt idx="2">
                  <c:v>Calarcá</c:v>
                </c:pt>
                <c:pt idx="3">
                  <c:v>Circasia</c:v>
                </c:pt>
                <c:pt idx="4">
                  <c:v>Córdoba</c:v>
                </c:pt>
                <c:pt idx="5">
                  <c:v>Filandia</c:v>
                </c:pt>
                <c:pt idx="6">
                  <c:v>Génova</c:v>
                </c:pt>
                <c:pt idx="7">
                  <c:v>La Tebaida </c:v>
                </c:pt>
                <c:pt idx="8">
                  <c:v>Montenegro </c:v>
                </c:pt>
                <c:pt idx="9">
                  <c:v>Pijao</c:v>
                </c:pt>
                <c:pt idx="10">
                  <c:v>Quimbaya</c:v>
                </c:pt>
                <c:pt idx="11">
                  <c:v>Salento</c:v>
                </c:pt>
              </c:strCache>
            </c:strRef>
          </c:cat>
          <c:val>
            <c:numRef>
              <c:f>Hoja2!$H$4:$H$15</c:f>
              <c:numCache>
                <c:formatCode>#,##0</c:formatCode>
                <c:ptCount val="12"/>
                <c:pt idx="0">
                  <c:v>14650482</c:v>
                </c:pt>
                <c:pt idx="1">
                  <c:v>366980</c:v>
                </c:pt>
                <c:pt idx="2">
                  <c:v>5451854</c:v>
                </c:pt>
                <c:pt idx="3">
                  <c:v>2445895</c:v>
                </c:pt>
                <c:pt idx="4">
                  <c:v>243320</c:v>
                </c:pt>
                <c:pt idx="5">
                  <c:v>502649</c:v>
                </c:pt>
                <c:pt idx="6">
                  <c:v>636718</c:v>
                </c:pt>
                <c:pt idx="7">
                  <c:v>1875281</c:v>
                </c:pt>
                <c:pt idx="8">
                  <c:v>1701092</c:v>
                </c:pt>
                <c:pt idx="9">
                  <c:v>100954</c:v>
                </c:pt>
                <c:pt idx="10">
                  <c:v>1386998</c:v>
                </c:pt>
                <c:pt idx="11">
                  <c:v>169592</c:v>
                </c:pt>
              </c:numCache>
            </c:numRef>
          </c:val>
        </c:ser>
        <c:ser>
          <c:idx val="3"/>
          <c:order val="3"/>
          <c:tx>
            <c:strRef>
              <c:f>Hoja2!$I$3</c:f>
              <c:strCache>
                <c:ptCount val="1"/>
                <c:pt idx="0">
                  <c:v>Oficial</c:v>
                </c:pt>
              </c:strCache>
            </c:strRef>
          </c:tx>
          <c:invertIfNegative val="0"/>
          <c:cat>
            <c:strRef>
              <c:f>Hoja2!$E$4:$E$15</c:f>
              <c:strCache>
                <c:ptCount val="12"/>
                <c:pt idx="0">
                  <c:v>Armenia</c:v>
                </c:pt>
                <c:pt idx="1">
                  <c:v>Buenavista</c:v>
                </c:pt>
                <c:pt idx="2">
                  <c:v>Calarcá</c:v>
                </c:pt>
                <c:pt idx="3">
                  <c:v>Circasia</c:v>
                </c:pt>
                <c:pt idx="4">
                  <c:v>Córdoba</c:v>
                </c:pt>
                <c:pt idx="5">
                  <c:v>Filandia</c:v>
                </c:pt>
                <c:pt idx="6">
                  <c:v>Génova</c:v>
                </c:pt>
                <c:pt idx="7">
                  <c:v>La Tebaida </c:v>
                </c:pt>
                <c:pt idx="8">
                  <c:v>Montenegro </c:v>
                </c:pt>
                <c:pt idx="9">
                  <c:v>Pijao</c:v>
                </c:pt>
                <c:pt idx="10">
                  <c:v>Quimbaya</c:v>
                </c:pt>
                <c:pt idx="11">
                  <c:v>Salento</c:v>
                </c:pt>
              </c:strCache>
            </c:strRef>
          </c:cat>
          <c:val>
            <c:numRef>
              <c:f>Hoja2!$I$4:$I$15</c:f>
              <c:numCache>
                <c:formatCode>#,##0</c:formatCode>
                <c:ptCount val="12"/>
                <c:pt idx="0">
                  <c:v>10817171</c:v>
                </c:pt>
                <c:pt idx="1">
                  <c:v>83343</c:v>
                </c:pt>
                <c:pt idx="2">
                  <c:v>4947822</c:v>
                </c:pt>
                <c:pt idx="3">
                  <c:v>1123108</c:v>
                </c:pt>
                <c:pt idx="4">
                  <c:v>132341</c:v>
                </c:pt>
                <c:pt idx="5">
                  <c:v>235886</c:v>
                </c:pt>
                <c:pt idx="6">
                  <c:v>524730</c:v>
                </c:pt>
                <c:pt idx="7">
                  <c:v>518720</c:v>
                </c:pt>
                <c:pt idx="8">
                  <c:v>1291172</c:v>
                </c:pt>
                <c:pt idx="9">
                  <c:v>116160</c:v>
                </c:pt>
                <c:pt idx="10">
                  <c:v>516569</c:v>
                </c:pt>
                <c:pt idx="11">
                  <c:v>112230</c:v>
                </c:pt>
              </c:numCache>
            </c:numRef>
          </c:val>
        </c:ser>
        <c:ser>
          <c:idx val="4"/>
          <c:order val="4"/>
          <c:tx>
            <c:strRef>
              <c:f>Hoja2!$J$3</c:f>
              <c:strCache>
                <c:ptCount val="1"/>
                <c:pt idx="0">
                  <c:v>Provisional</c:v>
                </c:pt>
              </c:strCache>
            </c:strRef>
          </c:tx>
          <c:invertIfNegative val="0"/>
          <c:cat>
            <c:strRef>
              <c:f>Hoja2!$E$4:$E$15</c:f>
              <c:strCache>
                <c:ptCount val="12"/>
                <c:pt idx="0">
                  <c:v>Armenia</c:v>
                </c:pt>
                <c:pt idx="1">
                  <c:v>Buenavista</c:v>
                </c:pt>
                <c:pt idx="2">
                  <c:v>Calarcá</c:v>
                </c:pt>
                <c:pt idx="3">
                  <c:v>Circasia</c:v>
                </c:pt>
                <c:pt idx="4">
                  <c:v>Córdoba</c:v>
                </c:pt>
                <c:pt idx="5">
                  <c:v>Filandia</c:v>
                </c:pt>
                <c:pt idx="6">
                  <c:v>Génova</c:v>
                </c:pt>
                <c:pt idx="7">
                  <c:v>La Tebaida </c:v>
                </c:pt>
                <c:pt idx="8">
                  <c:v>Montenegro </c:v>
                </c:pt>
                <c:pt idx="9">
                  <c:v>Pijao</c:v>
                </c:pt>
                <c:pt idx="10">
                  <c:v>Quimbaya</c:v>
                </c:pt>
                <c:pt idx="11">
                  <c:v>Salento</c:v>
                </c:pt>
              </c:strCache>
            </c:strRef>
          </c:cat>
          <c:val>
            <c:numRef>
              <c:f>Hoja2!$J$4:$J$15</c:f>
              <c:numCache>
                <c:formatCode>#,##0</c:formatCode>
                <c:ptCount val="12"/>
                <c:pt idx="0">
                  <c:v>3641945</c:v>
                </c:pt>
                <c:pt idx="1">
                  <c:v>1118</c:v>
                </c:pt>
                <c:pt idx="2">
                  <c:v>657352</c:v>
                </c:pt>
                <c:pt idx="3">
                  <c:v>138260</c:v>
                </c:pt>
                <c:pt idx="4">
                  <c:v>1695</c:v>
                </c:pt>
                <c:pt idx="5">
                  <c:v>16333</c:v>
                </c:pt>
                <c:pt idx="6">
                  <c:v>1708</c:v>
                </c:pt>
                <c:pt idx="7">
                  <c:v>165661</c:v>
                </c:pt>
                <c:pt idx="8">
                  <c:v>138556</c:v>
                </c:pt>
                <c:pt idx="9" formatCode="General">
                  <c:v>963</c:v>
                </c:pt>
                <c:pt idx="10">
                  <c:v>77967</c:v>
                </c:pt>
                <c:pt idx="11">
                  <c:v>116029</c:v>
                </c:pt>
              </c:numCache>
            </c:numRef>
          </c:val>
        </c:ser>
        <c:ser>
          <c:idx val="5"/>
          <c:order val="5"/>
          <c:tx>
            <c:strRef>
              <c:f>Hoja2!$K$3</c:f>
              <c:strCache>
                <c:ptCount val="1"/>
                <c:pt idx="0">
                  <c:v>Áreas comunes</c:v>
                </c:pt>
              </c:strCache>
            </c:strRef>
          </c:tx>
          <c:invertIfNegative val="0"/>
          <c:cat>
            <c:strRef>
              <c:f>Hoja2!$E$4:$E$15</c:f>
              <c:strCache>
                <c:ptCount val="12"/>
                <c:pt idx="0">
                  <c:v>Armenia</c:v>
                </c:pt>
                <c:pt idx="1">
                  <c:v>Buenavista</c:v>
                </c:pt>
                <c:pt idx="2">
                  <c:v>Calarcá</c:v>
                </c:pt>
                <c:pt idx="3">
                  <c:v>Circasia</c:v>
                </c:pt>
                <c:pt idx="4">
                  <c:v>Córdoba</c:v>
                </c:pt>
                <c:pt idx="5">
                  <c:v>Filandia</c:v>
                </c:pt>
                <c:pt idx="6">
                  <c:v>Génova</c:v>
                </c:pt>
                <c:pt idx="7">
                  <c:v>La Tebaida </c:v>
                </c:pt>
                <c:pt idx="8">
                  <c:v>Montenegro </c:v>
                </c:pt>
                <c:pt idx="9">
                  <c:v>Pijao</c:v>
                </c:pt>
                <c:pt idx="10">
                  <c:v>Quimbaya</c:v>
                </c:pt>
                <c:pt idx="11">
                  <c:v>Salento</c:v>
                </c:pt>
              </c:strCache>
            </c:strRef>
          </c:cat>
          <c:val>
            <c:numRef>
              <c:f>Hoja2!$K$4:$K$15</c:f>
              <c:numCache>
                <c:formatCode>General</c:formatCode>
                <c:ptCount val="12"/>
                <c:pt idx="0" formatCode="#,##0">
                  <c:v>3669743</c:v>
                </c:pt>
                <c:pt idx="1">
                  <c:v>0</c:v>
                </c:pt>
                <c:pt idx="2" formatCode="#,##0">
                  <c:v>141844</c:v>
                </c:pt>
                <c:pt idx="3" formatCode="#,##0">
                  <c:v>167813</c:v>
                </c:pt>
                <c:pt idx="4">
                  <c:v>0</c:v>
                </c:pt>
                <c:pt idx="5">
                  <c:v>180</c:v>
                </c:pt>
                <c:pt idx="6">
                  <c:v>0</c:v>
                </c:pt>
                <c:pt idx="7" formatCode="#,##0">
                  <c:v>65333</c:v>
                </c:pt>
                <c:pt idx="8" formatCode="#,##0">
                  <c:v>18583</c:v>
                </c:pt>
                <c:pt idx="9" formatCode="#,##0">
                  <c:v>14100</c:v>
                </c:pt>
                <c:pt idx="10" formatCode="#,##0">
                  <c:v>68805</c:v>
                </c:pt>
                <c:pt idx="11" formatCode="#,##0">
                  <c:v>23237</c:v>
                </c:pt>
              </c:numCache>
            </c:numRef>
          </c:val>
        </c:ser>
        <c:ser>
          <c:idx val="6"/>
          <c:order val="6"/>
          <c:tx>
            <c:strRef>
              <c:f>Hoja2!$L$3</c:f>
              <c:strCache>
                <c:ptCount val="1"/>
                <c:pt idx="0">
                  <c:v>A.P</c:v>
                </c:pt>
              </c:strCache>
            </c:strRef>
          </c:tx>
          <c:invertIfNegative val="0"/>
          <c:cat>
            <c:strRef>
              <c:f>Hoja2!$E$4:$E$15</c:f>
              <c:strCache>
                <c:ptCount val="12"/>
                <c:pt idx="0">
                  <c:v>Armenia</c:v>
                </c:pt>
                <c:pt idx="1">
                  <c:v>Buenavista</c:v>
                </c:pt>
                <c:pt idx="2">
                  <c:v>Calarcá</c:v>
                </c:pt>
                <c:pt idx="3">
                  <c:v>Circasia</c:v>
                </c:pt>
                <c:pt idx="4">
                  <c:v>Córdoba</c:v>
                </c:pt>
                <c:pt idx="5">
                  <c:v>Filandia</c:v>
                </c:pt>
                <c:pt idx="6">
                  <c:v>Génova</c:v>
                </c:pt>
                <c:pt idx="7">
                  <c:v>La Tebaida </c:v>
                </c:pt>
                <c:pt idx="8">
                  <c:v>Montenegro </c:v>
                </c:pt>
                <c:pt idx="9">
                  <c:v>Pijao</c:v>
                </c:pt>
                <c:pt idx="10">
                  <c:v>Quimbaya</c:v>
                </c:pt>
                <c:pt idx="11">
                  <c:v>Salento</c:v>
                </c:pt>
              </c:strCache>
            </c:strRef>
          </c:cat>
          <c:val>
            <c:numRef>
              <c:f>Hoja2!$L$4:$L$15</c:f>
              <c:numCache>
                <c:formatCode>#,##0</c:formatCode>
                <c:ptCount val="12"/>
                <c:pt idx="0" formatCode="General">
                  <c:v>0</c:v>
                </c:pt>
                <c:pt idx="1">
                  <c:v>104869</c:v>
                </c:pt>
                <c:pt idx="2" formatCode="General">
                  <c:v>0</c:v>
                </c:pt>
                <c:pt idx="3" formatCode="General">
                  <c:v>0</c:v>
                </c:pt>
                <c:pt idx="4">
                  <c:v>186023</c:v>
                </c:pt>
                <c:pt idx="5">
                  <c:v>323425</c:v>
                </c:pt>
                <c:pt idx="6" formatCode="General">
                  <c:v>0</c:v>
                </c:pt>
                <c:pt idx="7">
                  <c:v>1391075</c:v>
                </c:pt>
                <c:pt idx="8">
                  <c:v>996518</c:v>
                </c:pt>
                <c:pt idx="9">
                  <c:v>146871</c:v>
                </c:pt>
                <c:pt idx="10">
                  <c:v>1262782</c:v>
                </c:pt>
                <c:pt idx="11">
                  <c:v>428799</c:v>
                </c:pt>
              </c:numCache>
            </c:numRef>
          </c:val>
        </c:ser>
        <c:dLbls>
          <c:showLegendKey val="0"/>
          <c:showVal val="0"/>
          <c:showCatName val="0"/>
          <c:showSerName val="0"/>
          <c:showPercent val="0"/>
          <c:showBubbleSize val="0"/>
        </c:dLbls>
        <c:gapWidth val="150"/>
        <c:shape val="box"/>
        <c:axId val="232126720"/>
        <c:axId val="232148992"/>
        <c:axId val="0"/>
      </c:bar3DChart>
      <c:catAx>
        <c:axId val="232126720"/>
        <c:scaling>
          <c:orientation val="minMax"/>
        </c:scaling>
        <c:delete val="0"/>
        <c:axPos val="b"/>
        <c:majorTickMark val="out"/>
        <c:minorTickMark val="none"/>
        <c:tickLblPos val="nextTo"/>
        <c:txPr>
          <a:bodyPr rot="-5400000" vert="horz"/>
          <a:lstStyle/>
          <a:p>
            <a:pPr>
              <a:defRPr/>
            </a:pPr>
            <a:endParaRPr lang="es-CO"/>
          </a:p>
        </c:txPr>
        <c:crossAx val="232148992"/>
        <c:crosses val="autoZero"/>
        <c:auto val="1"/>
        <c:lblAlgn val="ctr"/>
        <c:lblOffset val="100"/>
        <c:noMultiLvlLbl val="0"/>
      </c:catAx>
      <c:valAx>
        <c:axId val="232148992"/>
        <c:scaling>
          <c:orientation val="minMax"/>
        </c:scaling>
        <c:delete val="0"/>
        <c:axPos val="l"/>
        <c:numFmt formatCode="#,##0" sourceLinked="1"/>
        <c:majorTickMark val="out"/>
        <c:minorTickMark val="none"/>
        <c:tickLblPos val="nextTo"/>
        <c:crossAx val="232126720"/>
        <c:crosses val="autoZero"/>
        <c:crossBetween val="between"/>
      </c:valAx>
    </c:plotArea>
    <c:legend>
      <c:legendPos val="r"/>
      <c:layout>
        <c:manualLayout>
          <c:xMode val="edge"/>
          <c:yMode val="edge"/>
          <c:x val="0.59696284560496504"/>
          <c:y val="2.1804461942257221E-2"/>
          <c:w val="0.39314059267553725"/>
          <c:h val="0.16657589676290463"/>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0"/>
      <c:rAngAx val="0"/>
      <c:perspective val="0"/>
    </c:view3D>
    <c:floor>
      <c:thickness val="0"/>
    </c:floor>
    <c:sideWall>
      <c:thickness val="0"/>
    </c:sideWall>
    <c:backWall>
      <c:thickness val="0"/>
    </c:backWall>
    <c:plotArea>
      <c:layout>
        <c:manualLayout>
          <c:layoutTarget val="inner"/>
          <c:xMode val="edge"/>
          <c:yMode val="edge"/>
          <c:x val="0.16511451857991435"/>
          <c:y val="1.7621145374449341E-2"/>
          <c:w val="0.6361143197140352"/>
          <c:h val="0.83662635410031105"/>
        </c:manualLayout>
      </c:layout>
      <c:pie3DChart>
        <c:varyColors val="1"/>
        <c:ser>
          <c:idx val="0"/>
          <c:order val="0"/>
          <c:explosion val="26"/>
          <c:dPt>
            <c:idx val="0"/>
            <c:bubble3D val="0"/>
            <c:spPr>
              <a:solidFill>
                <a:schemeClr val="bg2">
                  <a:lumMod val="75000"/>
                </a:schemeClr>
              </a:solidFill>
            </c:spPr>
          </c:dPt>
          <c:dPt>
            <c:idx val="1"/>
            <c:bubble3D val="0"/>
            <c:spPr>
              <a:solidFill>
                <a:srgbClr val="FC846C"/>
              </a:solidFill>
            </c:spPr>
          </c:dPt>
          <c:dLbls>
            <c:dLbl>
              <c:idx val="0"/>
              <c:layout>
                <c:manualLayout>
                  <c:x val="-0.23655723034620782"/>
                  <c:y val="-0.22678985126859139"/>
                </c:manualLayout>
              </c:layout>
              <c:dLblPos val="bestFit"/>
              <c:showLegendKey val="0"/>
              <c:showVal val="1"/>
              <c:showCatName val="0"/>
              <c:showSerName val="0"/>
              <c:showPercent val="1"/>
              <c:showBubbleSize val="0"/>
              <c:separator>
</c:separator>
            </c:dLbl>
            <c:dLbl>
              <c:idx val="1"/>
              <c:layout>
                <c:manualLayout>
                  <c:x val="0.18051543557055519"/>
                  <c:y val="-0.13175806357538641"/>
                </c:manualLayout>
              </c:layout>
              <c:dLblPos val="bestFit"/>
              <c:showLegendKey val="0"/>
              <c:showVal val="1"/>
              <c:showCatName val="0"/>
              <c:showSerName val="0"/>
              <c:showPercent val="1"/>
              <c:showBubbleSize val="0"/>
              <c:separator>
</c:separator>
            </c:dLbl>
            <c:dLbl>
              <c:idx val="2"/>
              <c:layout>
                <c:manualLayout>
                  <c:x val="-1.8252632214076688E-2"/>
                  <c:y val="1.5766239282704143E-2"/>
                </c:manualLayout>
              </c:layout>
              <c:dLblPos val="bestFit"/>
              <c:showLegendKey val="0"/>
              <c:showVal val="1"/>
              <c:showCatName val="0"/>
              <c:showSerName val="0"/>
              <c:showPercent val="1"/>
              <c:showBubbleSize val="0"/>
              <c:separator>
</c:separator>
            </c:dLbl>
            <c:dLbl>
              <c:idx val="3"/>
              <c:layout>
                <c:manualLayout>
                  <c:x val="-4.546352730708865E-2"/>
                  <c:y val="0"/>
                </c:manualLayout>
              </c:layout>
              <c:dLblPos val="bestFit"/>
              <c:showLegendKey val="0"/>
              <c:showVal val="1"/>
              <c:showCatName val="0"/>
              <c:showSerName val="0"/>
              <c:showPercent val="1"/>
              <c:showBubbleSize val="0"/>
              <c:separator>
</c:separator>
            </c:dLbl>
            <c:dLbl>
              <c:idx val="4"/>
              <c:layout>
                <c:manualLayout>
                  <c:x val="-6.281360556801642E-2"/>
                  <c:y val="-5.1167347912490981E-2"/>
                </c:manualLayout>
              </c:layout>
              <c:dLblPos val="bestFit"/>
              <c:showLegendKey val="0"/>
              <c:showVal val="1"/>
              <c:showCatName val="0"/>
              <c:showSerName val="0"/>
              <c:showPercent val="1"/>
              <c:showBubbleSize val="0"/>
              <c:separator>
</c:separator>
            </c:dLbl>
            <c:dLbl>
              <c:idx val="5"/>
              <c:layout>
                <c:manualLayout>
                  <c:x val="5.5480350289711419E-2"/>
                  <c:y val="2.9559118533905794E-3"/>
                </c:manualLayout>
              </c:layout>
              <c:dLblPos val="bestFit"/>
              <c:showLegendKey val="0"/>
              <c:showVal val="1"/>
              <c:showCatName val="0"/>
              <c:showSerName val="0"/>
              <c:showPercent val="1"/>
              <c:showBubbleSize val="0"/>
              <c:separator>
</c:separator>
            </c:dLbl>
            <c:txPr>
              <a:bodyPr/>
              <a:lstStyle/>
              <a:p>
                <a:pPr>
                  <a:defRPr sz="600"/>
                </a:pPr>
                <a:endParaRPr lang="es-CO"/>
              </a:p>
            </c:txPr>
            <c:dLblPos val="bestFit"/>
            <c:showLegendKey val="0"/>
            <c:showVal val="1"/>
            <c:showCatName val="0"/>
            <c:showSerName val="0"/>
            <c:showPercent val="1"/>
            <c:showBubbleSize val="0"/>
            <c:separator>
</c:separator>
            <c:showLeaderLines val="1"/>
          </c:dLbls>
          <c:cat>
            <c:strRef>
              <c:f>Hoja3!$B$1:$G$1</c:f>
              <c:strCache>
                <c:ptCount val="6"/>
                <c:pt idx="0">
                  <c:v>RESIDENCIAL</c:v>
                </c:pt>
                <c:pt idx="1">
                  <c:v>COMERCIAL</c:v>
                </c:pt>
                <c:pt idx="2">
                  <c:v>INDUSTRIAL</c:v>
                </c:pt>
                <c:pt idx="3">
                  <c:v>OFICIAL</c:v>
                </c:pt>
                <c:pt idx="4">
                  <c:v>PROVISIONAL</c:v>
                </c:pt>
                <c:pt idx="5">
                  <c:v>ÁREAS COMUNES</c:v>
                </c:pt>
              </c:strCache>
            </c:strRef>
          </c:cat>
          <c:val>
            <c:numRef>
              <c:f>Hoja3!$B$14:$G$14</c:f>
              <c:numCache>
                <c:formatCode>#,##0</c:formatCode>
                <c:ptCount val="6"/>
                <c:pt idx="0">
                  <c:v>71104252857</c:v>
                </c:pt>
                <c:pt idx="1">
                  <c:v>29680040849</c:v>
                </c:pt>
                <c:pt idx="2">
                  <c:v>9544323816</c:v>
                </c:pt>
                <c:pt idx="3">
                  <c:v>6373766582</c:v>
                </c:pt>
                <c:pt idx="4">
                  <c:v>1540425836</c:v>
                </c:pt>
                <c:pt idx="5">
                  <c:v>1402140613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8.1479762398121283E-2"/>
          <c:y val="0.91480291835767269"/>
          <c:w val="0.85896627655843016"/>
          <c:h val="8.0823962197101876E-2"/>
        </c:manualLayout>
      </c:layout>
      <c:overlay val="0"/>
      <c:txPr>
        <a:bodyPr/>
        <a:lstStyle/>
        <a:p>
          <a:pPr>
            <a:defRPr sz="600"/>
          </a:pPr>
          <a:endParaRPr lang="es-CO"/>
        </a:p>
      </c:txPr>
    </c:legend>
    <c:plotVisOnly val="1"/>
    <c:dispBlanksAs val="gap"/>
    <c:showDLblsOverMax val="0"/>
  </c:chart>
  <c:spPr>
    <a:ln>
      <a:solidFill>
        <a:sysClr val="window" lastClr="FFFFFF">
          <a:lumMod val="85000"/>
        </a:sysClr>
      </a:solidFill>
    </a:ln>
  </c:spPr>
  <c:txPr>
    <a:bodyPr/>
    <a:lstStyle/>
    <a:p>
      <a:pPr>
        <a:defRPr>
          <a:latin typeface="Times New Roman" pitchFamily="18" charset="0"/>
          <a:cs typeface="Times New Roman" pitchFamily="18" charset="0"/>
        </a:defRPr>
      </a:pPr>
      <a:endParaRPr lang="es-C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40"/>
      <c:depthPercent val="130"/>
      <c:rAngAx val="1"/>
    </c:view3D>
    <c:floor>
      <c:thickness val="0"/>
    </c:floor>
    <c:sideWall>
      <c:thickness val="0"/>
    </c:sideWall>
    <c:backWall>
      <c:thickness val="0"/>
    </c:backWall>
    <c:plotArea>
      <c:layout>
        <c:manualLayout>
          <c:layoutTarget val="inner"/>
          <c:xMode val="edge"/>
          <c:yMode val="edge"/>
          <c:x val="8.9062725854920283E-2"/>
          <c:y val="6.4311717132919916E-2"/>
          <c:w val="0.88519799155540335"/>
          <c:h val="0.7103890960998297"/>
        </c:manualLayout>
      </c:layout>
      <c:bar3DChart>
        <c:barDir val="col"/>
        <c:grouping val="clustered"/>
        <c:varyColors val="0"/>
        <c:ser>
          <c:idx val="0"/>
          <c:order val="0"/>
          <c:tx>
            <c:strRef>
              <c:f>gas!$B$2</c:f>
              <c:strCache>
                <c:ptCount val="1"/>
                <c:pt idx="0">
                  <c:v> NUMERO DE USUARIOS </c:v>
                </c:pt>
              </c:strCache>
            </c:strRef>
          </c:tx>
          <c:invertIfNegative val="0"/>
          <c:dLbls>
            <c:dLbl>
              <c:idx val="0"/>
              <c:layout>
                <c:manualLayout>
                  <c:x val="-1.0319917440660475E-2"/>
                  <c:y val="-1.4749265962712463E-2"/>
                </c:manualLayout>
              </c:layout>
              <c:showLegendKey val="0"/>
              <c:showVal val="1"/>
              <c:showCatName val="0"/>
              <c:showSerName val="0"/>
              <c:showPercent val="0"/>
              <c:showBubbleSize val="0"/>
            </c:dLbl>
            <c:dLbl>
              <c:idx val="1"/>
              <c:layout>
                <c:manualLayout>
                  <c:x val="-3.0959752321981386E-2"/>
                  <c:y val="8.8495595776276088E-3"/>
                </c:manualLayout>
              </c:layout>
              <c:showLegendKey val="0"/>
              <c:showVal val="1"/>
              <c:showCatName val="0"/>
              <c:showSerName val="0"/>
              <c:showPercent val="0"/>
              <c:showBubbleSize val="0"/>
            </c:dLbl>
            <c:dLbl>
              <c:idx val="2"/>
              <c:layout>
                <c:manualLayout>
                  <c:x val="-6.1919504643962852E-3"/>
                  <c:y val="-1.7699119155254954E-2"/>
                </c:manualLayout>
              </c:layout>
              <c:showLegendKey val="0"/>
              <c:showVal val="1"/>
              <c:showCatName val="0"/>
              <c:showSerName val="0"/>
              <c:showPercent val="0"/>
              <c:showBubbleSize val="0"/>
            </c:dLbl>
            <c:dLbl>
              <c:idx val="3"/>
              <c:layout>
                <c:manualLayout>
                  <c:x val="-8.255933952528478E-3"/>
                  <c:y val="-8.8495595776276088E-3"/>
                </c:manualLayout>
              </c:layout>
              <c:showLegendKey val="0"/>
              <c:showVal val="1"/>
              <c:showCatName val="0"/>
              <c:showSerName val="0"/>
              <c:showPercent val="0"/>
              <c:showBubbleSize val="0"/>
            </c:dLbl>
            <c:dLbl>
              <c:idx val="4"/>
              <c:layout>
                <c:manualLayout>
                  <c:x val="-6.1919504643962852E-3"/>
                  <c:y val="-1.179941277016997E-2"/>
                </c:manualLayout>
              </c:layout>
              <c:showLegendKey val="0"/>
              <c:showVal val="1"/>
              <c:showCatName val="0"/>
              <c:showSerName val="0"/>
              <c:showPercent val="0"/>
              <c:showBubbleSize val="0"/>
            </c:dLbl>
            <c:dLbl>
              <c:idx val="5"/>
              <c:layout>
                <c:manualLayout>
                  <c:x val="-8.255933952528478E-3"/>
                  <c:y val="-1.4749265962712463E-2"/>
                </c:manualLayout>
              </c:layout>
              <c:showLegendKey val="0"/>
              <c:showVal val="1"/>
              <c:showCatName val="0"/>
              <c:showSerName val="0"/>
              <c:showPercent val="0"/>
              <c:showBubbleSize val="0"/>
            </c:dLbl>
            <c:txPr>
              <a:bodyPr/>
              <a:lstStyle/>
              <a:p>
                <a:pPr>
                  <a:defRPr sz="800"/>
                </a:pPr>
                <a:endParaRPr lang="es-CO"/>
              </a:p>
            </c:txPr>
            <c:showLegendKey val="0"/>
            <c:showVal val="1"/>
            <c:showCatName val="0"/>
            <c:showSerName val="0"/>
            <c:showPercent val="0"/>
            <c:showBubbleSize val="0"/>
            <c:showLeaderLines val="0"/>
          </c:dLbls>
          <c:cat>
            <c:strRef>
              <c:f>gas!$A$3:$A$8</c:f>
              <c:strCache>
                <c:ptCount val="6"/>
                <c:pt idx="0">
                  <c:v> Estrato 1 </c:v>
                </c:pt>
                <c:pt idx="1">
                  <c:v> Estrato 2 </c:v>
                </c:pt>
                <c:pt idx="2">
                  <c:v> Estrato 3 </c:v>
                </c:pt>
                <c:pt idx="3">
                  <c:v> Estrato 4 </c:v>
                </c:pt>
                <c:pt idx="4">
                  <c:v> Estrato 5 </c:v>
                </c:pt>
                <c:pt idx="5">
                  <c:v> Estrato 6 </c:v>
                </c:pt>
              </c:strCache>
            </c:strRef>
          </c:cat>
          <c:val>
            <c:numRef>
              <c:f>gas!$B$3:$B$8</c:f>
              <c:numCache>
                <c:formatCode>#,##0</c:formatCode>
                <c:ptCount val="6"/>
                <c:pt idx="0">
                  <c:v>26535</c:v>
                </c:pt>
                <c:pt idx="1">
                  <c:v>49154</c:v>
                </c:pt>
                <c:pt idx="2">
                  <c:v>25441</c:v>
                </c:pt>
                <c:pt idx="3">
                  <c:v>7174</c:v>
                </c:pt>
                <c:pt idx="4">
                  <c:v>5012</c:v>
                </c:pt>
                <c:pt idx="5">
                  <c:v>1024</c:v>
                </c:pt>
              </c:numCache>
            </c:numRef>
          </c:val>
        </c:ser>
        <c:ser>
          <c:idx val="1"/>
          <c:order val="1"/>
          <c:tx>
            <c:strRef>
              <c:f>gas!$C$2</c:f>
              <c:strCache>
                <c:ptCount val="1"/>
                <c:pt idx="0">
                  <c:v> CONSUMO </c:v>
                </c:pt>
              </c:strCache>
            </c:strRef>
          </c:tx>
          <c:invertIfNegative val="0"/>
          <c:dLbls>
            <c:dLbl>
              <c:idx val="0"/>
              <c:layout>
                <c:manualLayout>
                  <c:x val="3.5087719298245612E-2"/>
                  <c:y val="-5.8997063850850335E-3"/>
                </c:manualLayout>
              </c:layout>
              <c:showLegendKey val="0"/>
              <c:showVal val="1"/>
              <c:showCatName val="0"/>
              <c:showSerName val="0"/>
              <c:showPercent val="0"/>
              <c:showBubbleSize val="0"/>
            </c:dLbl>
            <c:dLbl>
              <c:idx val="1"/>
              <c:layout>
                <c:manualLayout>
                  <c:x val="3.0959752321981424E-2"/>
                  <c:y val="-1.179941277016997E-2"/>
                </c:manualLayout>
              </c:layout>
              <c:showLegendKey val="0"/>
              <c:showVal val="1"/>
              <c:showCatName val="0"/>
              <c:showSerName val="0"/>
              <c:showPercent val="0"/>
              <c:showBubbleSize val="0"/>
            </c:dLbl>
            <c:dLbl>
              <c:idx val="2"/>
              <c:layout>
                <c:manualLayout>
                  <c:x val="3.5087719298245612E-2"/>
                  <c:y val="-5.8997063850850335E-3"/>
                </c:manualLayout>
              </c:layout>
              <c:showLegendKey val="0"/>
              <c:showVal val="1"/>
              <c:showCatName val="0"/>
              <c:showSerName val="0"/>
              <c:showPercent val="0"/>
              <c:showBubbleSize val="0"/>
            </c:dLbl>
            <c:dLbl>
              <c:idx val="3"/>
              <c:layout>
                <c:manualLayout>
                  <c:x val="3.0959752321981424E-2"/>
                  <c:y val="-1.7699119155254954E-2"/>
                </c:manualLayout>
              </c:layout>
              <c:showLegendKey val="0"/>
              <c:showVal val="1"/>
              <c:showCatName val="0"/>
              <c:showSerName val="0"/>
              <c:showPercent val="0"/>
              <c:showBubbleSize val="0"/>
            </c:dLbl>
            <c:dLbl>
              <c:idx val="4"/>
              <c:layout>
                <c:manualLayout>
                  <c:x val="2.8895768833849342E-2"/>
                  <c:y val="-8.8495595776276088E-3"/>
                </c:manualLayout>
              </c:layout>
              <c:showLegendKey val="0"/>
              <c:showVal val="1"/>
              <c:showCatName val="0"/>
              <c:showSerName val="0"/>
              <c:showPercent val="0"/>
              <c:showBubbleSize val="0"/>
            </c:dLbl>
            <c:dLbl>
              <c:idx val="5"/>
              <c:layout>
                <c:manualLayout>
                  <c:x val="2.6831785345717292E-2"/>
                  <c:y val="-5.8997063850850335E-3"/>
                </c:manualLayout>
              </c:layout>
              <c:showLegendKey val="0"/>
              <c:showVal val="1"/>
              <c:showCatName val="0"/>
              <c:showSerName val="0"/>
              <c:showPercent val="0"/>
              <c:showBubbleSize val="0"/>
            </c:dLbl>
            <c:txPr>
              <a:bodyPr/>
              <a:lstStyle/>
              <a:p>
                <a:pPr>
                  <a:defRPr sz="800"/>
                </a:pPr>
                <a:endParaRPr lang="es-CO"/>
              </a:p>
            </c:txPr>
            <c:showLegendKey val="0"/>
            <c:showVal val="1"/>
            <c:showCatName val="0"/>
            <c:showSerName val="0"/>
            <c:showPercent val="0"/>
            <c:showBubbleSize val="0"/>
            <c:showLeaderLines val="0"/>
          </c:dLbls>
          <c:cat>
            <c:strRef>
              <c:f>gas!$A$3:$A$8</c:f>
              <c:strCache>
                <c:ptCount val="6"/>
                <c:pt idx="0">
                  <c:v> Estrato 1 </c:v>
                </c:pt>
                <c:pt idx="1">
                  <c:v> Estrato 2 </c:v>
                </c:pt>
                <c:pt idx="2">
                  <c:v> Estrato 3 </c:v>
                </c:pt>
                <c:pt idx="3">
                  <c:v> Estrato 4 </c:v>
                </c:pt>
                <c:pt idx="4">
                  <c:v> Estrato 5 </c:v>
                </c:pt>
                <c:pt idx="5">
                  <c:v> Estrato 6 </c:v>
                </c:pt>
              </c:strCache>
            </c:strRef>
          </c:cat>
          <c:val>
            <c:numRef>
              <c:f>gas!$C$3:$C$8</c:f>
              <c:numCache>
                <c:formatCode>General</c:formatCode>
                <c:ptCount val="6"/>
                <c:pt idx="0">
                  <c:v>16</c:v>
                </c:pt>
                <c:pt idx="1">
                  <c:v>16</c:v>
                </c:pt>
                <c:pt idx="2">
                  <c:v>15</c:v>
                </c:pt>
                <c:pt idx="3">
                  <c:v>15</c:v>
                </c:pt>
                <c:pt idx="4">
                  <c:v>17</c:v>
                </c:pt>
                <c:pt idx="5">
                  <c:v>23</c:v>
                </c:pt>
              </c:numCache>
            </c:numRef>
          </c:val>
        </c:ser>
        <c:dLbls>
          <c:showLegendKey val="0"/>
          <c:showVal val="0"/>
          <c:showCatName val="0"/>
          <c:showSerName val="0"/>
          <c:showPercent val="0"/>
          <c:showBubbleSize val="0"/>
        </c:dLbls>
        <c:gapWidth val="150"/>
        <c:shape val="box"/>
        <c:axId val="549081856"/>
        <c:axId val="549083392"/>
        <c:axId val="0"/>
      </c:bar3DChart>
      <c:catAx>
        <c:axId val="549081856"/>
        <c:scaling>
          <c:orientation val="minMax"/>
        </c:scaling>
        <c:delete val="0"/>
        <c:axPos val="b"/>
        <c:majorTickMark val="out"/>
        <c:minorTickMark val="none"/>
        <c:tickLblPos val="nextTo"/>
        <c:crossAx val="549083392"/>
        <c:crosses val="autoZero"/>
        <c:auto val="1"/>
        <c:lblAlgn val="ctr"/>
        <c:lblOffset val="100"/>
        <c:noMultiLvlLbl val="0"/>
      </c:catAx>
      <c:valAx>
        <c:axId val="549083392"/>
        <c:scaling>
          <c:orientation val="minMax"/>
        </c:scaling>
        <c:delete val="0"/>
        <c:axPos val="l"/>
        <c:numFmt formatCode="#,##0" sourceLinked="1"/>
        <c:majorTickMark val="out"/>
        <c:minorTickMark val="none"/>
        <c:tickLblPos val="nextTo"/>
        <c:crossAx val="549081856"/>
        <c:crosses val="autoZero"/>
        <c:crossBetween val="between"/>
      </c:valAx>
    </c:plotArea>
    <c:legend>
      <c:legendPos val="r"/>
      <c:layout>
        <c:manualLayout>
          <c:xMode val="edge"/>
          <c:yMode val="edge"/>
          <c:x val="0.12117744569854465"/>
          <c:y val="0.92453416127428056"/>
          <c:w val="0.74672761106100594"/>
          <c:h val="5.6536375290078565E-2"/>
        </c:manualLayout>
      </c:layout>
      <c:overlay val="0"/>
      <c:txPr>
        <a:bodyPr/>
        <a:lstStyle/>
        <a:p>
          <a:pPr>
            <a:defRPr sz="700"/>
          </a:pPr>
          <a:endParaRPr lang="es-CO"/>
        </a:p>
      </c:txPr>
    </c:legend>
    <c:plotVisOnly val="1"/>
    <c:dispBlanksAs val="gap"/>
    <c:showDLblsOverMax val="0"/>
  </c:chart>
  <c:spPr>
    <a:ln>
      <a:solidFill>
        <a:sysClr val="window" lastClr="FFFFFF">
          <a:lumMod val="85000"/>
        </a:sysClr>
      </a:solidFill>
    </a:ln>
  </c:spPr>
  <c:txPr>
    <a:bodyPr/>
    <a:lstStyle/>
    <a:p>
      <a:pPr>
        <a:defRPr>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rAngAx val="1"/>
    </c:view3D>
    <c:floor>
      <c:thickness val="0"/>
    </c:floor>
    <c:sideWall>
      <c:thickness val="0"/>
    </c:sideWall>
    <c:backWall>
      <c:thickness val="0"/>
    </c:backWall>
    <c:plotArea>
      <c:layout>
        <c:manualLayout>
          <c:layoutTarget val="inner"/>
          <c:xMode val="edge"/>
          <c:yMode val="edge"/>
          <c:x val="8.5410567157366224E-2"/>
          <c:y val="2.4651053233730388E-2"/>
          <c:w val="0.9145894328426335"/>
          <c:h val="0.66161383673194762"/>
        </c:manualLayout>
      </c:layout>
      <c:bar3DChart>
        <c:barDir val="col"/>
        <c:grouping val="clustered"/>
        <c:varyColors val="0"/>
        <c:ser>
          <c:idx val="0"/>
          <c:order val="0"/>
          <c:tx>
            <c:strRef>
              <c:f>Hoja6!$B$2</c:f>
              <c:strCache>
                <c:ptCount val="1"/>
                <c:pt idx="0">
                  <c:v> RESIDENCIALES </c:v>
                </c:pt>
              </c:strCache>
            </c:strRef>
          </c:tx>
          <c:invertIfNegative val="0"/>
          <c:cat>
            <c:strRef>
              <c:f>Hoja6!$A$3:$A$10</c:f>
              <c:strCache>
                <c:ptCount val="8"/>
                <c:pt idx="0">
                  <c:v> Armenia </c:v>
                </c:pt>
                <c:pt idx="1">
                  <c:v> Calarcá </c:v>
                </c:pt>
                <c:pt idx="2">
                  <c:v> Circasia     </c:v>
                </c:pt>
                <c:pt idx="3">
                  <c:v> La Tebaida     </c:v>
                </c:pt>
                <c:pt idx="4">
                  <c:v> Montenegro </c:v>
                </c:pt>
                <c:pt idx="5">
                  <c:v> Quimbaya </c:v>
                </c:pt>
                <c:pt idx="6">
                  <c:v> Filandia </c:v>
                </c:pt>
                <c:pt idx="7">
                  <c:v> Salento </c:v>
                </c:pt>
              </c:strCache>
            </c:strRef>
          </c:cat>
          <c:val>
            <c:numRef>
              <c:f>Hoja6!$B$3:$B$10</c:f>
              <c:numCache>
                <c:formatCode>#,##0</c:formatCode>
                <c:ptCount val="8"/>
                <c:pt idx="0">
                  <c:v>69356</c:v>
                </c:pt>
                <c:pt idx="1">
                  <c:v>14942</c:v>
                </c:pt>
                <c:pt idx="2">
                  <c:v>5649</c:v>
                </c:pt>
                <c:pt idx="3">
                  <c:v>7169</c:v>
                </c:pt>
                <c:pt idx="4">
                  <c:v>7552</c:v>
                </c:pt>
                <c:pt idx="5">
                  <c:v>6459</c:v>
                </c:pt>
                <c:pt idx="6">
                  <c:v>2174</c:v>
                </c:pt>
                <c:pt idx="7">
                  <c:v>1039</c:v>
                </c:pt>
              </c:numCache>
            </c:numRef>
          </c:val>
        </c:ser>
        <c:ser>
          <c:idx val="1"/>
          <c:order val="1"/>
          <c:tx>
            <c:strRef>
              <c:f>Hoja6!$C$2</c:f>
              <c:strCache>
                <c:ptCount val="1"/>
                <c:pt idx="0">
                  <c:v> COMERCIALES </c:v>
                </c:pt>
              </c:strCache>
            </c:strRef>
          </c:tx>
          <c:invertIfNegative val="0"/>
          <c:cat>
            <c:strRef>
              <c:f>Hoja6!$A$3:$A$10</c:f>
              <c:strCache>
                <c:ptCount val="8"/>
                <c:pt idx="0">
                  <c:v> Armenia </c:v>
                </c:pt>
                <c:pt idx="1">
                  <c:v> Calarcá </c:v>
                </c:pt>
                <c:pt idx="2">
                  <c:v> Circasia     </c:v>
                </c:pt>
                <c:pt idx="3">
                  <c:v> La Tebaida     </c:v>
                </c:pt>
                <c:pt idx="4">
                  <c:v> Montenegro </c:v>
                </c:pt>
                <c:pt idx="5">
                  <c:v> Quimbaya </c:v>
                </c:pt>
                <c:pt idx="6">
                  <c:v> Filandia </c:v>
                </c:pt>
                <c:pt idx="7">
                  <c:v> Salento </c:v>
                </c:pt>
              </c:strCache>
            </c:strRef>
          </c:cat>
          <c:val>
            <c:numRef>
              <c:f>Hoja6!$C$3:$C$10</c:f>
              <c:numCache>
                <c:formatCode>General</c:formatCode>
                <c:ptCount val="8"/>
                <c:pt idx="0" formatCode="#,##0">
                  <c:v>1175</c:v>
                </c:pt>
                <c:pt idx="1">
                  <c:v>233</c:v>
                </c:pt>
                <c:pt idx="2">
                  <c:v>64</c:v>
                </c:pt>
                <c:pt idx="3">
                  <c:v>91</c:v>
                </c:pt>
                <c:pt idx="4">
                  <c:v>114</c:v>
                </c:pt>
                <c:pt idx="5">
                  <c:v>105</c:v>
                </c:pt>
                <c:pt idx="6">
                  <c:v>48</c:v>
                </c:pt>
                <c:pt idx="7">
                  <c:v>40</c:v>
                </c:pt>
              </c:numCache>
            </c:numRef>
          </c:val>
        </c:ser>
        <c:ser>
          <c:idx val="2"/>
          <c:order val="2"/>
          <c:tx>
            <c:strRef>
              <c:f>Hoja6!$D$2</c:f>
              <c:strCache>
                <c:ptCount val="1"/>
                <c:pt idx="0">
                  <c:v> INDUSTRIALES </c:v>
                </c:pt>
              </c:strCache>
            </c:strRef>
          </c:tx>
          <c:invertIfNegative val="0"/>
          <c:cat>
            <c:strRef>
              <c:f>Hoja6!$A$3:$A$10</c:f>
              <c:strCache>
                <c:ptCount val="8"/>
                <c:pt idx="0">
                  <c:v> Armenia </c:v>
                </c:pt>
                <c:pt idx="1">
                  <c:v> Calarcá </c:v>
                </c:pt>
                <c:pt idx="2">
                  <c:v> Circasia     </c:v>
                </c:pt>
                <c:pt idx="3">
                  <c:v> La Tebaida     </c:v>
                </c:pt>
                <c:pt idx="4">
                  <c:v> Montenegro </c:v>
                </c:pt>
                <c:pt idx="5">
                  <c:v> Quimbaya </c:v>
                </c:pt>
                <c:pt idx="6">
                  <c:v> Filandia </c:v>
                </c:pt>
                <c:pt idx="7">
                  <c:v> Salento </c:v>
                </c:pt>
              </c:strCache>
            </c:strRef>
          </c:cat>
          <c:val>
            <c:numRef>
              <c:f>Hoja6!$D$3:$D$10</c:f>
              <c:numCache>
                <c:formatCode>General</c:formatCode>
                <c:ptCount val="8"/>
                <c:pt idx="0">
                  <c:v>31</c:v>
                </c:pt>
                <c:pt idx="1">
                  <c:v>2</c:v>
                </c:pt>
                <c:pt idx="2">
                  <c:v>3</c:v>
                </c:pt>
                <c:pt idx="3">
                  <c:v>3</c:v>
                </c:pt>
                <c:pt idx="4">
                  <c:v>2</c:v>
                </c:pt>
                <c:pt idx="5">
                  <c:v>0</c:v>
                </c:pt>
                <c:pt idx="6">
                  <c:v>0</c:v>
                </c:pt>
                <c:pt idx="7">
                  <c:v>0</c:v>
                </c:pt>
              </c:numCache>
            </c:numRef>
          </c:val>
        </c:ser>
        <c:dLbls>
          <c:showLegendKey val="0"/>
          <c:showVal val="0"/>
          <c:showCatName val="0"/>
          <c:showSerName val="0"/>
          <c:showPercent val="0"/>
          <c:showBubbleSize val="0"/>
        </c:dLbls>
        <c:gapWidth val="150"/>
        <c:shape val="box"/>
        <c:axId val="549117952"/>
        <c:axId val="549119488"/>
        <c:axId val="0"/>
      </c:bar3DChart>
      <c:catAx>
        <c:axId val="549117952"/>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s-CO"/>
          </a:p>
        </c:txPr>
        <c:crossAx val="549119488"/>
        <c:crosses val="autoZero"/>
        <c:auto val="1"/>
        <c:lblAlgn val="ctr"/>
        <c:lblOffset val="100"/>
        <c:noMultiLvlLbl val="0"/>
      </c:catAx>
      <c:valAx>
        <c:axId val="549119488"/>
        <c:scaling>
          <c:orientation val="minMax"/>
        </c:scaling>
        <c:delete val="0"/>
        <c:axPos val="l"/>
        <c:numFmt formatCode="#,##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s-CO"/>
          </a:p>
        </c:txPr>
        <c:crossAx val="549117952"/>
        <c:crosses val="autoZero"/>
        <c:crossBetween val="between"/>
      </c:valAx>
    </c:plotArea>
    <c:legend>
      <c:legendPos val="r"/>
      <c:layout>
        <c:manualLayout>
          <c:xMode val="edge"/>
          <c:yMode val="edge"/>
          <c:x val="0.12042830286352614"/>
          <c:y val="0.91501594270025388"/>
          <c:w val="0.77425169604664468"/>
          <c:h val="5.2066430958604144E-2"/>
        </c:manualLayout>
      </c:layout>
      <c:overlay val="0"/>
      <c:txPr>
        <a:bodyPr/>
        <a:lstStyle/>
        <a:p>
          <a:pPr>
            <a:defRPr sz="800">
              <a:latin typeface="Times New Roman" panose="02020603050405020304" pitchFamily="18" charset="0"/>
              <a:cs typeface="Times New Roman" panose="02020603050405020304" pitchFamily="18" charset="0"/>
            </a:defRPr>
          </a:pPr>
          <a:endParaRPr lang="es-CO"/>
        </a:p>
      </c:txPr>
    </c:legend>
    <c:plotVisOnly val="1"/>
    <c:dispBlanksAs val="gap"/>
    <c:showDLblsOverMax val="0"/>
  </c:chart>
  <c:spPr>
    <a:ln>
      <a:solidFill>
        <a:schemeClr val="bg1">
          <a:lumMod val="75000"/>
        </a:schemeClr>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1872015672943332E-2"/>
          <c:y val="3.2882035578886228E-2"/>
          <c:w val="0.90292445939769195"/>
          <c:h val="0.87800821051215217"/>
        </c:manualLayout>
      </c:layout>
      <c:bar3DChart>
        <c:barDir val="col"/>
        <c:grouping val="standard"/>
        <c:varyColors val="0"/>
        <c:ser>
          <c:idx val="0"/>
          <c:order val="0"/>
          <c:tx>
            <c:strRef>
              <c:f>gas!$B$14</c:f>
              <c:strCache>
                <c:ptCount val="1"/>
                <c:pt idx="0">
                  <c:v>NUMERO DE USUARIOS 2012</c:v>
                </c:pt>
              </c:strCache>
            </c:strRef>
          </c:tx>
          <c:invertIfNegative val="0"/>
          <c:dLbls>
            <c:dLbl>
              <c:idx val="6"/>
              <c:layout>
                <c:manualLayout>
                  <c:x val="-4.8465642054821498E-2"/>
                  <c:y val="1.3675255320807683E-2"/>
                </c:manualLayout>
              </c:layout>
              <c:showLegendKey val="0"/>
              <c:showVal val="1"/>
              <c:showCatName val="0"/>
              <c:showSerName val="0"/>
              <c:showPercent val="0"/>
              <c:showBubbleSize val="0"/>
            </c:dLbl>
            <c:showLegendKey val="0"/>
            <c:showVal val="0"/>
            <c:showCatName val="0"/>
            <c:showSerName val="0"/>
            <c:showPercent val="0"/>
            <c:showBubbleSize val="0"/>
          </c:dLbls>
          <c:cat>
            <c:strRef>
              <c:f>gas!$A$15:$A$21</c:f>
              <c:strCache>
                <c:ptCount val="7"/>
                <c:pt idx="0">
                  <c:v> Estrato 1 </c:v>
                </c:pt>
                <c:pt idx="1">
                  <c:v> Estrato 2 </c:v>
                </c:pt>
                <c:pt idx="2">
                  <c:v> Estrato 3 </c:v>
                </c:pt>
                <c:pt idx="3">
                  <c:v> Estrato 4 </c:v>
                </c:pt>
                <c:pt idx="4">
                  <c:v> Estrato 5 </c:v>
                </c:pt>
                <c:pt idx="5">
                  <c:v> Estrato 6 </c:v>
                </c:pt>
                <c:pt idx="6">
                  <c:v> TOTAL </c:v>
                </c:pt>
              </c:strCache>
            </c:strRef>
          </c:cat>
          <c:val>
            <c:numRef>
              <c:f>gas!$B$15:$B$21</c:f>
              <c:numCache>
                <c:formatCode>#,##0</c:formatCode>
                <c:ptCount val="7"/>
                <c:pt idx="0">
                  <c:v>25120</c:v>
                </c:pt>
                <c:pt idx="1">
                  <c:v>47506</c:v>
                </c:pt>
                <c:pt idx="2">
                  <c:v>23804</c:v>
                </c:pt>
                <c:pt idx="3">
                  <c:v>6412</c:v>
                </c:pt>
                <c:pt idx="4">
                  <c:v>4423</c:v>
                </c:pt>
                <c:pt idx="5">
                  <c:v>948</c:v>
                </c:pt>
                <c:pt idx="6">
                  <c:v>108213</c:v>
                </c:pt>
              </c:numCache>
            </c:numRef>
          </c:val>
        </c:ser>
        <c:ser>
          <c:idx val="1"/>
          <c:order val="1"/>
          <c:tx>
            <c:strRef>
              <c:f>gas!$C$14</c:f>
              <c:strCache>
                <c:ptCount val="1"/>
                <c:pt idx="0">
                  <c:v> NUMERO DE USUARIOS 2013 </c:v>
                </c:pt>
              </c:strCache>
            </c:strRef>
          </c:tx>
          <c:invertIfNegative val="0"/>
          <c:dLbls>
            <c:dLbl>
              <c:idx val="6"/>
              <c:layout>
                <c:manualLayout>
                  <c:x val="4.3131653406783189E-2"/>
                  <c:y val="7.5443075803643816E-3"/>
                </c:manualLayout>
              </c:layout>
              <c:showLegendKey val="0"/>
              <c:showVal val="1"/>
              <c:showCatName val="0"/>
              <c:showSerName val="0"/>
              <c:showPercent val="0"/>
              <c:showBubbleSize val="0"/>
            </c:dLbl>
            <c:showLegendKey val="0"/>
            <c:showVal val="0"/>
            <c:showCatName val="0"/>
            <c:showSerName val="0"/>
            <c:showPercent val="0"/>
            <c:showBubbleSize val="0"/>
          </c:dLbls>
          <c:cat>
            <c:strRef>
              <c:f>gas!$A$15:$A$21</c:f>
              <c:strCache>
                <c:ptCount val="7"/>
                <c:pt idx="0">
                  <c:v> Estrato 1 </c:v>
                </c:pt>
                <c:pt idx="1">
                  <c:v> Estrato 2 </c:v>
                </c:pt>
                <c:pt idx="2">
                  <c:v> Estrato 3 </c:v>
                </c:pt>
                <c:pt idx="3">
                  <c:v> Estrato 4 </c:v>
                </c:pt>
                <c:pt idx="4">
                  <c:v> Estrato 5 </c:v>
                </c:pt>
                <c:pt idx="5">
                  <c:v> Estrato 6 </c:v>
                </c:pt>
                <c:pt idx="6">
                  <c:v> TOTAL </c:v>
                </c:pt>
              </c:strCache>
            </c:strRef>
          </c:cat>
          <c:val>
            <c:numRef>
              <c:f>gas!$C$15:$C$21</c:f>
              <c:numCache>
                <c:formatCode>#,##0</c:formatCode>
                <c:ptCount val="7"/>
                <c:pt idx="0">
                  <c:v>26535</c:v>
                </c:pt>
                <c:pt idx="1">
                  <c:v>49154</c:v>
                </c:pt>
                <c:pt idx="2">
                  <c:v>25441</c:v>
                </c:pt>
                <c:pt idx="3">
                  <c:v>7174</c:v>
                </c:pt>
                <c:pt idx="4">
                  <c:v>5012</c:v>
                </c:pt>
                <c:pt idx="5">
                  <c:v>1024</c:v>
                </c:pt>
                <c:pt idx="6">
                  <c:v>114340</c:v>
                </c:pt>
              </c:numCache>
            </c:numRef>
          </c:val>
        </c:ser>
        <c:dLbls>
          <c:showLegendKey val="0"/>
          <c:showVal val="0"/>
          <c:showCatName val="0"/>
          <c:showSerName val="0"/>
          <c:showPercent val="0"/>
          <c:showBubbleSize val="0"/>
        </c:dLbls>
        <c:gapWidth val="150"/>
        <c:shape val="box"/>
        <c:axId val="549928320"/>
        <c:axId val="549938304"/>
        <c:axId val="232184448"/>
      </c:bar3DChart>
      <c:catAx>
        <c:axId val="549928320"/>
        <c:scaling>
          <c:orientation val="minMax"/>
        </c:scaling>
        <c:delete val="0"/>
        <c:axPos val="b"/>
        <c:majorTickMark val="out"/>
        <c:minorTickMark val="none"/>
        <c:tickLblPos val="nextTo"/>
        <c:crossAx val="549938304"/>
        <c:crosses val="autoZero"/>
        <c:auto val="1"/>
        <c:lblAlgn val="ctr"/>
        <c:lblOffset val="100"/>
        <c:noMultiLvlLbl val="0"/>
      </c:catAx>
      <c:valAx>
        <c:axId val="549938304"/>
        <c:scaling>
          <c:orientation val="minMax"/>
        </c:scaling>
        <c:delete val="0"/>
        <c:axPos val="l"/>
        <c:numFmt formatCode="#,##0" sourceLinked="1"/>
        <c:majorTickMark val="out"/>
        <c:minorTickMark val="none"/>
        <c:tickLblPos val="nextTo"/>
        <c:crossAx val="549928320"/>
        <c:crosses val="autoZero"/>
        <c:crossBetween val="between"/>
      </c:valAx>
      <c:serAx>
        <c:axId val="232184448"/>
        <c:scaling>
          <c:orientation val="minMax"/>
        </c:scaling>
        <c:delete val="1"/>
        <c:axPos val="b"/>
        <c:majorTickMark val="out"/>
        <c:minorTickMark val="none"/>
        <c:tickLblPos val="none"/>
        <c:crossAx val="549938304"/>
        <c:crosses val="autoZero"/>
      </c:serAx>
    </c:plotArea>
    <c:legend>
      <c:legendPos val="r"/>
      <c:layout>
        <c:manualLayout>
          <c:xMode val="edge"/>
          <c:yMode val="edge"/>
          <c:x val="0.19103747579128921"/>
          <c:y val="0.9149268470154106"/>
          <c:w val="0.66784244429051898"/>
          <c:h val="8.3195369809543882E-2"/>
        </c:manualLayout>
      </c:layout>
      <c:overlay val="0"/>
    </c:legend>
    <c:plotVisOnly val="1"/>
    <c:dispBlanksAs val="gap"/>
    <c:showDLblsOverMax val="0"/>
  </c:chart>
  <c:spPr>
    <a:ln>
      <a:solidFill>
        <a:sysClr val="window" lastClr="FFFFFF">
          <a:lumMod val="85000"/>
        </a:sysClr>
      </a:solidFill>
    </a:ln>
  </c:spPr>
  <c:txPr>
    <a:bodyPr/>
    <a:lstStyle/>
    <a:p>
      <a:pPr>
        <a:defRPr sz="7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861930166598658E-2"/>
          <c:y val="9.0141412931748544E-2"/>
          <c:w val="0.73831110594570526"/>
          <c:h val="0.82102305557129163"/>
        </c:manualLayout>
      </c:layout>
      <c:pie3DChart>
        <c:varyColors val="1"/>
        <c:ser>
          <c:idx val="0"/>
          <c:order val="0"/>
          <c:tx>
            <c:strRef>
              <c:f>'coberturas gas'!$F$3</c:f>
              <c:strCache>
                <c:ptCount val="1"/>
                <c:pt idx="0">
                  <c:v> COBERTURA EFECTIVA (%) </c:v>
                </c:pt>
              </c:strCache>
            </c:strRef>
          </c:tx>
          <c:explosion val="25"/>
          <c:dLbls>
            <c:txPr>
              <a:bodyPr/>
              <a:lstStyle/>
              <a:p>
                <a:pPr>
                  <a:defRPr b="1"/>
                </a:pPr>
                <a:endParaRPr lang="es-CO"/>
              </a:p>
            </c:txPr>
            <c:showLegendKey val="0"/>
            <c:showVal val="1"/>
            <c:showCatName val="0"/>
            <c:showSerName val="0"/>
            <c:showPercent val="0"/>
            <c:showBubbleSize val="0"/>
            <c:showLeaderLines val="1"/>
          </c:dLbls>
          <c:cat>
            <c:strRef>
              <c:f>'coberturas gas'!$B$4:$B$11</c:f>
              <c:strCache>
                <c:ptCount val="8"/>
                <c:pt idx="0">
                  <c:v> Armenia </c:v>
                </c:pt>
                <c:pt idx="1">
                  <c:v> Calarcá </c:v>
                </c:pt>
                <c:pt idx="2">
                  <c:v> Circasia </c:v>
                </c:pt>
                <c:pt idx="3">
                  <c:v> La Tebaida         </c:v>
                </c:pt>
                <c:pt idx="4">
                  <c:v> Montenegro </c:v>
                </c:pt>
                <c:pt idx="5">
                  <c:v> Quimbaya </c:v>
                </c:pt>
                <c:pt idx="6">
                  <c:v> Filandia </c:v>
                </c:pt>
                <c:pt idx="7">
                  <c:v> Salento </c:v>
                </c:pt>
              </c:strCache>
            </c:strRef>
          </c:cat>
          <c:val>
            <c:numRef>
              <c:f>'coberturas gas'!$F$4:$F$11</c:f>
              <c:numCache>
                <c:formatCode>0%</c:formatCode>
                <c:ptCount val="8"/>
                <c:pt idx="0">
                  <c:v>0.81</c:v>
                </c:pt>
                <c:pt idx="1">
                  <c:v>0.88</c:v>
                </c:pt>
                <c:pt idx="2">
                  <c:v>0.86000000000000065</c:v>
                </c:pt>
                <c:pt idx="3">
                  <c:v>0.86000000000000065</c:v>
                </c:pt>
                <c:pt idx="4">
                  <c:v>0.86000000000000065</c:v>
                </c:pt>
                <c:pt idx="5">
                  <c:v>0.87000000000000255</c:v>
                </c:pt>
                <c:pt idx="6">
                  <c:v>0.88</c:v>
                </c:pt>
                <c:pt idx="7">
                  <c:v>0.8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547248014448778"/>
          <c:y val="2.9757189043204547E-2"/>
          <c:w val="0.1940597227978082"/>
          <c:h val="0.93976711456345041"/>
        </c:manualLayout>
      </c:layout>
      <c:overlay val="0"/>
      <c:txPr>
        <a:bodyPr/>
        <a:lstStyle/>
        <a:p>
          <a:pPr>
            <a:defRPr sz="800"/>
          </a:pPr>
          <a:endParaRPr lang="es-CO"/>
        </a:p>
      </c:txPr>
    </c:legend>
    <c:plotVisOnly val="1"/>
    <c:dispBlanksAs val="gap"/>
    <c:showDLblsOverMax val="0"/>
  </c:chart>
  <c:spPr>
    <a:ln>
      <a:solidFill>
        <a:schemeClr val="bg1">
          <a:lumMod val="7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568495371644978"/>
          <c:y val="0.10057885829343834"/>
          <c:w val="0.74301586427570765"/>
          <c:h val="0.67381071483711663"/>
        </c:manualLayout>
      </c:layout>
      <c:barChart>
        <c:barDir val="bar"/>
        <c:grouping val="clustered"/>
        <c:varyColors val="0"/>
        <c:ser>
          <c:idx val="0"/>
          <c:order val="0"/>
          <c:tx>
            <c:strRef>
              <c:f>'Periodos Censales'!$I$3</c:f>
              <c:strCache>
                <c:ptCount val="1"/>
                <c:pt idx="0">
                  <c:v>Hombres</c:v>
                </c:pt>
              </c:strCache>
            </c:strRef>
          </c:tx>
          <c:invertIfNegative val="0"/>
          <c:cat>
            <c:strRef>
              <c:f>'Periodos Censales'!$H$4:$H$20</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'Periodos Censales'!$I$4:$I$20</c:f>
              <c:numCache>
                <c:formatCode>0%</c:formatCode>
                <c:ptCount val="17"/>
                <c:pt idx="0">
                  <c:v>-0.11326747517989337</c:v>
                </c:pt>
                <c:pt idx="1">
                  <c:v>-0.10638738600999154</c:v>
                </c:pt>
                <c:pt idx="2">
                  <c:v>-0.10060712471456261</c:v>
                </c:pt>
                <c:pt idx="3">
                  <c:v>-0.10555881613146573</c:v>
                </c:pt>
                <c:pt idx="4">
                  <c:v>-0.10328024896552152</c:v>
                </c:pt>
                <c:pt idx="5">
                  <c:v>-9.0718537771443022E-2</c:v>
                </c:pt>
                <c:pt idx="6">
                  <c:v>-7.6297476314244994E-2</c:v>
                </c:pt>
                <c:pt idx="7">
                  <c:v>-6.0968933561518904E-2</c:v>
                </c:pt>
                <c:pt idx="8">
                  <c:v>-4.9349227407907911E-2</c:v>
                </c:pt>
                <c:pt idx="9">
                  <c:v>-4.4871004493018812E-2</c:v>
                </c:pt>
                <c:pt idx="10">
                  <c:v>-3.9120334978965172E-2</c:v>
                </c:pt>
                <c:pt idx="11">
                  <c:v>-3.5194491983093226E-2</c:v>
                </c:pt>
                <c:pt idx="12">
                  <c:v>-3.3724766841422574E-2</c:v>
                </c:pt>
                <c:pt idx="13">
                  <c:v>-1.8317312671693974E-2</c:v>
                </c:pt>
                <c:pt idx="14">
                  <c:v>-1.1856440404618303E-2</c:v>
                </c:pt>
                <c:pt idx="15">
                  <c:v>-6.0317914371249247E-3</c:v>
                </c:pt>
                <c:pt idx="16">
                  <c:v>-4.4486311335132471E-3</c:v>
                </c:pt>
              </c:numCache>
            </c:numRef>
          </c:val>
        </c:ser>
        <c:ser>
          <c:idx val="1"/>
          <c:order val="1"/>
          <c:tx>
            <c:strRef>
              <c:f>'Periodos Censales'!$J$3</c:f>
              <c:strCache>
                <c:ptCount val="1"/>
                <c:pt idx="0">
                  <c:v>Mujeres</c:v>
                </c:pt>
              </c:strCache>
            </c:strRef>
          </c:tx>
          <c:invertIfNegative val="0"/>
          <c:cat>
            <c:strRef>
              <c:f>'Periodos Censales'!$H$4:$H$20</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'Periodos Censales'!$J$4:$J$20</c:f>
              <c:numCache>
                <c:formatCode>0%</c:formatCode>
                <c:ptCount val="17"/>
                <c:pt idx="0">
                  <c:v>0.11326695436244846</c:v>
                </c:pt>
                <c:pt idx="1">
                  <c:v>0.10529183442223844</c:v>
                </c:pt>
                <c:pt idx="2">
                  <c:v>9.8565539188505746E-2</c:v>
                </c:pt>
                <c:pt idx="3">
                  <c:v>0.10722052122761029</c:v>
                </c:pt>
                <c:pt idx="4">
                  <c:v>0.10426963041539122</c:v>
                </c:pt>
                <c:pt idx="5">
                  <c:v>9.1448684876684519E-2</c:v>
                </c:pt>
                <c:pt idx="6">
                  <c:v>7.7171580799922854E-2</c:v>
                </c:pt>
                <c:pt idx="7">
                  <c:v>6.1515465657320571E-2</c:v>
                </c:pt>
                <c:pt idx="8">
                  <c:v>5.0020492297307081E-2</c:v>
                </c:pt>
                <c:pt idx="9">
                  <c:v>4.4330866221461512E-2</c:v>
                </c:pt>
                <c:pt idx="10">
                  <c:v>3.9547722944140405E-2</c:v>
                </c:pt>
                <c:pt idx="11">
                  <c:v>3.5333542274404196E-2</c:v>
                </c:pt>
                <c:pt idx="12">
                  <c:v>3.259962872779E-2</c:v>
                </c:pt>
                <c:pt idx="13">
                  <c:v>1.7551049928879674E-2</c:v>
                </c:pt>
                <c:pt idx="14">
                  <c:v>1.1065840545818469E-2</c:v>
                </c:pt>
                <c:pt idx="15">
                  <c:v>5.8535644543021934E-3</c:v>
                </c:pt>
                <c:pt idx="16">
                  <c:v>4.9470816557776525E-3</c:v>
                </c:pt>
              </c:numCache>
            </c:numRef>
          </c:val>
        </c:ser>
        <c:dLbls>
          <c:showLegendKey val="0"/>
          <c:showVal val="0"/>
          <c:showCatName val="0"/>
          <c:showSerName val="0"/>
          <c:showPercent val="0"/>
          <c:showBubbleSize val="0"/>
        </c:dLbls>
        <c:gapWidth val="0"/>
        <c:overlap val="100"/>
        <c:axId val="157548928"/>
        <c:axId val="157550464"/>
      </c:barChart>
      <c:catAx>
        <c:axId val="157548928"/>
        <c:scaling>
          <c:orientation val="minMax"/>
        </c:scaling>
        <c:delete val="0"/>
        <c:axPos val="l"/>
        <c:majorTickMark val="out"/>
        <c:minorTickMark val="none"/>
        <c:tickLblPos val="low"/>
        <c:txPr>
          <a:bodyPr/>
          <a:lstStyle/>
          <a:p>
            <a:pPr>
              <a:defRPr lang="es-MX" sz="600">
                <a:latin typeface="Times New Roman" panose="02020603050405020304" pitchFamily="18" charset="0"/>
                <a:cs typeface="Times New Roman" panose="02020603050405020304" pitchFamily="18" charset="0"/>
              </a:defRPr>
            </a:pPr>
            <a:endParaRPr lang="es-CO"/>
          </a:p>
        </c:txPr>
        <c:crossAx val="157550464"/>
        <c:crosses val="autoZero"/>
        <c:auto val="1"/>
        <c:lblAlgn val="ctr"/>
        <c:lblOffset val="10"/>
        <c:tickLblSkip val="1"/>
        <c:noMultiLvlLbl val="0"/>
      </c:catAx>
      <c:valAx>
        <c:axId val="157550464"/>
        <c:scaling>
          <c:orientation val="minMax"/>
          <c:min val="-0.15000000000000024"/>
        </c:scaling>
        <c:delete val="0"/>
        <c:axPos val="b"/>
        <c:numFmt formatCode="0.0%;[Red]#,##0.0%" sourceLinked="0"/>
        <c:majorTickMark val="out"/>
        <c:minorTickMark val="none"/>
        <c:tickLblPos val="nextTo"/>
        <c:txPr>
          <a:bodyPr/>
          <a:lstStyle/>
          <a:p>
            <a:pPr>
              <a:defRPr lang="es-MX" sz="600">
                <a:latin typeface="Times New Roman" panose="02020603050405020304" pitchFamily="18" charset="0"/>
                <a:cs typeface="Times New Roman" panose="02020603050405020304" pitchFamily="18" charset="0"/>
              </a:defRPr>
            </a:pPr>
            <a:endParaRPr lang="es-CO"/>
          </a:p>
        </c:txPr>
        <c:crossAx val="157548928"/>
        <c:crossesAt val="1"/>
        <c:crossBetween val="midCat"/>
      </c:valAx>
    </c:plotArea>
    <c:legend>
      <c:legendPos val="r"/>
      <c:legendEntry>
        <c:idx val="0"/>
        <c:txPr>
          <a:bodyPr/>
          <a:lstStyle/>
          <a:p>
            <a:pPr>
              <a:defRPr sz="900">
                <a:latin typeface="Times New Roman" panose="02020603050405020304" pitchFamily="18" charset="0"/>
                <a:cs typeface="Times New Roman" panose="02020603050405020304" pitchFamily="18" charset="0"/>
              </a:defRPr>
            </a:pPr>
            <a:endParaRPr lang="es-CO"/>
          </a:p>
        </c:txPr>
      </c:legendEntry>
      <c:legendEntry>
        <c:idx val="1"/>
        <c:txPr>
          <a:bodyPr/>
          <a:lstStyle/>
          <a:p>
            <a:pPr>
              <a:defRPr sz="900">
                <a:latin typeface="Times New Roman" panose="02020603050405020304" pitchFamily="18" charset="0"/>
                <a:cs typeface="Times New Roman" panose="02020603050405020304" pitchFamily="18" charset="0"/>
              </a:defRPr>
            </a:pPr>
            <a:endParaRPr lang="es-CO"/>
          </a:p>
        </c:txPr>
      </c:legendEntry>
      <c:layout>
        <c:manualLayout>
          <c:xMode val="edge"/>
          <c:yMode val="edge"/>
          <c:x val="0.1802648731408574"/>
          <c:y val="0.88112191881164459"/>
          <c:w val="0.60862401574803582"/>
          <c:h val="8.1046485401988125E-2"/>
        </c:manualLayout>
      </c:layout>
      <c:overlay val="0"/>
      <c:txPr>
        <a:bodyPr/>
        <a:lstStyle/>
        <a:p>
          <a:pPr>
            <a:defRPr lang="es-MX" sz="700">
              <a:latin typeface="Times New Roman" panose="02020603050405020304" pitchFamily="18" charset="0"/>
              <a:cs typeface="Times New Roman" panose="02020603050405020304" pitchFamily="18" charset="0"/>
            </a:defRPr>
          </a:pPr>
          <a:endParaRPr lang="es-CO"/>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887933126006508"/>
          <c:y val="1.7543859649122973E-2"/>
        </c:manualLayout>
      </c:layout>
      <c:overlay val="0"/>
      <c:txPr>
        <a:bodyPr/>
        <a:lstStyle/>
        <a:p>
          <a:pPr>
            <a:defRPr sz="800"/>
          </a:pPr>
          <a:endParaRPr lang="es-CO"/>
        </a:p>
      </c:txPr>
    </c:title>
    <c:autoTitleDeleted val="0"/>
    <c:plotArea>
      <c:layout>
        <c:manualLayout>
          <c:layoutTarget val="inner"/>
          <c:xMode val="edge"/>
          <c:yMode val="edge"/>
          <c:x val="6.2405588312547722E-2"/>
          <c:y val="0.18721145750912976"/>
          <c:w val="0.6296169953927655"/>
          <c:h val="0.76234435953011082"/>
        </c:manualLayout>
      </c:layout>
      <c:pieChart>
        <c:varyColors val="1"/>
        <c:ser>
          <c:idx val="0"/>
          <c:order val="0"/>
          <c:tx>
            <c:strRef>
              <c:f>Hoja8!$L$2</c:f>
              <c:strCache>
                <c:ptCount val="1"/>
                <c:pt idx="0">
                  <c:v>ACUEDUCTO COBERTURA %</c:v>
                </c:pt>
              </c:strCache>
            </c:strRef>
          </c:tx>
          <c:explosion val="25"/>
          <c:dPt>
            <c:idx val="0"/>
            <c:bubble3D val="0"/>
            <c:spPr>
              <a:solidFill>
                <a:schemeClr val="bg2">
                  <a:lumMod val="50000"/>
                </a:schemeClr>
              </a:solidFill>
            </c:spPr>
          </c:dPt>
          <c:dPt>
            <c:idx val="2"/>
            <c:bubble3D val="0"/>
            <c:spPr>
              <a:solidFill>
                <a:schemeClr val="accent6">
                  <a:lumMod val="60000"/>
                  <a:lumOff val="40000"/>
                </a:schemeClr>
              </a:solidFill>
            </c:spPr>
          </c:dPt>
          <c:dPt>
            <c:idx val="3"/>
            <c:bubble3D val="0"/>
            <c:spPr>
              <a:solidFill>
                <a:srgbClr val="FFFF00"/>
              </a:solidFill>
            </c:spPr>
          </c:dPt>
          <c:dPt>
            <c:idx val="4"/>
            <c:bubble3D val="0"/>
            <c:spPr>
              <a:solidFill>
                <a:srgbClr val="D2C1F1"/>
              </a:solidFill>
            </c:spPr>
          </c:dPt>
          <c:dPt>
            <c:idx val="6"/>
            <c:bubble3D val="0"/>
            <c:spPr>
              <a:solidFill>
                <a:srgbClr val="0070C0"/>
              </a:solidFill>
            </c:spPr>
          </c:dPt>
          <c:dPt>
            <c:idx val="7"/>
            <c:bubble3D val="0"/>
            <c:spPr>
              <a:solidFill>
                <a:srgbClr val="FF99CC"/>
              </a:solidFill>
            </c:spPr>
          </c:dPt>
          <c:dPt>
            <c:idx val="10"/>
            <c:bubble3D val="0"/>
            <c:spPr>
              <a:solidFill>
                <a:schemeClr val="accent5">
                  <a:lumMod val="60000"/>
                  <a:lumOff val="40000"/>
                </a:schemeClr>
              </a:solidFill>
            </c:spPr>
          </c:dPt>
          <c:dLbls>
            <c:dLbl>
              <c:idx val="6"/>
              <c:layout>
                <c:manualLayout>
                  <c:x val="-1.6357028956993227E-2"/>
                  <c:y val="-5.1075272465542286E-4"/>
                </c:manualLayout>
              </c:layout>
              <c:showLegendKey val="0"/>
              <c:showVal val="1"/>
              <c:showCatName val="0"/>
              <c:showSerName val="0"/>
              <c:showPercent val="0"/>
              <c:showBubbleSize val="0"/>
            </c:dLbl>
            <c:txPr>
              <a:bodyPr/>
              <a:lstStyle/>
              <a:p>
                <a:pPr>
                  <a:defRPr sz="700" b="1"/>
                </a:pPr>
                <a:endParaRPr lang="es-CO"/>
              </a:p>
            </c:txPr>
            <c:showLegendKey val="0"/>
            <c:showVal val="1"/>
            <c:showCatName val="0"/>
            <c:showSerName val="0"/>
            <c:showPercent val="0"/>
            <c:showBubbleSize val="0"/>
            <c:showLeaderLines val="1"/>
          </c:dLbls>
          <c:cat>
            <c:strRef>
              <c:f>Hoja8!$K$3:$K$14</c:f>
              <c:strCache>
                <c:ptCount val="12"/>
                <c:pt idx="0">
                  <c:v>Armenia</c:v>
                </c:pt>
                <c:pt idx="1">
                  <c:v>Buenavista </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Hoja8!$L$3:$L$14</c:f>
              <c:numCache>
                <c:formatCode>0%</c:formatCode>
                <c:ptCount val="12"/>
                <c:pt idx="0">
                  <c:v>1</c:v>
                </c:pt>
                <c:pt idx="1">
                  <c:v>1</c:v>
                </c:pt>
                <c:pt idx="2" formatCode="0.00%">
                  <c:v>0.97740000000000005</c:v>
                </c:pt>
                <c:pt idx="3">
                  <c:v>1</c:v>
                </c:pt>
                <c:pt idx="4">
                  <c:v>1</c:v>
                </c:pt>
                <c:pt idx="5">
                  <c:v>1</c:v>
                </c:pt>
                <c:pt idx="6" formatCode="0.00%">
                  <c:v>0.90900000000000003</c:v>
                </c:pt>
                <c:pt idx="7">
                  <c:v>1</c:v>
                </c:pt>
                <c:pt idx="8">
                  <c:v>1</c:v>
                </c:pt>
                <c:pt idx="9" formatCode="0.00%">
                  <c:v>0.66580000000000383</c:v>
                </c:pt>
                <c:pt idx="10" formatCode="0.00%">
                  <c:v>0.96750000000000003</c:v>
                </c:pt>
                <c:pt idx="11">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029919682879596"/>
          <c:y val="8.0347519714438279E-2"/>
          <c:w val="0.24882790627397885"/>
          <c:h val="0.91684679956814363"/>
        </c:manualLayout>
      </c:layout>
      <c:overlay val="0"/>
      <c:txPr>
        <a:bodyPr/>
        <a:lstStyle/>
        <a:p>
          <a:pPr>
            <a:defRPr sz="600"/>
          </a:pPr>
          <a:endParaRPr lang="es-CO"/>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567690825959537"/>
          <c:y val="4.9674795191098908E-3"/>
        </c:manualLayout>
      </c:layout>
      <c:overlay val="0"/>
      <c:txPr>
        <a:bodyPr/>
        <a:lstStyle/>
        <a:p>
          <a:pPr>
            <a:defRPr sz="800"/>
          </a:pPr>
          <a:endParaRPr lang="es-CO"/>
        </a:p>
      </c:txPr>
    </c:title>
    <c:autoTitleDeleted val="0"/>
    <c:plotArea>
      <c:layout>
        <c:manualLayout>
          <c:layoutTarget val="inner"/>
          <c:xMode val="edge"/>
          <c:yMode val="edge"/>
          <c:x val="0.11276775119628059"/>
          <c:y val="0.1901938000273844"/>
          <c:w val="0.6135948392412216"/>
          <c:h val="0.75514891184078892"/>
        </c:manualLayout>
      </c:layout>
      <c:pieChart>
        <c:varyColors val="1"/>
        <c:ser>
          <c:idx val="0"/>
          <c:order val="0"/>
          <c:tx>
            <c:strRef>
              <c:f>Hoja8!$M$2</c:f>
              <c:strCache>
                <c:ptCount val="1"/>
                <c:pt idx="0">
                  <c:v>ALCANTARILLADO COBERTURA %</c:v>
                </c:pt>
              </c:strCache>
            </c:strRef>
          </c:tx>
          <c:explosion val="25"/>
          <c:dPt>
            <c:idx val="0"/>
            <c:bubble3D val="0"/>
            <c:spPr>
              <a:solidFill>
                <a:schemeClr val="bg2">
                  <a:lumMod val="50000"/>
                </a:schemeClr>
              </a:solidFill>
            </c:spPr>
          </c:dPt>
          <c:dPt>
            <c:idx val="2"/>
            <c:bubble3D val="0"/>
            <c:spPr>
              <a:solidFill>
                <a:schemeClr val="accent6">
                  <a:lumMod val="60000"/>
                  <a:lumOff val="40000"/>
                </a:schemeClr>
              </a:solidFill>
            </c:spPr>
          </c:dPt>
          <c:dPt>
            <c:idx val="3"/>
            <c:bubble3D val="0"/>
            <c:spPr>
              <a:solidFill>
                <a:srgbClr val="FFFF00"/>
              </a:solidFill>
            </c:spPr>
          </c:dPt>
          <c:dPt>
            <c:idx val="4"/>
            <c:bubble3D val="0"/>
            <c:spPr>
              <a:solidFill>
                <a:srgbClr val="D2C1F1"/>
              </a:solidFill>
            </c:spPr>
          </c:dPt>
          <c:dPt>
            <c:idx val="6"/>
            <c:bubble3D val="0"/>
            <c:spPr>
              <a:solidFill>
                <a:srgbClr val="0070C0"/>
              </a:solidFill>
            </c:spPr>
          </c:dPt>
          <c:dPt>
            <c:idx val="7"/>
            <c:bubble3D val="0"/>
            <c:spPr>
              <a:solidFill>
                <a:srgbClr val="FF99CC"/>
              </a:solidFill>
            </c:spPr>
          </c:dPt>
          <c:dPt>
            <c:idx val="10"/>
            <c:bubble3D val="0"/>
            <c:spPr>
              <a:solidFill>
                <a:schemeClr val="accent5">
                  <a:lumMod val="60000"/>
                  <a:lumOff val="40000"/>
                </a:schemeClr>
              </a:solidFill>
            </c:spPr>
          </c:dPt>
          <c:dLbls>
            <c:dLbl>
              <c:idx val="0"/>
              <c:layout>
                <c:manualLayout>
                  <c:x val="-8.215405121561159E-2"/>
                  <c:y val="-2.2891396033572809E-2"/>
                </c:manualLayout>
              </c:layout>
              <c:showLegendKey val="0"/>
              <c:showVal val="1"/>
              <c:showCatName val="0"/>
              <c:showSerName val="0"/>
              <c:showPercent val="0"/>
              <c:showBubbleSize val="0"/>
            </c:dLbl>
            <c:dLbl>
              <c:idx val="1"/>
              <c:layout>
                <c:manualLayout>
                  <c:x val="-4.9785964422998819E-2"/>
                  <c:y val="-4.9744751634737017E-2"/>
                </c:manualLayout>
              </c:layout>
              <c:showLegendKey val="0"/>
              <c:showVal val="1"/>
              <c:showCatName val="0"/>
              <c:showSerName val="0"/>
              <c:showPercent val="0"/>
              <c:showBubbleSize val="0"/>
            </c:dLbl>
            <c:dLbl>
              <c:idx val="5"/>
              <c:layout>
                <c:manualLayout>
                  <c:x val="-1.4808893112422153E-2"/>
                  <c:y val="-8.7709809762820723E-2"/>
                </c:manualLayout>
              </c:layout>
              <c:showLegendKey val="0"/>
              <c:showVal val="1"/>
              <c:showCatName val="0"/>
              <c:showSerName val="0"/>
              <c:showPercent val="0"/>
              <c:showBubbleSize val="0"/>
            </c:dLbl>
            <c:dLbl>
              <c:idx val="6"/>
              <c:layout>
                <c:manualLayout>
                  <c:x val="-2.7720695706136438E-2"/>
                  <c:y val="-7.1148094341742015E-3"/>
                </c:manualLayout>
              </c:layout>
              <c:showLegendKey val="0"/>
              <c:showVal val="1"/>
              <c:showCatName val="0"/>
              <c:showSerName val="0"/>
              <c:showPercent val="0"/>
              <c:showBubbleSize val="0"/>
            </c:dLbl>
            <c:dLbl>
              <c:idx val="7"/>
              <c:layout>
                <c:manualLayout>
                  <c:x val="3.3060855817621145E-2"/>
                  <c:y val="-8.3883018393337644E-2"/>
                </c:manualLayout>
              </c:layout>
              <c:showLegendKey val="0"/>
              <c:showVal val="1"/>
              <c:showCatName val="0"/>
              <c:showSerName val="0"/>
              <c:showPercent val="0"/>
              <c:showBubbleSize val="0"/>
            </c:dLbl>
            <c:dLbl>
              <c:idx val="9"/>
              <c:layout>
                <c:manualLayout>
                  <c:x val="1.9989633852586881E-3"/>
                  <c:y val="-5.8916232396061113E-2"/>
                </c:manualLayout>
              </c:layout>
              <c:showLegendKey val="0"/>
              <c:showVal val="1"/>
              <c:showCatName val="0"/>
              <c:showSerName val="0"/>
              <c:showPercent val="0"/>
              <c:showBubbleSize val="0"/>
            </c:dLbl>
            <c:dLbl>
              <c:idx val="10"/>
              <c:layout>
                <c:manualLayout>
                  <c:x val="1.4866245203323854E-2"/>
                  <c:y val="-5.2238238206117803E-2"/>
                </c:manualLayout>
              </c:layout>
              <c:showLegendKey val="0"/>
              <c:showVal val="1"/>
              <c:showCatName val="0"/>
              <c:showSerName val="0"/>
              <c:showPercent val="0"/>
              <c:showBubbleSize val="0"/>
            </c:dLbl>
            <c:txPr>
              <a:bodyPr/>
              <a:lstStyle/>
              <a:p>
                <a:pPr>
                  <a:defRPr sz="700" b="1"/>
                </a:pPr>
                <a:endParaRPr lang="es-CO"/>
              </a:p>
            </c:txPr>
            <c:showLegendKey val="0"/>
            <c:showVal val="1"/>
            <c:showCatName val="0"/>
            <c:showSerName val="0"/>
            <c:showPercent val="0"/>
            <c:showBubbleSize val="0"/>
            <c:showLeaderLines val="1"/>
          </c:dLbls>
          <c:cat>
            <c:strRef>
              <c:f>Hoja8!$K$3:$K$14</c:f>
              <c:strCache>
                <c:ptCount val="12"/>
                <c:pt idx="0">
                  <c:v>Armenia</c:v>
                </c:pt>
                <c:pt idx="1">
                  <c:v>Buenavista </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Hoja8!$M$3:$M$14</c:f>
              <c:numCache>
                <c:formatCode>0.00%</c:formatCode>
                <c:ptCount val="12"/>
                <c:pt idx="0">
                  <c:v>0.98609999999999998</c:v>
                </c:pt>
                <c:pt idx="1">
                  <c:v>0.95809999999999995</c:v>
                </c:pt>
                <c:pt idx="2">
                  <c:v>0.96980000000000255</c:v>
                </c:pt>
                <c:pt idx="3">
                  <c:v>0.99719999999999998</c:v>
                </c:pt>
                <c:pt idx="4" formatCode="0%">
                  <c:v>0.99</c:v>
                </c:pt>
                <c:pt idx="5" formatCode="0%">
                  <c:v>1</c:v>
                </c:pt>
                <c:pt idx="6">
                  <c:v>0.76910000000000289</c:v>
                </c:pt>
                <c:pt idx="7">
                  <c:v>0.98580000000000001</c:v>
                </c:pt>
                <c:pt idx="8">
                  <c:v>0.96090000000000064</c:v>
                </c:pt>
                <c:pt idx="9">
                  <c:v>0.49270000000000008</c:v>
                </c:pt>
                <c:pt idx="10">
                  <c:v>0.95120000000000005</c:v>
                </c:pt>
                <c:pt idx="11" formatCode="0%">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29322471560167"/>
          <c:y val="6.8964535674193791E-2"/>
          <c:w val="0.20912384375731324"/>
          <c:h val="0.8983224534939267"/>
        </c:manualLayout>
      </c:layout>
      <c:overlay val="0"/>
      <c:txPr>
        <a:bodyPr/>
        <a:lstStyle/>
        <a:p>
          <a:pPr>
            <a:defRPr sz="600"/>
          </a:pPr>
          <a:endParaRPr lang="es-CO"/>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depthPercent val="400"/>
      <c:rAngAx val="0"/>
      <c:perspective val="10"/>
    </c:view3D>
    <c:floor>
      <c:thickness val="0"/>
    </c:floor>
    <c:sideWall>
      <c:thickness val="0"/>
    </c:sideWall>
    <c:backWall>
      <c:thickness val="0"/>
    </c:backWall>
    <c:plotArea>
      <c:layout>
        <c:manualLayout>
          <c:layoutTarget val="inner"/>
          <c:xMode val="edge"/>
          <c:yMode val="edge"/>
          <c:x val="6.5004510155264497E-2"/>
          <c:y val="2.1406727828746239E-2"/>
          <c:w val="0.93419486188211565"/>
          <c:h val="0.77724940175234147"/>
        </c:manualLayout>
      </c:layout>
      <c:bar3DChart>
        <c:barDir val="col"/>
        <c:grouping val="clustered"/>
        <c:varyColors val="0"/>
        <c:ser>
          <c:idx val="0"/>
          <c:order val="0"/>
          <c:tx>
            <c:strRef>
              <c:f>Hoja10!$C$27</c:f>
              <c:strCache>
                <c:ptCount val="1"/>
                <c:pt idx="0">
                  <c:v>Residencial</c:v>
                </c:pt>
              </c:strCache>
            </c:strRef>
          </c:tx>
          <c:invertIfNegative val="0"/>
          <c:cat>
            <c:strRef>
              <c:f>Hoja10!$A$28:$A$38</c:f>
              <c:strCache>
                <c:ptCount val="11"/>
                <c:pt idx="0">
                  <c:v>ARMENIA</c:v>
                </c:pt>
                <c:pt idx="1">
                  <c:v>BUENAVISTA</c:v>
                </c:pt>
                <c:pt idx="2">
                  <c:v>CALARCA</c:v>
                </c:pt>
                <c:pt idx="3">
                  <c:v>CIRCASIA</c:v>
                </c:pt>
                <c:pt idx="4">
                  <c:v>CORDOBA</c:v>
                </c:pt>
                <c:pt idx="5">
                  <c:v>FILANDIA</c:v>
                </c:pt>
                <c:pt idx="6">
                  <c:v>GÉNOVA</c:v>
                </c:pt>
                <c:pt idx="7">
                  <c:v>LA TEBAIDA</c:v>
                </c:pt>
                <c:pt idx="8">
                  <c:v>MONTENEGRO</c:v>
                </c:pt>
                <c:pt idx="9">
                  <c:v>QUIMBAYA</c:v>
                </c:pt>
                <c:pt idx="10">
                  <c:v>PIJAO</c:v>
                </c:pt>
              </c:strCache>
            </c:strRef>
          </c:cat>
          <c:val>
            <c:numRef>
              <c:f>Hoja10!$C$28:$C$38</c:f>
              <c:numCache>
                <c:formatCode>#,##0.00</c:formatCode>
                <c:ptCount val="11"/>
                <c:pt idx="0" formatCode="#,##0">
                  <c:v>11740000</c:v>
                </c:pt>
                <c:pt idx="1">
                  <c:v>50583.33</c:v>
                </c:pt>
                <c:pt idx="2" formatCode="#,##0">
                  <c:v>2033054</c:v>
                </c:pt>
                <c:pt idx="3">
                  <c:v>774298.88</c:v>
                </c:pt>
                <c:pt idx="4" formatCode="#,##0">
                  <c:v>145612</c:v>
                </c:pt>
                <c:pt idx="5">
                  <c:v>267557.31</c:v>
                </c:pt>
                <c:pt idx="6">
                  <c:v>185561.7</c:v>
                </c:pt>
                <c:pt idx="7" formatCode="General">
                  <c:v>0</c:v>
                </c:pt>
                <c:pt idx="8">
                  <c:v>1280565.24</c:v>
                </c:pt>
                <c:pt idx="9">
                  <c:v>1142500.95</c:v>
                </c:pt>
                <c:pt idx="10">
                  <c:v>377617.24</c:v>
                </c:pt>
              </c:numCache>
            </c:numRef>
          </c:val>
        </c:ser>
        <c:ser>
          <c:idx val="1"/>
          <c:order val="1"/>
          <c:tx>
            <c:strRef>
              <c:f>Hoja10!$D$27</c:f>
              <c:strCache>
                <c:ptCount val="1"/>
                <c:pt idx="0">
                  <c:v>Comercial</c:v>
                </c:pt>
              </c:strCache>
            </c:strRef>
          </c:tx>
          <c:invertIfNegative val="0"/>
          <c:cat>
            <c:strRef>
              <c:f>Hoja10!$A$28:$A$38</c:f>
              <c:strCache>
                <c:ptCount val="11"/>
                <c:pt idx="0">
                  <c:v>ARMENIA</c:v>
                </c:pt>
                <c:pt idx="1">
                  <c:v>BUENAVISTA</c:v>
                </c:pt>
                <c:pt idx="2">
                  <c:v>CALARCA</c:v>
                </c:pt>
                <c:pt idx="3">
                  <c:v>CIRCASIA</c:v>
                </c:pt>
                <c:pt idx="4">
                  <c:v>CORDOBA</c:v>
                </c:pt>
                <c:pt idx="5">
                  <c:v>FILANDIA</c:v>
                </c:pt>
                <c:pt idx="6">
                  <c:v>GÉNOVA</c:v>
                </c:pt>
                <c:pt idx="7">
                  <c:v>LA TEBAIDA</c:v>
                </c:pt>
                <c:pt idx="8">
                  <c:v>MONTENEGRO</c:v>
                </c:pt>
                <c:pt idx="9">
                  <c:v>QUIMBAYA</c:v>
                </c:pt>
                <c:pt idx="10">
                  <c:v>PIJAO</c:v>
                </c:pt>
              </c:strCache>
            </c:strRef>
          </c:cat>
          <c:val>
            <c:numRef>
              <c:f>Hoja10!$D$28:$D$38</c:f>
              <c:numCache>
                <c:formatCode>#,##0.00</c:formatCode>
                <c:ptCount val="11"/>
                <c:pt idx="0" formatCode="General">
                  <c:v>2800300</c:v>
                </c:pt>
                <c:pt idx="1">
                  <c:v>9047.61</c:v>
                </c:pt>
                <c:pt idx="2" formatCode="#,##0">
                  <c:v>156569</c:v>
                </c:pt>
                <c:pt idx="3">
                  <c:v>36843.15</c:v>
                </c:pt>
                <c:pt idx="4" formatCode="#,##0">
                  <c:v>8492</c:v>
                </c:pt>
                <c:pt idx="5">
                  <c:v>22319.47</c:v>
                </c:pt>
                <c:pt idx="6">
                  <c:v>29634.62</c:v>
                </c:pt>
                <c:pt idx="7">
                  <c:v>82171.34</c:v>
                </c:pt>
                <c:pt idx="8">
                  <c:v>86868.989999999991</c:v>
                </c:pt>
                <c:pt idx="9">
                  <c:v>60475.48</c:v>
                </c:pt>
                <c:pt idx="10">
                  <c:v>5251.6900000000014</c:v>
                </c:pt>
              </c:numCache>
            </c:numRef>
          </c:val>
        </c:ser>
        <c:ser>
          <c:idx val="2"/>
          <c:order val="2"/>
          <c:tx>
            <c:strRef>
              <c:f>Hoja10!$E$27</c:f>
              <c:strCache>
                <c:ptCount val="1"/>
                <c:pt idx="0">
                  <c:v>Industrial</c:v>
                </c:pt>
              </c:strCache>
            </c:strRef>
          </c:tx>
          <c:invertIfNegative val="0"/>
          <c:cat>
            <c:strRef>
              <c:f>Hoja10!$A$28:$A$38</c:f>
              <c:strCache>
                <c:ptCount val="11"/>
                <c:pt idx="0">
                  <c:v>ARMENIA</c:v>
                </c:pt>
                <c:pt idx="1">
                  <c:v>BUENAVISTA</c:v>
                </c:pt>
                <c:pt idx="2">
                  <c:v>CALARCA</c:v>
                </c:pt>
                <c:pt idx="3">
                  <c:v>CIRCASIA</c:v>
                </c:pt>
                <c:pt idx="4">
                  <c:v>CORDOBA</c:v>
                </c:pt>
                <c:pt idx="5">
                  <c:v>FILANDIA</c:v>
                </c:pt>
                <c:pt idx="6">
                  <c:v>GÉNOVA</c:v>
                </c:pt>
                <c:pt idx="7">
                  <c:v>LA TEBAIDA</c:v>
                </c:pt>
                <c:pt idx="8">
                  <c:v>MONTENEGRO</c:v>
                </c:pt>
                <c:pt idx="9">
                  <c:v>QUIMBAYA</c:v>
                </c:pt>
                <c:pt idx="10">
                  <c:v>PIJAO</c:v>
                </c:pt>
              </c:strCache>
            </c:strRef>
          </c:cat>
          <c:val>
            <c:numRef>
              <c:f>Hoja10!$E$28:$E$38</c:f>
              <c:numCache>
                <c:formatCode>#,##0.00</c:formatCode>
                <c:ptCount val="11"/>
                <c:pt idx="0" formatCode="#,##0">
                  <c:v>1141000</c:v>
                </c:pt>
                <c:pt idx="1">
                  <c:v>1966.05</c:v>
                </c:pt>
                <c:pt idx="2" formatCode="#,##0">
                  <c:v>11230</c:v>
                </c:pt>
                <c:pt idx="3">
                  <c:v>14652.97</c:v>
                </c:pt>
                <c:pt idx="5">
                  <c:v>10655.220000000008</c:v>
                </c:pt>
                <c:pt idx="6">
                  <c:v>10415.68</c:v>
                </c:pt>
                <c:pt idx="7">
                  <c:v>44378.92</c:v>
                </c:pt>
                <c:pt idx="8">
                  <c:v>32661.77</c:v>
                </c:pt>
                <c:pt idx="9">
                  <c:v>59109.57</c:v>
                </c:pt>
                <c:pt idx="10">
                  <c:v>45449.06</c:v>
                </c:pt>
              </c:numCache>
            </c:numRef>
          </c:val>
        </c:ser>
        <c:dLbls>
          <c:showLegendKey val="0"/>
          <c:showVal val="0"/>
          <c:showCatName val="0"/>
          <c:showSerName val="0"/>
          <c:showPercent val="0"/>
          <c:showBubbleSize val="0"/>
        </c:dLbls>
        <c:gapWidth val="150"/>
        <c:shape val="box"/>
        <c:axId val="550086144"/>
        <c:axId val="550087680"/>
        <c:axId val="0"/>
      </c:bar3DChart>
      <c:catAx>
        <c:axId val="550086144"/>
        <c:scaling>
          <c:orientation val="minMax"/>
        </c:scaling>
        <c:delete val="0"/>
        <c:axPos val="b"/>
        <c:majorTickMark val="none"/>
        <c:minorTickMark val="none"/>
        <c:tickLblPos val="nextTo"/>
        <c:txPr>
          <a:bodyPr rot="-5400000" vert="horz"/>
          <a:lstStyle/>
          <a:p>
            <a:pPr>
              <a:defRPr sz="600"/>
            </a:pPr>
            <a:endParaRPr lang="es-CO"/>
          </a:p>
        </c:txPr>
        <c:crossAx val="550087680"/>
        <c:crosses val="autoZero"/>
        <c:auto val="1"/>
        <c:lblAlgn val="ctr"/>
        <c:lblOffset val="100"/>
        <c:noMultiLvlLbl val="0"/>
      </c:catAx>
      <c:valAx>
        <c:axId val="550087680"/>
        <c:scaling>
          <c:orientation val="minMax"/>
        </c:scaling>
        <c:delete val="0"/>
        <c:axPos val="l"/>
        <c:numFmt formatCode="#,##0" sourceLinked="1"/>
        <c:majorTickMark val="none"/>
        <c:minorTickMark val="none"/>
        <c:tickLblPos val="nextTo"/>
        <c:txPr>
          <a:bodyPr/>
          <a:lstStyle/>
          <a:p>
            <a:pPr>
              <a:defRPr sz="500"/>
            </a:pPr>
            <a:endParaRPr lang="es-CO"/>
          </a:p>
        </c:txPr>
        <c:crossAx val="550086144"/>
        <c:crosses val="autoZero"/>
        <c:crossBetween val="between"/>
        <c:majorUnit val="500000"/>
      </c:valAx>
    </c:plotArea>
    <c:legend>
      <c:legendPos val="r"/>
      <c:layout>
        <c:manualLayout>
          <c:xMode val="edge"/>
          <c:yMode val="edge"/>
          <c:x val="0.87879637822244949"/>
          <c:y val="0.14024939324757618"/>
          <c:w val="0.10539542786370515"/>
          <c:h val="0.46667669096500108"/>
        </c:manualLayout>
      </c:layout>
      <c:overlay val="0"/>
      <c:txPr>
        <a:bodyPr/>
        <a:lstStyle/>
        <a:p>
          <a:pPr>
            <a:defRPr sz="600"/>
          </a:pPr>
          <a:endParaRPr lang="es-CO"/>
        </a:p>
      </c:txPr>
    </c:legend>
    <c:plotVisOnly val="1"/>
    <c:dispBlanksAs val="gap"/>
    <c:showDLblsOverMax val="0"/>
  </c:chart>
  <c:spPr>
    <a:ln>
      <a:solidFill>
        <a:schemeClr val="bg1">
          <a:lumMod val="75000"/>
        </a:schemeClr>
      </a:solid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depthPercent val="400"/>
      <c:rAngAx val="0"/>
      <c:perspective val="10"/>
    </c:view3D>
    <c:floor>
      <c:thickness val="0"/>
    </c:floor>
    <c:sideWall>
      <c:thickness val="0"/>
    </c:sideWall>
    <c:backWall>
      <c:thickness val="0"/>
    </c:backWall>
    <c:plotArea>
      <c:layout>
        <c:manualLayout>
          <c:layoutTarget val="inner"/>
          <c:xMode val="edge"/>
          <c:yMode val="edge"/>
          <c:x val="0.1027659635611242"/>
          <c:y val="1.585199443268304E-2"/>
          <c:w val="0.89663625456087304"/>
          <c:h val="0.81801717967072296"/>
        </c:manualLayout>
      </c:layout>
      <c:bar3DChart>
        <c:barDir val="col"/>
        <c:grouping val="clustered"/>
        <c:varyColors val="0"/>
        <c:ser>
          <c:idx val="0"/>
          <c:order val="0"/>
          <c:tx>
            <c:strRef>
              <c:f>Hoja10!$C$44</c:f>
              <c:strCache>
                <c:ptCount val="1"/>
                <c:pt idx="0">
                  <c:v>Residencial</c:v>
                </c:pt>
              </c:strCache>
            </c:strRef>
          </c:tx>
          <c:invertIfNegative val="0"/>
          <c:cat>
            <c:strRef>
              <c:f>Hoja10!$A$45:$A$55</c:f>
              <c:strCache>
                <c:ptCount val="11"/>
                <c:pt idx="0">
                  <c:v>ARMENIA</c:v>
                </c:pt>
                <c:pt idx="1">
                  <c:v>BUENAVISTA</c:v>
                </c:pt>
                <c:pt idx="2">
                  <c:v>CALARCA</c:v>
                </c:pt>
                <c:pt idx="3">
                  <c:v>CIRCASIA</c:v>
                </c:pt>
                <c:pt idx="4">
                  <c:v>CORDOBA</c:v>
                </c:pt>
                <c:pt idx="5">
                  <c:v>FILANDIA</c:v>
                </c:pt>
                <c:pt idx="6">
                  <c:v>GÉNOVA</c:v>
                </c:pt>
                <c:pt idx="7">
                  <c:v>LA TEBAIDA</c:v>
                </c:pt>
                <c:pt idx="8">
                  <c:v>MONTENEGRO</c:v>
                </c:pt>
                <c:pt idx="9">
                  <c:v>QUIMBAYA</c:v>
                </c:pt>
                <c:pt idx="10">
                  <c:v>PIJAO</c:v>
                </c:pt>
              </c:strCache>
            </c:strRef>
          </c:cat>
          <c:val>
            <c:numRef>
              <c:f>Hoja10!$C$45:$C$55</c:f>
              <c:numCache>
                <c:formatCode>#,##0.00</c:formatCode>
                <c:ptCount val="11"/>
                <c:pt idx="0" formatCode="#,##0">
                  <c:v>12606274569</c:v>
                </c:pt>
                <c:pt idx="1">
                  <c:v>57950697.650000006</c:v>
                </c:pt>
                <c:pt idx="2" formatCode="#,##0">
                  <c:v>3658782198</c:v>
                </c:pt>
                <c:pt idx="3">
                  <c:v>850031794.13999999</c:v>
                </c:pt>
                <c:pt idx="4" formatCode="#,##0">
                  <c:v>107599987</c:v>
                </c:pt>
                <c:pt idx="5">
                  <c:v>283961260.68000001</c:v>
                </c:pt>
                <c:pt idx="6">
                  <c:v>180468534.72999999</c:v>
                </c:pt>
                <c:pt idx="7">
                  <c:v>959269065.54999936</c:v>
                </c:pt>
                <c:pt idx="8">
                  <c:v>1136690352.5999999</c:v>
                </c:pt>
                <c:pt idx="9">
                  <c:v>867811704.16999996</c:v>
                </c:pt>
                <c:pt idx="10">
                  <c:v>27365349.079999998</c:v>
                </c:pt>
              </c:numCache>
            </c:numRef>
          </c:val>
        </c:ser>
        <c:ser>
          <c:idx val="1"/>
          <c:order val="1"/>
          <c:tx>
            <c:strRef>
              <c:f>Hoja10!$D$44</c:f>
              <c:strCache>
                <c:ptCount val="1"/>
                <c:pt idx="0">
                  <c:v>Comercial</c:v>
                </c:pt>
              </c:strCache>
            </c:strRef>
          </c:tx>
          <c:invertIfNegative val="0"/>
          <c:cat>
            <c:strRef>
              <c:f>Hoja10!$A$45:$A$55</c:f>
              <c:strCache>
                <c:ptCount val="11"/>
                <c:pt idx="0">
                  <c:v>ARMENIA</c:v>
                </c:pt>
                <c:pt idx="1">
                  <c:v>BUENAVISTA</c:v>
                </c:pt>
                <c:pt idx="2">
                  <c:v>CALARCA</c:v>
                </c:pt>
                <c:pt idx="3">
                  <c:v>CIRCASIA</c:v>
                </c:pt>
                <c:pt idx="4">
                  <c:v>CORDOBA</c:v>
                </c:pt>
                <c:pt idx="5">
                  <c:v>FILANDIA</c:v>
                </c:pt>
                <c:pt idx="6">
                  <c:v>GÉNOVA</c:v>
                </c:pt>
                <c:pt idx="7">
                  <c:v>LA TEBAIDA</c:v>
                </c:pt>
                <c:pt idx="8">
                  <c:v>MONTENEGRO</c:v>
                </c:pt>
                <c:pt idx="9">
                  <c:v>QUIMBAYA</c:v>
                </c:pt>
                <c:pt idx="10">
                  <c:v>PIJAO</c:v>
                </c:pt>
              </c:strCache>
            </c:strRef>
          </c:cat>
          <c:val>
            <c:numRef>
              <c:f>Hoja10!$D$45:$D$55</c:f>
              <c:numCache>
                <c:formatCode>#,##0.00</c:formatCode>
                <c:ptCount val="11"/>
                <c:pt idx="0" formatCode="#,##0">
                  <c:v>2397496079</c:v>
                </c:pt>
                <c:pt idx="1">
                  <c:v>10365380.41</c:v>
                </c:pt>
                <c:pt idx="2" formatCode="#,##0">
                  <c:v>437588986</c:v>
                </c:pt>
                <c:pt idx="3">
                  <c:v>40446714.220000073</c:v>
                </c:pt>
                <c:pt idx="4" formatCode="#,##0">
                  <c:v>6275163</c:v>
                </c:pt>
                <c:pt idx="5">
                  <c:v>23687876.260000002</c:v>
                </c:pt>
                <c:pt idx="6">
                  <c:v>28821227.93</c:v>
                </c:pt>
                <c:pt idx="7">
                  <c:v>66339372.210000001</c:v>
                </c:pt>
                <c:pt idx="8">
                  <c:v>77109027.36999999</c:v>
                </c:pt>
                <c:pt idx="9">
                  <c:v>45935476.100000001</c:v>
                </c:pt>
                <c:pt idx="10">
                  <c:v>380582.13</c:v>
                </c:pt>
              </c:numCache>
            </c:numRef>
          </c:val>
        </c:ser>
        <c:ser>
          <c:idx val="2"/>
          <c:order val="2"/>
          <c:tx>
            <c:strRef>
              <c:f>Hoja10!$E$44</c:f>
              <c:strCache>
                <c:ptCount val="1"/>
                <c:pt idx="0">
                  <c:v>Industrial</c:v>
                </c:pt>
              </c:strCache>
            </c:strRef>
          </c:tx>
          <c:invertIfNegative val="0"/>
          <c:cat>
            <c:strRef>
              <c:f>Hoja10!$A$45:$A$55</c:f>
              <c:strCache>
                <c:ptCount val="11"/>
                <c:pt idx="0">
                  <c:v>ARMENIA</c:v>
                </c:pt>
                <c:pt idx="1">
                  <c:v>BUENAVISTA</c:v>
                </c:pt>
                <c:pt idx="2">
                  <c:v>CALARCA</c:v>
                </c:pt>
                <c:pt idx="3">
                  <c:v>CIRCASIA</c:v>
                </c:pt>
                <c:pt idx="4">
                  <c:v>CORDOBA</c:v>
                </c:pt>
                <c:pt idx="5">
                  <c:v>FILANDIA</c:v>
                </c:pt>
                <c:pt idx="6">
                  <c:v>GÉNOVA</c:v>
                </c:pt>
                <c:pt idx="7">
                  <c:v>LA TEBAIDA</c:v>
                </c:pt>
                <c:pt idx="8">
                  <c:v>MONTENEGRO</c:v>
                </c:pt>
                <c:pt idx="9">
                  <c:v>QUIMBAYA</c:v>
                </c:pt>
                <c:pt idx="10">
                  <c:v>PIJAO</c:v>
                </c:pt>
              </c:strCache>
            </c:strRef>
          </c:cat>
          <c:val>
            <c:numRef>
              <c:f>Hoja10!$E$45:$E$55</c:f>
              <c:numCache>
                <c:formatCode>#,##0.00</c:formatCode>
                <c:ptCount val="11"/>
                <c:pt idx="0" formatCode="#,##0">
                  <c:v>331406483</c:v>
                </c:pt>
                <c:pt idx="1">
                  <c:v>2252402.94</c:v>
                </c:pt>
                <c:pt idx="2" formatCode="#,##0">
                  <c:v>18502410</c:v>
                </c:pt>
                <c:pt idx="3">
                  <c:v>16086157.630000001</c:v>
                </c:pt>
                <c:pt idx="5">
                  <c:v>11308496.060000002</c:v>
                </c:pt>
                <c:pt idx="6">
                  <c:v>10129795.34</c:v>
                </c:pt>
                <c:pt idx="7">
                  <c:v>35828422.25</c:v>
                </c:pt>
                <c:pt idx="8">
                  <c:v>28992134.030000001</c:v>
                </c:pt>
                <c:pt idx="9">
                  <c:v>44897973.730000012</c:v>
                </c:pt>
                <c:pt idx="10">
                  <c:v>3293624.7800000012</c:v>
                </c:pt>
              </c:numCache>
            </c:numRef>
          </c:val>
        </c:ser>
        <c:dLbls>
          <c:showLegendKey val="0"/>
          <c:showVal val="0"/>
          <c:showCatName val="0"/>
          <c:showSerName val="0"/>
          <c:showPercent val="0"/>
          <c:showBubbleSize val="0"/>
        </c:dLbls>
        <c:gapWidth val="150"/>
        <c:shape val="box"/>
        <c:axId val="550114048"/>
        <c:axId val="550115584"/>
        <c:axId val="0"/>
      </c:bar3DChart>
      <c:catAx>
        <c:axId val="550114048"/>
        <c:scaling>
          <c:orientation val="minMax"/>
        </c:scaling>
        <c:delete val="0"/>
        <c:axPos val="b"/>
        <c:majorTickMark val="none"/>
        <c:minorTickMark val="none"/>
        <c:tickLblPos val="nextTo"/>
        <c:txPr>
          <a:bodyPr/>
          <a:lstStyle/>
          <a:p>
            <a:pPr>
              <a:defRPr sz="500"/>
            </a:pPr>
            <a:endParaRPr lang="es-CO"/>
          </a:p>
        </c:txPr>
        <c:crossAx val="550115584"/>
        <c:crosses val="autoZero"/>
        <c:auto val="1"/>
        <c:lblAlgn val="ctr"/>
        <c:lblOffset val="100"/>
        <c:noMultiLvlLbl val="0"/>
      </c:catAx>
      <c:valAx>
        <c:axId val="550115584"/>
        <c:scaling>
          <c:orientation val="minMax"/>
        </c:scaling>
        <c:delete val="0"/>
        <c:axPos val="l"/>
        <c:numFmt formatCode="#,##0" sourceLinked="1"/>
        <c:majorTickMark val="none"/>
        <c:minorTickMark val="none"/>
        <c:tickLblPos val="nextTo"/>
        <c:txPr>
          <a:bodyPr/>
          <a:lstStyle/>
          <a:p>
            <a:pPr>
              <a:defRPr sz="600"/>
            </a:pPr>
            <a:endParaRPr lang="es-CO"/>
          </a:p>
        </c:txPr>
        <c:crossAx val="550114048"/>
        <c:crosses val="autoZero"/>
        <c:crossBetween val="between"/>
      </c:valAx>
    </c:plotArea>
    <c:legend>
      <c:legendPos val="r"/>
      <c:overlay val="0"/>
      <c:txPr>
        <a:bodyPr/>
        <a:lstStyle/>
        <a:p>
          <a:pPr>
            <a:defRPr sz="600"/>
          </a:pPr>
          <a:endParaRPr lang="es-CO"/>
        </a:p>
      </c:txPr>
    </c:legend>
    <c:plotVisOnly val="1"/>
    <c:dispBlanksAs val="gap"/>
    <c:showDLblsOverMax val="0"/>
  </c:chart>
  <c:spPr>
    <a:ln>
      <a:solidFill>
        <a:schemeClr val="bg1">
          <a:lumMod val="75000"/>
        </a:schemeClr>
      </a:solid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40"/>
      <c:depthPercent val="50"/>
      <c:rAngAx val="1"/>
    </c:view3D>
    <c:floor>
      <c:thickness val="0"/>
    </c:floor>
    <c:sideWall>
      <c:thickness val="0"/>
    </c:sideWall>
    <c:backWall>
      <c:thickness val="0"/>
    </c:backWall>
    <c:plotArea>
      <c:layout>
        <c:manualLayout>
          <c:layoutTarget val="inner"/>
          <c:xMode val="edge"/>
          <c:yMode val="edge"/>
          <c:x val="2.0090909578395161E-4"/>
          <c:y val="1.7132451744967428E-2"/>
          <c:w val="0.98763300843496449"/>
          <c:h val="0.85790855090482165"/>
        </c:manualLayout>
      </c:layout>
      <c:bar3DChart>
        <c:barDir val="col"/>
        <c:grouping val="standard"/>
        <c:varyColors val="0"/>
        <c:ser>
          <c:idx val="0"/>
          <c:order val="0"/>
          <c:tx>
            <c:strRef>
              <c:f>Hoja1!$L$3</c:f>
              <c:strCache>
                <c:ptCount val="1"/>
                <c:pt idx="0">
                  <c:v>ÍNDICE DE PÉRDIDA %   2012</c:v>
                </c:pt>
              </c:strCache>
            </c:strRef>
          </c:tx>
          <c:invertIfNegative val="0"/>
          <c:dLbls>
            <c:dLbl>
              <c:idx val="1"/>
              <c:layout>
                <c:manualLayout>
                  <c:x val="-4.5401165773240795E-3"/>
                  <c:y val="5.2367937956776991E-3"/>
                </c:manualLayout>
              </c:layout>
              <c:showLegendKey val="0"/>
              <c:showVal val="1"/>
              <c:showCatName val="0"/>
              <c:showSerName val="0"/>
              <c:showPercent val="0"/>
              <c:showBubbleSize val="0"/>
            </c:dLbl>
            <c:dLbl>
              <c:idx val="4"/>
              <c:layout>
                <c:manualLayout>
                  <c:x val="-1.1350291443310264E-2"/>
                  <c:y val="1.0473587591355261E-2"/>
                </c:manualLayout>
              </c:layout>
              <c:showLegendKey val="0"/>
              <c:showVal val="1"/>
              <c:showCatName val="0"/>
              <c:showSerName val="0"/>
              <c:showPercent val="0"/>
              <c:showBubbleSize val="0"/>
            </c:dLbl>
            <c:dLbl>
              <c:idx val="5"/>
              <c:layout>
                <c:manualLayout>
                  <c:x val="-4.5401165773240795E-3"/>
                  <c:y val="1.571038138703295E-2"/>
                </c:manualLayout>
              </c:layout>
              <c:showLegendKey val="0"/>
              <c:showVal val="1"/>
              <c:showCatName val="0"/>
              <c:showSerName val="0"/>
              <c:showPercent val="0"/>
              <c:showBubbleSize val="0"/>
            </c:dLbl>
            <c:dLbl>
              <c:idx val="7"/>
              <c:layout>
                <c:manualLayout>
                  <c:x val="-6.8101748659861261E-3"/>
                  <c:y val="5.2367937956776991E-3"/>
                </c:manualLayout>
              </c:layout>
              <c:showLegendKey val="0"/>
              <c:showVal val="1"/>
              <c:showCatName val="0"/>
              <c:showSerName val="0"/>
              <c:showPercent val="0"/>
              <c:showBubbleSize val="0"/>
            </c:dLbl>
            <c:dLbl>
              <c:idx val="8"/>
              <c:layout>
                <c:manualLayout>
                  <c:x val="-9.0802331546481208E-3"/>
                  <c:y val="1.0473587591355261E-2"/>
                </c:manualLayout>
              </c:layout>
              <c:showLegendKey val="0"/>
              <c:showVal val="1"/>
              <c:showCatName val="0"/>
              <c:showSerName val="0"/>
              <c:showPercent val="0"/>
              <c:showBubbleSize val="0"/>
            </c:dLbl>
            <c:dLbl>
              <c:idx val="9"/>
              <c:layout>
                <c:manualLayout>
                  <c:x val="4.5401165773240795E-3"/>
                  <c:y val="1.0473587591355261E-2"/>
                </c:manualLayout>
              </c:layout>
              <c:showLegendKey val="0"/>
              <c:showVal val="1"/>
              <c:showCatName val="0"/>
              <c:showSerName val="0"/>
              <c:showPercent val="0"/>
              <c:showBubbleSize val="0"/>
            </c:dLbl>
            <c:dLbl>
              <c:idx val="10"/>
              <c:layout>
                <c:manualLayout>
                  <c:x val="-6.8101748659861261E-3"/>
                  <c:y val="1.0473587591355301E-2"/>
                </c:manualLayout>
              </c:layout>
              <c:showLegendKey val="0"/>
              <c:showVal val="1"/>
              <c:showCatName val="0"/>
              <c:showSerName val="0"/>
              <c:showPercent val="0"/>
              <c:showBubbleSize val="0"/>
            </c:dLbl>
            <c:txPr>
              <a:bodyPr/>
              <a:lstStyle/>
              <a:p>
                <a:pPr>
                  <a:defRPr sz="700" b="1">
                    <a:solidFill>
                      <a:schemeClr val="accent1">
                        <a:lumMod val="75000"/>
                      </a:schemeClr>
                    </a:solidFill>
                  </a:defRPr>
                </a:pPr>
                <a:endParaRPr lang="es-CO"/>
              </a:p>
            </c:txPr>
            <c:showLegendKey val="0"/>
            <c:showVal val="1"/>
            <c:showCatName val="0"/>
            <c:showSerName val="0"/>
            <c:showPercent val="0"/>
            <c:showBubbleSize val="0"/>
            <c:showLeaderLines val="0"/>
          </c:dLbls>
          <c:cat>
            <c:strRef>
              <c:f>Hoja1!$K$4:$K$14</c:f>
              <c:strCache>
                <c:ptCount val="11"/>
                <c:pt idx="0">
                  <c:v>Armenia</c:v>
                </c:pt>
                <c:pt idx="1">
                  <c:v>Buenavista</c:v>
                </c:pt>
                <c:pt idx="2">
                  <c:v>Calarcá</c:v>
                </c:pt>
                <c:pt idx="3">
                  <c:v>Circasia</c:v>
                </c:pt>
                <c:pt idx="4">
                  <c:v>Córdoba</c:v>
                </c:pt>
                <c:pt idx="5">
                  <c:v>Filandia</c:v>
                </c:pt>
                <c:pt idx="6">
                  <c:v>Génova</c:v>
                </c:pt>
                <c:pt idx="7">
                  <c:v>La Tebaida</c:v>
                </c:pt>
                <c:pt idx="8">
                  <c:v>Montenegro</c:v>
                </c:pt>
                <c:pt idx="9">
                  <c:v>Quimbaya</c:v>
                </c:pt>
                <c:pt idx="10">
                  <c:v>Salento</c:v>
                </c:pt>
              </c:strCache>
            </c:strRef>
          </c:cat>
          <c:val>
            <c:numRef>
              <c:f>Hoja1!$L$4:$L$14</c:f>
              <c:numCache>
                <c:formatCode>General</c:formatCode>
                <c:ptCount val="11"/>
                <c:pt idx="0">
                  <c:v>0</c:v>
                </c:pt>
                <c:pt idx="1">
                  <c:v>37.5</c:v>
                </c:pt>
                <c:pt idx="2">
                  <c:v>0</c:v>
                </c:pt>
                <c:pt idx="3">
                  <c:v>38.230000000000011</c:v>
                </c:pt>
                <c:pt idx="4">
                  <c:v>0.38640000000000152</c:v>
                </c:pt>
                <c:pt idx="5">
                  <c:v>30.89</c:v>
                </c:pt>
                <c:pt idx="6">
                  <c:v>22.759999999999987</c:v>
                </c:pt>
                <c:pt idx="7">
                  <c:v>37.9</c:v>
                </c:pt>
                <c:pt idx="8">
                  <c:v>36.68</c:v>
                </c:pt>
                <c:pt idx="9">
                  <c:v>32.449999999999996</c:v>
                </c:pt>
                <c:pt idx="10">
                  <c:v>26.35</c:v>
                </c:pt>
              </c:numCache>
            </c:numRef>
          </c:val>
        </c:ser>
        <c:ser>
          <c:idx val="1"/>
          <c:order val="1"/>
          <c:tx>
            <c:strRef>
              <c:f>Hoja1!$M$3</c:f>
              <c:strCache>
                <c:ptCount val="1"/>
                <c:pt idx="0">
                  <c:v>ÍNDICE DE PÉRDIDA %      2013</c:v>
                </c:pt>
              </c:strCache>
            </c:strRef>
          </c:tx>
          <c:invertIfNegative val="0"/>
          <c:dLbls>
            <c:dLbl>
              <c:idx val="0"/>
              <c:layout>
                <c:manualLayout>
                  <c:x val="-2.2700582886620496E-2"/>
                  <c:y val="2.6183968978388192E-2"/>
                </c:manualLayout>
              </c:layout>
              <c:showLegendKey val="0"/>
              <c:showVal val="1"/>
              <c:showCatName val="0"/>
              <c:showSerName val="0"/>
              <c:showPercent val="0"/>
              <c:showBubbleSize val="0"/>
            </c:dLbl>
            <c:dLbl>
              <c:idx val="1"/>
              <c:layout>
                <c:manualLayout>
                  <c:x val="1.3620349731972332E-2"/>
                  <c:y val="0"/>
                </c:manualLayout>
              </c:layout>
              <c:showLegendKey val="0"/>
              <c:showVal val="1"/>
              <c:showCatName val="0"/>
              <c:showSerName val="0"/>
              <c:showPercent val="0"/>
              <c:showBubbleSize val="0"/>
            </c:dLbl>
            <c:dLbl>
              <c:idx val="3"/>
              <c:layout>
                <c:manualLayout>
                  <c:x val="2.0430524597958376E-2"/>
                  <c:y val="0"/>
                </c:manualLayout>
              </c:layout>
              <c:showLegendKey val="0"/>
              <c:showVal val="1"/>
              <c:showCatName val="0"/>
              <c:showSerName val="0"/>
              <c:showPercent val="0"/>
              <c:showBubbleSize val="0"/>
            </c:dLbl>
            <c:dLbl>
              <c:idx val="5"/>
              <c:layout>
                <c:manualLayout>
                  <c:x val="1.1350291443310264E-2"/>
                  <c:y val="0"/>
                </c:manualLayout>
              </c:layout>
              <c:showLegendKey val="0"/>
              <c:showVal val="1"/>
              <c:showCatName val="0"/>
              <c:showSerName val="0"/>
              <c:showPercent val="0"/>
              <c:showBubbleSize val="0"/>
            </c:dLbl>
            <c:dLbl>
              <c:idx val="6"/>
              <c:layout>
                <c:manualLayout>
                  <c:x val="1.3620170987225195E-2"/>
                  <c:y val="4.8003388587804396E-17"/>
                </c:manualLayout>
              </c:layout>
              <c:showLegendKey val="0"/>
              <c:showVal val="1"/>
              <c:showCatName val="0"/>
              <c:showSerName val="0"/>
              <c:showPercent val="0"/>
              <c:showBubbleSize val="0"/>
            </c:dLbl>
            <c:dLbl>
              <c:idx val="8"/>
              <c:layout>
                <c:manualLayout>
                  <c:x val="9.0802331546481208E-3"/>
                  <c:y val="-2.4001694293902204E-17"/>
                </c:manualLayout>
              </c:layout>
              <c:showLegendKey val="0"/>
              <c:showVal val="1"/>
              <c:showCatName val="0"/>
              <c:showSerName val="0"/>
              <c:showPercent val="0"/>
              <c:showBubbleSize val="0"/>
            </c:dLbl>
            <c:dLbl>
              <c:idx val="9"/>
              <c:layout>
                <c:manualLayout>
                  <c:x val="1.1350291443310264E-2"/>
                  <c:y val="-1.0473587591355261E-2"/>
                </c:manualLayout>
              </c:layout>
              <c:showLegendKey val="0"/>
              <c:showVal val="1"/>
              <c:showCatName val="0"/>
              <c:showSerName val="0"/>
              <c:showPercent val="0"/>
              <c:showBubbleSize val="0"/>
            </c:dLbl>
            <c:txPr>
              <a:bodyPr/>
              <a:lstStyle/>
              <a:p>
                <a:pPr>
                  <a:defRPr sz="700" b="1">
                    <a:solidFill>
                      <a:schemeClr val="accent2">
                        <a:lumMod val="75000"/>
                      </a:schemeClr>
                    </a:solidFill>
                  </a:defRPr>
                </a:pPr>
                <a:endParaRPr lang="es-CO"/>
              </a:p>
            </c:txPr>
            <c:showLegendKey val="0"/>
            <c:showVal val="1"/>
            <c:showCatName val="0"/>
            <c:showSerName val="0"/>
            <c:showPercent val="0"/>
            <c:showBubbleSize val="0"/>
            <c:showLeaderLines val="0"/>
          </c:dLbls>
          <c:cat>
            <c:strRef>
              <c:f>Hoja1!$K$4:$K$14</c:f>
              <c:strCache>
                <c:ptCount val="11"/>
                <c:pt idx="0">
                  <c:v>Armenia</c:v>
                </c:pt>
                <c:pt idx="1">
                  <c:v>Buenavista</c:v>
                </c:pt>
                <c:pt idx="2">
                  <c:v>Calarcá</c:v>
                </c:pt>
                <c:pt idx="3">
                  <c:v>Circasia</c:v>
                </c:pt>
                <c:pt idx="4">
                  <c:v>Córdoba</c:v>
                </c:pt>
                <c:pt idx="5">
                  <c:v>Filandia</c:v>
                </c:pt>
                <c:pt idx="6">
                  <c:v>Génova</c:v>
                </c:pt>
                <c:pt idx="7">
                  <c:v>La Tebaida</c:v>
                </c:pt>
                <c:pt idx="8">
                  <c:v>Montenegro</c:v>
                </c:pt>
                <c:pt idx="9">
                  <c:v>Quimbaya</c:v>
                </c:pt>
                <c:pt idx="10">
                  <c:v>Salento</c:v>
                </c:pt>
              </c:strCache>
            </c:strRef>
          </c:cat>
          <c:val>
            <c:numRef>
              <c:f>Hoja1!$M$4:$M$14</c:f>
              <c:numCache>
                <c:formatCode>General</c:formatCode>
                <c:ptCount val="11"/>
                <c:pt idx="0">
                  <c:v>34.700000000000003</c:v>
                </c:pt>
                <c:pt idx="1">
                  <c:v>37</c:v>
                </c:pt>
                <c:pt idx="2">
                  <c:v>30.43</c:v>
                </c:pt>
                <c:pt idx="3">
                  <c:v>37</c:v>
                </c:pt>
                <c:pt idx="4">
                  <c:v>14.68</c:v>
                </c:pt>
                <c:pt idx="5">
                  <c:v>23</c:v>
                </c:pt>
                <c:pt idx="6">
                  <c:v>21</c:v>
                </c:pt>
                <c:pt idx="7">
                  <c:v>38</c:v>
                </c:pt>
                <c:pt idx="8">
                  <c:v>36</c:v>
                </c:pt>
                <c:pt idx="9">
                  <c:v>30</c:v>
                </c:pt>
                <c:pt idx="10">
                  <c:v>34</c:v>
                </c:pt>
              </c:numCache>
            </c:numRef>
          </c:val>
        </c:ser>
        <c:dLbls>
          <c:showLegendKey val="0"/>
          <c:showVal val="0"/>
          <c:showCatName val="0"/>
          <c:showSerName val="0"/>
          <c:showPercent val="0"/>
          <c:showBubbleSize val="0"/>
        </c:dLbls>
        <c:gapWidth val="150"/>
        <c:shape val="box"/>
        <c:axId val="550170624"/>
        <c:axId val="550172160"/>
        <c:axId val="550030848"/>
      </c:bar3DChart>
      <c:catAx>
        <c:axId val="550170624"/>
        <c:scaling>
          <c:orientation val="minMax"/>
        </c:scaling>
        <c:delete val="0"/>
        <c:axPos val="b"/>
        <c:majorTickMark val="out"/>
        <c:minorTickMark val="none"/>
        <c:tickLblPos val="nextTo"/>
        <c:txPr>
          <a:bodyPr/>
          <a:lstStyle/>
          <a:p>
            <a:pPr>
              <a:defRPr sz="600"/>
            </a:pPr>
            <a:endParaRPr lang="es-CO"/>
          </a:p>
        </c:txPr>
        <c:crossAx val="550172160"/>
        <c:crosses val="autoZero"/>
        <c:auto val="1"/>
        <c:lblAlgn val="ctr"/>
        <c:lblOffset val="100"/>
        <c:noMultiLvlLbl val="0"/>
      </c:catAx>
      <c:valAx>
        <c:axId val="550172160"/>
        <c:scaling>
          <c:orientation val="minMax"/>
        </c:scaling>
        <c:delete val="1"/>
        <c:axPos val="l"/>
        <c:numFmt formatCode="General" sourceLinked="1"/>
        <c:majorTickMark val="out"/>
        <c:minorTickMark val="none"/>
        <c:tickLblPos val="none"/>
        <c:crossAx val="550170624"/>
        <c:crosses val="autoZero"/>
        <c:crossBetween val="between"/>
      </c:valAx>
      <c:serAx>
        <c:axId val="550030848"/>
        <c:scaling>
          <c:orientation val="minMax"/>
        </c:scaling>
        <c:delete val="1"/>
        <c:axPos val="b"/>
        <c:majorTickMark val="out"/>
        <c:minorTickMark val="none"/>
        <c:tickLblPos val="none"/>
        <c:crossAx val="550172160"/>
        <c:crosses val="autoZero"/>
      </c:serAx>
    </c:plotArea>
    <c:legend>
      <c:legendPos val="r"/>
      <c:layout>
        <c:manualLayout>
          <c:xMode val="edge"/>
          <c:yMode val="edge"/>
          <c:x val="0.2360862092416505"/>
          <c:y val="0.91130352321674357"/>
          <c:w val="0.55667528099612973"/>
          <c:h val="8.5728218355884178E-2"/>
        </c:manualLayout>
      </c:layout>
      <c:overlay val="0"/>
      <c:txPr>
        <a:bodyPr/>
        <a:lstStyle/>
        <a:p>
          <a:pPr>
            <a:defRPr sz="700"/>
          </a:pPr>
          <a:endParaRPr lang="es-CO"/>
        </a:p>
      </c:txPr>
    </c:legend>
    <c:plotVisOnly val="1"/>
    <c:dispBlanksAs val="gap"/>
    <c:showDLblsOverMax val="0"/>
  </c:chart>
  <c:spPr>
    <a:noFill/>
    <a:ln>
      <a:solidFill>
        <a:sysClr val="window" lastClr="FFFFFF">
          <a:lumMod val="75000"/>
        </a:sysClr>
      </a:solid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30"/>
    </c:view3D>
    <c:floor>
      <c:thickness val="0"/>
    </c:floor>
    <c:sideWall>
      <c:thickness val="0"/>
    </c:sideWall>
    <c:backWall>
      <c:thickness val="0"/>
    </c:backWall>
    <c:plotArea>
      <c:layout>
        <c:manualLayout>
          <c:layoutTarget val="inner"/>
          <c:xMode val="edge"/>
          <c:yMode val="edge"/>
          <c:x val="5.4961575417916388E-2"/>
          <c:y val="6.2738749966134794E-2"/>
          <c:w val="0.82846032307605655"/>
          <c:h val="0.85893340492240544"/>
        </c:manualLayout>
      </c:layout>
      <c:pie3DChart>
        <c:varyColors val="1"/>
        <c:ser>
          <c:idx val="0"/>
          <c:order val="0"/>
          <c:tx>
            <c:strRef>
              <c:f>aseo!$D$2</c:f>
              <c:strCache>
                <c:ptCount val="1"/>
                <c:pt idx="0">
                  <c:v>COBERTURA DEL SERVICIO  DE ASEO %</c:v>
                </c:pt>
              </c:strCache>
            </c:strRef>
          </c:tx>
          <c:explosion val="25"/>
          <c:dPt>
            <c:idx val="3"/>
            <c:bubble3D val="0"/>
            <c:spPr>
              <a:solidFill>
                <a:srgbClr val="FCF600"/>
              </a:solidFill>
            </c:spPr>
          </c:dPt>
          <c:dPt>
            <c:idx val="7"/>
            <c:bubble3D val="0"/>
            <c:spPr>
              <a:solidFill>
                <a:schemeClr val="accent2">
                  <a:lumMod val="40000"/>
                  <a:lumOff val="60000"/>
                </a:schemeClr>
              </a:solidFill>
            </c:spPr>
          </c:dPt>
          <c:dLbls>
            <c:txPr>
              <a:bodyPr/>
              <a:lstStyle/>
              <a:p>
                <a:pPr>
                  <a:defRPr sz="500" b="1"/>
                </a:pPr>
                <a:endParaRPr lang="es-CO"/>
              </a:p>
            </c:txPr>
            <c:showLegendKey val="0"/>
            <c:showVal val="1"/>
            <c:showCatName val="0"/>
            <c:showSerName val="0"/>
            <c:showPercent val="0"/>
            <c:showBubbleSize val="0"/>
            <c:showLeaderLines val="1"/>
          </c:dLbls>
          <c:cat>
            <c:strRef>
              <c:f>aseo!$B$3:$B$14</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aseo!$D$3:$D$14</c:f>
              <c:numCache>
                <c:formatCode>0%</c:formatCode>
                <c:ptCount val="12"/>
                <c:pt idx="0">
                  <c:v>1</c:v>
                </c:pt>
                <c:pt idx="1">
                  <c:v>1</c:v>
                </c:pt>
                <c:pt idx="2" formatCode="0.00%">
                  <c:v>0.87020000000000064</c:v>
                </c:pt>
                <c:pt idx="3">
                  <c:v>1</c:v>
                </c:pt>
                <c:pt idx="4">
                  <c:v>1</c:v>
                </c:pt>
                <c:pt idx="5">
                  <c:v>1</c:v>
                </c:pt>
                <c:pt idx="6">
                  <c:v>1</c:v>
                </c:pt>
                <c:pt idx="7">
                  <c:v>1</c:v>
                </c:pt>
                <c:pt idx="8">
                  <c:v>1</c:v>
                </c:pt>
                <c:pt idx="9">
                  <c:v>1</c:v>
                </c:pt>
                <c:pt idx="10">
                  <c:v>1</c:v>
                </c:pt>
                <c:pt idx="11">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883650942304251"/>
          <c:y val="2.5362952072248645E-3"/>
          <c:w val="0.19006278705402621"/>
          <c:h val="0.95678928930281615"/>
        </c:manualLayout>
      </c:layout>
      <c:overlay val="0"/>
      <c:txPr>
        <a:bodyPr/>
        <a:lstStyle/>
        <a:p>
          <a:pPr>
            <a:defRPr sz="550">
              <a:latin typeface="Times New Roman" pitchFamily="18" charset="0"/>
              <a:cs typeface="Times New Roman" pitchFamily="18" charset="0"/>
            </a:defRPr>
          </a:pPr>
          <a:endParaRPr lang="es-CO"/>
        </a:p>
      </c:txPr>
    </c:legend>
    <c:plotVisOnly val="1"/>
    <c:dispBlanksAs val="gap"/>
    <c:showDLblsOverMax val="0"/>
  </c:chart>
  <c:spPr>
    <a:ln>
      <a:solidFill>
        <a:sysClr val="window" lastClr="FFFFFF">
          <a:lumMod val="75000"/>
        </a:sysClr>
      </a:solid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CO"/>
  <c:roundedCorners val="1"/>
  <c:style val="2"/>
  <c:chart>
    <c:autoTitleDeleted val="1"/>
    <c:view3D>
      <c:rotX val="40"/>
      <c:rotY val="0"/>
      <c:rAngAx val="1"/>
    </c:view3D>
    <c:floor>
      <c:thickness val="0"/>
    </c:floor>
    <c:sideWall>
      <c:thickness val="0"/>
    </c:sideWall>
    <c:backWall>
      <c:thickness val="0"/>
    </c:backWall>
    <c:plotArea>
      <c:layout>
        <c:manualLayout>
          <c:layoutTarget val="inner"/>
          <c:xMode val="edge"/>
          <c:yMode val="edge"/>
          <c:x val="0.12696617581802566"/>
          <c:y val="8.0494421412871095E-2"/>
          <c:w val="0.73899095207310805"/>
          <c:h val="0.83507507674614878"/>
        </c:manualLayout>
      </c:layout>
      <c:pie3DChart>
        <c:varyColors val="1"/>
        <c:ser>
          <c:idx val="0"/>
          <c:order val="0"/>
          <c:tx>
            <c:strRef>
              <c:f>Hoja3!$L$4</c:f>
              <c:strCache>
                <c:ptCount val="1"/>
                <c:pt idx="0">
                  <c:v>TOTAL</c:v>
                </c:pt>
              </c:strCache>
            </c:strRef>
          </c:tx>
          <c:dPt>
            <c:idx val="0"/>
            <c:bubble3D val="0"/>
            <c:spPr>
              <a:solidFill>
                <a:schemeClr val="accent2">
                  <a:lumMod val="75000"/>
                </a:schemeClr>
              </a:solidFill>
            </c:spPr>
          </c:dPt>
          <c:dPt>
            <c:idx val="1"/>
            <c:bubble3D val="0"/>
            <c:spPr>
              <a:solidFill>
                <a:schemeClr val="accent1">
                  <a:lumMod val="75000"/>
                </a:schemeClr>
              </a:solidFill>
            </c:spPr>
          </c:dPt>
          <c:dPt>
            <c:idx val="2"/>
            <c:bubble3D val="0"/>
            <c:spPr>
              <a:solidFill>
                <a:schemeClr val="bg2">
                  <a:lumMod val="50000"/>
                </a:schemeClr>
              </a:solidFill>
            </c:spPr>
          </c:dPt>
          <c:dLbls>
            <c:dLbl>
              <c:idx val="0"/>
              <c:layout>
                <c:manualLayout>
                  <c:x val="-2.3620159960744569E-2"/>
                  <c:y val="1.3285662613728062E-3"/>
                </c:manualLayout>
              </c:layout>
              <c:tx>
                <c:rich>
                  <a:bodyPr/>
                  <a:lstStyle/>
                  <a:p>
                    <a:r>
                      <a:rPr lang="en-US"/>
                      <a:t> 1%</a:t>
                    </a:r>
                  </a:p>
                </c:rich>
              </c:tx>
              <c:showLegendKey val="1"/>
              <c:showVal val="1"/>
              <c:showCatName val="1"/>
              <c:showSerName val="1"/>
              <c:showPercent val="1"/>
              <c:showBubbleSize val="1"/>
            </c:dLbl>
            <c:dLbl>
              <c:idx val="1"/>
              <c:layout>
                <c:manualLayout>
                  <c:x val="-0.24981409754057932"/>
                  <c:y val="-0.38863782627181548"/>
                </c:manualLayout>
              </c:layout>
              <c:tx>
                <c:rich>
                  <a:bodyPr/>
                  <a:lstStyle/>
                  <a:p>
                    <a:r>
                      <a:rPr lang="en-US"/>
                      <a:t>78%</a:t>
                    </a:r>
                  </a:p>
                </c:rich>
              </c:tx>
              <c:showLegendKey val="1"/>
              <c:showVal val="1"/>
              <c:showCatName val="1"/>
              <c:showSerName val="1"/>
              <c:showPercent val="1"/>
              <c:showBubbleSize val="1"/>
            </c:dLbl>
            <c:dLbl>
              <c:idx val="2"/>
              <c:layout>
                <c:manualLayout>
                  <c:x val="0.1014107115703736"/>
                  <c:y val="8.9875692621755626E-2"/>
                </c:manualLayout>
              </c:layout>
              <c:tx>
                <c:rich>
                  <a:bodyPr/>
                  <a:lstStyle/>
                  <a:p>
                    <a:r>
                      <a:rPr lang="en-US"/>
                      <a:t>21%</a:t>
                    </a:r>
                  </a:p>
                </c:rich>
              </c:tx>
              <c:showLegendKey val="1"/>
              <c:showVal val="1"/>
              <c:showCatName val="1"/>
              <c:showSerName val="1"/>
              <c:showPercent val="1"/>
              <c:showBubbleSize val="1"/>
            </c:dLbl>
            <c:txPr>
              <a:bodyPr/>
              <a:lstStyle/>
              <a:p>
                <a:pPr>
                  <a:defRPr lang="es-MX" sz="800" b="0">
                    <a:latin typeface="Times New Roman" panose="02020603050405020304" pitchFamily="18" charset="0"/>
                    <a:cs typeface="Times New Roman" panose="02020603050405020304" pitchFamily="18" charset="0"/>
                  </a:defRPr>
                </a:pPr>
                <a:endParaRPr lang="es-CO"/>
              </a:p>
            </c:txPr>
            <c:showLegendKey val="1"/>
            <c:showVal val="1"/>
            <c:showCatName val="1"/>
            <c:showSerName val="1"/>
            <c:showPercent val="1"/>
            <c:showBubbleSize val="1"/>
            <c:showLeaderLines val="1"/>
          </c:dLbls>
          <c:cat>
            <c:strRef>
              <c:f>Hoja3!$F$5:$F$7</c:f>
              <c:strCache>
                <c:ptCount val="3"/>
                <c:pt idx="0">
                  <c:v>Oficial</c:v>
                </c:pt>
                <c:pt idx="1">
                  <c:v>Particular</c:v>
                </c:pt>
                <c:pt idx="2">
                  <c:v>Público</c:v>
                </c:pt>
              </c:strCache>
            </c:strRef>
          </c:cat>
          <c:val>
            <c:numRef>
              <c:f>Hoja3!$L$5:$L$7</c:f>
              <c:numCache>
                <c:formatCode>General</c:formatCode>
                <c:ptCount val="3"/>
                <c:pt idx="0">
                  <c:v>60</c:v>
                </c:pt>
                <c:pt idx="1">
                  <c:v>4391</c:v>
                </c:pt>
                <c:pt idx="2">
                  <c:v>1207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7.7554660402150449E-2"/>
          <c:y val="0.92360637212015162"/>
          <c:w val="0.82322331788951075"/>
          <c:h val="6.4823928258967781E-2"/>
        </c:manualLayout>
      </c:layout>
      <c:overlay val="1"/>
      <c:txPr>
        <a:bodyPr/>
        <a:lstStyle/>
        <a:p>
          <a:pPr>
            <a:defRPr lang="es-MX" sz="900" b="0">
              <a:latin typeface="Times New Roman" panose="02020603050405020304" pitchFamily="18" charset="0"/>
              <a:cs typeface="Times New Roman" panose="02020603050405020304" pitchFamily="18" charset="0"/>
            </a:defRPr>
          </a:pPr>
          <a:endParaRPr lang="es-CO"/>
        </a:p>
      </c:txPr>
    </c:legend>
    <c:plotVisOnly val="1"/>
    <c:dispBlanksAs val="zero"/>
    <c:showDLblsOverMax val="1"/>
  </c:chart>
  <c:spPr>
    <a:ln>
      <a:solidFill>
        <a:sysClr val="window" lastClr="FFFFFF">
          <a:lumMod val="85000"/>
        </a:sysClr>
      </a:solidFill>
    </a:ln>
  </c:spPr>
  <c:externalData r:id="rId1">
    <c:autoUpdate val="1"/>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CO"/>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11493912422475741"/>
          <c:y val="8.7184898303156776E-4"/>
          <c:w val="0.78231106860194566"/>
          <c:h val="0.99825630203393656"/>
        </c:manualLayout>
      </c:layout>
      <c:pie3DChart>
        <c:varyColors val="1"/>
        <c:ser>
          <c:idx val="0"/>
          <c:order val="0"/>
          <c:dLbls>
            <c:dLbl>
              <c:idx val="0"/>
              <c:layout>
                <c:manualLayout>
                  <c:x val="-0.27248416795829106"/>
                  <c:y val="-0.1418086104173292"/>
                </c:manualLayout>
              </c:layout>
              <c:tx>
                <c:rich>
                  <a:bodyPr/>
                  <a:lstStyle/>
                  <a:p>
                    <a:r>
                      <a:rPr lang="en-US"/>
                      <a:t>52%</a:t>
                    </a:r>
                  </a:p>
                </c:rich>
              </c:tx>
              <c:showLegendKey val="1"/>
              <c:showVal val="1"/>
              <c:showCatName val="1"/>
              <c:showSerName val="1"/>
              <c:showPercent val="1"/>
              <c:showBubbleSize val="1"/>
            </c:dLbl>
            <c:dLbl>
              <c:idx val="1"/>
              <c:tx>
                <c:rich>
                  <a:bodyPr/>
                  <a:lstStyle/>
                  <a:p>
                    <a:r>
                      <a:rPr lang="en-US"/>
                      <a:t>48%</a:t>
                    </a:r>
                  </a:p>
                </c:rich>
              </c:tx>
              <c:showLegendKey val="1"/>
              <c:showVal val="1"/>
              <c:showCatName val="1"/>
              <c:showSerName val="1"/>
              <c:showPercent val="1"/>
              <c:showBubbleSize val="1"/>
            </c:dLbl>
            <c:txPr>
              <a:bodyPr/>
              <a:lstStyle/>
              <a:p>
                <a:pPr>
                  <a:defRPr lang="es-MX" sz="700" b="0">
                    <a:latin typeface="Times New Roman" panose="02020603050405020304" pitchFamily="18" charset="0"/>
                    <a:cs typeface="Times New Roman" panose="02020603050405020304" pitchFamily="18" charset="0"/>
                  </a:defRPr>
                </a:pPr>
                <a:endParaRPr lang="es-CO"/>
              </a:p>
            </c:txPr>
            <c:showLegendKey val="1"/>
            <c:showVal val="1"/>
            <c:showCatName val="1"/>
            <c:showSerName val="1"/>
            <c:showPercent val="1"/>
            <c:showBubbleSize val="1"/>
            <c:showLeaderLines val="1"/>
          </c:dLbls>
          <c:cat>
            <c:strRef>
              <c:f>Hoja5!$O$5:$P$5</c:f>
              <c:strCache>
                <c:ptCount val="2"/>
                <c:pt idx="0">
                  <c:v>2013</c:v>
                </c:pt>
                <c:pt idx="1">
                  <c:v>2012</c:v>
                </c:pt>
              </c:strCache>
            </c:strRef>
          </c:cat>
          <c:val>
            <c:numRef>
              <c:f>Hoja5!$O$6:$P$6</c:f>
              <c:numCache>
                <c:formatCode>#,##0</c:formatCode>
                <c:ptCount val="2"/>
                <c:pt idx="0">
                  <c:v>1684419</c:v>
                </c:pt>
                <c:pt idx="1">
                  <c:v>1530733</c:v>
                </c:pt>
              </c:numCache>
            </c:numRef>
          </c:val>
        </c:ser>
        <c:ser>
          <c:idx val="1"/>
          <c:order val="1"/>
          <c:cat>
            <c:strRef>
              <c:f>Hoja5!$O$5:$P$5</c:f>
              <c:strCache>
                <c:ptCount val="2"/>
                <c:pt idx="0">
                  <c:v>2013</c:v>
                </c:pt>
                <c:pt idx="1">
                  <c:v>2012</c:v>
                </c:pt>
              </c:strCache>
            </c:strRef>
          </c:cat>
          <c:val>
            <c:numRef>
              <c:f>Hoja5!$O$7:$P$7</c:f>
              <c:numCache>
                <c:formatCode>#,##0</c:formatCode>
                <c:ptCount val="2"/>
                <c:pt idx="0">
                  <c:v>307619</c:v>
                </c:pt>
                <c:pt idx="1">
                  <c:v>324184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9466195616158924"/>
          <c:y val="0.83923093969360762"/>
          <c:w val="0.43828624696197088"/>
          <c:h val="0.10215783971242449"/>
        </c:manualLayout>
      </c:layout>
      <c:overlay val="1"/>
      <c:txPr>
        <a:bodyPr/>
        <a:lstStyle/>
        <a:p>
          <a:pPr>
            <a:defRPr lang="es-MX" sz="700"/>
          </a:pPr>
          <a:endParaRPr lang="es-CO"/>
        </a:p>
      </c:txPr>
    </c:legend>
    <c:plotVisOnly val="1"/>
    <c:dispBlanksAs val="zero"/>
    <c:showDLblsOverMax val="1"/>
  </c:chart>
  <c:externalData r:id="rId1">
    <c:autoUpdate val="1"/>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CO"/>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tx>
            <c:strRef>
              <c:f>Hoja5!$I$12</c:f>
              <c:strCache>
                <c:ptCount val="1"/>
                <c:pt idx="0">
                  <c:v>PASAJEROS</c:v>
                </c:pt>
              </c:strCache>
            </c:strRef>
          </c:tx>
          <c:dLbls>
            <c:dLbl>
              <c:idx val="0"/>
              <c:layout>
                <c:manualLayout>
                  <c:x val="-0.29215758899612326"/>
                  <c:y val="-0.13037437817050976"/>
                </c:manualLayout>
              </c:layout>
              <c:tx>
                <c:rich>
                  <a:bodyPr/>
                  <a:lstStyle/>
                  <a:p>
                    <a:pPr>
                      <a:defRPr sz="800" b="0"/>
                    </a:pPr>
                    <a:r>
                      <a:rPr lang="en-US" b="0"/>
                      <a:t>53%</a:t>
                    </a:r>
                  </a:p>
                </c:rich>
              </c:tx>
              <c:spPr/>
              <c:showLegendKey val="1"/>
              <c:showVal val="1"/>
              <c:showCatName val="1"/>
              <c:showSerName val="1"/>
              <c:showPercent val="1"/>
              <c:showBubbleSize val="1"/>
            </c:dLbl>
            <c:dLbl>
              <c:idx val="1"/>
              <c:layout>
                <c:manualLayout>
                  <c:x val="0.21806705921603761"/>
                  <c:y val="2.8217795723504639E-3"/>
                </c:manualLayout>
              </c:layout>
              <c:tx>
                <c:rich>
                  <a:bodyPr/>
                  <a:lstStyle/>
                  <a:p>
                    <a:pPr>
                      <a:defRPr sz="800" b="0"/>
                    </a:pPr>
                    <a:r>
                      <a:rPr lang="en-US" b="0"/>
                      <a:t>47%</a:t>
                    </a:r>
                  </a:p>
                </c:rich>
              </c:tx>
              <c:spPr/>
              <c:showLegendKey val="1"/>
              <c:showVal val="1"/>
              <c:showCatName val="1"/>
              <c:showSerName val="1"/>
              <c:showPercent val="1"/>
              <c:showBubbleSize val="1"/>
            </c:dLbl>
            <c:dLbl>
              <c:idx val="2"/>
              <c:delete val="1"/>
            </c:dLbl>
            <c:txPr>
              <a:bodyPr/>
              <a:lstStyle/>
              <a:p>
                <a:pPr>
                  <a:defRPr sz="800" b="1"/>
                </a:pPr>
                <a:endParaRPr lang="es-CO"/>
              </a:p>
            </c:txPr>
            <c:showLegendKey val="1"/>
            <c:showVal val="1"/>
            <c:showCatName val="1"/>
            <c:showSerName val="1"/>
            <c:showPercent val="1"/>
            <c:showBubbleSize val="1"/>
            <c:showLeaderLines val="1"/>
          </c:dLbls>
          <c:cat>
            <c:numRef>
              <c:f>Hoja5!$H$13:$H$15</c:f>
              <c:numCache>
                <c:formatCode>General</c:formatCode>
                <c:ptCount val="3"/>
                <c:pt idx="0">
                  <c:v>2011</c:v>
                </c:pt>
                <c:pt idx="1">
                  <c:v>2012</c:v>
                </c:pt>
                <c:pt idx="2">
                  <c:v>2013</c:v>
                </c:pt>
              </c:numCache>
            </c:numRef>
          </c:cat>
          <c:val>
            <c:numRef>
              <c:f>Hoja5!$I$13:$I$15</c:f>
              <c:numCache>
                <c:formatCode>#,##0</c:formatCode>
                <c:ptCount val="3"/>
                <c:pt idx="0">
                  <c:v>3018103</c:v>
                </c:pt>
                <c:pt idx="1">
                  <c:v>2726682</c:v>
                </c:pt>
                <c:pt idx="2">
                  <c:v>1</c:v>
                </c:pt>
              </c:numCache>
            </c:numRef>
          </c:val>
        </c:ser>
        <c:dLbls>
          <c:showLegendKey val="0"/>
          <c:showVal val="0"/>
          <c:showCatName val="0"/>
          <c:showSerName val="0"/>
          <c:showPercent val="0"/>
          <c:showBubbleSize val="0"/>
          <c:showLeaderLines val="1"/>
        </c:dLbls>
      </c:pie3DChart>
    </c:plotArea>
    <c:legend>
      <c:legendPos val="r"/>
      <c:legendEntry>
        <c:idx val="2"/>
        <c:delete val="1"/>
      </c:legendEntry>
      <c:layout>
        <c:manualLayout>
          <c:xMode val="edge"/>
          <c:yMode val="edge"/>
          <c:x val="0.23944878830203953"/>
          <c:y val="0.85320373646006498"/>
          <c:w val="0.52993984397409533"/>
          <c:h val="0.12893835201212223"/>
        </c:manualLayout>
      </c:layout>
      <c:overlay val="1"/>
      <c:txPr>
        <a:bodyPr/>
        <a:lstStyle/>
        <a:p>
          <a:pPr rtl="0">
            <a:defRPr sz="700"/>
          </a:pPr>
          <a:endParaRPr lang="es-CO"/>
        </a:p>
      </c:txPr>
    </c:legend>
    <c:plotVisOnly val="1"/>
    <c:dispBlanksAs val="zero"/>
    <c:showDLblsOverMax val="1"/>
  </c:chart>
  <c:externalData r:id="rId1">
    <c:autoUpdate val="1"/>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[GRAFICOS.xlsx]ICCV!$D$9</c:f>
              <c:strCache>
                <c:ptCount val="1"/>
                <c:pt idx="0">
                  <c:v>ICCV</c:v>
                </c:pt>
              </c:strCache>
            </c:strRef>
          </c:tx>
          <c:spPr>
            <a:ln w="3175">
              <a:solidFill>
                <a:schemeClr val="accent1">
                  <a:lumMod val="50000"/>
                </a:schemeClr>
              </a:solidFill>
            </a:ln>
          </c:spPr>
          <c:marker>
            <c:symbol val="diamond"/>
            <c:size val="4"/>
            <c:spPr>
              <a:solidFill>
                <a:schemeClr val="tx1">
                  <a:lumMod val="95000"/>
                  <a:lumOff val="5000"/>
                </a:schemeClr>
              </a:solidFill>
              <a:ln>
                <a:solidFill>
                  <a:schemeClr val="accent6">
                    <a:lumMod val="75000"/>
                  </a:schemeClr>
                </a:solidFill>
              </a:ln>
            </c:spPr>
          </c:marker>
          <c:cat>
            <c:strRef>
              <c:f>[GRAFICOS.xlsx]ICCV!$C$10:$C$21</c:f>
              <c:strCache>
                <c:ptCount val="12"/>
                <c:pt idx="0">
                  <c:v>Enero</c:v>
                </c:pt>
                <c:pt idx="1">
                  <c:v>Febrero</c:v>
                </c:pt>
                <c:pt idx="2">
                  <c:v>Marzo</c:v>
                </c:pt>
                <c:pt idx="3">
                  <c:v>Abril</c:v>
                </c:pt>
                <c:pt idx="4">
                  <c:v>Mayo</c:v>
                </c:pt>
                <c:pt idx="5">
                  <c:v>Junio</c:v>
                </c:pt>
                <c:pt idx="6">
                  <c:v>Julio</c:v>
                </c:pt>
                <c:pt idx="7">
                  <c:v>Agosto</c:v>
                </c:pt>
                <c:pt idx="8">
                  <c:v>Sept</c:v>
                </c:pt>
                <c:pt idx="9">
                  <c:v>Oct</c:v>
                </c:pt>
                <c:pt idx="10">
                  <c:v>Nov</c:v>
                </c:pt>
                <c:pt idx="11">
                  <c:v>Dic</c:v>
                </c:pt>
              </c:strCache>
            </c:strRef>
          </c:cat>
          <c:val>
            <c:numRef>
              <c:f>[GRAFICOS.xlsx]ICCV!$D$10:$D$21</c:f>
              <c:numCache>
                <c:formatCode>General</c:formatCode>
                <c:ptCount val="12"/>
                <c:pt idx="0">
                  <c:v>1.21</c:v>
                </c:pt>
                <c:pt idx="1">
                  <c:v>0.33</c:v>
                </c:pt>
                <c:pt idx="2">
                  <c:v>-0.06</c:v>
                </c:pt>
                <c:pt idx="3">
                  <c:v>-0.06</c:v>
                </c:pt>
                <c:pt idx="4">
                  <c:v>-0.11</c:v>
                </c:pt>
                <c:pt idx="5">
                  <c:v>-0.19</c:v>
                </c:pt>
                <c:pt idx="6">
                  <c:v>0.02</c:v>
                </c:pt>
                <c:pt idx="7">
                  <c:v>0.06</c:v>
                </c:pt>
                <c:pt idx="8">
                  <c:v>0.51</c:v>
                </c:pt>
                <c:pt idx="9">
                  <c:v>0.08</c:v>
                </c:pt>
                <c:pt idx="10">
                  <c:v>0.17</c:v>
                </c:pt>
                <c:pt idx="11">
                  <c:v>7.0000000000000007E-2</c:v>
                </c:pt>
              </c:numCache>
            </c:numRef>
          </c:val>
          <c:smooth val="1"/>
        </c:ser>
        <c:dLbls>
          <c:showLegendKey val="0"/>
          <c:showVal val="0"/>
          <c:showCatName val="0"/>
          <c:showSerName val="0"/>
          <c:showPercent val="0"/>
          <c:showBubbleSize val="0"/>
        </c:dLbls>
        <c:marker val="1"/>
        <c:smooth val="0"/>
        <c:axId val="550309248"/>
        <c:axId val="550327808"/>
      </c:lineChart>
      <c:catAx>
        <c:axId val="550309248"/>
        <c:scaling>
          <c:orientation val="minMax"/>
        </c:scaling>
        <c:delete val="0"/>
        <c:axPos val="b"/>
        <c:majorTickMark val="none"/>
        <c:minorTickMark val="none"/>
        <c:tickLblPos val="nextTo"/>
        <c:txPr>
          <a:bodyPr/>
          <a:lstStyle/>
          <a:p>
            <a:pPr>
              <a:defRPr sz="800" b="1"/>
            </a:pPr>
            <a:endParaRPr lang="es-CO"/>
          </a:p>
        </c:txPr>
        <c:crossAx val="550327808"/>
        <c:crosses val="autoZero"/>
        <c:auto val="1"/>
        <c:lblAlgn val="ctr"/>
        <c:lblOffset val="100"/>
        <c:noMultiLvlLbl val="0"/>
      </c:catAx>
      <c:valAx>
        <c:axId val="550327808"/>
        <c:scaling>
          <c:orientation val="minMax"/>
        </c:scaling>
        <c:delete val="0"/>
        <c:axPos val="l"/>
        <c:numFmt formatCode="General" sourceLinked="1"/>
        <c:majorTickMark val="none"/>
        <c:minorTickMark val="none"/>
        <c:tickLblPos val="nextTo"/>
        <c:txPr>
          <a:bodyPr/>
          <a:lstStyle/>
          <a:p>
            <a:pPr>
              <a:defRPr sz="800" b="1"/>
            </a:pPr>
            <a:endParaRPr lang="es-CO"/>
          </a:p>
        </c:txPr>
        <c:crossAx val="550309248"/>
        <c:crosses val="autoZero"/>
        <c:crossBetween val="between"/>
      </c:valAx>
      <c:dTable>
        <c:showHorzBorder val="1"/>
        <c:showVertBorder val="1"/>
        <c:showOutline val="1"/>
        <c:showKeys val="1"/>
        <c:txPr>
          <a:bodyPr/>
          <a:lstStyle/>
          <a:p>
            <a:pPr rtl="0">
              <a:defRPr sz="800" b="1"/>
            </a:pPr>
            <a:endParaRPr lang="es-CO"/>
          </a:p>
        </c:txPr>
      </c:dTable>
      <c:spPr>
        <a:noFill/>
        <a:ln>
          <a:noFill/>
        </a:ln>
      </c:spPr>
    </c:plotArea>
    <c:plotVisOnly val="1"/>
    <c:dispBlanksAs val="gap"/>
    <c:showDLblsOverMax val="0"/>
  </c:chart>
  <c:spPr>
    <a:ln>
      <a:solidFill>
        <a:schemeClr val="bg1">
          <a:lumMod val="6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93651265289991"/>
          <c:y val="8.2681745318747904E-2"/>
          <c:w val="0.74301586427570765"/>
          <c:h val="0.68008518935132956"/>
        </c:manualLayout>
      </c:layout>
      <c:barChart>
        <c:barDir val="bar"/>
        <c:grouping val="clustered"/>
        <c:varyColors val="0"/>
        <c:ser>
          <c:idx val="0"/>
          <c:order val="0"/>
          <c:tx>
            <c:strRef>
              <c:f>'Periodos Censales'!$I$72</c:f>
              <c:strCache>
                <c:ptCount val="1"/>
                <c:pt idx="0">
                  <c:v>Hombres</c:v>
                </c:pt>
              </c:strCache>
            </c:strRef>
          </c:tx>
          <c:invertIfNegative val="0"/>
          <c:cat>
            <c:strRef>
              <c:f>'Periodos Censales'!$H$73:$H$89</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'Periodos Censales'!$I$73:$I$89</c:f>
              <c:numCache>
                <c:formatCode>0.0%</c:formatCode>
                <c:ptCount val="17"/>
                <c:pt idx="0">
                  <c:v>-8.5892141891325491E-2</c:v>
                </c:pt>
                <c:pt idx="1">
                  <c:v>-8.4667558377282306E-2</c:v>
                </c:pt>
                <c:pt idx="2">
                  <c:v>-8.6562747149016545E-2</c:v>
                </c:pt>
                <c:pt idx="3">
                  <c:v>-9.1960390554671631E-2</c:v>
                </c:pt>
                <c:pt idx="4">
                  <c:v>-8.9908484249887927E-2</c:v>
                </c:pt>
                <c:pt idx="5">
                  <c:v>-7.5304596926150033E-2</c:v>
                </c:pt>
                <c:pt idx="6">
                  <c:v>-6.542045856279087E-2</c:v>
                </c:pt>
                <c:pt idx="7">
                  <c:v>-6.1072458169174747E-2</c:v>
                </c:pt>
                <c:pt idx="8">
                  <c:v>-6.0799113634789827E-2</c:v>
                </c:pt>
                <c:pt idx="9">
                  <c:v>-6.4487442552090393E-2</c:v>
                </c:pt>
                <c:pt idx="10">
                  <c:v>-6.0139442158474228E-2</c:v>
                </c:pt>
                <c:pt idx="11">
                  <c:v>-5.1006090116226588E-2</c:v>
                </c:pt>
                <c:pt idx="12">
                  <c:v>-4.0939722063277395E-2</c:v>
                </c:pt>
                <c:pt idx="13">
                  <c:v>-3.016994740851181E-2</c:v>
                </c:pt>
                <c:pt idx="14">
                  <c:v>-2.1612441185367686E-2</c:v>
                </c:pt>
                <c:pt idx="15">
                  <c:v>-1.5700910055069815E-2</c:v>
                </c:pt>
                <c:pt idx="16">
                  <c:v>-1.4356054945896006E-2</c:v>
                </c:pt>
              </c:numCache>
            </c:numRef>
          </c:val>
        </c:ser>
        <c:ser>
          <c:idx val="1"/>
          <c:order val="1"/>
          <c:tx>
            <c:strRef>
              <c:f>'Periodos Censales'!$J$72</c:f>
              <c:strCache>
                <c:ptCount val="1"/>
                <c:pt idx="0">
                  <c:v>Mujeres</c:v>
                </c:pt>
              </c:strCache>
            </c:strRef>
          </c:tx>
          <c:invertIfNegative val="0"/>
          <c:cat>
            <c:strRef>
              <c:f>'Periodos Censales'!$H$73:$H$89</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'Periodos Censales'!$J$73:$J$89</c:f>
              <c:numCache>
                <c:formatCode>0.0%</c:formatCode>
                <c:ptCount val="17"/>
                <c:pt idx="0">
                  <c:v>7.8751888681963506E-2</c:v>
                </c:pt>
                <c:pt idx="1">
                  <c:v>7.8129941319090623E-2</c:v>
                </c:pt>
                <c:pt idx="2">
                  <c:v>7.9967672792438743E-2</c:v>
                </c:pt>
                <c:pt idx="3">
                  <c:v>8.5301662040127943E-2</c:v>
                </c:pt>
                <c:pt idx="4">
                  <c:v>8.3952352507115566E-2</c:v>
                </c:pt>
                <c:pt idx="5">
                  <c:v>7.2985698724480838E-2</c:v>
                </c:pt>
                <c:pt idx="6">
                  <c:v>6.7353034189536448E-2</c:v>
                </c:pt>
                <c:pt idx="7">
                  <c:v>6.1867950384764052E-2</c:v>
                </c:pt>
                <c:pt idx="8">
                  <c:v>6.3182121648687584E-2</c:v>
                </c:pt>
                <c:pt idx="9">
                  <c:v>6.9092378509434824E-2</c:v>
                </c:pt>
                <c:pt idx="10">
                  <c:v>6.4239783548262416E-2</c:v>
                </c:pt>
                <c:pt idx="11">
                  <c:v>5.4987877297164339E-2</c:v>
                </c:pt>
                <c:pt idx="12">
                  <c:v>4.4453424224323308E-2</c:v>
                </c:pt>
                <c:pt idx="13">
                  <c:v>3.3265399346428193E-2</c:v>
                </c:pt>
                <c:pt idx="14">
                  <c:v>2.4751396746196284E-2</c:v>
                </c:pt>
                <c:pt idx="15">
                  <c:v>1.8700586809093783E-2</c:v>
                </c:pt>
                <c:pt idx="16">
                  <c:v>1.9016831230893583E-2</c:v>
                </c:pt>
              </c:numCache>
            </c:numRef>
          </c:val>
        </c:ser>
        <c:dLbls>
          <c:showLegendKey val="0"/>
          <c:showVal val="0"/>
          <c:showCatName val="0"/>
          <c:showSerName val="0"/>
          <c:showPercent val="0"/>
          <c:showBubbleSize val="0"/>
        </c:dLbls>
        <c:gapWidth val="0"/>
        <c:overlap val="100"/>
        <c:axId val="157576192"/>
        <c:axId val="157582080"/>
      </c:barChart>
      <c:catAx>
        <c:axId val="157576192"/>
        <c:scaling>
          <c:orientation val="minMax"/>
        </c:scaling>
        <c:delete val="0"/>
        <c:axPos val="l"/>
        <c:majorTickMark val="out"/>
        <c:minorTickMark val="none"/>
        <c:tickLblPos val="low"/>
        <c:txPr>
          <a:bodyPr/>
          <a:lstStyle/>
          <a:p>
            <a:pPr>
              <a:defRPr lang="es-MX" sz="600"/>
            </a:pPr>
            <a:endParaRPr lang="es-CO"/>
          </a:p>
        </c:txPr>
        <c:crossAx val="157582080"/>
        <c:crosses val="autoZero"/>
        <c:auto val="1"/>
        <c:lblAlgn val="ctr"/>
        <c:lblOffset val="10"/>
        <c:tickLblSkip val="1"/>
        <c:noMultiLvlLbl val="0"/>
      </c:catAx>
      <c:valAx>
        <c:axId val="157582080"/>
        <c:scaling>
          <c:orientation val="minMax"/>
          <c:min val="-0.12000000000000002"/>
        </c:scaling>
        <c:delete val="0"/>
        <c:axPos val="b"/>
        <c:numFmt formatCode="0.0%;[Red]#,##0.0%" sourceLinked="0"/>
        <c:majorTickMark val="out"/>
        <c:minorTickMark val="none"/>
        <c:tickLblPos val="nextTo"/>
        <c:txPr>
          <a:bodyPr/>
          <a:lstStyle/>
          <a:p>
            <a:pPr>
              <a:defRPr lang="es-MX"/>
            </a:pPr>
            <a:endParaRPr lang="es-CO"/>
          </a:p>
        </c:txPr>
        <c:crossAx val="157576192"/>
        <c:crossesAt val="1"/>
        <c:crossBetween val="midCat"/>
      </c:valAx>
    </c:plotArea>
    <c:legend>
      <c:legendPos val="r"/>
      <c:layout>
        <c:manualLayout>
          <c:xMode val="edge"/>
          <c:yMode val="edge"/>
          <c:x val="0.1802648731408574"/>
          <c:y val="0.88112191881164459"/>
          <c:w val="0.60862401574803582"/>
          <c:h val="8.1046485401988125E-2"/>
        </c:manualLayout>
      </c:layout>
      <c:overlay val="0"/>
      <c:txPr>
        <a:bodyPr/>
        <a:lstStyle/>
        <a:p>
          <a:pPr>
            <a:defRPr lang="es-MX"/>
          </a:pPr>
          <a:endParaRPr lang="es-CO"/>
        </a:p>
      </c:txPr>
    </c:legend>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80"/>
      <c:rAngAx val="0"/>
      <c:perspective val="30"/>
    </c:view3D>
    <c:floor>
      <c:thickness val="0"/>
      <c:spPr>
        <a:ln>
          <a:solidFill>
            <a:schemeClr val="bg1">
              <a:lumMod val="65000"/>
            </a:schemeClr>
          </a:solidFill>
        </a:ln>
      </c:spPr>
    </c:floor>
    <c:sideWall>
      <c:thickness val="0"/>
    </c:sideWall>
    <c:backWall>
      <c:thickness val="0"/>
    </c:backWall>
    <c:plotArea>
      <c:layout>
        <c:manualLayout>
          <c:layoutTarget val="inner"/>
          <c:xMode val="edge"/>
          <c:yMode val="edge"/>
          <c:x val="0.14342495423366192"/>
          <c:y val="9.5471668982553645E-2"/>
          <c:w val="0.85657513528528118"/>
          <c:h val="0.79823992589161397"/>
        </c:manualLayout>
      </c:layout>
      <c:bar3DChart>
        <c:barDir val="col"/>
        <c:grouping val="clustered"/>
        <c:varyColors val="0"/>
        <c:ser>
          <c:idx val="0"/>
          <c:order val="0"/>
          <c:tx>
            <c:strRef>
              <c:f>Hoja2!$F$2</c:f>
              <c:strCache>
                <c:ptCount val="1"/>
                <c:pt idx="0">
                  <c:v>2012</c:v>
                </c:pt>
              </c:strCache>
            </c:strRef>
          </c:tx>
          <c:invertIfNegative val="0"/>
          <c:dLbls>
            <c:dLbl>
              <c:idx val="0"/>
              <c:layout>
                <c:manualLayout>
                  <c:x val="-3.0685430278662051E-2"/>
                  <c:y val="-1.30577427821522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686379628078475E-2"/>
                  <c:y val="-2.3669522927281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CO" sz="800" b="1">
                    <a:solidFill>
                      <a:schemeClr val="accent1">
                        <a:lumMod val="75000"/>
                      </a:schemeClr>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[Libro1.xlsx]Hoja2!$F$1,[Libro1.xlsx]Hoja2!$H$1</c:f>
              <c:strCache>
                <c:ptCount val="2"/>
                <c:pt idx="0">
                  <c:v>URBANA</c:v>
                </c:pt>
                <c:pt idx="1">
                  <c:v>RURAL</c:v>
                </c:pt>
              </c:strCache>
            </c:strRef>
          </c:cat>
          <c:val>
            <c:numRef>
              <c:f>[Libro1.xlsx]Hoja2!$F$3,[Libro1.xlsx]Hoja2!$H$3</c:f>
              <c:numCache>
                <c:formatCode>#,##0</c:formatCode>
                <c:ptCount val="2"/>
                <c:pt idx="0">
                  <c:v>152914</c:v>
                </c:pt>
                <c:pt idx="1">
                  <c:v>16027</c:v>
                </c:pt>
              </c:numCache>
            </c:numRef>
          </c:val>
        </c:ser>
        <c:ser>
          <c:idx val="1"/>
          <c:order val="1"/>
          <c:tx>
            <c:strRef>
              <c:f>Hoja2!$G$2</c:f>
              <c:strCache>
                <c:ptCount val="1"/>
                <c:pt idx="0">
                  <c:v>2013</c:v>
                </c:pt>
              </c:strCache>
            </c:strRef>
          </c:tx>
          <c:spPr>
            <a:solidFill>
              <a:schemeClr val="tx2">
                <a:lumMod val="75000"/>
              </a:schemeClr>
            </a:solidFill>
          </c:spPr>
          <c:invertIfNegative val="0"/>
          <c:dLbls>
            <c:dLbl>
              <c:idx val="0"/>
              <c:layout>
                <c:manualLayout>
                  <c:x val="3.6339532026581842E-2"/>
                  <c:y val="-4.566157171530031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579773273021725E-2"/>
                  <c:y val="-1.09464258144203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CO" sz="800" b="1">
                    <a:solidFill>
                      <a:schemeClr val="tx2">
                        <a:lumMod val="50000"/>
                      </a:schemeClr>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[Libro1.xlsx]Hoja2!$F$1,[Libro1.xlsx]Hoja2!$H$1</c:f>
              <c:strCache>
                <c:ptCount val="2"/>
                <c:pt idx="0">
                  <c:v>URBANA</c:v>
                </c:pt>
                <c:pt idx="1">
                  <c:v>RURAL</c:v>
                </c:pt>
              </c:strCache>
            </c:strRef>
          </c:cat>
          <c:val>
            <c:numRef>
              <c:f>[Libro1.xlsx]Hoja2!$G$3,[Libro1.xlsx]Hoja2!$I$3</c:f>
              <c:numCache>
                <c:formatCode>#,##0</c:formatCode>
                <c:ptCount val="2"/>
                <c:pt idx="0">
                  <c:v>155363</c:v>
                </c:pt>
                <c:pt idx="1">
                  <c:v>15987</c:v>
                </c:pt>
              </c:numCache>
            </c:numRef>
          </c:val>
        </c:ser>
        <c:dLbls>
          <c:showLegendKey val="0"/>
          <c:showVal val="0"/>
          <c:showCatName val="0"/>
          <c:showSerName val="0"/>
          <c:showPercent val="0"/>
          <c:showBubbleSize val="0"/>
        </c:dLbls>
        <c:gapWidth val="150"/>
        <c:shape val="box"/>
        <c:axId val="550363520"/>
        <c:axId val="550365056"/>
        <c:axId val="0"/>
      </c:bar3DChart>
      <c:catAx>
        <c:axId val="550363520"/>
        <c:scaling>
          <c:orientation val="minMax"/>
        </c:scaling>
        <c:delete val="0"/>
        <c:axPos val="b"/>
        <c:numFmt formatCode="General" sourceLinked="0"/>
        <c:majorTickMark val="out"/>
        <c:minorTickMark val="none"/>
        <c:tickLblPos val="nextTo"/>
        <c:txPr>
          <a:bodyPr/>
          <a:lstStyle/>
          <a:p>
            <a:pPr>
              <a:defRPr lang="es-CO"/>
            </a:pPr>
            <a:endParaRPr lang="es-CO"/>
          </a:p>
        </c:txPr>
        <c:crossAx val="550365056"/>
        <c:crosses val="autoZero"/>
        <c:auto val="1"/>
        <c:lblAlgn val="ctr"/>
        <c:lblOffset val="100"/>
        <c:noMultiLvlLbl val="0"/>
      </c:catAx>
      <c:valAx>
        <c:axId val="550365056"/>
        <c:scaling>
          <c:orientation val="minMax"/>
        </c:scaling>
        <c:delete val="0"/>
        <c:axPos val="l"/>
        <c:numFmt formatCode="#,##0" sourceLinked="1"/>
        <c:majorTickMark val="out"/>
        <c:minorTickMark val="none"/>
        <c:tickLblPos val="nextTo"/>
        <c:spPr>
          <a:ln>
            <a:solidFill>
              <a:sysClr val="window" lastClr="FFFFFF">
                <a:lumMod val="85000"/>
              </a:sysClr>
            </a:solidFill>
          </a:ln>
        </c:spPr>
        <c:txPr>
          <a:bodyPr/>
          <a:lstStyle/>
          <a:p>
            <a:pPr>
              <a:defRPr lang="es-CO" sz="700" b="1"/>
            </a:pPr>
            <a:endParaRPr lang="es-CO"/>
          </a:p>
        </c:txPr>
        <c:crossAx val="550363520"/>
        <c:crosses val="autoZero"/>
        <c:crossBetween val="between"/>
      </c:valAx>
    </c:plotArea>
    <c:legend>
      <c:legendPos val="r"/>
      <c:layout>
        <c:manualLayout>
          <c:xMode val="edge"/>
          <c:yMode val="edge"/>
          <c:x val="0.87717920366337787"/>
          <c:y val="0.25590764734415944"/>
          <c:w val="0.10265699225613373"/>
          <c:h val="0.45013499620180181"/>
        </c:manualLayout>
      </c:layout>
      <c:overlay val="0"/>
      <c:txPr>
        <a:bodyPr/>
        <a:lstStyle/>
        <a:p>
          <a:pPr>
            <a:defRPr lang="es-CO" sz="900"/>
          </a:pPr>
          <a:endParaRPr lang="es-CO"/>
        </a:p>
      </c:txPr>
    </c:legend>
    <c:plotVisOnly val="1"/>
    <c:dispBlanksAs val="gap"/>
    <c:showDLblsOverMax val="0"/>
  </c:chart>
  <c:spPr>
    <a:noFill/>
    <a:ln w="9525">
      <a:solidFill>
        <a:schemeClr val="bg1">
          <a:lumMod val="85000"/>
        </a:schemeClr>
      </a:solid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30"/>
      <c:depthPercent val="110"/>
      <c:rAngAx val="1"/>
    </c:view3D>
    <c:floor>
      <c:thickness val="0"/>
    </c:floor>
    <c:sideWall>
      <c:thickness val="0"/>
    </c:sideWall>
    <c:backWall>
      <c:thickness val="0"/>
    </c:backWall>
    <c:plotArea>
      <c:layout>
        <c:manualLayout>
          <c:layoutTarget val="inner"/>
          <c:xMode val="edge"/>
          <c:yMode val="edge"/>
          <c:x val="3.888888888888889E-2"/>
          <c:y val="0.15285301440493093"/>
          <c:w val="0.90555555555555567"/>
          <c:h val="0.6967274947373121"/>
        </c:manualLayout>
      </c:layout>
      <c:bar3DChart>
        <c:barDir val="col"/>
        <c:grouping val="percentStacked"/>
        <c:varyColors val="0"/>
        <c:ser>
          <c:idx val="0"/>
          <c:order val="0"/>
          <c:tx>
            <c:strRef>
              <c:f>'Unidades CONSTRUIDA vivienda'!$C$15</c:f>
              <c:strCache>
                <c:ptCount val="1"/>
                <c:pt idx="0">
                  <c:v>APARTAMENTOS</c:v>
                </c:pt>
              </c:strCache>
            </c:strRef>
          </c:tx>
          <c:invertIfNegative val="0"/>
          <c:dLbls>
            <c:spPr>
              <a:noFill/>
              <a:ln>
                <a:noFill/>
              </a:ln>
              <a:effectLst/>
            </c:spPr>
            <c:txPr>
              <a:bodyPr/>
              <a:lstStyle/>
              <a:p>
                <a:pPr>
                  <a:defRPr lang="es-MX" sz="800">
                    <a:latin typeface="Times New Roman" panose="02020603050405020304" pitchFamily="18" charset="0"/>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'Unidades CONSTRUIDA vivienda'!$D$14:$F$14</c:f>
              <c:strCache>
                <c:ptCount val="3"/>
                <c:pt idx="0">
                  <c:v>VIP</c:v>
                </c:pt>
                <c:pt idx="1">
                  <c:v>VIS</c:v>
                </c:pt>
                <c:pt idx="2">
                  <c:v>NO VIS</c:v>
                </c:pt>
              </c:strCache>
            </c:strRef>
          </c:cat>
          <c:val>
            <c:numRef>
              <c:f>[Libro1.xlsx]Hoja3!$D$15,[Libro1.xlsx]Hoja3!$E$15,[Libro1.xlsx]Hoja3!$F$15</c:f>
              <c:numCache>
                <c:formatCode>#,##0</c:formatCode>
                <c:ptCount val="3"/>
                <c:pt idx="0">
                  <c:v>82</c:v>
                </c:pt>
                <c:pt idx="1">
                  <c:v>796</c:v>
                </c:pt>
                <c:pt idx="2">
                  <c:v>628</c:v>
                </c:pt>
              </c:numCache>
            </c:numRef>
          </c:val>
        </c:ser>
        <c:ser>
          <c:idx val="1"/>
          <c:order val="1"/>
          <c:tx>
            <c:strRef>
              <c:f>'Unidades CONSTRUIDA vivienda'!$C$16</c:f>
              <c:strCache>
                <c:ptCount val="1"/>
                <c:pt idx="0">
                  <c:v>CASAS</c:v>
                </c:pt>
              </c:strCache>
            </c:strRef>
          </c:tx>
          <c:invertIfNegative val="0"/>
          <c:dLbls>
            <c:spPr>
              <a:noFill/>
              <a:ln>
                <a:noFill/>
              </a:ln>
              <a:effectLst/>
            </c:spPr>
            <c:txPr>
              <a:bodyPr/>
              <a:lstStyle/>
              <a:p>
                <a:pPr>
                  <a:defRPr lang="es-MX" sz="800">
                    <a:latin typeface="Times New Roman" panose="02020603050405020304" pitchFamily="18" charset="0"/>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'Unidades CONSTRUIDA vivienda'!$D$14:$F$14</c:f>
              <c:strCache>
                <c:ptCount val="3"/>
                <c:pt idx="0">
                  <c:v>VIP</c:v>
                </c:pt>
                <c:pt idx="1">
                  <c:v>VIS</c:v>
                </c:pt>
                <c:pt idx="2">
                  <c:v>NO VIS</c:v>
                </c:pt>
              </c:strCache>
            </c:strRef>
          </c:cat>
          <c:val>
            <c:numRef>
              <c:f>[Libro1.xlsx]Hoja3!$D$16,[Libro1.xlsx]Hoja3!$E$16,[Libro1.xlsx]Hoja3!$F$16</c:f>
              <c:numCache>
                <c:formatCode>#,##0</c:formatCode>
                <c:ptCount val="3"/>
                <c:pt idx="0">
                  <c:v>169</c:v>
                </c:pt>
                <c:pt idx="1">
                  <c:v>197</c:v>
                </c:pt>
                <c:pt idx="2">
                  <c:v>265</c:v>
                </c:pt>
              </c:numCache>
            </c:numRef>
          </c:val>
        </c:ser>
        <c:dLbls>
          <c:showLegendKey val="0"/>
          <c:showVal val="1"/>
          <c:showCatName val="0"/>
          <c:showSerName val="0"/>
          <c:showPercent val="0"/>
          <c:showBubbleSize val="0"/>
        </c:dLbls>
        <c:gapWidth val="95"/>
        <c:gapDepth val="95"/>
        <c:shape val="box"/>
        <c:axId val="550395264"/>
        <c:axId val="550397056"/>
        <c:axId val="0"/>
      </c:bar3DChart>
      <c:catAx>
        <c:axId val="550395264"/>
        <c:scaling>
          <c:orientation val="minMax"/>
        </c:scaling>
        <c:delete val="0"/>
        <c:axPos val="b"/>
        <c:numFmt formatCode="General" sourceLinked="0"/>
        <c:majorTickMark val="none"/>
        <c:minorTickMark val="none"/>
        <c:tickLblPos val="nextTo"/>
        <c:txPr>
          <a:bodyPr/>
          <a:lstStyle/>
          <a:p>
            <a:pPr>
              <a:defRPr lang="es-CO" b="0"/>
            </a:pPr>
            <a:endParaRPr lang="es-CO"/>
          </a:p>
        </c:txPr>
        <c:crossAx val="550397056"/>
        <c:crosses val="autoZero"/>
        <c:auto val="1"/>
        <c:lblAlgn val="ctr"/>
        <c:lblOffset val="100"/>
        <c:noMultiLvlLbl val="0"/>
      </c:catAx>
      <c:valAx>
        <c:axId val="550397056"/>
        <c:scaling>
          <c:orientation val="minMax"/>
        </c:scaling>
        <c:delete val="1"/>
        <c:axPos val="l"/>
        <c:numFmt formatCode="General" sourceLinked="0"/>
        <c:majorTickMark val="none"/>
        <c:minorTickMark val="none"/>
        <c:tickLblPos val="none"/>
        <c:crossAx val="550395264"/>
        <c:crosses val="autoZero"/>
        <c:crossBetween val="between"/>
      </c:valAx>
    </c:plotArea>
    <c:legend>
      <c:legendPos val="t"/>
      <c:layout>
        <c:manualLayout>
          <c:xMode val="edge"/>
          <c:yMode val="edge"/>
          <c:x val="0.14107879933508669"/>
          <c:y val="6.0185185185185147E-2"/>
          <c:w val="0.68815105244903374"/>
          <c:h val="8.3717191601050026E-2"/>
        </c:manualLayout>
      </c:layout>
      <c:overlay val="0"/>
      <c:txPr>
        <a:bodyPr/>
        <a:lstStyle/>
        <a:p>
          <a:pPr>
            <a:defRPr lang="es-CO" b="0"/>
          </a:pPr>
          <a:endParaRPr lang="es-CO"/>
        </a:p>
      </c:txPr>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0"/>
      <c:rAngAx val="0"/>
      <c:perspective val="0"/>
    </c:view3D>
    <c:floor>
      <c:thickness val="0"/>
    </c:floor>
    <c:sideWall>
      <c:thickness val="0"/>
    </c:sideWall>
    <c:backWall>
      <c:thickness val="0"/>
    </c:backWall>
    <c:plotArea>
      <c:layout>
        <c:manualLayout>
          <c:layoutTarget val="inner"/>
          <c:xMode val="edge"/>
          <c:yMode val="edge"/>
          <c:x val="0.1085234477018642"/>
          <c:y val="2.655078492546922E-2"/>
          <c:w val="0.82965322516503615"/>
          <c:h val="0.92413591544300411"/>
        </c:manualLayout>
      </c:layout>
      <c:pie3DChart>
        <c:varyColors val="1"/>
        <c:ser>
          <c:idx val="0"/>
          <c:order val="0"/>
          <c:dPt>
            <c:idx val="0"/>
            <c:bubble3D val="0"/>
            <c:explosion val="25"/>
            <c:spPr>
              <a:solidFill>
                <a:schemeClr val="accent1">
                  <a:lumMod val="60000"/>
                  <a:lumOff val="40000"/>
                </a:schemeClr>
              </a:solidFill>
            </c:spPr>
          </c:dPt>
          <c:dPt>
            <c:idx val="1"/>
            <c:bubble3D val="0"/>
            <c:spPr>
              <a:solidFill>
                <a:schemeClr val="accent2">
                  <a:lumMod val="75000"/>
                </a:schemeClr>
              </a:solidFill>
            </c:spPr>
          </c:dPt>
          <c:dPt>
            <c:idx val="2"/>
            <c:bubble3D val="0"/>
            <c:spPr>
              <a:solidFill>
                <a:schemeClr val="accent1">
                  <a:lumMod val="75000"/>
                </a:schemeClr>
              </a:solidFill>
            </c:spPr>
          </c:dPt>
          <c:dLbls>
            <c:dLbl>
              <c:idx val="0"/>
              <c:layout>
                <c:manualLayout>
                  <c:x val="-8.4689706669708681E-2"/>
                  <c:y val="8.821469214151554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21361291795047371"/>
                  <c:y val="-0.19584971878515192"/>
                </c:manualLayout>
              </c:layout>
              <c:spPr/>
              <c:txPr>
                <a:bodyPr/>
                <a:lstStyle/>
                <a:p>
                  <a:pPr>
                    <a:defRPr lang="es-CO" b="1">
                      <a:solidFill>
                        <a:schemeClr val="bg1"/>
                      </a:solidFill>
                    </a:defRPr>
                  </a:pPr>
                  <a:endParaRPr lang="es-CO"/>
                </a:p>
              </c:txPr>
              <c:showLegendKey val="0"/>
              <c:showVal val="0"/>
              <c:showCatName val="0"/>
              <c:showSerName val="0"/>
              <c:showPercent val="1"/>
              <c:showBubbleSize val="0"/>
              <c:extLst>
                <c:ext xmlns:c15="http://schemas.microsoft.com/office/drawing/2012/chart" uri="{CE6537A1-D6FC-4f65-9D91-7224C49458BB}"/>
              </c:extLst>
            </c:dLbl>
            <c:dLbl>
              <c:idx val="2"/>
              <c:layout>
                <c:manualLayout>
                  <c:x val="0.19546331165126182"/>
                  <c:y val="3.9160104986876679E-2"/>
                </c:manualLayout>
              </c:layout>
              <c:spPr/>
              <c:txPr>
                <a:bodyPr/>
                <a:lstStyle/>
                <a:p>
                  <a:pPr>
                    <a:defRPr lang="es-CO" b="1">
                      <a:solidFill>
                        <a:schemeClr val="bg1"/>
                      </a:solidFill>
                    </a:defRPr>
                  </a:pPr>
                  <a:endParaRPr lang="es-CO"/>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CO" b="1"/>
                </a:pPr>
                <a:endParaRPr lang="es-CO"/>
              </a:p>
            </c:txPr>
            <c:showLegendKey val="0"/>
            <c:showVal val="0"/>
            <c:showCatName val="0"/>
            <c:showSerName val="0"/>
            <c:showPercent val="1"/>
            <c:showBubbleSize val="0"/>
            <c:showLeaderLines val="1"/>
            <c:extLst>
              <c:ext xmlns:c15="http://schemas.microsoft.com/office/drawing/2012/chart" uri="{CE6537A1-D6FC-4f65-9D91-7224C49458BB}"/>
            </c:extLst>
          </c:dLbls>
          <c:cat>
            <c:strRef>
              <c:f>'Unidades CONSTRUIDA vivienda'!$D$14:$F$14</c:f>
              <c:strCache>
                <c:ptCount val="3"/>
                <c:pt idx="0">
                  <c:v>VIP</c:v>
                </c:pt>
                <c:pt idx="1">
                  <c:v>VIS</c:v>
                </c:pt>
                <c:pt idx="2">
                  <c:v>NO VIS</c:v>
                </c:pt>
              </c:strCache>
            </c:strRef>
          </c:cat>
          <c:val>
            <c:numRef>
              <c:f>'Unidades CONSTRUIDA vivienda'!$D$17:$F$17</c:f>
              <c:numCache>
                <c:formatCode>#,##0</c:formatCode>
                <c:ptCount val="3"/>
                <c:pt idx="0">
                  <c:v>251</c:v>
                </c:pt>
                <c:pt idx="1">
                  <c:v>993</c:v>
                </c:pt>
                <c:pt idx="2">
                  <c:v>893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3622116163269541"/>
          <c:y val="0.86235425751064065"/>
          <c:w val="0.51435989893786638"/>
          <c:h val="0.1092499294161938"/>
        </c:manualLayout>
      </c:layout>
      <c:overlay val="0"/>
      <c:txPr>
        <a:bodyPr/>
        <a:lstStyle/>
        <a:p>
          <a:pPr>
            <a:defRPr lang="es-CO" b="0"/>
          </a:pPr>
          <a:endParaRPr lang="es-CO"/>
        </a:p>
      </c:txPr>
    </c:legend>
    <c:plotVisOnly val="1"/>
    <c:dispBlanksAs val="zero"/>
    <c:showDLblsOverMax val="0"/>
  </c:chart>
  <c:spPr>
    <a:ln>
      <a:solidFill>
        <a:sysClr val="window" lastClr="FFFFFF">
          <a:lumMod val="65000"/>
        </a:sysClr>
      </a:solid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427051984994024E-2"/>
          <c:y val="4.1893950372767816E-2"/>
          <c:w val="0.91741050693270487"/>
          <c:h val="0.82423238545958954"/>
        </c:manualLayout>
      </c:layout>
      <c:bar3DChart>
        <c:barDir val="col"/>
        <c:grouping val="clustered"/>
        <c:varyColors val="0"/>
        <c:ser>
          <c:idx val="0"/>
          <c:order val="0"/>
          <c:tx>
            <c:strRef>
              <c:f>'[graficos construcción.xlsx]Hoja1'!$R$129</c:f>
              <c:strCache>
                <c:ptCount val="1"/>
                <c:pt idx="0">
                  <c:v>Obras Culminadas *</c:v>
                </c:pt>
              </c:strCache>
            </c:strRef>
          </c:tx>
          <c:spPr>
            <a:solidFill>
              <a:schemeClr val="accent1"/>
            </a:solidFill>
            <a:ln>
              <a:noFill/>
            </a:ln>
            <a:effectLst/>
            <a:sp3d/>
          </c:spPr>
          <c:invertIfNegative val="0"/>
          <c:dLbls>
            <c:dLbl>
              <c:idx val="0"/>
              <c:layout>
                <c:manualLayout>
                  <c:x val="0"/>
                  <c:y val="-2.77777777777779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6134E-16"/>
                  <c:y val="-2.77777777777780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MX"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construcción.xlsx]Hoja1'!$Q$130:$Q$183</c:f>
              <c:strCache>
                <c:ptCount val="2"/>
                <c:pt idx="0">
                  <c:v>2012 - IV trimestre</c:v>
                </c:pt>
                <c:pt idx="1">
                  <c:v>2013 - IV trimestre</c:v>
                </c:pt>
              </c:strCache>
            </c:strRef>
          </c:cat>
          <c:val>
            <c:numRef>
              <c:f>'[graficos construcción.xlsx]Hoja1'!$R$130:$R$183</c:f>
              <c:numCache>
                <c:formatCode>#,##0</c:formatCode>
                <c:ptCount val="2"/>
                <c:pt idx="0">
                  <c:v>251</c:v>
                </c:pt>
                <c:pt idx="1">
                  <c:v>161</c:v>
                </c:pt>
              </c:numCache>
            </c:numRef>
          </c:val>
        </c:ser>
        <c:ser>
          <c:idx val="1"/>
          <c:order val="1"/>
          <c:tx>
            <c:strRef>
              <c:f>'[graficos construcción.xlsx]Hoja1'!$S$129</c:f>
              <c:strCache>
                <c:ptCount val="1"/>
                <c:pt idx="0">
                  <c:v>Total Obras en proceso</c:v>
                </c:pt>
              </c:strCache>
            </c:strRef>
          </c:tx>
          <c:spPr>
            <a:solidFill>
              <a:schemeClr val="accent2"/>
            </a:solidFill>
            <a:ln>
              <a:noFill/>
            </a:ln>
            <a:effectLst/>
            <a:sp3d/>
          </c:spPr>
          <c:invertIfNegative val="0"/>
          <c:dLbls>
            <c:dLbl>
              <c:idx val="0"/>
              <c:layout>
                <c:manualLayout>
                  <c:x val="0"/>
                  <c:y val="-1.8518518518518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2673E-3"/>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MX"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construcción.xlsx]Hoja1'!$Q$130:$Q$183</c:f>
              <c:strCache>
                <c:ptCount val="2"/>
                <c:pt idx="0">
                  <c:v>2012 - IV trimestre</c:v>
                </c:pt>
                <c:pt idx="1">
                  <c:v>2013 - IV trimestre</c:v>
                </c:pt>
              </c:strCache>
            </c:strRef>
          </c:cat>
          <c:val>
            <c:numRef>
              <c:f>'[graficos construcción.xlsx]Hoja1'!$S$130:$S$183</c:f>
              <c:numCache>
                <c:formatCode>#,##0</c:formatCode>
                <c:ptCount val="2"/>
                <c:pt idx="0">
                  <c:v>451</c:v>
                </c:pt>
                <c:pt idx="1">
                  <c:v>1156</c:v>
                </c:pt>
              </c:numCache>
            </c:numRef>
          </c:val>
        </c:ser>
        <c:ser>
          <c:idx val="2"/>
          <c:order val="2"/>
          <c:tx>
            <c:strRef>
              <c:f>'[graficos construcción.xlsx]Hoja1'!$T$129</c:f>
              <c:strCache>
                <c:ptCount val="1"/>
                <c:pt idx="0">
                  <c:v>Total Obras paralizadas o inactivas</c:v>
                </c:pt>
              </c:strCache>
            </c:strRef>
          </c:tx>
          <c:spPr>
            <a:solidFill>
              <a:schemeClr val="accent3"/>
            </a:solidFill>
            <a:ln>
              <a:noFill/>
            </a:ln>
            <a:effectLst/>
            <a:sp3d/>
          </c:spPr>
          <c:invertIfNegative val="0"/>
          <c:dLbls>
            <c:dLbl>
              <c:idx val="0"/>
              <c:layout>
                <c:manualLayout>
                  <c:x val="2.5000000000000001E-2"/>
                  <c:y val="-1.851851851851866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583E-2"/>
                  <c:y val="-2.77777777777779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MX"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construcción.xlsx]Hoja1'!$Q$130:$Q$183</c:f>
              <c:strCache>
                <c:ptCount val="2"/>
                <c:pt idx="0">
                  <c:v>2012 - IV trimestre</c:v>
                </c:pt>
                <c:pt idx="1">
                  <c:v>2013 - IV trimestre</c:v>
                </c:pt>
              </c:strCache>
            </c:strRef>
          </c:cat>
          <c:val>
            <c:numRef>
              <c:f>'[graficos construcción.xlsx]Hoja1'!$T$130:$T$183</c:f>
              <c:numCache>
                <c:formatCode>#,##0</c:formatCode>
                <c:ptCount val="2"/>
                <c:pt idx="0">
                  <c:v>427</c:v>
                </c:pt>
                <c:pt idx="1">
                  <c:v>369</c:v>
                </c:pt>
              </c:numCache>
            </c:numRef>
          </c:val>
        </c:ser>
        <c:dLbls>
          <c:showLegendKey val="0"/>
          <c:showVal val="0"/>
          <c:showCatName val="0"/>
          <c:showSerName val="0"/>
          <c:showPercent val="0"/>
          <c:showBubbleSize val="0"/>
        </c:dLbls>
        <c:gapWidth val="150"/>
        <c:shape val="box"/>
        <c:axId val="550564224"/>
        <c:axId val="550565760"/>
        <c:axId val="0"/>
      </c:bar3DChart>
      <c:catAx>
        <c:axId val="55056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700" b="0" i="0" u="none" strike="noStrike" kern="1200" baseline="0">
                <a:solidFill>
                  <a:schemeClr val="tx1">
                    <a:lumMod val="65000"/>
                    <a:lumOff val="35000"/>
                  </a:schemeClr>
                </a:solidFill>
                <a:latin typeface="+mn-lt"/>
                <a:ea typeface="+mn-ea"/>
                <a:cs typeface="+mn-cs"/>
              </a:defRPr>
            </a:pPr>
            <a:endParaRPr lang="es-CO"/>
          </a:p>
        </c:txPr>
        <c:crossAx val="550565760"/>
        <c:crosses val="autoZero"/>
        <c:auto val="1"/>
        <c:lblAlgn val="ctr"/>
        <c:lblOffset val="100"/>
        <c:noMultiLvlLbl val="0"/>
      </c:catAx>
      <c:valAx>
        <c:axId val="5505657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s-MX" sz="700" b="1" i="0" u="none" strike="noStrike" kern="1200" baseline="0">
                <a:solidFill>
                  <a:schemeClr val="tx1">
                    <a:lumMod val="65000"/>
                    <a:lumOff val="35000"/>
                  </a:schemeClr>
                </a:solidFill>
                <a:latin typeface="+mn-lt"/>
                <a:ea typeface="+mn-ea"/>
                <a:cs typeface="+mn-cs"/>
              </a:defRPr>
            </a:pPr>
            <a:endParaRPr lang="es-CO"/>
          </a:p>
        </c:txPr>
        <c:crossAx val="550564224"/>
        <c:crosses val="autoZero"/>
        <c:crossBetween val="between"/>
      </c:valAx>
      <c:spPr>
        <a:noFill/>
        <a:ln>
          <a:noFill/>
        </a:ln>
        <a:effectLst/>
      </c:spPr>
    </c:plotArea>
    <c:legend>
      <c:legendPos val="b"/>
      <c:layout>
        <c:manualLayout>
          <c:xMode val="edge"/>
          <c:yMode val="edge"/>
          <c:x val="3.9321391861465188E-2"/>
          <c:y val="0.92107671621891374"/>
          <c:w val="0.88683804499987662"/>
          <c:h val="7.5933932994195541E-2"/>
        </c:manualLayout>
      </c:layout>
      <c:overlay val="0"/>
      <c:spPr>
        <a:noFill/>
        <a:ln>
          <a:noFill/>
        </a:ln>
        <a:effectLst/>
      </c:spPr>
      <c:txPr>
        <a:bodyPr rot="0" spcFirstLastPara="1" vertOverflow="ellipsis" vert="horz" wrap="square" anchor="ctr" anchorCtr="1"/>
        <a:lstStyle/>
        <a:p>
          <a:pPr>
            <a:defRPr lang="es-MX"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s-CO"/>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'[graficos construcción (1).xlsx]graficos'!$E$30</c:f>
              <c:strCache>
                <c:ptCount val="1"/>
                <c:pt idx="0">
                  <c:v>Total Obras en proceso</c:v>
                </c:pt>
              </c:strCache>
            </c:strRef>
          </c:tx>
          <c:spPr>
            <a:ln w="19050"/>
          </c:spPr>
          <c:marker>
            <c:symbol val="diamond"/>
            <c:size val="4"/>
          </c:marker>
          <c:dLbls>
            <c:dLbl>
              <c:idx val="0"/>
              <c:layout>
                <c:manualLayout>
                  <c:x val="-3.3542976939203356E-2"/>
                  <c:y val="-3.1558185404339252E-2"/>
                </c:manualLayout>
              </c:layout>
              <c:showLegendKey val="0"/>
              <c:showVal val="1"/>
              <c:showCatName val="0"/>
              <c:showSerName val="0"/>
              <c:showPercent val="0"/>
              <c:showBubbleSize val="0"/>
            </c:dLbl>
            <c:dLbl>
              <c:idx val="1"/>
              <c:layout>
                <c:manualLayout>
                  <c:x val="-2.7253668763102725E-2"/>
                  <c:y val="4.3392504930966469E-2"/>
                </c:manualLayout>
              </c:layout>
              <c:showLegendKey val="0"/>
              <c:showVal val="1"/>
              <c:showCatName val="0"/>
              <c:showSerName val="0"/>
              <c:showPercent val="0"/>
              <c:showBubbleSize val="0"/>
            </c:dLbl>
            <c:dLbl>
              <c:idx val="2"/>
              <c:layout>
                <c:manualLayout>
                  <c:x val="-3.5639412997903484E-2"/>
                  <c:y val="-3.1558185404339231E-2"/>
                </c:manualLayout>
              </c:layout>
              <c:showLegendKey val="0"/>
              <c:showVal val="1"/>
              <c:showCatName val="0"/>
              <c:showSerName val="0"/>
              <c:showPercent val="0"/>
              <c:showBubbleSize val="0"/>
            </c:dLbl>
            <c:dLbl>
              <c:idx val="3"/>
              <c:layout>
                <c:manualLayout>
                  <c:x val="-6.2893081761006293E-3"/>
                  <c:y val="0"/>
                </c:manualLayout>
              </c:layout>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es-CO"/>
              </a:p>
            </c:txPr>
            <c:showLegendKey val="0"/>
            <c:showVal val="1"/>
            <c:showCatName val="0"/>
            <c:showSerName val="0"/>
            <c:showPercent val="0"/>
            <c:showBubbleSize val="0"/>
            <c:showLeaderLines val="0"/>
          </c:dLbls>
          <c:cat>
            <c:strRef>
              <c:f>'[graficos construcción (1).xlsx]graficos'!$D$31:$D$34</c:f>
              <c:strCache>
                <c:ptCount val="4"/>
                <c:pt idx="0">
                  <c:v>I</c:v>
                </c:pt>
                <c:pt idx="1">
                  <c:v>II</c:v>
                </c:pt>
                <c:pt idx="2">
                  <c:v>III</c:v>
                </c:pt>
                <c:pt idx="3">
                  <c:v>IV</c:v>
                </c:pt>
              </c:strCache>
            </c:strRef>
          </c:cat>
          <c:val>
            <c:numRef>
              <c:f>'[graficos construcción (1).xlsx]graficos'!$E$31:$E$34</c:f>
              <c:numCache>
                <c:formatCode>#,##0</c:formatCode>
                <c:ptCount val="4"/>
                <c:pt idx="0">
                  <c:v>1385</c:v>
                </c:pt>
                <c:pt idx="1">
                  <c:v>1418</c:v>
                </c:pt>
                <c:pt idx="2">
                  <c:v>1659</c:v>
                </c:pt>
                <c:pt idx="3">
                  <c:v>1553</c:v>
                </c:pt>
              </c:numCache>
            </c:numRef>
          </c:val>
          <c:smooth val="0"/>
        </c:ser>
        <c:ser>
          <c:idx val="1"/>
          <c:order val="1"/>
          <c:tx>
            <c:strRef>
              <c:f>'[graficos construcción (1).xlsx]graficos'!$F$30</c:f>
              <c:strCache>
                <c:ptCount val="1"/>
                <c:pt idx="0">
                  <c:v> Total Obras Culminadas *</c:v>
                </c:pt>
              </c:strCache>
            </c:strRef>
          </c:tx>
          <c:spPr>
            <a:ln w="22225"/>
          </c:spPr>
          <c:marker>
            <c:symbol val="square"/>
            <c:size val="3"/>
          </c:marker>
          <c:dLbls>
            <c:dLbl>
              <c:idx val="0"/>
              <c:layout>
                <c:manualLayout>
                  <c:x val="-3.1446540880503145E-2"/>
                  <c:y val="-3.1558185404339252E-2"/>
                </c:manualLayout>
              </c:layout>
              <c:showLegendKey val="0"/>
              <c:showVal val="1"/>
              <c:showCatName val="0"/>
              <c:showSerName val="0"/>
              <c:showPercent val="0"/>
              <c:showBubbleSize val="0"/>
            </c:dLbl>
            <c:dLbl>
              <c:idx val="1"/>
              <c:layout>
                <c:manualLayout>
                  <c:x val="-1.0482180293501049E-2"/>
                  <c:y val="1.9723865877712032E-2"/>
                </c:manualLayout>
              </c:layout>
              <c:showLegendKey val="0"/>
              <c:showVal val="1"/>
              <c:showCatName val="0"/>
              <c:showSerName val="0"/>
              <c:showPercent val="0"/>
              <c:showBubbleSize val="0"/>
            </c:dLbl>
            <c:dLbl>
              <c:idx val="2"/>
              <c:layout>
                <c:manualLayout>
                  <c:x val="-1.257861635220118E-2"/>
                  <c:y val="2.3668639053254437E-2"/>
                </c:manualLayout>
              </c:layout>
              <c:showLegendKey val="0"/>
              <c:showVal val="1"/>
              <c:showCatName val="0"/>
              <c:showSerName val="0"/>
              <c:showPercent val="0"/>
              <c:showBubbleSize val="0"/>
            </c:dLbl>
            <c:dLbl>
              <c:idx val="3"/>
              <c:layout>
                <c:manualLayout>
                  <c:x val="-6.2893081761006293E-3"/>
                  <c:y val="-1.5779092702169626E-2"/>
                </c:manualLayout>
              </c:layout>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es-CO"/>
              </a:p>
            </c:txPr>
            <c:showLegendKey val="0"/>
            <c:showVal val="1"/>
            <c:showCatName val="0"/>
            <c:showSerName val="0"/>
            <c:showPercent val="0"/>
            <c:showBubbleSize val="0"/>
            <c:showLeaderLines val="0"/>
          </c:dLbls>
          <c:cat>
            <c:strRef>
              <c:f>'[graficos construcción (1).xlsx]graficos'!$D$31:$D$34</c:f>
              <c:strCache>
                <c:ptCount val="4"/>
                <c:pt idx="0">
                  <c:v>I</c:v>
                </c:pt>
                <c:pt idx="1">
                  <c:v>II</c:v>
                </c:pt>
                <c:pt idx="2">
                  <c:v>III</c:v>
                </c:pt>
                <c:pt idx="3">
                  <c:v>IV</c:v>
                </c:pt>
              </c:strCache>
            </c:strRef>
          </c:cat>
          <c:val>
            <c:numRef>
              <c:f>'[graficos construcción (1).xlsx]graficos'!$F$31:$F$34</c:f>
              <c:numCache>
                <c:formatCode>#,##0</c:formatCode>
                <c:ptCount val="4"/>
                <c:pt idx="0">
                  <c:v>388</c:v>
                </c:pt>
                <c:pt idx="1">
                  <c:v>128</c:v>
                </c:pt>
                <c:pt idx="2">
                  <c:v>172</c:v>
                </c:pt>
                <c:pt idx="3">
                  <c:v>317</c:v>
                </c:pt>
              </c:numCache>
            </c:numRef>
          </c:val>
          <c:smooth val="0"/>
        </c:ser>
        <c:ser>
          <c:idx val="2"/>
          <c:order val="2"/>
          <c:tx>
            <c:strRef>
              <c:f>'[graficos construcción (1).xlsx]graficos'!$G$30</c:f>
              <c:strCache>
                <c:ptCount val="1"/>
                <c:pt idx="0">
                  <c:v>Total Obras paralizadas o inactivas</c:v>
                </c:pt>
              </c:strCache>
            </c:strRef>
          </c:tx>
          <c:spPr>
            <a:ln w="22225"/>
          </c:spPr>
          <c:marker>
            <c:symbol val="triangle"/>
            <c:size val="4"/>
          </c:marker>
          <c:dLbls>
            <c:dLbl>
              <c:idx val="0"/>
              <c:layout>
                <c:manualLayout>
                  <c:x val="-3.7735849056603772E-2"/>
                  <c:y val="2.7613412228796843E-2"/>
                </c:manualLayout>
              </c:layout>
              <c:showLegendKey val="0"/>
              <c:showVal val="1"/>
              <c:showCatName val="0"/>
              <c:showSerName val="0"/>
              <c:showPercent val="0"/>
              <c:showBubbleSize val="0"/>
            </c:dLbl>
            <c:dLbl>
              <c:idx val="1"/>
              <c:layout>
                <c:manualLayout>
                  <c:x val="-2.3060796645702306E-2"/>
                  <c:y val="-2.3668639053254437E-2"/>
                </c:manualLayout>
              </c:layout>
              <c:showLegendKey val="0"/>
              <c:showVal val="1"/>
              <c:showCatName val="0"/>
              <c:showSerName val="0"/>
              <c:showPercent val="0"/>
              <c:showBubbleSize val="0"/>
            </c:dLbl>
            <c:dLbl>
              <c:idx val="2"/>
              <c:layout>
                <c:manualLayout>
                  <c:x val="-2.5157232704402437E-2"/>
                  <c:y val="-3.9447731755424063E-2"/>
                </c:manualLayout>
              </c:layout>
              <c:showLegendKey val="0"/>
              <c:showVal val="1"/>
              <c:showCatName val="0"/>
              <c:showSerName val="0"/>
              <c:showPercent val="0"/>
              <c:showBubbleSize val="0"/>
            </c:dLbl>
            <c:dLbl>
              <c:idx val="3"/>
              <c:layout>
                <c:manualLayout>
                  <c:x val="-8.385744234800839E-3"/>
                  <c:y val="1.5779092702169626E-2"/>
                </c:manualLayout>
              </c:layout>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es-CO"/>
              </a:p>
            </c:txPr>
            <c:showLegendKey val="0"/>
            <c:showVal val="1"/>
            <c:showCatName val="0"/>
            <c:showSerName val="0"/>
            <c:showPercent val="0"/>
            <c:showBubbleSize val="0"/>
            <c:showLeaderLines val="0"/>
          </c:dLbls>
          <c:cat>
            <c:strRef>
              <c:f>'[graficos construcción (1).xlsx]graficos'!$D$31:$D$34</c:f>
              <c:strCache>
                <c:ptCount val="4"/>
                <c:pt idx="0">
                  <c:v>I</c:v>
                </c:pt>
                <c:pt idx="1">
                  <c:v>II</c:v>
                </c:pt>
                <c:pt idx="2">
                  <c:v>III</c:v>
                </c:pt>
                <c:pt idx="3">
                  <c:v>IV</c:v>
                </c:pt>
              </c:strCache>
            </c:strRef>
          </c:cat>
          <c:val>
            <c:numRef>
              <c:f>'[graficos construcción (1).xlsx]graficos'!$G$31:$G$34</c:f>
              <c:numCache>
                <c:formatCode>#,##0</c:formatCode>
                <c:ptCount val="4"/>
                <c:pt idx="0">
                  <c:v>289</c:v>
                </c:pt>
                <c:pt idx="1">
                  <c:v>221</c:v>
                </c:pt>
                <c:pt idx="2">
                  <c:v>272</c:v>
                </c:pt>
                <c:pt idx="3">
                  <c:v>216</c:v>
                </c:pt>
              </c:numCache>
            </c:numRef>
          </c:val>
          <c:smooth val="0"/>
        </c:ser>
        <c:dLbls>
          <c:showLegendKey val="0"/>
          <c:showVal val="0"/>
          <c:showCatName val="0"/>
          <c:showSerName val="0"/>
          <c:showPercent val="0"/>
          <c:showBubbleSize val="0"/>
        </c:dLbls>
        <c:marker val="1"/>
        <c:smooth val="0"/>
        <c:axId val="550617472"/>
        <c:axId val="550619008"/>
      </c:lineChart>
      <c:catAx>
        <c:axId val="550617472"/>
        <c:scaling>
          <c:orientation val="minMax"/>
        </c:scaling>
        <c:delete val="0"/>
        <c:axPos val="b"/>
        <c:numFmt formatCode="General" sourceLinked="0"/>
        <c:majorTickMark val="none"/>
        <c:minorTickMark val="none"/>
        <c:tickLblPos val="nextTo"/>
        <c:txPr>
          <a:bodyPr/>
          <a:lstStyle/>
          <a:p>
            <a:pPr>
              <a:defRPr lang="es-MX" sz="800" b="1"/>
            </a:pPr>
            <a:endParaRPr lang="es-CO"/>
          </a:p>
        </c:txPr>
        <c:crossAx val="550619008"/>
        <c:crosses val="autoZero"/>
        <c:auto val="1"/>
        <c:lblAlgn val="ctr"/>
        <c:lblOffset val="100"/>
        <c:noMultiLvlLbl val="0"/>
      </c:catAx>
      <c:valAx>
        <c:axId val="550619008"/>
        <c:scaling>
          <c:orientation val="minMax"/>
        </c:scaling>
        <c:delete val="0"/>
        <c:axPos val="l"/>
        <c:numFmt formatCode="#,##0" sourceLinked="1"/>
        <c:majorTickMark val="none"/>
        <c:minorTickMark val="none"/>
        <c:tickLblPos val="nextTo"/>
        <c:spPr>
          <a:ln w="9525">
            <a:noFill/>
          </a:ln>
        </c:spPr>
        <c:txPr>
          <a:bodyPr/>
          <a:lstStyle/>
          <a:p>
            <a:pPr>
              <a:defRPr lang="es-MX" sz="700" b="1"/>
            </a:pPr>
            <a:endParaRPr lang="es-CO"/>
          </a:p>
        </c:txPr>
        <c:crossAx val="550617472"/>
        <c:crosses val="autoZero"/>
        <c:crossBetween val="between"/>
      </c:valAx>
    </c:plotArea>
    <c:legend>
      <c:legendPos val="b"/>
      <c:layout>
        <c:manualLayout>
          <c:xMode val="edge"/>
          <c:yMode val="edge"/>
          <c:x val="5.0000035613829277E-2"/>
          <c:y val="0.90696342059944923"/>
          <c:w val="0.91356879772698296"/>
          <c:h val="6.7506717503032096E-2"/>
        </c:manualLayout>
      </c:layout>
      <c:overlay val="0"/>
      <c:txPr>
        <a:bodyPr/>
        <a:lstStyle/>
        <a:p>
          <a:pPr>
            <a:defRPr lang="es-MX" sz="900">
              <a:latin typeface="Times New Roman" panose="02020603050405020304" pitchFamily="18" charset="0"/>
              <a:cs typeface="Times New Roman" panose="02020603050405020304" pitchFamily="18" charset="0"/>
            </a:defRPr>
          </a:pPr>
          <a:endParaRPr lang="es-CO"/>
        </a:p>
      </c:txPr>
    </c:legend>
    <c:plotVisOnly val="1"/>
    <c:dispBlanksAs val="gap"/>
    <c:showDLblsOverMax val="0"/>
  </c:chart>
  <c:spPr>
    <a:ln>
      <a:solidFill>
        <a:schemeClr val="bg1">
          <a:lumMod val="85000"/>
        </a:schemeClr>
      </a:solid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97424059777533E-2"/>
          <c:y val="0.11439854633555423"/>
          <c:w val="0.83488727589833034"/>
          <c:h val="0.73008029321778589"/>
        </c:manualLayout>
      </c:layout>
      <c:lineChart>
        <c:grouping val="standard"/>
        <c:varyColors val="0"/>
        <c:ser>
          <c:idx val="0"/>
          <c:order val="0"/>
          <c:tx>
            <c:strRef>
              <c:f>'[graficos construcción (1).xlsx]area'!$E$3</c:f>
              <c:strCache>
                <c:ptCount val="1"/>
                <c:pt idx="0">
                  <c:v>Total Obras en proceso</c:v>
                </c:pt>
              </c:strCache>
            </c:strRef>
          </c:tx>
          <c:spPr>
            <a:ln w="19050"/>
          </c:spPr>
          <c:marker>
            <c:symbol val="diamond"/>
            <c:size val="4"/>
          </c:marker>
          <c:dLbls>
            <c:dLbl>
              <c:idx val="0"/>
              <c:layout>
                <c:manualLayout>
                  <c:x val="-5.6460369163952244E-2"/>
                  <c:y val="-3.0769230769230771E-2"/>
                </c:manualLayout>
              </c:layout>
              <c:showLegendKey val="0"/>
              <c:showVal val="1"/>
              <c:showCatName val="0"/>
              <c:showSerName val="0"/>
              <c:showPercent val="0"/>
              <c:showBubbleSize val="0"/>
            </c:dLbl>
            <c:dLbl>
              <c:idx val="1"/>
              <c:layout>
                <c:manualLayout>
                  <c:x val="-4.3431053203040172E-2"/>
                  <c:y val="-3.0769230769230771E-2"/>
                </c:manualLayout>
              </c:layout>
              <c:showLegendKey val="0"/>
              <c:showVal val="1"/>
              <c:showCatName val="0"/>
              <c:showSerName val="0"/>
              <c:showPercent val="0"/>
              <c:showBubbleSize val="0"/>
            </c:dLbl>
            <c:dLbl>
              <c:idx val="2"/>
              <c:layout>
                <c:manualLayout>
                  <c:x val="-2.6058631921824105E-2"/>
                  <c:y val="3.0769230769230771E-2"/>
                </c:manualLayout>
              </c:layout>
              <c:showLegendKey val="0"/>
              <c:showVal val="1"/>
              <c:showCatName val="0"/>
              <c:showSerName val="0"/>
              <c:showPercent val="0"/>
              <c:showBubbleSize val="0"/>
            </c:dLbl>
            <c:dLbl>
              <c:idx val="3"/>
              <c:layout>
                <c:manualLayout>
                  <c:x val="-1.3029315960912053E-2"/>
                  <c:y val="-2.05128205128205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'[graficos construcción (1).xlsx]area'!$D$4:$D$7</c:f>
              <c:strCache>
                <c:ptCount val="4"/>
                <c:pt idx="0">
                  <c:v>I</c:v>
                </c:pt>
                <c:pt idx="1">
                  <c:v>II</c:v>
                </c:pt>
                <c:pt idx="2">
                  <c:v>III</c:v>
                </c:pt>
                <c:pt idx="3">
                  <c:v>IV</c:v>
                </c:pt>
              </c:strCache>
            </c:strRef>
          </c:cat>
          <c:val>
            <c:numRef>
              <c:f>'[graficos construcción (1).xlsx]area'!$E$4:$E$7</c:f>
              <c:numCache>
                <c:formatCode>#,##0</c:formatCode>
                <c:ptCount val="4"/>
                <c:pt idx="0">
                  <c:v>41927</c:v>
                </c:pt>
                <c:pt idx="1">
                  <c:v>48792</c:v>
                </c:pt>
                <c:pt idx="2">
                  <c:v>51723</c:v>
                </c:pt>
                <c:pt idx="3">
                  <c:v>70871</c:v>
                </c:pt>
              </c:numCache>
            </c:numRef>
          </c:val>
          <c:smooth val="0"/>
        </c:ser>
        <c:ser>
          <c:idx val="1"/>
          <c:order val="1"/>
          <c:tx>
            <c:strRef>
              <c:f>'[graficos construcción (1).xlsx]area'!$F$3</c:f>
              <c:strCache>
                <c:ptCount val="1"/>
                <c:pt idx="0">
                  <c:v> Total Obras Culminadas *</c:v>
                </c:pt>
              </c:strCache>
            </c:strRef>
          </c:tx>
          <c:spPr>
            <a:ln w="22225"/>
          </c:spPr>
          <c:marker>
            <c:symbol val="square"/>
            <c:size val="3"/>
          </c:marker>
          <c:dLbls>
            <c:dLbl>
              <c:idx val="0"/>
              <c:layout>
                <c:manualLayout>
                  <c:x val="-4.5602605863192203E-2"/>
                  <c:y val="-3.0769230769230771E-2"/>
                </c:manualLayout>
              </c:layout>
              <c:showLegendKey val="0"/>
              <c:showVal val="1"/>
              <c:showCatName val="0"/>
              <c:showSerName val="0"/>
              <c:showPercent val="0"/>
              <c:showBubbleSize val="0"/>
            </c:dLbl>
            <c:dLbl>
              <c:idx val="1"/>
              <c:layout>
                <c:manualLayout>
                  <c:x val="-3.4744842562432141E-2"/>
                  <c:y val="-3.7606837606837605E-2"/>
                </c:manualLayout>
              </c:layout>
              <c:showLegendKey val="0"/>
              <c:showVal val="1"/>
              <c:showCatName val="0"/>
              <c:showSerName val="0"/>
              <c:showPercent val="0"/>
              <c:showBubbleSize val="0"/>
            </c:dLbl>
            <c:dLbl>
              <c:idx val="2"/>
              <c:layout>
                <c:manualLayout>
                  <c:x val="-4.1259500542888163E-2"/>
                  <c:y val="-3.0769230769230771E-2"/>
                </c:manualLayout>
              </c:layout>
              <c:showLegendKey val="0"/>
              <c:showVal val="1"/>
              <c:showCatName val="0"/>
              <c:showSerName val="0"/>
              <c:showPercent val="0"/>
              <c:showBubbleSize val="0"/>
            </c:dLbl>
            <c:dLbl>
              <c:idx val="3"/>
              <c:layout>
                <c:manualLayout>
                  <c:x val="-8.6862106406080351E-3"/>
                  <c:y val="-1.025641025641025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'[graficos construcción (1).xlsx]area'!$D$4:$D$7</c:f>
              <c:strCache>
                <c:ptCount val="4"/>
                <c:pt idx="0">
                  <c:v>I</c:v>
                </c:pt>
                <c:pt idx="1">
                  <c:v>II</c:v>
                </c:pt>
                <c:pt idx="2">
                  <c:v>III</c:v>
                </c:pt>
                <c:pt idx="3">
                  <c:v>IV</c:v>
                </c:pt>
              </c:strCache>
            </c:strRef>
          </c:cat>
          <c:val>
            <c:numRef>
              <c:f>'[graficos construcción (1).xlsx]area'!$F$4:$F$7</c:f>
              <c:numCache>
                <c:formatCode>#,##0</c:formatCode>
                <c:ptCount val="4"/>
                <c:pt idx="0">
                  <c:v>12219</c:v>
                </c:pt>
                <c:pt idx="1">
                  <c:v>6106</c:v>
                </c:pt>
                <c:pt idx="2">
                  <c:v>6729</c:v>
                </c:pt>
                <c:pt idx="3">
                  <c:v>10738</c:v>
                </c:pt>
              </c:numCache>
            </c:numRef>
          </c:val>
          <c:smooth val="0"/>
        </c:ser>
        <c:ser>
          <c:idx val="2"/>
          <c:order val="2"/>
          <c:tx>
            <c:strRef>
              <c:f>'[graficos construcción (1).xlsx]area'!$G$3</c:f>
              <c:strCache>
                <c:ptCount val="1"/>
                <c:pt idx="0">
                  <c:v>Total Obras paralizadas o inactivas</c:v>
                </c:pt>
              </c:strCache>
            </c:strRef>
          </c:tx>
          <c:spPr>
            <a:ln w="22225"/>
          </c:spPr>
          <c:marker>
            <c:symbol val="triangle"/>
            <c:size val="4"/>
          </c:marker>
          <c:dLbls>
            <c:dLbl>
              <c:idx val="0"/>
              <c:layout>
                <c:manualLayout>
                  <c:x val="-3.4744842562432161E-2"/>
                  <c:y val="-3.0769230769230705E-2"/>
                </c:manualLayout>
              </c:layout>
              <c:showLegendKey val="0"/>
              <c:showVal val="1"/>
              <c:showCatName val="0"/>
              <c:showSerName val="0"/>
              <c:showPercent val="0"/>
              <c:showBubbleSize val="0"/>
            </c:dLbl>
            <c:dLbl>
              <c:idx val="1"/>
              <c:layout>
                <c:manualLayout>
                  <c:x val="-3.2573289902280131E-2"/>
                  <c:y val="-3.4188034188034191E-2"/>
                </c:manualLayout>
              </c:layout>
              <c:showLegendKey val="0"/>
              <c:showVal val="1"/>
              <c:showCatName val="0"/>
              <c:showSerName val="0"/>
              <c:showPercent val="0"/>
              <c:showBubbleSize val="0"/>
            </c:dLbl>
            <c:dLbl>
              <c:idx val="2"/>
              <c:layout>
                <c:manualLayout>
                  <c:x val="-3.4744842562432141E-2"/>
                  <c:y val="-2.393162393162393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'[graficos construcción (1).xlsx]area'!$D$4:$D$7</c:f>
              <c:strCache>
                <c:ptCount val="4"/>
                <c:pt idx="0">
                  <c:v>I</c:v>
                </c:pt>
                <c:pt idx="1">
                  <c:v>II</c:v>
                </c:pt>
                <c:pt idx="2">
                  <c:v>III</c:v>
                </c:pt>
                <c:pt idx="3">
                  <c:v>IV</c:v>
                </c:pt>
              </c:strCache>
            </c:strRef>
          </c:cat>
          <c:val>
            <c:numRef>
              <c:f>'[graficos construcción (1).xlsx]area'!$G$4:$G$7</c:f>
              <c:numCache>
                <c:formatCode>#,##0</c:formatCode>
                <c:ptCount val="4"/>
                <c:pt idx="0">
                  <c:v>24581</c:v>
                </c:pt>
                <c:pt idx="1">
                  <c:v>25044</c:v>
                </c:pt>
                <c:pt idx="2">
                  <c:v>26266</c:v>
                </c:pt>
                <c:pt idx="3">
                  <c:v>27813</c:v>
                </c:pt>
              </c:numCache>
            </c:numRef>
          </c:val>
          <c:smooth val="0"/>
        </c:ser>
        <c:dLbls>
          <c:showLegendKey val="0"/>
          <c:showVal val="0"/>
          <c:showCatName val="0"/>
          <c:showSerName val="0"/>
          <c:showPercent val="0"/>
          <c:showBubbleSize val="0"/>
        </c:dLbls>
        <c:marker val="1"/>
        <c:smooth val="0"/>
        <c:axId val="550728064"/>
        <c:axId val="550729600"/>
      </c:lineChart>
      <c:catAx>
        <c:axId val="550728064"/>
        <c:scaling>
          <c:orientation val="minMax"/>
        </c:scaling>
        <c:delete val="0"/>
        <c:axPos val="b"/>
        <c:numFmt formatCode="General" sourceLinked="0"/>
        <c:majorTickMark val="none"/>
        <c:minorTickMark val="none"/>
        <c:tickLblPos val="nextTo"/>
        <c:txPr>
          <a:bodyPr/>
          <a:lstStyle/>
          <a:p>
            <a:pPr>
              <a:defRPr lang="es-MX" sz="800" b="1"/>
            </a:pPr>
            <a:endParaRPr lang="es-CO"/>
          </a:p>
        </c:txPr>
        <c:crossAx val="550729600"/>
        <c:crosses val="autoZero"/>
        <c:auto val="1"/>
        <c:lblAlgn val="ctr"/>
        <c:lblOffset val="100"/>
        <c:noMultiLvlLbl val="0"/>
      </c:catAx>
      <c:valAx>
        <c:axId val="550729600"/>
        <c:scaling>
          <c:orientation val="minMax"/>
        </c:scaling>
        <c:delete val="0"/>
        <c:axPos val="l"/>
        <c:numFmt formatCode="#,##0" sourceLinked="1"/>
        <c:majorTickMark val="none"/>
        <c:minorTickMark val="none"/>
        <c:tickLblPos val="nextTo"/>
        <c:spPr>
          <a:ln w="9525">
            <a:noFill/>
          </a:ln>
        </c:spPr>
        <c:txPr>
          <a:bodyPr/>
          <a:lstStyle/>
          <a:p>
            <a:pPr>
              <a:defRPr lang="es-MX" sz="700" b="1"/>
            </a:pPr>
            <a:endParaRPr lang="es-CO"/>
          </a:p>
        </c:txPr>
        <c:crossAx val="550728064"/>
        <c:crosses val="autoZero"/>
        <c:crossBetween val="between"/>
      </c:valAx>
    </c:plotArea>
    <c:legend>
      <c:legendPos val="b"/>
      <c:layout>
        <c:manualLayout>
          <c:xMode val="edge"/>
          <c:yMode val="edge"/>
          <c:x val="2.738525402276008E-2"/>
          <c:y val="0.92077746198884902"/>
          <c:w val="0.95263580850764329"/>
          <c:h val="7.1332991660066195E-2"/>
        </c:manualLayout>
      </c:layout>
      <c:overlay val="0"/>
      <c:txPr>
        <a:bodyPr/>
        <a:lstStyle/>
        <a:p>
          <a:pPr>
            <a:defRPr lang="es-MX" sz="900">
              <a:latin typeface="Times New Roman" panose="02020603050405020304" pitchFamily="18" charset="0"/>
              <a:cs typeface="Times New Roman" panose="02020603050405020304" pitchFamily="18" charset="0"/>
            </a:defRPr>
          </a:pPr>
          <a:endParaRPr lang="es-CO"/>
        </a:p>
      </c:txPr>
    </c:legend>
    <c:plotVisOnly val="1"/>
    <c:dispBlanksAs val="gap"/>
    <c:showDLblsOverMax val="0"/>
  </c:chart>
  <c:spPr>
    <a:ln>
      <a:solidFill>
        <a:schemeClr val="bg1">
          <a:lumMod val="85000"/>
        </a:schemeClr>
      </a:solid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045966057171587E-2"/>
          <c:y val="8.9863692522786365E-2"/>
          <c:w val="0.89308341174334338"/>
          <c:h val="0.71824597369115872"/>
        </c:manualLayout>
      </c:layout>
      <c:lineChart>
        <c:grouping val="standard"/>
        <c:varyColors val="0"/>
        <c:ser>
          <c:idx val="0"/>
          <c:order val="0"/>
          <c:tx>
            <c:strRef>
              <c:f>'[graficos construcción (1).xlsx]area'!$E$30</c:f>
              <c:strCache>
                <c:ptCount val="1"/>
                <c:pt idx="0">
                  <c:v>Total Obras en proceso</c:v>
                </c:pt>
              </c:strCache>
            </c:strRef>
          </c:tx>
          <c:spPr>
            <a:ln w="19050"/>
          </c:spPr>
          <c:marker>
            <c:symbol val="diamond"/>
            <c:size val="4"/>
          </c:marker>
          <c:dLbls>
            <c:dLbl>
              <c:idx val="0"/>
              <c:layout>
                <c:manualLayout>
                  <c:x val="-5.8700209643605873E-2"/>
                  <c:y val="-3.5502958579881658E-2"/>
                </c:manualLayout>
              </c:layout>
              <c:showLegendKey val="0"/>
              <c:showVal val="1"/>
              <c:showCatName val="0"/>
              <c:showSerName val="0"/>
              <c:showPercent val="0"/>
              <c:showBubbleSize val="0"/>
            </c:dLbl>
            <c:dLbl>
              <c:idx val="1"/>
              <c:layout>
                <c:manualLayout>
                  <c:x val="-4.40251572327044E-2"/>
                  <c:y val="3.5502958579881658E-2"/>
                </c:manualLayout>
              </c:layout>
              <c:showLegendKey val="0"/>
              <c:showVal val="1"/>
              <c:showCatName val="0"/>
              <c:showSerName val="0"/>
              <c:showPercent val="0"/>
              <c:showBubbleSize val="0"/>
            </c:dLbl>
            <c:dLbl>
              <c:idx val="2"/>
              <c:layout>
                <c:manualLayout>
                  <c:x val="-4.8218029350104746E-2"/>
                  <c:y val="-3.5502958579881658E-2"/>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es-CO"/>
              </a:p>
            </c:txPr>
            <c:showLegendKey val="0"/>
            <c:showVal val="1"/>
            <c:showCatName val="0"/>
            <c:showSerName val="0"/>
            <c:showPercent val="0"/>
            <c:showBubbleSize val="0"/>
            <c:showLeaderLines val="0"/>
          </c:dLbls>
          <c:cat>
            <c:strRef>
              <c:f>'[graficos construcción (1).xlsx]area'!$D$31:$D$34</c:f>
              <c:strCache>
                <c:ptCount val="4"/>
                <c:pt idx="0">
                  <c:v>I</c:v>
                </c:pt>
                <c:pt idx="1">
                  <c:v>II</c:v>
                </c:pt>
                <c:pt idx="2">
                  <c:v>III</c:v>
                </c:pt>
                <c:pt idx="3">
                  <c:v>IV</c:v>
                </c:pt>
              </c:strCache>
            </c:strRef>
          </c:cat>
          <c:val>
            <c:numRef>
              <c:f>'[graficos construcción (1).xlsx]area'!$E$31:$E$34</c:f>
              <c:numCache>
                <c:formatCode>#,##0</c:formatCode>
                <c:ptCount val="4"/>
                <c:pt idx="0">
                  <c:v>176818</c:v>
                </c:pt>
                <c:pt idx="1">
                  <c:v>185718</c:v>
                </c:pt>
                <c:pt idx="2">
                  <c:v>218648</c:v>
                </c:pt>
                <c:pt idx="3">
                  <c:v>207733</c:v>
                </c:pt>
              </c:numCache>
            </c:numRef>
          </c:val>
          <c:smooth val="0"/>
        </c:ser>
        <c:ser>
          <c:idx val="1"/>
          <c:order val="1"/>
          <c:tx>
            <c:strRef>
              <c:f>'[graficos construcción (1).xlsx]area'!$F$30</c:f>
              <c:strCache>
                <c:ptCount val="1"/>
                <c:pt idx="0">
                  <c:v> Total Obras Culminadas *</c:v>
                </c:pt>
              </c:strCache>
            </c:strRef>
          </c:tx>
          <c:spPr>
            <a:ln w="22225"/>
          </c:spPr>
          <c:marker>
            <c:symbol val="square"/>
            <c:size val="3"/>
          </c:marker>
          <c:dLbls>
            <c:dLbl>
              <c:idx val="0"/>
              <c:layout>
                <c:manualLayout>
                  <c:x val="-4.8218029350104823E-2"/>
                  <c:y val="3.5502958579881658E-2"/>
                </c:manualLayout>
              </c:layout>
              <c:showLegendKey val="0"/>
              <c:showVal val="1"/>
              <c:showCatName val="0"/>
              <c:showSerName val="0"/>
              <c:showPercent val="0"/>
              <c:showBubbleSize val="0"/>
            </c:dLbl>
            <c:dLbl>
              <c:idx val="1"/>
              <c:layout>
                <c:manualLayout>
                  <c:x val="-2.0964360587002098E-3"/>
                  <c:y val="-2.3668639053254437E-2"/>
                </c:manualLayout>
              </c:layout>
              <c:showLegendKey val="0"/>
              <c:showVal val="1"/>
              <c:showCatName val="0"/>
              <c:showSerName val="0"/>
              <c:showPercent val="0"/>
              <c:showBubbleSize val="0"/>
            </c:dLbl>
            <c:dLbl>
              <c:idx val="2"/>
              <c:layout>
                <c:manualLayout>
                  <c:x val="7.686843416163015E-17"/>
                  <c:y val="1.1834319526627219E-2"/>
                </c:manualLayout>
              </c:layout>
              <c:showLegendKey val="0"/>
              <c:showVal val="1"/>
              <c:showCatName val="0"/>
              <c:showSerName val="0"/>
              <c:showPercent val="0"/>
              <c:showBubbleSize val="0"/>
            </c:dLbl>
            <c:dLbl>
              <c:idx val="3"/>
              <c:layout>
                <c:manualLayout>
                  <c:x val="-1.2578616352201259E-2"/>
                  <c:y val="-3.5502958579881658E-2"/>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es-CO"/>
              </a:p>
            </c:txPr>
            <c:showLegendKey val="0"/>
            <c:showVal val="1"/>
            <c:showCatName val="0"/>
            <c:showSerName val="0"/>
            <c:showPercent val="0"/>
            <c:showBubbleSize val="0"/>
            <c:showLeaderLines val="0"/>
          </c:dLbls>
          <c:cat>
            <c:strRef>
              <c:f>'[graficos construcción (1).xlsx]area'!$D$31:$D$34</c:f>
              <c:strCache>
                <c:ptCount val="4"/>
                <c:pt idx="0">
                  <c:v>I</c:v>
                </c:pt>
                <c:pt idx="1">
                  <c:v>II</c:v>
                </c:pt>
                <c:pt idx="2">
                  <c:v>III</c:v>
                </c:pt>
                <c:pt idx="3">
                  <c:v>IV</c:v>
                </c:pt>
              </c:strCache>
            </c:strRef>
          </c:cat>
          <c:val>
            <c:numRef>
              <c:f>'[graficos construcción (1).xlsx]area'!$F$31:$F$34</c:f>
              <c:numCache>
                <c:formatCode>#,##0</c:formatCode>
                <c:ptCount val="4"/>
                <c:pt idx="0">
                  <c:v>25544</c:v>
                </c:pt>
                <c:pt idx="1">
                  <c:v>11350</c:v>
                </c:pt>
                <c:pt idx="2">
                  <c:v>15095</c:v>
                </c:pt>
                <c:pt idx="3">
                  <c:v>35360</c:v>
                </c:pt>
              </c:numCache>
            </c:numRef>
          </c:val>
          <c:smooth val="0"/>
        </c:ser>
        <c:ser>
          <c:idx val="2"/>
          <c:order val="2"/>
          <c:tx>
            <c:strRef>
              <c:f>'[graficos construcción (1).xlsx]area'!$G$30</c:f>
              <c:strCache>
                <c:ptCount val="1"/>
                <c:pt idx="0">
                  <c:v>Total Obras paralizadas o inactivas</c:v>
                </c:pt>
              </c:strCache>
            </c:strRef>
          </c:tx>
          <c:spPr>
            <a:ln w="22225"/>
          </c:spPr>
          <c:marker>
            <c:symbol val="triangle"/>
            <c:size val="4"/>
          </c:marker>
          <c:dLbls>
            <c:dLbl>
              <c:idx val="0"/>
              <c:layout>
                <c:manualLayout>
                  <c:x val="-4.40251572327044E-2"/>
                  <c:y val="-3.5502958579881727E-2"/>
                </c:manualLayout>
              </c:layout>
              <c:showLegendKey val="0"/>
              <c:showVal val="1"/>
              <c:showCatName val="0"/>
              <c:showSerName val="0"/>
              <c:showPercent val="0"/>
              <c:showBubbleSize val="0"/>
            </c:dLbl>
            <c:dLbl>
              <c:idx val="1"/>
              <c:layout>
                <c:manualLayout>
                  <c:x val="-4.8218029350104823E-2"/>
                  <c:y val="-3.9447731755424063E-2"/>
                </c:manualLayout>
              </c:layout>
              <c:showLegendKey val="0"/>
              <c:showVal val="1"/>
              <c:showCatName val="0"/>
              <c:showSerName val="0"/>
              <c:showPercent val="0"/>
              <c:showBubbleSize val="0"/>
            </c:dLbl>
            <c:dLbl>
              <c:idx val="2"/>
              <c:layout>
                <c:manualLayout>
                  <c:x val="-4.8218029350104746E-2"/>
                  <c:y val="-3.5502958579881581E-2"/>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es-CO"/>
              </a:p>
            </c:txPr>
            <c:showLegendKey val="0"/>
            <c:showVal val="1"/>
            <c:showCatName val="0"/>
            <c:showSerName val="0"/>
            <c:showPercent val="0"/>
            <c:showBubbleSize val="0"/>
            <c:showLeaderLines val="0"/>
          </c:dLbls>
          <c:cat>
            <c:strRef>
              <c:f>'[graficos construcción (1).xlsx]area'!$D$31:$D$34</c:f>
              <c:strCache>
                <c:ptCount val="4"/>
                <c:pt idx="0">
                  <c:v>I</c:v>
                </c:pt>
                <c:pt idx="1">
                  <c:v>II</c:v>
                </c:pt>
                <c:pt idx="2">
                  <c:v>III</c:v>
                </c:pt>
                <c:pt idx="3">
                  <c:v>IV</c:v>
                </c:pt>
              </c:strCache>
            </c:strRef>
          </c:cat>
          <c:val>
            <c:numRef>
              <c:f>'[graficos construcción (1).xlsx]area'!$G$31:$G$34</c:f>
              <c:numCache>
                <c:formatCode>#,##0</c:formatCode>
                <c:ptCount val="4"/>
                <c:pt idx="0">
                  <c:v>37794</c:v>
                </c:pt>
                <c:pt idx="1">
                  <c:v>30190</c:v>
                </c:pt>
                <c:pt idx="2">
                  <c:v>36714</c:v>
                </c:pt>
                <c:pt idx="3">
                  <c:v>29943</c:v>
                </c:pt>
              </c:numCache>
            </c:numRef>
          </c:val>
          <c:smooth val="0"/>
        </c:ser>
        <c:dLbls>
          <c:showLegendKey val="0"/>
          <c:showVal val="0"/>
          <c:showCatName val="0"/>
          <c:showSerName val="0"/>
          <c:showPercent val="0"/>
          <c:showBubbleSize val="0"/>
        </c:dLbls>
        <c:marker val="1"/>
        <c:smooth val="0"/>
        <c:axId val="550916480"/>
        <c:axId val="550918016"/>
      </c:lineChart>
      <c:catAx>
        <c:axId val="550916480"/>
        <c:scaling>
          <c:orientation val="minMax"/>
        </c:scaling>
        <c:delete val="0"/>
        <c:axPos val="b"/>
        <c:numFmt formatCode="General" sourceLinked="0"/>
        <c:majorTickMark val="none"/>
        <c:minorTickMark val="none"/>
        <c:tickLblPos val="nextTo"/>
        <c:txPr>
          <a:bodyPr/>
          <a:lstStyle/>
          <a:p>
            <a:pPr>
              <a:defRPr lang="es-MX" sz="800" b="1"/>
            </a:pPr>
            <a:endParaRPr lang="es-CO"/>
          </a:p>
        </c:txPr>
        <c:crossAx val="550918016"/>
        <c:crosses val="autoZero"/>
        <c:auto val="1"/>
        <c:lblAlgn val="ctr"/>
        <c:lblOffset val="100"/>
        <c:noMultiLvlLbl val="0"/>
      </c:catAx>
      <c:valAx>
        <c:axId val="550918016"/>
        <c:scaling>
          <c:orientation val="minMax"/>
        </c:scaling>
        <c:delete val="0"/>
        <c:axPos val="l"/>
        <c:numFmt formatCode="#,##0" sourceLinked="1"/>
        <c:majorTickMark val="none"/>
        <c:minorTickMark val="none"/>
        <c:tickLblPos val="nextTo"/>
        <c:spPr>
          <a:ln w="9525">
            <a:noFill/>
          </a:ln>
        </c:spPr>
        <c:txPr>
          <a:bodyPr/>
          <a:lstStyle/>
          <a:p>
            <a:pPr>
              <a:defRPr lang="es-MX" sz="700" b="1"/>
            </a:pPr>
            <a:endParaRPr lang="es-CO"/>
          </a:p>
        </c:txPr>
        <c:crossAx val="550916480"/>
        <c:crosses val="autoZero"/>
        <c:crossBetween val="between"/>
      </c:valAx>
    </c:plotArea>
    <c:legend>
      <c:legendPos val="b"/>
      <c:overlay val="0"/>
      <c:txPr>
        <a:bodyPr/>
        <a:lstStyle/>
        <a:p>
          <a:pPr>
            <a:defRPr lang="es-MX" sz="900">
              <a:latin typeface="Times New Roman" panose="02020603050405020304" pitchFamily="18" charset="0"/>
              <a:cs typeface="Times New Roman" panose="02020603050405020304" pitchFamily="18" charset="0"/>
            </a:defRPr>
          </a:pPr>
          <a:endParaRPr lang="es-CO"/>
        </a:p>
      </c:txPr>
    </c:legend>
    <c:plotVisOnly val="1"/>
    <c:dispBlanksAs val="gap"/>
    <c:showDLblsOverMax val="0"/>
  </c:chart>
  <c:spPr>
    <a:ln>
      <a:solidFill>
        <a:schemeClr val="bg1">
          <a:lumMod val="85000"/>
        </a:schemeClr>
      </a:solid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10"/>
      <c:rAngAx val="0"/>
      <c:perspective val="20"/>
    </c:view3D>
    <c:floor>
      <c:thickness val="0"/>
    </c:floor>
    <c:sideWall>
      <c:thickness val="0"/>
    </c:sideWall>
    <c:backWall>
      <c:thickness val="0"/>
    </c:backWall>
    <c:plotArea>
      <c:layout>
        <c:manualLayout>
          <c:layoutTarget val="inner"/>
          <c:xMode val="edge"/>
          <c:yMode val="edge"/>
          <c:x val="0"/>
          <c:y val="0.13287356321839067"/>
          <c:w val="0.72608398950131237"/>
          <c:h val="0.84374131394495488"/>
        </c:manualLayout>
      </c:layout>
      <c:pie3DChart>
        <c:varyColors val="1"/>
        <c:ser>
          <c:idx val="0"/>
          <c:order val="0"/>
          <c:spPr>
            <a:solidFill>
              <a:schemeClr val="tx2">
                <a:lumMod val="50000"/>
              </a:schemeClr>
            </a:solidFill>
          </c:spPr>
          <c:dPt>
            <c:idx val="0"/>
            <c:bubble3D val="0"/>
            <c:spPr>
              <a:solidFill>
                <a:schemeClr val="accent2">
                  <a:lumMod val="75000"/>
                </a:schemeClr>
              </a:solidFill>
            </c:spPr>
          </c:dPt>
          <c:dPt>
            <c:idx val="1"/>
            <c:bubble3D val="0"/>
            <c:spPr>
              <a:solidFill>
                <a:schemeClr val="accent1">
                  <a:lumMod val="40000"/>
                  <a:lumOff val="60000"/>
                </a:schemeClr>
              </a:solidFill>
            </c:spPr>
          </c:dPt>
          <c:dPt>
            <c:idx val="2"/>
            <c:bubble3D val="0"/>
            <c:spPr>
              <a:solidFill>
                <a:schemeClr val="tx2">
                  <a:lumMod val="75000"/>
                </a:schemeClr>
              </a:solidFill>
            </c:spPr>
          </c:dPt>
          <c:dLbls>
            <c:dLbl>
              <c:idx val="0"/>
              <c:layout>
                <c:manualLayout>
                  <c:x val="-5.8971456692913385E-2"/>
                  <c:y val="-2.553117335742869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543208836863321"/>
                  <c:y val="0.1467716535433072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7080677081140291"/>
                  <c:y val="-0.22458908232801175"/>
                </c:manualLayout>
              </c:layout>
              <c:spPr/>
              <c:txPr>
                <a:bodyPr/>
                <a:lstStyle/>
                <a:p>
                  <a:pPr>
                    <a:defRPr lang="es-CO" sz="900" b="0">
                      <a:solidFill>
                        <a:schemeClr val="bg1"/>
                      </a:solidFill>
                      <a:latin typeface="Times New Roman" panose="02020603050405020304" pitchFamily="18" charset="0"/>
                      <a:cs typeface="Times New Roman" panose="02020603050405020304" pitchFamily="18" charset="0"/>
                    </a:defRPr>
                  </a:pPr>
                  <a:endParaRPr lang="es-CO"/>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CO" sz="900" b="0">
                    <a:latin typeface="Times New Roman" panose="02020603050405020304" pitchFamily="18" charset="0"/>
                    <a:cs typeface="Times New Roman" panose="02020603050405020304" pitchFamily="18" charset="0"/>
                  </a:defRPr>
                </a:pPr>
                <a:endParaRPr lang="es-CO"/>
              </a:p>
            </c:txPr>
            <c:showLegendKey val="0"/>
            <c:showVal val="0"/>
            <c:showCatName val="0"/>
            <c:showSerName val="0"/>
            <c:showPercent val="1"/>
            <c:showBubbleSize val="0"/>
            <c:showLeaderLines val="1"/>
            <c:extLst>
              <c:ext xmlns:c15="http://schemas.microsoft.com/office/drawing/2012/chart" uri="{CE6537A1-D6FC-4f65-9D91-7224C49458BB}"/>
            </c:extLst>
          </c:dLbls>
          <c:cat>
            <c:strRef>
              <c:f>'UND VIVIENDA SISTEMA CONSTRUCTI'!$C$11:$E$11</c:f>
              <c:strCache>
                <c:ptCount val="3"/>
                <c:pt idx="0">
                  <c:v>MAMPOSTERIA  ESTRUCTURAL</c:v>
                </c:pt>
                <c:pt idx="1">
                  <c:v>MAMPOSTERIA  CONFINADA</c:v>
                </c:pt>
                <c:pt idx="2">
                  <c:v>SISTEMAS INDUSTRIALIZADOS</c:v>
                </c:pt>
              </c:strCache>
            </c:strRef>
          </c:cat>
          <c:val>
            <c:numRef>
              <c:f>'UND VIVIENDA SISTEMA CONSTRUCTI'!$C$12:$E$12</c:f>
              <c:numCache>
                <c:formatCode>General</c:formatCode>
                <c:ptCount val="3"/>
                <c:pt idx="0">
                  <c:v>17</c:v>
                </c:pt>
                <c:pt idx="1">
                  <c:v>248</c:v>
                </c:pt>
                <c:pt idx="2">
                  <c:v>979</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1630834189204273"/>
          <c:y val="0.16090074545593624"/>
          <c:w val="0.27890746277036232"/>
          <c:h val="0.73477761313731038"/>
        </c:manualLayout>
      </c:layout>
      <c:overlay val="0"/>
      <c:txPr>
        <a:bodyPr/>
        <a:lstStyle/>
        <a:p>
          <a:pPr>
            <a:defRPr lang="es-CO" sz="700">
              <a:latin typeface="Times New Roman" panose="02020603050405020304" pitchFamily="18" charset="0"/>
              <a:cs typeface="Times New Roman" panose="02020603050405020304" pitchFamily="18" charset="0"/>
            </a:defRPr>
          </a:pPr>
          <a:endParaRPr lang="es-CO"/>
        </a:p>
      </c:txPr>
    </c:legend>
    <c:plotVisOnly val="1"/>
    <c:dispBlanksAs val="zero"/>
    <c:showDLblsOverMax val="0"/>
  </c:chart>
  <c:spPr>
    <a:ln>
      <a:solidFill>
        <a:sysClr val="window" lastClr="FFFFFF">
          <a:lumMod val="65000"/>
        </a:sysClr>
      </a:solid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40"/>
      <c:rAngAx val="0"/>
      <c:perspective val="20"/>
    </c:view3D>
    <c:floor>
      <c:thickness val="0"/>
    </c:floor>
    <c:sideWall>
      <c:thickness val="0"/>
    </c:sideWall>
    <c:backWall>
      <c:thickness val="0"/>
    </c:backWall>
    <c:plotArea>
      <c:layout>
        <c:manualLayout>
          <c:layoutTarget val="inner"/>
          <c:xMode val="edge"/>
          <c:yMode val="edge"/>
          <c:x val="3.6021818625737528E-2"/>
          <c:y val="0.14138451443569552"/>
          <c:w val="0.70619997500312715"/>
          <c:h val="0.81751720793936689"/>
        </c:manualLayout>
      </c:layout>
      <c:pie3DChart>
        <c:varyColors val="1"/>
        <c:ser>
          <c:idx val="0"/>
          <c:order val="0"/>
          <c:spPr>
            <a:solidFill>
              <a:schemeClr val="tx2">
                <a:lumMod val="50000"/>
              </a:schemeClr>
            </a:solidFill>
          </c:spPr>
          <c:dPt>
            <c:idx val="0"/>
            <c:bubble3D val="0"/>
            <c:spPr>
              <a:solidFill>
                <a:schemeClr val="accent2">
                  <a:lumMod val="75000"/>
                </a:schemeClr>
              </a:solidFill>
            </c:spPr>
          </c:dPt>
          <c:dPt>
            <c:idx val="1"/>
            <c:bubble3D val="0"/>
            <c:spPr>
              <a:solidFill>
                <a:schemeClr val="accent1">
                  <a:lumMod val="40000"/>
                  <a:lumOff val="60000"/>
                </a:schemeClr>
              </a:solidFill>
            </c:spPr>
          </c:dPt>
          <c:dPt>
            <c:idx val="2"/>
            <c:bubble3D val="0"/>
            <c:spPr>
              <a:solidFill>
                <a:schemeClr val="tx2">
                  <a:lumMod val="75000"/>
                </a:schemeClr>
              </a:solidFill>
            </c:spPr>
          </c:dPt>
          <c:dLbls>
            <c:dLbl>
              <c:idx val="0"/>
              <c:layout>
                <c:manualLayout>
                  <c:x val="4.9528724342860993E-2"/>
                  <c:y val="9.2235345581803442E-3"/>
                </c:manualLayout>
              </c:layout>
              <c:spPr/>
              <c:txPr>
                <a:bodyPr/>
                <a:lstStyle/>
                <a:p>
                  <a:pPr>
                    <a:defRPr lang="es-CO" b="1"/>
                  </a:pPr>
                  <a:endParaRPr lang="es-CO"/>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3.8974546786302876E-2"/>
                  <c:y val="-0.32407407407407729"/>
                </c:manualLayout>
              </c:layout>
              <c:spPr/>
              <c:txPr>
                <a:bodyPr/>
                <a:lstStyle/>
                <a:p>
                  <a:pPr>
                    <a:defRPr lang="es-CO" b="1"/>
                  </a:pPr>
                  <a:endParaRPr lang="es-CO"/>
                </a:p>
              </c:txPr>
              <c:showLegendKey val="0"/>
              <c:showVal val="0"/>
              <c:showCatName val="0"/>
              <c:showSerName val="0"/>
              <c:showPercent val="1"/>
              <c:showBubbleSize val="0"/>
              <c:extLst>
                <c:ext xmlns:c15="http://schemas.microsoft.com/office/drawing/2012/chart" uri="{CE6537A1-D6FC-4f65-9D91-7224C49458BB}"/>
              </c:extLst>
            </c:dLbl>
            <c:dLbl>
              <c:idx val="2"/>
              <c:layout>
                <c:manualLayout>
                  <c:x val="-4.5246458357610184E-3"/>
                  <c:y val="0.12324402158063665"/>
                </c:manualLayout>
              </c:layout>
              <c:spPr/>
              <c:txPr>
                <a:bodyPr/>
                <a:lstStyle/>
                <a:p>
                  <a:pPr>
                    <a:defRPr lang="es-CO" b="1">
                      <a:solidFill>
                        <a:schemeClr val="bg1"/>
                      </a:solidFill>
                    </a:defRPr>
                  </a:pPr>
                  <a:endParaRPr lang="es-CO"/>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s-CO"/>
              </a:p>
            </c:txPr>
            <c:showLegendKey val="0"/>
            <c:showVal val="0"/>
            <c:showCatName val="0"/>
            <c:showSerName val="0"/>
            <c:showPercent val="1"/>
            <c:showBubbleSize val="0"/>
            <c:showLeaderLines val="1"/>
            <c:extLst>
              <c:ext xmlns:c15="http://schemas.microsoft.com/office/drawing/2012/chart" uri="{CE6537A1-D6FC-4f65-9D91-7224C49458BB}"/>
            </c:extLst>
          </c:dLbls>
          <c:cat>
            <c:strRef>
              <c:f>Hoja2!$C$11:$E$11</c:f>
              <c:strCache>
                <c:ptCount val="3"/>
                <c:pt idx="0">
                  <c:v>MAMPOSTERIA  ESTRUCTURAL</c:v>
                </c:pt>
                <c:pt idx="1">
                  <c:v>MAMPOSTERIA  CONFINADA</c:v>
                </c:pt>
                <c:pt idx="2">
                  <c:v>SISTEMAS INDUSTRIALIZADOS</c:v>
                </c:pt>
              </c:strCache>
            </c:strRef>
          </c:cat>
          <c:val>
            <c:numRef>
              <c:f>Hoja2!$C$12:$E$12</c:f>
              <c:numCache>
                <c:formatCode>General</c:formatCode>
                <c:ptCount val="3"/>
                <c:pt idx="0">
                  <c:v>36</c:v>
                </c:pt>
                <c:pt idx="1">
                  <c:v>695</c:v>
                </c:pt>
                <c:pt idx="2">
                  <c:v>161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400465005299286"/>
          <c:y val="0.19949481963509524"/>
          <c:w val="0.2571346129302548"/>
          <c:h val="0.63486334983750303"/>
        </c:manualLayout>
      </c:layout>
      <c:overlay val="0"/>
      <c:txPr>
        <a:bodyPr/>
        <a:lstStyle/>
        <a:p>
          <a:pPr>
            <a:defRPr lang="es-CO" sz="700"/>
          </a:pPr>
          <a:endParaRPr lang="es-CO"/>
        </a:p>
      </c:txPr>
    </c:legend>
    <c:plotVisOnly val="1"/>
    <c:dispBlanksAs val="zero"/>
    <c:showDLblsOverMax val="0"/>
  </c:chart>
  <c:spPr>
    <a:ln>
      <a:solidFill>
        <a:sysClr val="window" lastClr="FFFFFF">
          <a:lumMod val="65000"/>
        </a:sysClr>
      </a:solid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9053825445267493E-2"/>
          <c:y val="4.3574219889180497E-2"/>
          <c:w val="0.88546606192426813"/>
          <c:h val="0.81530242053076696"/>
        </c:manualLayout>
      </c:layout>
      <c:bar3DChart>
        <c:barDir val="col"/>
        <c:grouping val="standard"/>
        <c:varyColors val="0"/>
        <c:ser>
          <c:idx val="0"/>
          <c:order val="0"/>
          <c:invertIfNegative val="0"/>
          <c:dPt>
            <c:idx val="0"/>
            <c:invertIfNegative val="0"/>
            <c:bubble3D val="0"/>
          </c:dPt>
          <c:dLbls>
            <c:dLbl>
              <c:idx val="0"/>
              <c:layout>
                <c:manualLayout>
                  <c:x val="0"/>
                  <c:y val="-0.0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368212806379E-3"/>
                  <c:y val="-4.2592592592592592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Hoja3!$D$5:$E$5</c:f>
              <c:strCache>
                <c:ptCount val="2"/>
                <c:pt idx="0">
                  <c:v>VI TRIMES. 2012</c:v>
                </c:pt>
                <c:pt idx="1">
                  <c:v>VI TRIMES 2013</c:v>
                </c:pt>
              </c:strCache>
            </c:strRef>
          </c:cat>
          <c:val>
            <c:numRef>
              <c:f>Hoja3!$D$6:$E$6</c:f>
              <c:numCache>
                <c:formatCode>#,##0</c:formatCode>
                <c:ptCount val="2"/>
                <c:pt idx="0">
                  <c:v>12749</c:v>
                </c:pt>
                <c:pt idx="1">
                  <c:v>17753</c:v>
                </c:pt>
              </c:numCache>
            </c:numRef>
          </c:val>
        </c:ser>
        <c:dLbls>
          <c:showLegendKey val="0"/>
          <c:showVal val="0"/>
          <c:showCatName val="0"/>
          <c:showSerName val="0"/>
          <c:showPercent val="0"/>
          <c:showBubbleSize val="0"/>
        </c:dLbls>
        <c:gapWidth val="150"/>
        <c:shape val="box"/>
        <c:axId val="552061952"/>
        <c:axId val="552063744"/>
        <c:axId val="550946560"/>
      </c:bar3DChart>
      <c:catAx>
        <c:axId val="552061952"/>
        <c:scaling>
          <c:orientation val="minMax"/>
        </c:scaling>
        <c:delete val="0"/>
        <c:axPos val="b"/>
        <c:numFmt formatCode="General" sourceLinked="0"/>
        <c:majorTickMark val="out"/>
        <c:minorTickMark val="none"/>
        <c:tickLblPos val="nextTo"/>
        <c:crossAx val="552063744"/>
        <c:crosses val="autoZero"/>
        <c:auto val="1"/>
        <c:lblAlgn val="ctr"/>
        <c:lblOffset val="100"/>
        <c:noMultiLvlLbl val="0"/>
      </c:catAx>
      <c:valAx>
        <c:axId val="552063744"/>
        <c:scaling>
          <c:orientation val="minMax"/>
        </c:scaling>
        <c:delete val="0"/>
        <c:axPos val="l"/>
        <c:numFmt formatCode="#,##0" sourceLinked="1"/>
        <c:majorTickMark val="out"/>
        <c:minorTickMark val="none"/>
        <c:tickLblPos val="nextTo"/>
        <c:crossAx val="552061952"/>
        <c:crosses val="autoZero"/>
        <c:crossBetween val="between"/>
      </c:valAx>
      <c:serAx>
        <c:axId val="550946560"/>
        <c:scaling>
          <c:orientation val="minMax"/>
        </c:scaling>
        <c:delete val="1"/>
        <c:axPos val="b"/>
        <c:majorTickMark val="out"/>
        <c:minorTickMark val="none"/>
        <c:tickLblPos val="none"/>
        <c:crossAx val="552063744"/>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98307777317309"/>
          <c:y val="6.2483389576302971E-2"/>
          <c:w val="0.74301586427570765"/>
          <c:h val="0.68436473218625449"/>
        </c:manualLayout>
      </c:layout>
      <c:barChart>
        <c:barDir val="bar"/>
        <c:grouping val="clustered"/>
        <c:varyColors val="0"/>
        <c:ser>
          <c:idx val="0"/>
          <c:order val="0"/>
          <c:tx>
            <c:strRef>
              <c:f>'Periodos Censales'!$I$47</c:f>
              <c:strCache>
                <c:ptCount val="1"/>
                <c:pt idx="0">
                  <c:v>Hombres</c:v>
                </c:pt>
              </c:strCache>
            </c:strRef>
          </c:tx>
          <c:invertIfNegative val="0"/>
          <c:cat>
            <c:strRef>
              <c:f>'Periodos Censales'!$H$48:$H$64</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'Periodos Censales'!$I$48:$I$64</c:f>
              <c:numCache>
                <c:formatCode>0.0%</c:formatCode>
                <c:ptCount val="17"/>
                <c:pt idx="0">
                  <c:v>-9.1023846661353047E-2</c:v>
                </c:pt>
                <c:pt idx="1">
                  <c:v>-9.7411685741199086E-2</c:v>
                </c:pt>
                <c:pt idx="2">
                  <c:v>-0.10363553850436848</c:v>
                </c:pt>
                <c:pt idx="3">
                  <c:v>-9.2503537146714332E-2</c:v>
                </c:pt>
                <c:pt idx="4">
                  <c:v>-7.8469359347410728E-2</c:v>
                </c:pt>
                <c:pt idx="5">
                  <c:v>-7.2012874832677432E-2</c:v>
                </c:pt>
                <c:pt idx="6">
                  <c:v>-6.6994130815317104E-2</c:v>
                </c:pt>
                <c:pt idx="7">
                  <c:v>-7.0735307016707535E-2</c:v>
                </c:pt>
                <c:pt idx="8">
                  <c:v>-6.9499689188725899E-2</c:v>
                </c:pt>
                <c:pt idx="9">
                  <c:v>-6.117833702620349E-2</c:v>
                </c:pt>
                <c:pt idx="10">
                  <c:v>-5.192645785742396E-2</c:v>
                </c:pt>
                <c:pt idx="11">
                  <c:v>-4.1271160908712766E-2</c:v>
                </c:pt>
                <c:pt idx="12">
                  <c:v>-3.1889618140700411E-2</c:v>
                </c:pt>
                <c:pt idx="13">
                  <c:v>-2.6226369762448649E-2</c:v>
                </c:pt>
                <c:pt idx="14">
                  <c:v>-1.9571576213594212E-2</c:v>
                </c:pt>
                <c:pt idx="15">
                  <c:v>-1.3832055129911485E-2</c:v>
                </c:pt>
                <c:pt idx="16">
                  <c:v>-1.1818455706533244E-2</c:v>
                </c:pt>
              </c:numCache>
            </c:numRef>
          </c:val>
        </c:ser>
        <c:ser>
          <c:idx val="1"/>
          <c:order val="1"/>
          <c:tx>
            <c:strRef>
              <c:f>'Periodos Censales'!$J$47</c:f>
              <c:strCache>
                <c:ptCount val="1"/>
                <c:pt idx="0">
                  <c:v>Mujeres</c:v>
                </c:pt>
              </c:strCache>
            </c:strRef>
          </c:tx>
          <c:invertIfNegative val="0"/>
          <c:cat>
            <c:strRef>
              <c:f>'Periodos Censales'!$H$48:$H$64</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'Periodos Censales'!$J$48:$J$64</c:f>
              <c:numCache>
                <c:formatCode>0.0%</c:formatCode>
                <c:ptCount val="17"/>
                <c:pt idx="0">
                  <c:v>8.3848411063245282E-2</c:v>
                </c:pt>
                <c:pt idx="1">
                  <c:v>9.0290096184568597E-2</c:v>
                </c:pt>
                <c:pt idx="2">
                  <c:v>9.682726808648276E-2</c:v>
                </c:pt>
                <c:pt idx="3">
                  <c:v>8.6400846159778763E-2</c:v>
                </c:pt>
                <c:pt idx="4">
                  <c:v>7.8901461314999879E-2</c:v>
                </c:pt>
                <c:pt idx="5">
                  <c:v>7.2786634788772744E-2</c:v>
                </c:pt>
                <c:pt idx="6">
                  <c:v>6.789844613627441E-2</c:v>
                </c:pt>
                <c:pt idx="7">
                  <c:v>7.4725750948441472E-2</c:v>
                </c:pt>
                <c:pt idx="8">
                  <c:v>7.3113493383867884E-2</c:v>
                </c:pt>
                <c:pt idx="9">
                  <c:v>6.4317691864159712E-2</c:v>
                </c:pt>
                <c:pt idx="10">
                  <c:v>5.4486226031900509E-2</c:v>
                </c:pt>
                <c:pt idx="11">
                  <c:v>4.3020467224162563E-2</c:v>
                </c:pt>
                <c:pt idx="12">
                  <c:v>3.3721523822115476E-2</c:v>
                </c:pt>
                <c:pt idx="13">
                  <c:v>2.7694838939509202E-2</c:v>
                </c:pt>
                <c:pt idx="14">
                  <c:v>2.1796693953850504E-2</c:v>
                </c:pt>
                <c:pt idx="15">
                  <c:v>1.6170319036024224E-2</c:v>
                </c:pt>
                <c:pt idx="16">
                  <c:v>1.3999831061849729E-2</c:v>
                </c:pt>
              </c:numCache>
            </c:numRef>
          </c:val>
        </c:ser>
        <c:dLbls>
          <c:showLegendKey val="0"/>
          <c:showVal val="0"/>
          <c:showCatName val="0"/>
          <c:showSerName val="0"/>
          <c:showPercent val="0"/>
          <c:showBubbleSize val="0"/>
        </c:dLbls>
        <c:gapWidth val="0"/>
        <c:overlap val="100"/>
        <c:axId val="157598848"/>
        <c:axId val="157600384"/>
      </c:barChart>
      <c:catAx>
        <c:axId val="157598848"/>
        <c:scaling>
          <c:orientation val="minMax"/>
        </c:scaling>
        <c:delete val="0"/>
        <c:axPos val="l"/>
        <c:majorTickMark val="out"/>
        <c:minorTickMark val="none"/>
        <c:tickLblPos val="low"/>
        <c:txPr>
          <a:bodyPr/>
          <a:lstStyle/>
          <a:p>
            <a:pPr>
              <a:defRPr lang="es-MX" sz="600"/>
            </a:pPr>
            <a:endParaRPr lang="es-CO"/>
          </a:p>
        </c:txPr>
        <c:crossAx val="157600384"/>
        <c:crosses val="autoZero"/>
        <c:auto val="1"/>
        <c:lblAlgn val="ctr"/>
        <c:lblOffset val="10"/>
        <c:tickLblSkip val="1"/>
        <c:noMultiLvlLbl val="0"/>
      </c:catAx>
      <c:valAx>
        <c:axId val="157600384"/>
        <c:scaling>
          <c:orientation val="minMax"/>
          <c:min val="-0.15000000000000024"/>
        </c:scaling>
        <c:delete val="0"/>
        <c:axPos val="b"/>
        <c:numFmt formatCode="0.0%;[Red]#,##0.0%" sourceLinked="0"/>
        <c:majorTickMark val="out"/>
        <c:minorTickMark val="none"/>
        <c:tickLblPos val="nextTo"/>
        <c:txPr>
          <a:bodyPr/>
          <a:lstStyle/>
          <a:p>
            <a:pPr>
              <a:defRPr lang="es-MX"/>
            </a:pPr>
            <a:endParaRPr lang="es-CO"/>
          </a:p>
        </c:txPr>
        <c:crossAx val="157598848"/>
        <c:crossesAt val="1"/>
        <c:crossBetween val="midCat"/>
      </c:valAx>
    </c:plotArea>
    <c:legend>
      <c:legendPos val="r"/>
      <c:layout>
        <c:manualLayout>
          <c:xMode val="edge"/>
          <c:yMode val="edge"/>
          <c:x val="0.1802648731408574"/>
          <c:y val="0.88112191881164459"/>
          <c:w val="0.60862401574803582"/>
          <c:h val="8.1046485401988125E-2"/>
        </c:manualLayout>
      </c:layout>
      <c:overlay val="0"/>
      <c:txPr>
        <a:bodyPr/>
        <a:lstStyle/>
        <a:p>
          <a:pPr>
            <a:defRPr lang="es-MX"/>
          </a:pPr>
          <a:endParaRPr lang="es-CO"/>
        </a:p>
      </c:txPr>
    </c:legend>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Hoja1!$D$3</c:f>
              <c:strCache>
                <c:ptCount val="1"/>
                <c:pt idx="0">
                  <c:v>IV Trimestre 2012</c:v>
                </c:pt>
              </c:strCache>
            </c:strRef>
          </c:tx>
          <c:invertIfNegative val="0"/>
          <c:dLbls>
            <c:showLegendKey val="0"/>
            <c:showVal val="1"/>
            <c:showCatName val="0"/>
            <c:showSerName val="0"/>
            <c:showPercent val="0"/>
            <c:showBubbleSize val="0"/>
            <c:showLeaderLines val="0"/>
          </c:dLbls>
          <c:cat>
            <c:strRef>
              <c:f>Hoja1!$C$5:$C$7</c:f>
              <c:strCache>
                <c:ptCount val="3"/>
                <c:pt idx="0">
                  <c:v>Quindío</c:v>
                </c:pt>
                <c:pt idx="1">
                  <c:v>Risaralda</c:v>
                </c:pt>
                <c:pt idx="2">
                  <c:v>Caldas</c:v>
                </c:pt>
              </c:strCache>
            </c:strRef>
          </c:cat>
          <c:val>
            <c:numRef>
              <c:f>Hoja1!$D$5:$D$7</c:f>
              <c:numCache>
                <c:formatCode>#,##0</c:formatCode>
                <c:ptCount val="3"/>
                <c:pt idx="0">
                  <c:v>12749</c:v>
                </c:pt>
                <c:pt idx="1">
                  <c:v>27886</c:v>
                </c:pt>
                <c:pt idx="2">
                  <c:v>23778</c:v>
                </c:pt>
              </c:numCache>
            </c:numRef>
          </c:val>
        </c:ser>
        <c:ser>
          <c:idx val="1"/>
          <c:order val="1"/>
          <c:tx>
            <c:strRef>
              <c:f>Hoja1!$E$3</c:f>
              <c:strCache>
                <c:ptCount val="1"/>
                <c:pt idx="0">
                  <c:v>IV Trimestre 2013</c:v>
                </c:pt>
              </c:strCache>
            </c:strRef>
          </c:tx>
          <c:invertIfNegative val="0"/>
          <c:dLbls>
            <c:showLegendKey val="0"/>
            <c:showVal val="1"/>
            <c:showCatName val="0"/>
            <c:showSerName val="0"/>
            <c:showPercent val="0"/>
            <c:showBubbleSize val="0"/>
            <c:showLeaderLines val="0"/>
          </c:dLbls>
          <c:cat>
            <c:strRef>
              <c:f>Hoja1!$C$5:$C$7</c:f>
              <c:strCache>
                <c:ptCount val="3"/>
                <c:pt idx="0">
                  <c:v>Quindío</c:v>
                </c:pt>
                <c:pt idx="1">
                  <c:v>Risaralda</c:v>
                </c:pt>
                <c:pt idx="2">
                  <c:v>Caldas</c:v>
                </c:pt>
              </c:strCache>
            </c:strRef>
          </c:cat>
          <c:val>
            <c:numRef>
              <c:f>Hoja1!$E$5:$E$7</c:f>
              <c:numCache>
                <c:formatCode>#,##0</c:formatCode>
                <c:ptCount val="3"/>
                <c:pt idx="0">
                  <c:v>17753</c:v>
                </c:pt>
                <c:pt idx="1">
                  <c:v>40754</c:v>
                </c:pt>
                <c:pt idx="2">
                  <c:v>35047</c:v>
                </c:pt>
              </c:numCache>
            </c:numRef>
          </c:val>
        </c:ser>
        <c:dLbls>
          <c:showLegendKey val="0"/>
          <c:showVal val="0"/>
          <c:showCatName val="0"/>
          <c:showSerName val="0"/>
          <c:showPercent val="0"/>
          <c:showBubbleSize val="0"/>
        </c:dLbls>
        <c:gapWidth val="150"/>
        <c:shape val="box"/>
        <c:axId val="552430592"/>
        <c:axId val="552440576"/>
        <c:axId val="0"/>
      </c:bar3DChart>
      <c:catAx>
        <c:axId val="552430592"/>
        <c:scaling>
          <c:orientation val="minMax"/>
        </c:scaling>
        <c:delete val="0"/>
        <c:axPos val="b"/>
        <c:majorTickMark val="out"/>
        <c:minorTickMark val="none"/>
        <c:tickLblPos val="nextTo"/>
        <c:txPr>
          <a:bodyPr/>
          <a:lstStyle/>
          <a:p>
            <a:pPr>
              <a:defRPr sz="900" b="1"/>
            </a:pPr>
            <a:endParaRPr lang="es-CO"/>
          </a:p>
        </c:txPr>
        <c:crossAx val="552440576"/>
        <c:crosses val="autoZero"/>
        <c:auto val="1"/>
        <c:lblAlgn val="ctr"/>
        <c:lblOffset val="100"/>
        <c:noMultiLvlLbl val="0"/>
      </c:catAx>
      <c:valAx>
        <c:axId val="552440576"/>
        <c:scaling>
          <c:orientation val="minMax"/>
        </c:scaling>
        <c:delete val="0"/>
        <c:axPos val="l"/>
        <c:numFmt formatCode="#,##0" sourceLinked="1"/>
        <c:majorTickMark val="out"/>
        <c:minorTickMark val="none"/>
        <c:tickLblPos val="nextTo"/>
        <c:txPr>
          <a:bodyPr/>
          <a:lstStyle/>
          <a:p>
            <a:pPr>
              <a:defRPr sz="800"/>
            </a:pPr>
            <a:endParaRPr lang="es-CO"/>
          </a:p>
        </c:txPr>
        <c:crossAx val="552430592"/>
        <c:crosses val="autoZero"/>
        <c:crossBetween val="between"/>
      </c:valAx>
    </c:plotArea>
    <c:legend>
      <c:legendPos val="r"/>
      <c:overlay val="0"/>
    </c:legend>
    <c:plotVisOnly val="1"/>
    <c:dispBlanksAs val="gap"/>
    <c:showDLblsOverMax val="0"/>
  </c:chart>
  <c:spPr>
    <a:ln>
      <a:solidFill>
        <a:sysClr val="window" lastClr="FFFFFF">
          <a:lumMod val="85000"/>
        </a:sysClr>
      </a:solid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166666666666667E-2"/>
          <c:y val="6.51746135899679E-2"/>
          <c:w val="0.93055555555555569"/>
          <c:h val="0.76818277923592859"/>
        </c:manualLayout>
      </c:layout>
      <c:ofPieChart>
        <c:ofPieType val="pie"/>
        <c:varyColors val="1"/>
        <c:ser>
          <c:idx val="0"/>
          <c:order val="0"/>
          <c:tx>
            <c:strRef>
              <c:f>Hoja1!$F$3</c:f>
              <c:strCache>
                <c:ptCount val="1"/>
                <c:pt idx="0">
                  <c:v>Contribución</c:v>
                </c:pt>
              </c:strCache>
            </c:strRef>
          </c:tx>
          <c:dLbls>
            <c:dLbl>
              <c:idx val="0"/>
              <c:layout>
                <c:manualLayout>
                  <c:x val="9.1611111111110949E-2"/>
                  <c:y val="2.2115412656751252E-2"/>
                </c:manualLayout>
              </c:layout>
              <c:dLblPos val="bestFit"/>
              <c:showLegendKey val="0"/>
              <c:showVal val="0"/>
              <c:showCatName val="0"/>
              <c:showSerName val="0"/>
              <c:showPercent val="1"/>
              <c:showBubbleSize val="0"/>
            </c:dLbl>
            <c:dLbl>
              <c:idx val="1"/>
              <c:layout>
                <c:manualLayout>
                  <c:x val="1.9416607015032256E-2"/>
                  <c:y val="-0.14239370078740218"/>
                </c:manualLayout>
              </c:layout>
              <c:numFmt formatCode="0.0%" sourceLinked="0"/>
              <c:spPr/>
              <c:txPr>
                <a:bodyPr/>
                <a:lstStyle/>
                <a:p>
                  <a:pPr>
                    <a:defRPr sz="800" b="1"/>
                  </a:pPr>
                  <a:endParaRPr lang="es-CO"/>
                </a:p>
              </c:txPr>
              <c:dLblPos val="bestFit"/>
              <c:showLegendKey val="0"/>
              <c:showVal val="0"/>
              <c:showCatName val="0"/>
              <c:showSerName val="0"/>
              <c:showPercent val="1"/>
              <c:showBubbleSize val="0"/>
            </c:dLbl>
            <c:dLbl>
              <c:idx val="4"/>
              <c:delete val="1"/>
            </c:dLbl>
            <c:numFmt formatCode="0.0%" sourceLinked="0"/>
            <c:txPr>
              <a:bodyPr/>
              <a:lstStyle/>
              <a:p>
                <a:pPr>
                  <a:defRPr sz="900" b="1"/>
                </a:pPr>
                <a:endParaRPr lang="es-CO"/>
              </a:p>
            </c:txPr>
            <c:dLblPos val="bestFit"/>
            <c:showLegendKey val="0"/>
            <c:showVal val="0"/>
            <c:showCatName val="0"/>
            <c:showSerName val="0"/>
            <c:showPercent val="1"/>
            <c:showBubbleSize val="0"/>
            <c:showLeaderLines val="1"/>
          </c:dLbls>
          <c:cat>
            <c:strRef>
              <c:f>Hoja1!$C$4:$C$7</c:f>
              <c:strCache>
                <c:ptCount val="4"/>
                <c:pt idx="0">
                  <c:v>Total Nacional</c:v>
                </c:pt>
                <c:pt idx="1">
                  <c:v>Quindío</c:v>
                </c:pt>
                <c:pt idx="2">
                  <c:v>Risaralda</c:v>
                </c:pt>
                <c:pt idx="3">
                  <c:v>Caldas</c:v>
                </c:pt>
              </c:strCache>
            </c:strRef>
          </c:cat>
          <c:val>
            <c:numRef>
              <c:f>Hoja1!$F$4:$F$7</c:f>
              <c:numCache>
                <c:formatCode>0.0%</c:formatCode>
                <c:ptCount val="4"/>
                <c:pt idx="0" formatCode="0%">
                  <c:v>1</c:v>
                </c:pt>
                <c:pt idx="1">
                  <c:v>8.9559617708115206E-3</c:v>
                </c:pt>
                <c:pt idx="2">
                  <c:v>2.0559413395350237E-2</c:v>
                </c:pt>
                <c:pt idx="3">
                  <c:v>1.7680369074614517E-2</c:v>
                </c:pt>
              </c:numCache>
            </c:numRef>
          </c:val>
        </c:ser>
        <c:dLbls>
          <c:showLegendKey val="0"/>
          <c:showVal val="0"/>
          <c:showCatName val="0"/>
          <c:showSerName val="0"/>
          <c:showPercent val="1"/>
          <c:showBubbleSize val="0"/>
          <c:showLeaderLines val="1"/>
        </c:dLbls>
        <c:gapWidth val="100"/>
        <c:secondPieSize val="75"/>
        <c:serLines/>
      </c:ofPieChart>
    </c:plotArea>
    <c:legend>
      <c:legendPos val="t"/>
      <c:layout>
        <c:manualLayout>
          <c:xMode val="edge"/>
          <c:yMode val="edge"/>
          <c:x val="0.12616410164638511"/>
          <c:y val="0.8611111111111116"/>
          <c:w val="0.76206573610117134"/>
          <c:h val="8.3717191601050026E-2"/>
        </c:manualLayout>
      </c:layout>
      <c:overlay val="0"/>
      <c:txPr>
        <a:bodyPr/>
        <a:lstStyle/>
        <a:p>
          <a:pPr>
            <a:defRPr sz="800"/>
          </a:pPr>
          <a:endParaRPr lang="es-CO"/>
        </a:p>
      </c:txPr>
    </c:legend>
    <c:plotVisOnly val="1"/>
    <c:dispBlanksAs val="gap"/>
    <c:showDLblsOverMax val="0"/>
  </c:chart>
  <c:spPr>
    <a:ln>
      <a:solidFill>
        <a:sysClr val="window" lastClr="FFFFFF">
          <a:lumMod val="85000"/>
        </a:sysClr>
      </a:solid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line3DChart>
        <c:grouping val="standard"/>
        <c:varyColors val="0"/>
        <c:ser>
          <c:idx val="1"/>
          <c:order val="0"/>
          <c:tx>
            <c:strRef>
              <c:f>Hoja1!$D$3</c:f>
              <c:strCache>
                <c:ptCount val="1"/>
                <c:pt idx="0">
                  <c:v>Sacos de café verde</c:v>
                </c:pt>
              </c:strCache>
            </c:strRef>
          </c:tx>
          <c:cat>
            <c:numRef>
              <c:f>Hoja1!$A$5:$A$18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Hoja1!$D$5:$D$18</c:f>
              <c:numCache>
                <c:formatCode>#,##0</c:formatCode>
                <c:ptCount val="14"/>
                <c:pt idx="0">
                  <c:v>9206</c:v>
                </c:pt>
                <c:pt idx="1">
                  <c:v>9974</c:v>
                </c:pt>
                <c:pt idx="2">
                  <c:v>10274</c:v>
                </c:pt>
                <c:pt idx="3">
                  <c:v>10289</c:v>
                </c:pt>
                <c:pt idx="4">
                  <c:v>10263</c:v>
                </c:pt>
                <c:pt idx="5">
                  <c:v>10871</c:v>
                </c:pt>
                <c:pt idx="6">
                  <c:v>10945</c:v>
                </c:pt>
                <c:pt idx="7">
                  <c:v>11301</c:v>
                </c:pt>
                <c:pt idx="8">
                  <c:v>11086</c:v>
                </c:pt>
                <c:pt idx="9">
                  <c:v>7894</c:v>
                </c:pt>
                <c:pt idx="10">
                  <c:v>7822</c:v>
                </c:pt>
                <c:pt idx="11">
                  <c:v>7733</c:v>
                </c:pt>
                <c:pt idx="12">
                  <c:v>7169</c:v>
                </c:pt>
                <c:pt idx="13">
                  <c:v>9672</c:v>
                </c:pt>
              </c:numCache>
            </c:numRef>
          </c:val>
          <c:smooth val="0"/>
        </c:ser>
        <c:dLbls>
          <c:showLegendKey val="0"/>
          <c:showVal val="0"/>
          <c:showCatName val="0"/>
          <c:showSerName val="0"/>
          <c:showPercent val="0"/>
          <c:showBubbleSize val="0"/>
        </c:dLbls>
        <c:dropLines/>
        <c:axId val="550498688"/>
        <c:axId val="550500608"/>
        <c:axId val="552432960"/>
      </c:line3DChart>
      <c:catAx>
        <c:axId val="550498688"/>
        <c:scaling>
          <c:orientation val="minMax"/>
        </c:scaling>
        <c:delete val="0"/>
        <c:axPos val="b"/>
        <c:title>
          <c:tx>
            <c:rich>
              <a:bodyPr/>
              <a:lstStyle/>
              <a:p>
                <a:pPr>
                  <a:defRPr/>
                </a:pPr>
                <a:r>
                  <a:rPr lang="es-CO"/>
                  <a:t>Exportaciones</a:t>
                </a:r>
                <a:r>
                  <a:rPr lang="es-CO" baseline="0"/>
                  <a:t> colombianas</a:t>
                </a:r>
                <a:endParaRPr lang="es-CO"/>
              </a:p>
            </c:rich>
          </c:tx>
          <c:overlay val="0"/>
        </c:title>
        <c:numFmt formatCode="General" sourceLinked="1"/>
        <c:majorTickMark val="none"/>
        <c:minorTickMark val="none"/>
        <c:tickLblPos val="nextTo"/>
        <c:crossAx val="550500608"/>
        <c:crosses val="autoZero"/>
        <c:auto val="1"/>
        <c:lblAlgn val="ctr"/>
        <c:lblOffset val="100"/>
        <c:noMultiLvlLbl val="0"/>
      </c:catAx>
      <c:valAx>
        <c:axId val="550500608"/>
        <c:scaling>
          <c:orientation val="minMax"/>
        </c:scaling>
        <c:delete val="0"/>
        <c:axPos val="l"/>
        <c:title>
          <c:tx>
            <c:rich>
              <a:bodyPr/>
              <a:lstStyle/>
              <a:p>
                <a:pPr>
                  <a:defRPr/>
                </a:pPr>
                <a:r>
                  <a:rPr lang="es-CO"/>
                  <a:t>Sacos de 60 kilos</a:t>
                </a:r>
              </a:p>
            </c:rich>
          </c:tx>
          <c:overlay val="0"/>
        </c:title>
        <c:numFmt formatCode="#,##0" sourceLinked="1"/>
        <c:majorTickMark val="out"/>
        <c:minorTickMark val="none"/>
        <c:tickLblPos val="nextTo"/>
        <c:crossAx val="550498688"/>
        <c:crosses val="autoZero"/>
        <c:crossBetween val="between"/>
      </c:valAx>
      <c:serAx>
        <c:axId val="552432960"/>
        <c:scaling>
          <c:orientation val="minMax"/>
        </c:scaling>
        <c:delete val="1"/>
        <c:axPos val="b"/>
        <c:majorTickMark val="out"/>
        <c:minorTickMark val="none"/>
        <c:tickLblPos val="nextTo"/>
        <c:crossAx val="550500608"/>
        <c:crosses val="autoZero"/>
      </c:serAx>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v>Café Exportado Eje Cafeetero 2013</c:v>
          </c:tx>
          <c:explosion val="25"/>
          <c:dLbls>
            <c:txPr>
              <a:bodyPr/>
              <a:lstStyle/>
              <a:p>
                <a:pPr>
                  <a:defRPr sz="800">
                    <a:latin typeface="Times New Roman" panose="02020603050405020304" pitchFamily="18" charset="0"/>
                    <a:cs typeface="Times New Roman" panose="02020603050405020304" pitchFamily="18" charset="0"/>
                  </a:defRPr>
                </a:pPr>
                <a:endParaRPr lang="es-CO"/>
              </a:p>
            </c:txPr>
            <c:showLegendKey val="0"/>
            <c:showVal val="0"/>
            <c:showCatName val="1"/>
            <c:showSerName val="0"/>
            <c:showPercent val="1"/>
            <c:showBubbleSize val="0"/>
            <c:showLeaderLines val="1"/>
          </c:dLbls>
          <c:cat>
            <c:strRef>
              <c:f>Hoja1!$C$2:$E$2</c:f>
              <c:strCache>
                <c:ptCount val="3"/>
                <c:pt idx="0">
                  <c:v>QUINDÍO </c:v>
                </c:pt>
                <c:pt idx="1">
                  <c:v>RISARALDA</c:v>
                </c:pt>
                <c:pt idx="2">
                  <c:v>CALDAS</c:v>
                </c:pt>
              </c:strCache>
            </c:strRef>
          </c:cat>
          <c:val>
            <c:numRef>
              <c:f>Hoja1!$C$3:$E$3</c:f>
              <c:numCache>
                <c:formatCode>#,##0</c:formatCode>
                <c:ptCount val="3"/>
                <c:pt idx="0">
                  <c:v>59909</c:v>
                </c:pt>
                <c:pt idx="1">
                  <c:v>85405</c:v>
                </c:pt>
                <c:pt idx="2">
                  <c:v>82113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16329412160886336"/>
          <c:y val="8.4957516346268705E-2"/>
          <c:w val="0.80114314982867463"/>
          <c:h val="0.70710613896133034"/>
        </c:manualLayout>
      </c:layout>
      <c:line3DChart>
        <c:grouping val="standard"/>
        <c:varyColors val="0"/>
        <c:ser>
          <c:idx val="0"/>
          <c:order val="0"/>
          <c:tx>
            <c:v>Exportaciones</c:v>
          </c:tx>
          <c:cat>
            <c:numRef>
              <c:f>Hoja2!$A$5:$A$18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Hoja2!$D$5:$D$18</c:f>
              <c:numCache>
                <c:formatCode>General</c:formatCode>
                <c:ptCount val="14"/>
                <c:pt idx="0" formatCode="#,##0">
                  <c:v>1178</c:v>
                </c:pt>
                <c:pt idx="1">
                  <c:v>865</c:v>
                </c:pt>
                <c:pt idx="2">
                  <c:v>866</c:v>
                </c:pt>
                <c:pt idx="3">
                  <c:v>909</c:v>
                </c:pt>
                <c:pt idx="4" formatCode="#,##0">
                  <c:v>1074</c:v>
                </c:pt>
                <c:pt idx="5" formatCode="#,##0">
                  <c:v>1612</c:v>
                </c:pt>
                <c:pt idx="6" formatCode="#,##0">
                  <c:v>1677</c:v>
                </c:pt>
                <c:pt idx="7" formatCode="#,##0">
                  <c:v>1893</c:v>
                </c:pt>
                <c:pt idx="8" formatCode="#,##0">
                  <c:v>2162</c:v>
                </c:pt>
                <c:pt idx="9" formatCode="#,##0">
                  <c:v>1714</c:v>
                </c:pt>
                <c:pt idx="10" formatCode="#,##0">
                  <c:v>2216</c:v>
                </c:pt>
                <c:pt idx="11" formatCode="#,##0">
                  <c:v>2847</c:v>
                </c:pt>
                <c:pt idx="12" formatCode="#,##0">
                  <c:v>2135</c:v>
                </c:pt>
                <c:pt idx="13" formatCode="#,##0">
                  <c:v>2158</c:v>
                </c:pt>
              </c:numCache>
            </c:numRef>
          </c:val>
          <c:smooth val="0"/>
        </c:ser>
        <c:dLbls>
          <c:showLegendKey val="0"/>
          <c:showVal val="0"/>
          <c:showCatName val="0"/>
          <c:showSerName val="0"/>
          <c:showPercent val="0"/>
          <c:showBubbleSize val="0"/>
        </c:dLbls>
        <c:axId val="552576512"/>
        <c:axId val="552578432"/>
        <c:axId val="552538112"/>
      </c:line3DChart>
      <c:catAx>
        <c:axId val="552576512"/>
        <c:scaling>
          <c:orientation val="minMax"/>
        </c:scaling>
        <c:delete val="0"/>
        <c:axPos val="b"/>
        <c:title>
          <c:tx>
            <c:rich>
              <a:bodyPr/>
              <a:lstStyle/>
              <a:p>
                <a:pPr>
                  <a:defRPr/>
                </a:pPr>
                <a:r>
                  <a:rPr lang="es-CO"/>
                  <a:t>año</a:t>
                </a:r>
              </a:p>
            </c:rich>
          </c:tx>
          <c:overlay val="0"/>
        </c:title>
        <c:numFmt formatCode="General" sourceLinked="1"/>
        <c:majorTickMark val="none"/>
        <c:minorTickMark val="none"/>
        <c:tickLblPos val="nextTo"/>
        <c:crossAx val="552578432"/>
        <c:crosses val="autoZero"/>
        <c:auto val="1"/>
        <c:lblAlgn val="ctr"/>
        <c:lblOffset val="100"/>
        <c:noMultiLvlLbl val="0"/>
      </c:catAx>
      <c:valAx>
        <c:axId val="552578432"/>
        <c:scaling>
          <c:orientation val="minMax"/>
        </c:scaling>
        <c:delete val="0"/>
        <c:axPos val="l"/>
        <c:title>
          <c:tx>
            <c:rich>
              <a:bodyPr/>
              <a:lstStyle/>
              <a:p>
                <a:pPr>
                  <a:defRPr/>
                </a:pPr>
                <a:r>
                  <a:rPr lang="en-US"/>
                  <a:t>Millones de</a:t>
                </a:r>
                <a:r>
                  <a:rPr lang="en-US" baseline="0"/>
                  <a:t> dólares</a:t>
                </a:r>
                <a:endParaRPr lang="en-US"/>
              </a:p>
            </c:rich>
          </c:tx>
          <c:layout>
            <c:manualLayout>
              <c:xMode val="edge"/>
              <c:yMode val="edge"/>
              <c:x val="2.127043978554052E-2"/>
              <c:y val="0.17096334212578831"/>
            </c:manualLayout>
          </c:layout>
          <c:overlay val="0"/>
        </c:title>
        <c:numFmt formatCode="#,##0" sourceLinked="1"/>
        <c:majorTickMark val="out"/>
        <c:minorTickMark val="none"/>
        <c:tickLblPos val="nextTo"/>
        <c:crossAx val="552576512"/>
        <c:crosses val="autoZero"/>
        <c:crossBetween val="between"/>
      </c:valAx>
      <c:serAx>
        <c:axId val="552538112"/>
        <c:scaling>
          <c:orientation val="minMax"/>
        </c:scaling>
        <c:delete val="1"/>
        <c:axPos val="b"/>
        <c:majorTickMark val="out"/>
        <c:minorTickMark val="none"/>
        <c:tickLblPos val="nextTo"/>
        <c:crossAx val="552578432"/>
        <c:crosses val="autoZero"/>
      </c:serAx>
    </c:plotArea>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howLegendKey val="0"/>
            <c:showVal val="1"/>
            <c:showCatName val="0"/>
            <c:showSerName val="0"/>
            <c:showPercent val="0"/>
            <c:showBubbleSize val="0"/>
            <c:showLeaderLines val="1"/>
          </c:dLbls>
          <c:cat>
            <c:strRef>
              <c:f>Hoja9!$A$2:$A$12</c:f>
              <c:strCache>
                <c:ptCount val="11"/>
                <c:pt idx="0">
                  <c:v>Estados Unidos</c:v>
                </c:pt>
                <c:pt idx="1">
                  <c:v>Alemania</c:v>
                </c:pt>
                <c:pt idx="2">
                  <c:v>Japón</c:v>
                </c:pt>
                <c:pt idx="3">
                  <c:v>Canadá</c:v>
                </c:pt>
                <c:pt idx="4">
                  <c:v>Corea del Sur</c:v>
                </c:pt>
                <c:pt idx="5">
                  <c:v>Finlandia</c:v>
                </c:pt>
                <c:pt idx="6">
                  <c:v>Italia</c:v>
                </c:pt>
                <c:pt idx="7">
                  <c:v>Reino Unido</c:v>
                </c:pt>
                <c:pt idx="8">
                  <c:v>Bélgica</c:v>
                </c:pt>
                <c:pt idx="9">
                  <c:v>Australia</c:v>
                </c:pt>
                <c:pt idx="10">
                  <c:v>resto</c:v>
                </c:pt>
              </c:strCache>
            </c:strRef>
          </c:cat>
          <c:val>
            <c:numRef>
              <c:f>Hoja9!$B$2:$B$12</c:f>
              <c:numCache>
                <c:formatCode>0.00%</c:formatCode>
                <c:ptCount val="11"/>
                <c:pt idx="0">
                  <c:v>0.49299999999999999</c:v>
                </c:pt>
                <c:pt idx="1">
                  <c:v>8.5999999999999993E-2</c:v>
                </c:pt>
                <c:pt idx="2">
                  <c:v>4.8000000000000001E-2</c:v>
                </c:pt>
                <c:pt idx="3">
                  <c:v>5.6000000000000001E-2</c:v>
                </c:pt>
                <c:pt idx="4">
                  <c:v>4.9000000000000002E-2</c:v>
                </c:pt>
                <c:pt idx="5">
                  <c:v>4.7E-2</c:v>
                </c:pt>
                <c:pt idx="6">
                  <c:v>0.03</c:v>
                </c:pt>
                <c:pt idx="7">
                  <c:v>2.5000000000000001E-2</c:v>
                </c:pt>
                <c:pt idx="8">
                  <c:v>2.3E-2</c:v>
                </c:pt>
                <c:pt idx="9">
                  <c:v>2.3E-2</c:v>
                </c:pt>
                <c:pt idx="10">
                  <c:v>0.1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s-CO"/>
        </a:p>
      </c:txPr>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3055555555555558E-2"/>
          <c:y val="0.21652314121891791"/>
          <c:w val="0.85149344216270861"/>
          <c:h val="0.74422246805926118"/>
        </c:manualLayout>
      </c:layout>
      <c:pie3DChart>
        <c:varyColors val="1"/>
        <c:ser>
          <c:idx val="1"/>
          <c:order val="1"/>
          <c:tx>
            <c:strRef>
              <c:f>Hoja2!$C$2</c:f>
              <c:strCache>
                <c:ptCount val="1"/>
              </c:strCache>
            </c:strRef>
          </c:tx>
          <c:dLbls>
            <c:showLegendKey val="0"/>
            <c:showVal val="0"/>
            <c:showCatName val="1"/>
            <c:showSerName val="0"/>
            <c:showPercent val="1"/>
            <c:showBubbleSize val="0"/>
            <c:showLeaderLines val="1"/>
          </c:dLbls>
          <c:cat>
            <c:strRef>
              <c:f>Hoja2!$A$3:$A$6</c:f>
              <c:strCache>
                <c:ptCount val="3"/>
                <c:pt idx="0">
                  <c:v>Agropecuarios</c:v>
                </c:pt>
                <c:pt idx="1">
                  <c:v>Industria liviana</c:v>
                </c:pt>
                <c:pt idx="2">
                  <c:v>Industria básica</c:v>
                </c:pt>
              </c:strCache>
            </c:strRef>
          </c:cat>
          <c:val>
            <c:numRef>
              <c:f>Hoja2!$C$3:$C$6</c:f>
            </c:numRef>
          </c:val>
        </c:ser>
        <c:ser>
          <c:idx val="2"/>
          <c:order val="2"/>
          <c:tx>
            <c:strRef>
              <c:f>Hoja2!$D$2</c:f>
              <c:strCache>
                <c:ptCount val="1"/>
                <c:pt idx="0">
                  <c:v>VARIACIÓN %</c:v>
                </c:pt>
              </c:strCache>
            </c:strRef>
          </c:tx>
          <c:dLbls>
            <c:showLegendKey val="0"/>
            <c:showVal val="0"/>
            <c:showCatName val="1"/>
            <c:showSerName val="0"/>
            <c:showPercent val="1"/>
            <c:showBubbleSize val="0"/>
            <c:showLeaderLines val="1"/>
          </c:dLbls>
          <c:cat>
            <c:strRef>
              <c:f>Hoja2!$A$3:$A$6</c:f>
              <c:strCache>
                <c:ptCount val="3"/>
                <c:pt idx="0">
                  <c:v>Agropecuarios</c:v>
                </c:pt>
                <c:pt idx="1">
                  <c:v>Industria liviana</c:v>
                </c:pt>
                <c:pt idx="2">
                  <c:v>Industria básica</c:v>
                </c:pt>
              </c:strCache>
            </c:strRef>
          </c:cat>
          <c:val>
            <c:numRef>
              <c:f>Hoja2!$D$3:$D$6</c:f>
            </c:numRef>
          </c:val>
        </c:ser>
        <c:ser>
          <c:idx val="3"/>
          <c:order val="3"/>
          <c:tx>
            <c:strRef>
              <c:f>Hoja2!$E$2</c:f>
              <c:strCache>
                <c:ptCount val="1"/>
              </c:strCache>
            </c:strRef>
          </c:tx>
          <c:dLbls>
            <c:showLegendKey val="0"/>
            <c:showVal val="0"/>
            <c:showCatName val="1"/>
            <c:showSerName val="0"/>
            <c:showPercent val="1"/>
            <c:showBubbleSize val="0"/>
            <c:showLeaderLines val="1"/>
          </c:dLbls>
          <c:cat>
            <c:strRef>
              <c:f>Hoja2!$A$3:$A$6</c:f>
              <c:strCache>
                <c:ptCount val="3"/>
                <c:pt idx="0">
                  <c:v>Agropecuarios</c:v>
                </c:pt>
                <c:pt idx="1">
                  <c:v>Industria liviana</c:v>
                </c:pt>
                <c:pt idx="2">
                  <c:v>Industria básica</c:v>
                </c:pt>
              </c:strCache>
            </c:strRef>
          </c:cat>
          <c:val>
            <c:numRef>
              <c:f>Hoja2!$E$3:$E$6</c:f>
            </c:numRef>
          </c:val>
        </c:ser>
        <c:ser>
          <c:idx val="0"/>
          <c:order val="0"/>
          <c:tx>
            <c:strRef>
              <c:f>Hoja2!$B$2</c:f>
              <c:strCache>
                <c:ptCount val="1"/>
                <c:pt idx="0">
                  <c:v>AÑO</c:v>
                </c:pt>
              </c:strCache>
            </c:strRef>
          </c:tx>
          <c:dLbls>
            <c:showLegendKey val="0"/>
            <c:showVal val="0"/>
            <c:showCatName val="1"/>
            <c:showSerName val="0"/>
            <c:showPercent val="1"/>
            <c:showBubbleSize val="0"/>
            <c:showLeaderLines val="1"/>
          </c:dLbls>
          <c:cat>
            <c:strRef>
              <c:f>Hoja2!$A$3:$A$6</c:f>
              <c:strCache>
                <c:ptCount val="3"/>
                <c:pt idx="0">
                  <c:v>Agropecuarios</c:v>
                </c:pt>
                <c:pt idx="1">
                  <c:v>Industria liviana</c:v>
                </c:pt>
                <c:pt idx="2">
                  <c:v>Industria básica</c:v>
                </c:pt>
              </c:strCache>
            </c:strRef>
          </c:cat>
          <c:val>
            <c:numRef>
              <c:f>Hoja2!$B$3:$B$6</c:f>
            </c:numRef>
          </c:val>
        </c:ser>
        <c:ser>
          <c:idx val="4"/>
          <c:order val="4"/>
          <c:tx>
            <c:strRef>
              <c:f>Hoja2!$F$2</c:f>
              <c:strCache>
                <c:ptCount val="1"/>
                <c:pt idx="0">
                  <c:v>PARCTICIPACIÓN % 2013</c:v>
                </c:pt>
              </c:strCache>
            </c:strRef>
          </c:tx>
          <c:dLbls>
            <c:dLbl>
              <c:idx val="1"/>
              <c:layout>
                <c:manualLayout>
                  <c:x val="-0.2164242125984252"/>
                  <c:y val="-1.2741688538932634E-2"/>
                </c:manualLayout>
              </c:layout>
              <c:showLegendKey val="0"/>
              <c:showVal val="0"/>
              <c:showCatName val="1"/>
              <c:showSerName val="0"/>
              <c:showPercent val="1"/>
              <c:showBubbleSize val="0"/>
            </c:dLbl>
            <c:dLbl>
              <c:idx val="2"/>
              <c:layout>
                <c:manualLayout>
                  <c:x val="0.27425306211723532"/>
                  <c:y val="-1.8528725575969671E-2"/>
                </c:manualLayout>
              </c:layout>
              <c:showLegendKey val="0"/>
              <c:showVal val="0"/>
              <c:showCatName val="1"/>
              <c:showSerName val="0"/>
              <c:showPercent val="1"/>
              <c:showBubbleSize val="0"/>
            </c:dLbl>
            <c:txPr>
              <a:bodyPr/>
              <a:lstStyle/>
              <a:p>
                <a:pPr>
                  <a:defRPr sz="900">
                    <a:latin typeface="Times New Roman" panose="02020603050405020304" pitchFamily="18" charset="0"/>
                    <a:cs typeface="Times New Roman" panose="02020603050405020304" pitchFamily="18" charset="0"/>
                  </a:defRPr>
                </a:pPr>
                <a:endParaRPr lang="es-CO"/>
              </a:p>
            </c:txPr>
            <c:showLegendKey val="0"/>
            <c:showVal val="0"/>
            <c:showCatName val="1"/>
            <c:showSerName val="0"/>
            <c:showPercent val="1"/>
            <c:showBubbleSize val="0"/>
            <c:showLeaderLines val="1"/>
          </c:dLbls>
          <c:cat>
            <c:strRef>
              <c:f>Hoja2!$A$3:$A$6</c:f>
              <c:strCache>
                <c:ptCount val="3"/>
                <c:pt idx="0">
                  <c:v>Agropecuarios</c:v>
                </c:pt>
                <c:pt idx="1">
                  <c:v>Industria liviana</c:v>
                </c:pt>
                <c:pt idx="2">
                  <c:v>Industria básica</c:v>
                </c:pt>
              </c:strCache>
            </c:strRef>
          </c:cat>
          <c:val>
            <c:numRef>
              <c:f>Hoja2!$F$3:$F$6</c:f>
              <c:numCache>
                <c:formatCode>0.00%</c:formatCode>
                <c:ptCount val="3"/>
                <c:pt idx="0">
                  <c:v>0.97899999999999998</c:v>
                </c:pt>
                <c:pt idx="1">
                  <c:v>8.9999999999999993E-3</c:v>
                </c:pt>
                <c:pt idx="2">
                  <c:v>6.0000000000000001E-3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629050823905175"/>
          <c:y val="4.7515625173758132E-2"/>
          <c:w val="0.82350314880958553"/>
          <c:h val="0.65559107756832624"/>
        </c:manualLayout>
      </c:layout>
      <c:bar3DChart>
        <c:barDir val="col"/>
        <c:grouping val="clustered"/>
        <c:varyColors val="0"/>
        <c:ser>
          <c:idx val="0"/>
          <c:order val="0"/>
          <c:tx>
            <c:strRef>
              <c:f>'10.1.1'!$B$6</c:f>
              <c:strCache>
                <c:ptCount val="1"/>
                <c:pt idx="0">
                  <c:v>VALOR EJECUTADO 2012</c:v>
                </c:pt>
              </c:strCache>
            </c:strRef>
          </c:tx>
          <c:invertIfNegative val="0"/>
          <c:cat>
            <c:strRef>
              <c:f>'10.1.1'!$A$7:$A$10</c:f>
              <c:strCache>
                <c:ptCount val="4"/>
                <c:pt idx="0">
                  <c:v>Presupuesto Inicial</c:v>
                </c:pt>
                <c:pt idx="1">
                  <c:v>Presupuesto Definitivo</c:v>
                </c:pt>
                <c:pt idx="2">
                  <c:v>Ejecución de Ingresos</c:v>
                </c:pt>
                <c:pt idx="3">
                  <c:v>Ejecución de Egresos</c:v>
                </c:pt>
              </c:strCache>
            </c:strRef>
          </c:cat>
          <c:val>
            <c:numRef>
              <c:f>'10.1.1'!$B$7:$B$10</c:f>
              <c:numCache>
                <c:formatCode>#,##0</c:formatCode>
                <c:ptCount val="4"/>
                <c:pt idx="0">
                  <c:v>166655138</c:v>
                </c:pt>
                <c:pt idx="1">
                  <c:v>243778512</c:v>
                </c:pt>
                <c:pt idx="2">
                  <c:v>243953396</c:v>
                </c:pt>
                <c:pt idx="3">
                  <c:v>193397623</c:v>
                </c:pt>
              </c:numCache>
            </c:numRef>
          </c:val>
        </c:ser>
        <c:ser>
          <c:idx val="1"/>
          <c:order val="1"/>
          <c:tx>
            <c:strRef>
              <c:f>'10.1.1'!$C$6</c:f>
              <c:strCache>
                <c:ptCount val="1"/>
                <c:pt idx="0">
                  <c:v>%</c:v>
                </c:pt>
              </c:strCache>
            </c:strRef>
          </c:tx>
          <c:invertIfNegative val="0"/>
          <c:cat>
            <c:strRef>
              <c:f>'10.1.1'!$A$7:$A$10</c:f>
              <c:strCache>
                <c:ptCount val="4"/>
                <c:pt idx="0">
                  <c:v>Presupuesto Inicial</c:v>
                </c:pt>
                <c:pt idx="1">
                  <c:v>Presupuesto Definitivo</c:v>
                </c:pt>
                <c:pt idx="2">
                  <c:v>Ejecución de Ingresos</c:v>
                </c:pt>
                <c:pt idx="3">
                  <c:v>Ejecución de Egresos</c:v>
                </c:pt>
              </c:strCache>
            </c:strRef>
          </c:cat>
          <c:val>
            <c:numRef>
              <c:f>'10.1.1'!$C$7:$C$10</c:f>
            </c:numRef>
          </c:val>
        </c:ser>
        <c:ser>
          <c:idx val="2"/>
          <c:order val="2"/>
          <c:tx>
            <c:strRef>
              <c:f>'10.1.1'!$D$6</c:f>
              <c:strCache>
                <c:ptCount val="1"/>
                <c:pt idx="0">
                  <c:v>VALOR EJECUTADO 2013</c:v>
                </c:pt>
              </c:strCache>
            </c:strRef>
          </c:tx>
          <c:invertIfNegative val="0"/>
          <c:cat>
            <c:strRef>
              <c:f>'10.1.1'!$A$7:$A$10</c:f>
              <c:strCache>
                <c:ptCount val="4"/>
                <c:pt idx="0">
                  <c:v>Presupuesto Inicial</c:v>
                </c:pt>
                <c:pt idx="1">
                  <c:v>Presupuesto Definitivo</c:v>
                </c:pt>
                <c:pt idx="2">
                  <c:v>Ejecución de Ingresos</c:v>
                </c:pt>
                <c:pt idx="3">
                  <c:v>Ejecución de Egresos</c:v>
                </c:pt>
              </c:strCache>
            </c:strRef>
          </c:cat>
          <c:val>
            <c:numRef>
              <c:f>'10.1.1'!$D$7:$D$10</c:f>
              <c:numCache>
                <c:formatCode>#,##0</c:formatCode>
                <c:ptCount val="4"/>
                <c:pt idx="0">
                  <c:v>180538404</c:v>
                </c:pt>
                <c:pt idx="1">
                  <c:v>372665308</c:v>
                </c:pt>
                <c:pt idx="2">
                  <c:v>151231133</c:v>
                </c:pt>
                <c:pt idx="3">
                  <c:v>224412837</c:v>
                </c:pt>
              </c:numCache>
            </c:numRef>
          </c:val>
        </c:ser>
        <c:dLbls>
          <c:showLegendKey val="0"/>
          <c:showVal val="0"/>
          <c:showCatName val="0"/>
          <c:showSerName val="0"/>
          <c:showPercent val="0"/>
          <c:showBubbleSize val="0"/>
        </c:dLbls>
        <c:gapWidth val="150"/>
        <c:shape val="box"/>
        <c:axId val="554749312"/>
        <c:axId val="554755200"/>
        <c:axId val="0"/>
      </c:bar3DChart>
      <c:catAx>
        <c:axId val="554749312"/>
        <c:scaling>
          <c:orientation val="minMax"/>
        </c:scaling>
        <c:delete val="0"/>
        <c:axPos val="b"/>
        <c:majorTickMark val="out"/>
        <c:minorTickMark val="none"/>
        <c:tickLblPos val="nextTo"/>
        <c:txPr>
          <a:bodyPr rot="0" vert="horz"/>
          <a:lstStyle/>
          <a:p>
            <a:pPr>
              <a:defRPr sz="900">
                <a:latin typeface="Times New Roman" panose="02020603050405020304" pitchFamily="18" charset="0"/>
                <a:cs typeface="Times New Roman" panose="02020603050405020304" pitchFamily="18" charset="0"/>
              </a:defRPr>
            </a:pPr>
            <a:endParaRPr lang="es-CO"/>
          </a:p>
        </c:txPr>
        <c:crossAx val="554755200"/>
        <c:crosses val="autoZero"/>
        <c:auto val="1"/>
        <c:lblAlgn val="ctr"/>
        <c:lblOffset val="100"/>
        <c:noMultiLvlLbl val="0"/>
      </c:catAx>
      <c:valAx>
        <c:axId val="554755200"/>
        <c:scaling>
          <c:orientation val="minMax"/>
        </c:scaling>
        <c:delete val="0"/>
        <c:axPos val="l"/>
        <c:numFmt formatCode="#,##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s-CO"/>
          </a:p>
        </c:txPr>
        <c:crossAx val="554749312"/>
        <c:crosses val="autoZero"/>
        <c:crossBetween val="between"/>
      </c:valAx>
    </c:plotArea>
    <c:legend>
      <c:legendPos val="r"/>
      <c:layout>
        <c:manualLayout>
          <c:xMode val="edge"/>
          <c:yMode val="edge"/>
          <c:x val="7.6604367001127383E-2"/>
          <c:y val="0.88921076177268987"/>
          <c:w val="0.91398846251279597"/>
          <c:h val="0.1077025779725404"/>
        </c:manualLayout>
      </c:layout>
      <c:overlay val="0"/>
      <c:txPr>
        <a:bodyPr/>
        <a:lstStyle/>
        <a:p>
          <a:pPr>
            <a:defRPr sz="800">
              <a:latin typeface="Times New Roman" panose="02020603050405020304" pitchFamily="18" charset="0"/>
              <a:cs typeface="Times New Roman" panose="02020603050405020304" pitchFamily="18" charset="0"/>
            </a:defRPr>
          </a:pPr>
          <a:endParaRPr lang="es-CO"/>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6432174103237096"/>
          <c:y val="5.0925925925925923E-2"/>
          <c:w val="0.82254308836395451"/>
          <c:h val="0.74666119860017499"/>
        </c:manualLayout>
      </c:layout>
      <c:bar3DChart>
        <c:barDir val="col"/>
        <c:grouping val="clustered"/>
        <c:varyColors val="0"/>
        <c:ser>
          <c:idx val="0"/>
          <c:order val="0"/>
          <c:tx>
            <c:strRef>
              <c:f>'2.2UQ'!$F$5</c:f>
              <c:strCache>
                <c:ptCount val="1"/>
                <c:pt idx="0">
                  <c:v>TOTAL INGRESOS</c:v>
                </c:pt>
              </c:strCache>
            </c:strRef>
          </c:tx>
          <c:invertIfNegative val="0"/>
          <c:cat>
            <c:strRef>
              <c:f>'2.2UQ'!$G$4:$H$4</c:f>
              <c:strCache>
                <c:ptCount val="2"/>
                <c:pt idx="0">
                  <c:v>EJECUTADO 2012</c:v>
                </c:pt>
                <c:pt idx="1">
                  <c:v>EJECUTADO 2013</c:v>
                </c:pt>
              </c:strCache>
            </c:strRef>
          </c:cat>
          <c:val>
            <c:numRef>
              <c:f>'2.2UQ'!$G$5:$H$5</c:f>
              <c:numCache>
                <c:formatCode>#,##0</c:formatCode>
                <c:ptCount val="2"/>
                <c:pt idx="0">
                  <c:v>83620904</c:v>
                </c:pt>
                <c:pt idx="1">
                  <c:v>102083421</c:v>
                </c:pt>
              </c:numCache>
            </c:numRef>
          </c:val>
        </c:ser>
        <c:ser>
          <c:idx val="1"/>
          <c:order val="1"/>
          <c:tx>
            <c:strRef>
              <c:f>'2.2UQ'!$F$6</c:f>
              <c:strCache>
                <c:ptCount val="1"/>
                <c:pt idx="0">
                  <c:v>TOTAL EGRESOS</c:v>
                </c:pt>
              </c:strCache>
            </c:strRef>
          </c:tx>
          <c:invertIfNegative val="0"/>
          <c:cat>
            <c:strRef>
              <c:f>'2.2UQ'!$G$4:$H$4</c:f>
              <c:strCache>
                <c:ptCount val="2"/>
                <c:pt idx="0">
                  <c:v>EJECUTADO 2012</c:v>
                </c:pt>
                <c:pt idx="1">
                  <c:v>EJECUTADO 2013</c:v>
                </c:pt>
              </c:strCache>
            </c:strRef>
          </c:cat>
          <c:val>
            <c:numRef>
              <c:f>'2.2UQ'!$G$6:$H$6</c:f>
              <c:numCache>
                <c:formatCode>#,##0</c:formatCode>
                <c:ptCount val="2"/>
                <c:pt idx="0">
                  <c:v>72455765</c:v>
                </c:pt>
                <c:pt idx="1">
                  <c:v>83965725</c:v>
                </c:pt>
              </c:numCache>
            </c:numRef>
          </c:val>
        </c:ser>
        <c:dLbls>
          <c:showLegendKey val="0"/>
          <c:showVal val="0"/>
          <c:showCatName val="0"/>
          <c:showSerName val="0"/>
          <c:showPercent val="0"/>
          <c:showBubbleSize val="0"/>
        </c:dLbls>
        <c:gapWidth val="150"/>
        <c:shape val="box"/>
        <c:axId val="555693952"/>
        <c:axId val="555695488"/>
        <c:axId val="0"/>
      </c:bar3DChart>
      <c:catAx>
        <c:axId val="555693952"/>
        <c:scaling>
          <c:orientation val="minMax"/>
        </c:scaling>
        <c:delete val="0"/>
        <c:axPos val="b"/>
        <c:majorTickMark val="out"/>
        <c:minorTickMark val="none"/>
        <c:tickLblPos val="nextTo"/>
        <c:crossAx val="555695488"/>
        <c:crosses val="autoZero"/>
        <c:auto val="1"/>
        <c:lblAlgn val="ctr"/>
        <c:lblOffset val="100"/>
        <c:noMultiLvlLbl val="0"/>
      </c:catAx>
      <c:valAx>
        <c:axId val="555695488"/>
        <c:scaling>
          <c:orientation val="minMax"/>
        </c:scaling>
        <c:delete val="0"/>
        <c:axPos val="l"/>
        <c:numFmt formatCode="#,##0" sourceLinked="1"/>
        <c:majorTickMark val="out"/>
        <c:minorTickMark val="none"/>
        <c:tickLblPos val="nextTo"/>
        <c:crossAx val="555693952"/>
        <c:crosses val="autoZero"/>
        <c:crossBetween val="between"/>
      </c:valAx>
    </c:plotArea>
    <c:legend>
      <c:legendPos val="r"/>
      <c:layout>
        <c:manualLayout>
          <c:xMode val="edge"/>
          <c:yMode val="edge"/>
          <c:x val="8.6864829396325463E-2"/>
          <c:y val="0.91390346533299038"/>
          <c:w val="0.78846369714415132"/>
          <c:h val="6.3568095654709833E-2"/>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Hoja2!$F$10</c:f>
              <c:strCache>
                <c:ptCount val="1"/>
                <c:pt idx="0">
                  <c:v>TOTAL INGRESOS</c:v>
                </c:pt>
              </c:strCache>
            </c:strRef>
          </c:tx>
          <c:invertIfNegative val="0"/>
          <c:dLbls>
            <c:dLbl>
              <c:idx val="0"/>
              <c:layout>
                <c:manualLayout>
                  <c:x val="-2.7777777777777779E-3"/>
                  <c:y val="-9.2592592592592587E-3"/>
                </c:manualLayout>
              </c:layout>
              <c:showLegendKey val="0"/>
              <c:showVal val="1"/>
              <c:showCatName val="0"/>
              <c:showSerName val="0"/>
              <c:showPercent val="0"/>
              <c:showBubbleSize val="0"/>
            </c:dLbl>
            <c:dLbl>
              <c:idx val="1"/>
              <c:layout>
                <c:manualLayout>
                  <c:x val="2.7777777777777779E-3"/>
                  <c:y val="-9.259259259259269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Hoja2!$G$9:$H$9</c:f>
              <c:strCache>
                <c:ptCount val="2"/>
                <c:pt idx="0">
                  <c:v>EJECUTADO 2012</c:v>
                </c:pt>
                <c:pt idx="1">
                  <c:v>EJECUTADO 2013</c:v>
                </c:pt>
              </c:strCache>
            </c:strRef>
          </c:cat>
          <c:val>
            <c:numRef>
              <c:f>Hoja2!$G$10:$H$10</c:f>
              <c:numCache>
                <c:formatCode>#,##0</c:formatCode>
                <c:ptCount val="2"/>
                <c:pt idx="0">
                  <c:v>3866223</c:v>
                </c:pt>
                <c:pt idx="1">
                  <c:v>4344093</c:v>
                </c:pt>
              </c:numCache>
            </c:numRef>
          </c:val>
        </c:ser>
        <c:ser>
          <c:idx val="1"/>
          <c:order val="1"/>
          <c:tx>
            <c:strRef>
              <c:f>Hoja2!$F$11</c:f>
              <c:strCache>
                <c:ptCount val="1"/>
                <c:pt idx="0">
                  <c:v>TOTAL EGRESOS</c:v>
                </c:pt>
              </c:strCache>
            </c:strRef>
          </c:tx>
          <c:invertIfNegative val="0"/>
          <c:dLbls>
            <c:dLbl>
              <c:idx val="0"/>
              <c:layout>
                <c:manualLayout>
                  <c:x val="7.4999999999999997E-2"/>
                  <c:y val="-1.3888888888888888E-2"/>
                </c:manualLayout>
              </c:layout>
              <c:showLegendKey val="0"/>
              <c:showVal val="1"/>
              <c:showCatName val="0"/>
              <c:showSerName val="0"/>
              <c:showPercent val="0"/>
              <c:showBubbleSize val="0"/>
            </c:dLbl>
            <c:dLbl>
              <c:idx val="1"/>
              <c:layout>
                <c:manualLayout>
                  <c:x val="0.13055555555555556"/>
                  <c:y val="7.87037037037037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Hoja2!$G$9:$H$9</c:f>
              <c:strCache>
                <c:ptCount val="2"/>
                <c:pt idx="0">
                  <c:v>EJECUTADO 2012</c:v>
                </c:pt>
                <c:pt idx="1">
                  <c:v>EJECUTADO 2013</c:v>
                </c:pt>
              </c:strCache>
            </c:strRef>
          </c:cat>
          <c:val>
            <c:numRef>
              <c:f>Hoja2!$G$11:$H$11</c:f>
              <c:numCache>
                <c:formatCode>#,##0</c:formatCode>
                <c:ptCount val="2"/>
                <c:pt idx="0">
                  <c:v>3866223</c:v>
                </c:pt>
                <c:pt idx="1">
                  <c:v>4254147</c:v>
                </c:pt>
              </c:numCache>
            </c:numRef>
          </c:val>
        </c:ser>
        <c:dLbls>
          <c:showLegendKey val="0"/>
          <c:showVal val="0"/>
          <c:showCatName val="0"/>
          <c:showSerName val="0"/>
          <c:showPercent val="0"/>
          <c:showBubbleSize val="0"/>
        </c:dLbls>
        <c:gapWidth val="150"/>
        <c:shape val="box"/>
        <c:axId val="555738240"/>
        <c:axId val="555739776"/>
        <c:axId val="0"/>
      </c:bar3DChart>
      <c:catAx>
        <c:axId val="555738240"/>
        <c:scaling>
          <c:orientation val="minMax"/>
        </c:scaling>
        <c:delete val="0"/>
        <c:axPos val="b"/>
        <c:majorTickMark val="out"/>
        <c:minorTickMark val="none"/>
        <c:tickLblPos val="nextTo"/>
        <c:crossAx val="555739776"/>
        <c:crosses val="autoZero"/>
        <c:auto val="1"/>
        <c:lblAlgn val="ctr"/>
        <c:lblOffset val="100"/>
        <c:noMultiLvlLbl val="0"/>
      </c:catAx>
      <c:valAx>
        <c:axId val="555739776"/>
        <c:scaling>
          <c:orientation val="minMax"/>
        </c:scaling>
        <c:delete val="0"/>
        <c:axPos val="l"/>
        <c:numFmt formatCode="#,##0" sourceLinked="1"/>
        <c:majorTickMark val="out"/>
        <c:minorTickMark val="none"/>
        <c:tickLblPos val="nextTo"/>
        <c:crossAx val="555738240"/>
        <c:crosses val="autoZero"/>
        <c:crossBetween val="between"/>
      </c:valAx>
    </c:plotArea>
    <c:legend>
      <c:legendPos val="r"/>
      <c:layout>
        <c:manualLayout>
          <c:xMode val="edge"/>
          <c:yMode val="edge"/>
          <c:x val="0.75752952755905512"/>
          <c:y val="0.43161453776611258"/>
          <c:w val="0.22580380577427822"/>
          <c:h val="0.23862277631962672"/>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6851815398075475"/>
          <c:y val="5.0925925925925923E-2"/>
          <c:w val="0.47609995625546808"/>
          <c:h val="0.85161271507728198"/>
        </c:manualLayout>
      </c:layout>
      <c:bar3DChart>
        <c:barDir val="bar"/>
        <c:grouping val="clustered"/>
        <c:varyColors val="0"/>
        <c:ser>
          <c:idx val="0"/>
          <c:order val="0"/>
          <c:spPr>
            <a:solidFill>
              <a:schemeClr val="tx2">
                <a:lumMod val="60000"/>
                <a:lumOff val="40000"/>
              </a:schemeClr>
            </a:solidFill>
            <a:scene3d>
              <a:camera prst="orthographicFront"/>
              <a:lightRig rig="threePt" dir="t"/>
            </a:scene3d>
            <a:sp3d>
              <a:bevelT/>
            </a:sp3d>
          </c:spPr>
          <c:invertIfNegative val="0"/>
          <c:dLbls>
            <c:txPr>
              <a:bodyPr/>
              <a:lstStyle/>
              <a:p>
                <a:pPr>
                  <a:defRPr lang="es-MX"/>
                </a:pPr>
                <a:endParaRPr lang="es-CO"/>
              </a:p>
            </c:txPr>
            <c:showLegendKey val="0"/>
            <c:showVal val="1"/>
            <c:showCatName val="0"/>
            <c:showSerName val="0"/>
            <c:showPercent val="0"/>
            <c:showBubbleSize val="0"/>
            <c:showLeaderLines val="0"/>
          </c:dLbls>
          <c:cat>
            <c:strRef>
              <c:f>'Discapacidad Ppal Alteración'!$AD$7:$AO$7</c:f>
              <c:strCache>
                <c:ptCount val="12"/>
                <c:pt idx="0">
                  <c:v>Total</c:v>
                </c:pt>
                <c:pt idx="1">
                  <c:v>9 - El movimiento del cuerpo, manos, brazos, piernas</c:v>
                </c:pt>
                <c:pt idx="2">
                  <c:v>1 - El sistema nervioso</c:v>
                </c:pt>
                <c:pt idx="3">
                  <c:v>2 - Los ojos</c:v>
                </c:pt>
                <c:pt idx="4">
                  <c:v>6 - El sistema cardiorrespiratorio y las defensas</c:v>
                </c:pt>
                <c:pt idx="5">
                  <c:v>3 - Los oídos</c:v>
                </c:pt>
                <c:pt idx="6">
                  <c:v>5 - La voz y el habla</c:v>
                </c:pt>
                <c:pt idx="7">
                  <c:v>7 - La digestión, el metabolismo, las hormonas</c:v>
                </c:pt>
                <c:pt idx="8">
                  <c:v>8 - El sistema genital y reproductivo</c:v>
                </c:pt>
                <c:pt idx="9">
                  <c:v>otra</c:v>
                </c:pt>
                <c:pt idx="10">
                  <c:v>10 - La piel</c:v>
                </c:pt>
                <c:pt idx="11">
                  <c:v>4 - Los demás órganos de los sentidos (olfato, tacto y gusto)</c:v>
                </c:pt>
              </c:strCache>
            </c:strRef>
          </c:cat>
          <c:val>
            <c:numRef>
              <c:f>'Discapacidad Ppal Alteración'!$AD$8:$AO$8</c:f>
              <c:numCache>
                <c:formatCode>#,##0</c:formatCode>
                <c:ptCount val="12"/>
                <c:pt idx="0">
                  <c:v>12429</c:v>
                </c:pt>
                <c:pt idx="1">
                  <c:v>4566</c:v>
                </c:pt>
                <c:pt idx="2">
                  <c:v>2711</c:v>
                </c:pt>
                <c:pt idx="3">
                  <c:v>1675</c:v>
                </c:pt>
                <c:pt idx="4">
                  <c:v>1519</c:v>
                </c:pt>
                <c:pt idx="5" formatCode="General">
                  <c:v>625</c:v>
                </c:pt>
                <c:pt idx="6" formatCode="General">
                  <c:v>571</c:v>
                </c:pt>
                <c:pt idx="7" formatCode="General">
                  <c:v>490</c:v>
                </c:pt>
                <c:pt idx="8" formatCode="General">
                  <c:v>114</c:v>
                </c:pt>
                <c:pt idx="9" formatCode="General">
                  <c:v>71</c:v>
                </c:pt>
                <c:pt idx="10" formatCode="General">
                  <c:v>66</c:v>
                </c:pt>
                <c:pt idx="11" formatCode="General">
                  <c:v>21</c:v>
                </c:pt>
              </c:numCache>
            </c:numRef>
          </c:val>
        </c:ser>
        <c:dLbls>
          <c:showLegendKey val="0"/>
          <c:showVal val="0"/>
          <c:showCatName val="0"/>
          <c:showSerName val="0"/>
          <c:showPercent val="0"/>
          <c:showBubbleSize val="0"/>
        </c:dLbls>
        <c:gapWidth val="150"/>
        <c:shape val="box"/>
        <c:axId val="157613056"/>
        <c:axId val="157762304"/>
        <c:axId val="0"/>
      </c:bar3DChart>
      <c:catAx>
        <c:axId val="157613056"/>
        <c:scaling>
          <c:orientation val="minMax"/>
        </c:scaling>
        <c:delete val="0"/>
        <c:axPos val="l"/>
        <c:majorTickMark val="out"/>
        <c:minorTickMark val="none"/>
        <c:tickLblPos val="nextTo"/>
        <c:txPr>
          <a:bodyPr/>
          <a:lstStyle/>
          <a:p>
            <a:pPr>
              <a:defRPr lang="es-MX" sz="900"/>
            </a:pPr>
            <a:endParaRPr lang="es-CO"/>
          </a:p>
        </c:txPr>
        <c:crossAx val="157762304"/>
        <c:crosses val="autoZero"/>
        <c:auto val="1"/>
        <c:lblAlgn val="ctr"/>
        <c:lblOffset val="100"/>
        <c:noMultiLvlLbl val="0"/>
      </c:catAx>
      <c:valAx>
        <c:axId val="157762304"/>
        <c:scaling>
          <c:orientation val="minMax"/>
        </c:scaling>
        <c:delete val="0"/>
        <c:axPos val="b"/>
        <c:numFmt formatCode="#,##0" sourceLinked="1"/>
        <c:majorTickMark val="out"/>
        <c:minorTickMark val="none"/>
        <c:tickLblPos val="nextTo"/>
        <c:txPr>
          <a:bodyPr/>
          <a:lstStyle/>
          <a:p>
            <a:pPr>
              <a:defRPr lang="es-MX"/>
            </a:pPr>
            <a:endParaRPr lang="es-CO"/>
          </a:p>
        </c:txPr>
        <c:crossAx val="157613056"/>
        <c:crosses val="autoZero"/>
        <c:crossBetween val="between"/>
      </c:valAx>
    </c:plotArea>
    <c:plotVisOnly val="1"/>
    <c:dispBlanksAs val="gap"/>
    <c:showDLblsOverMax val="0"/>
  </c:chart>
  <c:txPr>
    <a:bodyPr/>
    <a:lstStyle/>
    <a:p>
      <a:pPr>
        <a:defRPr sz="800">
          <a:latin typeface="Times New Roman" pitchFamily="18" charset="0"/>
          <a:cs typeface="Times New Roman" pitchFamily="18" charset="0"/>
        </a:defRPr>
      </a:pPr>
      <a:endParaRPr lang="es-CO"/>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4311218135016196E-2"/>
          <c:y val="6.7316460216536311E-2"/>
          <c:w val="0.9162178488269378"/>
          <c:h val="0.88978287962640201"/>
        </c:manualLayout>
      </c:layout>
      <c:bar3DChart>
        <c:barDir val="col"/>
        <c:grouping val="clustered"/>
        <c:varyColors val="0"/>
        <c:ser>
          <c:idx val="0"/>
          <c:order val="0"/>
          <c:tx>
            <c:strRef>
              <c:f>'11.2'!$A$4</c:f>
              <c:strCache>
                <c:ptCount val="1"/>
                <c:pt idx="0">
                  <c:v>Total IPC</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'11.2'!$B$4:$J$4</c:f>
              <c:numCache>
                <c:formatCode>General</c:formatCode>
                <c:ptCount val="9"/>
                <c:pt idx="0">
                  <c:v>0.86000000000000021</c:v>
                </c:pt>
                <c:pt idx="1">
                  <c:v>2.74</c:v>
                </c:pt>
                <c:pt idx="2">
                  <c:v>0.94000000000000017</c:v>
                </c:pt>
                <c:pt idx="3">
                  <c:v>4.4400000000000004</c:v>
                </c:pt>
                <c:pt idx="4">
                  <c:v>4.37</c:v>
                </c:pt>
                <c:pt idx="5">
                  <c:v>1.84</c:v>
                </c:pt>
                <c:pt idx="6">
                  <c:v>1.3900000000000001</c:v>
                </c:pt>
                <c:pt idx="7">
                  <c:v>2.75</c:v>
                </c:pt>
                <c:pt idx="8">
                  <c:v>1.02</c:v>
                </c:pt>
              </c:numCache>
            </c:numRef>
          </c:val>
        </c:ser>
        <c:ser>
          <c:idx val="1"/>
          <c:order val="1"/>
          <c:tx>
            <c:strRef>
              <c:f>'11.2'!$A$5</c:f>
              <c:strCache>
                <c:ptCount val="1"/>
                <c:pt idx="0">
                  <c:v>Medellín</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'11.2'!$B$5:$J$5</c:f>
            </c:numRef>
          </c:val>
        </c:ser>
        <c:ser>
          <c:idx val="2"/>
          <c:order val="2"/>
          <c:tx>
            <c:strRef>
              <c:f>'11.2'!$A$6</c:f>
              <c:strCache>
                <c:ptCount val="1"/>
                <c:pt idx="0">
                  <c:v>Barranquilla</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'11.2'!$B$6:$J$6</c:f>
            </c:numRef>
          </c:val>
        </c:ser>
        <c:ser>
          <c:idx val="3"/>
          <c:order val="3"/>
          <c:tx>
            <c:strRef>
              <c:f>'11.2'!$A$7</c:f>
              <c:strCache>
                <c:ptCount val="1"/>
                <c:pt idx="0">
                  <c:v>Bogotá D.C.</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'11.2'!$B$7:$J$7</c:f>
            </c:numRef>
          </c:val>
        </c:ser>
        <c:ser>
          <c:idx val="4"/>
          <c:order val="4"/>
          <c:tx>
            <c:strRef>
              <c:f>'11.2'!$A$8</c:f>
              <c:strCache>
                <c:ptCount val="1"/>
                <c:pt idx="0">
                  <c:v>Cartagena</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'11.2'!$B$8:$J$8</c:f>
            </c:numRef>
          </c:val>
        </c:ser>
        <c:ser>
          <c:idx val="5"/>
          <c:order val="5"/>
          <c:tx>
            <c:strRef>
              <c:f>'11.2'!$A$9</c:f>
              <c:strCache>
                <c:ptCount val="1"/>
                <c:pt idx="0">
                  <c:v>Tunja</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'11.2'!$B$9:$J$9</c:f>
            </c:numRef>
          </c:val>
        </c:ser>
        <c:ser>
          <c:idx val="6"/>
          <c:order val="6"/>
          <c:tx>
            <c:strRef>
              <c:f>'11.2'!$A$10</c:f>
              <c:strCache>
                <c:ptCount val="1"/>
                <c:pt idx="0">
                  <c:v>Manizales</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'11.2'!$B$10:$J$10</c:f>
            </c:numRef>
          </c:val>
        </c:ser>
        <c:ser>
          <c:idx val="7"/>
          <c:order val="7"/>
          <c:tx>
            <c:strRef>
              <c:f>'11.2'!$A$11</c:f>
              <c:strCache>
                <c:ptCount val="1"/>
                <c:pt idx="0">
                  <c:v>Florencia</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'11.2'!$B$11:$J$11</c:f>
            </c:numRef>
          </c:val>
        </c:ser>
        <c:ser>
          <c:idx val="8"/>
          <c:order val="8"/>
          <c:tx>
            <c:strRef>
              <c:f>'11.2'!$A$12</c:f>
              <c:strCache>
                <c:ptCount val="1"/>
                <c:pt idx="0">
                  <c:v>Popayán</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'11.2'!$B$12:$J$12</c:f>
            </c:numRef>
          </c:val>
        </c:ser>
        <c:ser>
          <c:idx val="9"/>
          <c:order val="9"/>
          <c:tx>
            <c:strRef>
              <c:f>'11.2'!$A$13</c:f>
              <c:strCache>
                <c:ptCount val="1"/>
                <c:pt idx="0">
                  <c:v>Valledupar</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'11.2'!$B$13:$J$13</c:f>
            </c:numRef>
          </c:val>
        </c:ser>
        <c:ser>
          <c:idx val="10"/>
          <c:order val="10"/>
          <c:tx>
            <c:strRef>
              <c:f>'11.2'!$A$14</c:f>
              <c:strCache>
                <c:ptCount val="1"/>
                <c:pt idx="0">
                  <c:v>Montería</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'11.2'!$B$14:$J$14</c:f>
            </c:numRef>
          </c:val>
        </c:ser>
        <c:ser>
          <c:idx val="11"/>
          <c:order val="11"/>
          <c:tx>
            <c:strRef>
              <c:f>'11.2'!$A$15</c:f>
              <c:strCache>
                <c:ptCount val="1"/>
                <c:pt idx="0">
                  <c:v>Quibdó</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'11.2'!$B$15:$J$15</c:f>
            </c:numRef>
          </c:val>
        </c:ser>
        <c:ser>
          <c:idx val="12"/>
          <c:order val="12"/>
          <c:tx>
            <c:strRef>
              <c:f>'11.2'!$A$16</c:f>
              <c:strCache>
                <c:ptCount val="1"/>
                <c:pt idx="0">
                  <c:v>Neiva</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'11.2'!$B$16:$J$16</c:f>
            </c:numRef>
          </c:val>
        </c:ser>
        <c:ser>
          <c:idx val="13"/>
          <c:order val="13"/>
          <c:tx>
            <c:strRef>
              <c:f>'11.2'!$A$17</c:f>
              <c:strCache>
                <c:ptCount val="1"/>
                <c:pt idx="0">
                  <c:v>Riohacha</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'11.2'!$B$17:$J$17</c:f>
            </c:numRef>
          </c:val>
        </c:ser>
        <c:ser>
          <c:idx val="14"/>
          <c:order val="14"/>
          <c:tx>
            <c:strRef>
              <c:f>'11.2'!$A$18</c:f>
              <c:strCache>
                <c:ptCount val="1"/>
                <c:pt idx="0">
                  <c:v>Santa Marta</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'11.2'!$B$18:$J$18</c:f>
            </c:numRef>
          </c:val>
        </c:ser>
        <c:ser>
          <c:idx val="15"/>
          <c:order val="15"/>
          <c:tx>
            <c:strRef>
              <c:f>'11.2'!$A$19</c:f>
              <c:strCache>
                <c:ptCount val="1"/>
                <c:pt idx="0">
                  <c:v>Villavicencio</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'11.2'!$B$19:$J$19</c:f>
            </c:numRef>
          </c:val>
        </c:ser>
        <c:ser>
          <c:idx val="16"/>
          <c:order val="16"/>
          <c:tx>
            <c:strRef>
              <c:f>'11.2'!$A$20</c:f>
              <c:strCache>
                <c:ptCount val="1"/>
                <c:pt idx="0">
                  <c:v>Pasto</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'11.2'!$B$20:$J$20</c:f>
            </c:numRef>
          </c:val>
        </c:ser>
        <c:ser>
          <c:idx val="17"/>
          <c:order val="17"/>
          <c:tx>
            <c:strRef>
              <c:f>'11.2'!$A$21</c:f>
              <c:strCache>
                <c:ptCount val="1"/>
                <c:pt idx="0">
                  <c:v>Cúcuta</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'11.2'!$B$21:$J$21</c:f>
            </c:numRef>
          </c:val>
        </c:ser>
        <c:ser>
          <c:idx val="18"/>
          <c:order val="18"/>
          <c:tx>
            <c:strRef>
              <c:f>'11.2'!$A$22</c:f>
              <c:strCache>
                <c:ptCount val="1"/>
                <c:pt idx="0">
                  <c:v>Armenia</c:v>
                </c:pt>
              </c:strCache>
            </c:strRef>
          </c:tx>
          <c:invertIfNegative val="0"/>
          <c:cat>
            <c:strRef>
              <c:f>'11.2'!$B$3:$J$3</c:f>
              <c:strCache>
                <c:ptCount val="9"/>
                <c:pt idx="0">
                  <c:v>ALIMENT</c:v>
                </c:pt>
                <c:pt idx="1">
                  <c:v>VIVIEN</c:v>
                </c:pt>
                <c:pt idx="2">
                  <c:v>VESTUAR</c:v>
                </c:pt>
                <c:pt idx="3">
                  <c:v>SALUD</c:v>
                </c:pt>
                <c:pt idx="4">
                  <c:v>EDUCAC</c:v>
                </c:pt>
                <c:pt idx="5">
                  <c:v>DIVERSI</c:v>
                </c:pt>
                <c:pt idx="6">
                  <c:v>TRANSP</c:v>
                </c:pt>
                <c:pt idx="7">
                  <c:v>COMUNIC</c:v>
                </c:pt>
                <c:pt idx="8">
                  <c:v>OTROS</c:v>
                </c:pt>
              </c:strCache>
            </c:strRef>
          </c:cat>
          <c:val>
            <c:numRef>
              <c:f>'11.2'!$B$22:$J$22</c:f>
              <c:numCache>
                <c:formatCode>General</c:formatCode>
                <c:ptCount val="9"/>
                <c:pt idx="0">
                  <c:v>-1.05</c:v>
                </c:pt>
                <c:pt idx="1">
                  <c:v>2.73</c:v>
                </c:pt>
                <c:pt idx="2">
                  <c:v>1.47</c:v>
                </c:pt>
                <c:pt idx="3">
                  <c:v>2.68</c:v>
                </c:pt>
                <c:pt idx="4">
                  <c:v>2.59</c:v>
                </c:pt>
                <c:pt idx="5">
                  <c:v>0.78</c:v>
                </c:pt>
                <c:pt idx="6">
                  <c:v>1.53</c:v>
                </c:pt>
                <c:pt idx="7">
                  <c:v>8.0000000000000029E-2</c:v>
                </c:pt>
                <c:pt idx="8">
                  <c:v>1.28</c:v>
                </c:pt>
              </c:numCache>
            </c:numRef>
          </c:val>
        </c:ser>
        <c:dLbls>
          <c:showLegendKey val="0"/>
          <c:showVal val="0"/>
          <c:showCatName val="0"/>
          <c:showSerName val="0"/>
          <c:showPercent val="0"/>
          <c:showBubbleSize val="0"/>
        </c:dLbls>
        <c:gapWidth val="150"/>
        <c:shape val="box"/>
        <c:axId val="555127936"/>
        <c:axId val="555129472"/>
        <c:axId val="0"/>
      </c:bar3DChart>
      <c:catAx>
        <c:axId val="555127936"/>
        <c:scaling>
          <c:orientation val="minMax"/>
        </c:scaling>
        <c:delete val="0"/>
        <c:axPos val="b"/>
        <c:majorTickMark val="out"/>
        <c:minorTickMark val="none"/>
        <c:tickLblPos val="nextTo"/>
        <c:txPr>
          <a:bodyPr rot="-5400000" vert="horz"/>
          <a:lstStyle/>
          <a:p>
            <a:pPr>
              <a:defRPr lang="es-CO" sz="800"/>
            </a:pPr>
            <a:endParaRPr lang="es-CO"/>
          </a:p>
        </c:txPr>
        <c:crossAx val="555129472"/>
        <c:crosses val="autoZero"/>
        <c:auto val="1"/>
        <c:lblAlgn val="ctr"/>
        <c:lblOffset val="100"/>
        <c:noMultiLvlLbl val="0"/>
      </c:catAx>
      <c:valAx>
        <c:axId val="555129472"/>
        <c:scaling>
          <c:orientation val="minMax"/>
        </c:scaling>
        <c:delete val="0"/>
        <c:axPos val="l"/>
        <c:numFmt formatCode="General" sourceLinked="1"/>
        <c:majorTickMark val="out"/>
        <c:minorTickMark val="none"/>
        <c:tickLblPos val="nextTo"/>
        <c:txPr>
          <a:bodyPr/>
          <a:lstStyle/>
          <a:p>
            <a:pPr>
              <a:defRPr lang="es-CO"/>
            </a:pPr>
            <a:endParaRPr lang="es-CO"/>
          </a:p>
        </c:txPr>
        <c:crossAx val="555127936"/>
        <c:crosses val="autoZero"/>
        <c:crossBetween val="between"/>
      </c:valAx>
    </c:plotArea>
    <c:legend>
      <c:legendPos val="r"/>
      <c:layout>
        <c:manualLayout>
          <c:xMode val="edge"/>
          <c:yMode val="edge"/>
          <c:x val="0.83113118943698761"/>
          <c:y val="5.6837119132091517E-2"/>
          <c:w val="0.15274892331324363"/>
          <c:h val="0.22542196318748944"/>
        </c:manualLayout>
      </c:layout>
      <c:overlay val="0"/>
      <c:txPr>
        <a:bodyPr/>
        <a:lstStyle/>
        <a:p>
          <a:pPr>
            <a:defRPr lang="es-CO"/>
          </a:pPr>
          <a:endParaRPr lang="es-CO"/>
        </a:p>
      </c:txPr>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1"/>
          <c:order val="0"/>
          <c:tx>
            <c:strRef>
              <c:f>Hoja2!$E$19</c:f>
              <c:strCache>
                <c:ptCount val="1"/>
                <c:pt idx="0">
                  <c:v>Porcentaje de suelo destinado a agricultura</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Hoja2!$D$20:$D$31</c:f>
              <c:strCache>
                <c:ptCount val="12"/>
                <c:pt idx="0">
                  <c:v>Calarcá</c:v>
                </c:pt>
                <c:pt idx="1">
                  <c:v>Armenia</c:v>
                </c:pt>
                <c:pt idx="2">
                  <c:v>Génova</c:v>
                </c:pt>
                <c:pt idx="3">
                  <c:v>Quimbaya</c:v>
                </c:pt>
                <c:pt idx="4">
                  <c:v>Pijao</c:v>
                </c:pt>
                <c:pt idx="5">
                  <c:v>Montenegro </c:v>
                </c:pt>
                <c:pt idx="6">
                  <c:v>La tebaida </c:v>
                </c:pt>
                <c:pt idx="7">
                  <c:v>Circasia</c:v>
                </c:pt>
                <c:pt idx="8">
                  <c:v>Filandia</c:v>
                </c:pt>
                <c:pt idx="9">
                  <c:v>Córdoba</c:v>
                </c:pt>
                <c:pt idx="10">
                  <c:v>Buenavista</c:v>
                </c:pt>
                <c:pt idx="11">
                  <c:v>Salento</c:v>
                </c:pt>
              </c:strCache>
            </c:strRef>
          </c:cat>
          <c:val>
            <c:numRef>
              <c:f>Hoja2!$E$20:$E$31</c:f>
              <c:numCache>
                <c:formatCode>0.00%</c:formatCode>
                <c:ptCount val="12"/>
                <c:pt idx="0">
                  <c:v>0.15920000000000001</c:v>
                </c:pt>
                <c:pt idx="1">
                  <c:v>0.1288</c:v>
                </c:pt>
                <c:pt idx="2">
                  <c:v>0.1183</c:v>
                </c:pt>
                <c:pt idx="3">
                  <c:v>0.1182</c:v>
                </c:pt>
                <c:pt idx="4">
                  <c:v>9.5500000000000002E-2</c:v>
                </c:pt>
                <c:pt idx="5">
                  <c:v>8.6300000000000002E-2</c:v>
                </c:pt>
                <c:pt idx="6">
                  <c:v>7.4800000000000005E-2</c:v>
                </c:pt>
                <c:pt idx="7">
                  <c:v>5.9299999999999999E-2</c:v>
                </c:pt>
                <c:pt idx="8">
                  <c:v>5.3800000000000001E-2</c:v>
                </c:pt>
                <c:pt idx="9">
                  <c:v>4.8300000000000003E-2</c:v>
                </c:pt>
                <c:pt idx="10">
                  <c:v>3.8600000000000002E-2</c:v>
                </c:pt>
                <c:pt idx="11">
                  <c:v>1.8700000000000001E-2</c:v>
                </c:pt>
              </c:numCache>
            </c:numRef>
          </c:val>
        </c:ser>
        <c:dLbls>
          <c:showLegendKey val="0"/>
          <c:showVal val="0"/>
          <c:showCatName val="0"/>
          <c:showSerName val="0"/>
          <c:showPercent val="0"/>
          <c:showBubbleSize val="0"/>
        </c:dLbls>
        <c:gapWidth val="115"/>
        <c:overlap val="-20"/>
        <c:axId val="555051648"/>
        <c:axId val="555229568"/>
      </c:barChart>
      <c:catAx>
        <c:axId val="5550516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55229568"/>
        <c:crosses val="autoZero"/>
        <c:auto val="1"/>
        <c:lblAlgn val="ctr"/>
        <c:lblOffset val="100"/>
        <c:noMultiLvlLbl val="0"/>
      </c:catAx>
      <c:valAx>
        <c:axId val="555229568"/>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505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HAS</c:v>
          </c:tx>
          <c:invertIfNegative val="0"/>
          <c:dLbls>
            <c:dLbl>
              <c:idx val="2"/>
              <c:layout>
                <c:manualLayout>
                  <c:x val="3.3333333333333333E-2"/>
                  <c:y val="-1.40845070422535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8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'[Clases de Pastos graficos.xlsx]Hoja4'!$A$3:$A$6</c:f>
              <c:strCache>
                <c:ptCount val="4"/>
                <c:pt idx="0">
                  <c:v>PASTOS DE CORTE</c:v>
                </c:pt>
                <c:pt idx="1">
                  <c:v>PRADERA MEJORADA</c:v>
                </c:pt>
                <c:pt idx="2">
                  <c:v>PRADERA TRADICIONAL</c:v>
                </c:pt>
                <c:pt idx="3">
                  <c:v>CULTIVO FORRAJERO</c:v>
                </c:pt>
              </c:strCache>
            </c:strRef>
          </c:cat>
          <c:val>
            <c:numRef>
              <c:f>'[Clases de Pastos graficos.xlsx]Hoja4'!$B$3:$B$6</c:f>
              <c:numCache>
                <c:formatCode>#,##0.00</c:formatCode>
                <c:ptCount val="4"/>
                <c:pt idx="0" formatCode="General">
                  <c:v>530.4</c:v>
                </c:pt>
                <c:pt idx="1">
                  <c:v>20149</c:v>
                </c:pt>
                <c:pt idx="2">
                  <c:v>42376.6</c:v>
                </c:pt>
                <c:pt idx="3" formatCode="General">
                  <c:v>822</c:v>
                </c:pt>
              </c:numCache>
            </c:numRef>
          </c:val>
        </c:ser>
        <c:ser>
          <c:idx val="1"/>
          <c:order val="1"/>
          <c:tx>
            <c:v>PARTICIPACION</c:v>
          </c:tx>
          <c:invertIfNegative val="0"/>
          <c:dLbls>
            <c:dLbl>
              <c:idx val="0"/>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716564074787537E-2"/>
                  <c:y val="-1.3958329440754586E-2"/>
                </c:manualLayout>
              </c:layout>
              <c:showLegendKey val="0"/>
              <c:showVal val="1"/>
              <c:showCatName val="0"/>
              <c:showSerName val="0"/>
              <c:showPercent val="0"/>
              <c:showBubbleSize val="0"/>
            </c:dLbl>
            <c:dLbl>
              <c:idx val="2"/>
              <c:layout>
                <c:manualLayout>
                  <c:x val="2.7860940124645898E-2"/>
                  <c:y val="-1.8611105921006114E-2"/>
                </c:manualLayout>
              </c:layout>
              <c:showLegendKey val="0"/>
              <c:showVal val="1"/>
              <c:showCatName val="0"/>
              <c:showSerName val="0"/>
              <c:showPercent val="0"/>
              <c:showBubbleSize val="0"/>
            </c:dLbl>
            <c:dLbl>
              <c:idx val="3"/>
              <c:layout>
                <c:manualLayout>
                  <c:x val="2.5074846112181307E-2"/>
                  <c:y val="-9.3055529605031422E-3"/>
                </c:manualLayout>
              </c:layout>
              <c:showLegendKey val="0"/>
              <c:showVal val="1"/>
              <c:showCatName val="0"/>
              <c:showSerName val="0"/>
              <c:showPercent val="0"/>
              <c:showBubbleSize val="0"/>
            </c:dLbl>
            <c:spPr>
              <a:noFill/>
              <a:ln>
                <a:noFill/>
              </a:ln>
              <a:effectLst/>
            </c:spPr>
            <c:txPr>
              <a:bodyPr rot="0" vert="horz"/>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'[Clases de Pastos graficos.xlsx]Hoja4'!$A$3:$A$6</c:f>
              <c:strCache>
                <c:ptCount val="4"/>
                <c:pt idx="0">
                  <c:v>PASTOS DE CORTE</c:v>
                </c:pt>
                <c:pt idx="1">
                  <c:v>PRADERA MEJORADA</c:v>
                </c:pt>
                <c:pt idx="2">
                  <c:v>PRADERA TRADICIONAL</c:v>
                </c:pt>
                <c:pt idx="3">
                  <c:v>CULTIVO FORRAJERO</c:v>
                </c:pt>
              </c:strCache>
            </c:strRef>
          </c:cat>
          <c:val>
            <c:numRef>
              <c:f>'[Clases de Pastos graficos.xlsx]Hoja4'!$C$3:$C$6</c:f>
              <c:numCache>
                <c:formatCode>#,##0.00</c:formatCode>
                <c:ptCount val="4"/>
                <c:pt idx="0" formatCode="General">
                  <c:v>0.83</c:v>
                </c:pt>
                <c:pt idx="1">
                  <c:v>31.54</c:v>
                </c:pt>
                <c:pt idx="2">
                  <c:v>66.34</c:v>
                </c:pt>
                <c:pt idx="3" formatCode="General">
                  <c:v>1.29</c:v>
                </c:pt>
              </c:numCache>
            </c:numRef>
          </c:val>
        </c:ser>
        <c:dLbls>
          <c:showLegendKey val="0"/>
          <c:showVal val="1"/>
          <c:showCatName val="0"/>
          <c:showSerName val="0"/>
          <c:showPercent val="0"/>
          <c:showBubbleSize val="0"/>
        </c:dLbls>
        <c:gapWidth val="150"/>
        <c:shape val="box"/>
        <c:axId val="555259392"/>
        <c:axId val="555260928"/>
        <c:axId val="0"/>
      </c:bar3DChart>
      <c:catAx>
        <c:axId val="555259392"/>
        <c:scaling>
          <c:orientation val="minMax"/>
        </c:scaling>
        <c:delete val="0"/>
        <c:axPos val="b"/>
        <c:numFmt formatCode="General" sourceLinked="1"/>
        <c:majorTickMark val="none"/>
        <c:minorTickMark val="none"/>
        <c:tickLblPos val="nextTo"/>
        <c:txPr>
          <a:bodyPr rot="-60000000" vert="horz"/>
          <a:lstStyle/>
          <a:p>
            <a:pPr>
              <a:defRPr sz="800"/>
            </a:pPr>
            <a:endParaRPr lang="es-CO"/>
          </a:p>
        </c:txPr>
        <c:crossAx val="555260928"/>
        <c:crosses val="autoZero"/>
        <c:auto val="1"/>
        <c:lblAlgn val="ctr"/>
        <c:lblOffset val="100"/>
        <c:noMultiLvlLbl val="0"/>
      </c:catAx>
      <c:valAx>
        <c:axId val="555260928"/>
        <c:scaling>
          <c:orientation val="minMax"/>
        </c:scaling>
        <c:delete val="0"/>
        <c:axPos val="l"/>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es-CO"/>
          </a:p>
        </c:txPr>
        <c:crossAx val="555259392"/>
        <c:crosses val="autoZero"/>
        <c:crossBetween val="between"/>
      </c:valAx>
    </c:plotArea>
    <c:legend>
      <c:legendPos val="b"/>
      <c:overlay val="0"/>
      <c:txPr>
        <a:bodyPr rot="0" vert="horz"/>
        <a:lstStyle/>
        <a:p>
          <a:pPr>
            <a:defRPr/>
          </a:pPr>
          <a:endParaRPr lang="es-CO"/>
        </a:p>
      </c:txPr>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20144356955382"/>
          <c:y val="2.5428331875182269E-2"/>
          <c:w val="0.86486351706036746"/>
          <c:h val="0.5702230971128609"/>
        </c:manualLayout>
      </c:layout>
      <c:bar3DChart>
        <c:barDir val="col"/>
        <c:grouping val="standard"/>
        <c:varyColors val="0"/>
        <c:ser>
          <c:idx val="0"/>
          <c:order val="0"/>
          <c:tx>
            <c:strRef>
              <c:f>'SACRIFICIO DE GANADO EN EL DTO'!$B$2</c:f>
              <c:strCache>
                <c:ptCount val="1"/>
                <c:pt idx="0">
                  <c:v>BOVINO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'SACRIFICIO DE GANADO EN EL DTO'!$A$3:$A$8</c:f>
              <c:strCache>
                <c:ptCount val="6"/>
                <c:pt idx="0">
                  <c:v>GENOVA </c:v>
                </c:pt>
                <c:pt idx="1">
                  <c:v>CALARCA</c:v>
                </c:pt>
                <c:pt idx="2">
                  <c:v>FILANDIA</c:v>
                </c:pt>
                <c:pt idx="3">
                  <c:v>LA TEBAIDA</c:v>
                </c:pt>
                <c:pt idx="4">
                  <c:v>FRIGOCAFE S.A</c:v>
                </c:pt>
                <c:pt idx="5">
                  <c:v>TOTAL</c:v>
                </c:pt>
              </c:strCache>
            </c:strRef>
          </c:cat>
          <c:val>
            <c:numRef>
              <c:f>'SACRIFICIO DE GANADO EN EL DTO'!$B$3:$B$8</c:f>
              <c:numCache>
                <c:formatCode>General</c:formatCode>
                <c:ptCount val="6"/>
                <c:pt idx="0">
                  <c:v>211</c:v>
                </c:pt>
                <c:pt idx="1">
                  <c:v>2756</c:v>
                </c:pt>
                <c:pt idx="2">
                  <c:v>1207</c:v>
                </c:pt>
                <c:pt idx="3">
                  <c:v>2502</c:v>
                </c:pt>
                <c:pt idx="4">
                  <c:v>14715</c:v>
                </c:pt>
                <c:pt idx="5">
                  <c:v>21391</c:v>
                </c:pt>
              </c:numCache>
            </c:numRef>
          </c:val>
        </c:ser>
        <c:ser>
          <c:idx val="1"/>
          <c:order val="1"/>
          <c:tx>
            <c:strRef>
              <c:f>'SACRIFICIO DE GANADO EN EL DTO'!$C$2</c:f>
              <c:strCache>
                <c:ptCount val="1"/>
                <c:pt idx="0">
                  <c:v>PORCINO</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'SACRIFICIO DE GANADO EN EL DTO'!$A$3:$A$8</c:f>
              <c:strCache>
                <c:ptCount val="6"/>
                <c:pt idx="0">
                  <c:v>GENOVA </c:v>
                </c:pt>
                <c:pt idx="1">
                  <c:v>CALARCA</c:v>
                </c:pt>
                <c:pt idx="2">
                  <c:v>FILANDIA</c:v>
                </c:pt>
                <c:pt idx="3">
                  <c:v>LA TEBAIDA</c:v>
                </c:pt>
                <c:pt idx="4">
                  <c:v>FRIGOCAFE S.A</c:v>
                </c:pt>
                <c:pt idx="5">
                  <c:v>TOTAL</c:v>
                </c:pt>
              </c:strCache>
            </c:strRef>
          </c:cat>
          <c:val>
            <c:numRef>
              <c:f>'SACRIFICIO DE GANADO EN EL DTO'!$C$3:$C$8</c:f>
              <c:numCache>
                <c:formatCode>General</c:formatCode>
                <c:ptCount val="6"/>
                <c:pt idx="0">
                  <c:v>70</c:v>
                </c:pt>
                <c:pt idx="1">
                  <c:v>321</c:v>
                </c:pt>
                <c:pt idx="2">
                  <c:v>0</c:v>
                </c:pt>
                <c:pt idx="3">
                  <c:v>882</c:v>
                </c:pt>
                <c:pt idx="4">
                  <c:v>21969</c:v>
                </c:pt>
                <c:pt idx="5">
                  <c:v>23242</c:v>
                </c:pt>
              </c:numCache>
            </c:numRef>
          </c:val>
        </c:ser>
        <c:dLbls>
          <c:showLegendKey val="0"/>
          <c:showVal val="1"/>
          <c:showCatName val="0"/>
          <c:showSerName val="0"/>
          <c:showPercent val="0"/>
          <c:showBubbleSize val="0"/>
        </c:dLbls>
        <c:gapWidth val="150"/>
        <c:shape val="box"/>
        <c:axId val="550639104"/>
        <c:axId val="550640256"/>
        <c:axId val="550633472"/>
      </c:bar3DChart>
      <c:catAx>
        <c:axId val="55063910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0640256"/>
        <c:crosses val="autoZero"/>
        <c:auto val="1"/>
        <c:lblAlgn val="ctr"/>
        <c:lblOffset val="100"/>
        <c:noMultiLvlLbl val="0"/>
      </c:catAx>
      <c:valAx>
        <c:axId val="550640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0639104"/>
        <c:crosses val="autoZero"/>
        <c:crossBetween val="between"/>
      </c:valAx>
      <c:serAx>
        <c:axId val="550633472"/>
        <c:scaling>
          <c:orientation val="minMax"/>
        </c:scaling>
        <c:delete val="1"/>
        <c:axPos val="b"/>
        <c:majorTickMark val="none"/>
        <c:minorTickMark val="none"/>
        <c:tickLblPos val="nextTo"/>
        <c:crossAx val="550640256"/>
        <c:crosses val="autoZero"/>
      </c:serAx>
      <c:spPr>
        <a:noFill/>
        <a:ln>
          <a:noFill/>
        </a:ln>
        <a:effectLst/>
      </c:spPr>
    </c:plotArea>
    <c:legend>
      <c:legendPos val="b"/>
      <c:layout>
        <c:manualLayout>
          <c:xMode val="edge"/>
          <c:yMode val="edge"/>
          <c:x val="0.3207464066991626"/>
          <c:y val="0.8913035870516185"/>
          <c:w val="0.32041194850643667"/>
          <c:h val="0.108696412948381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988407699037624E-2"/>
          <c:y val="5.3058636487643349E-2"/>
          <c:w val="0.91522069116360449"/>
          <c:h val="0.51715970987497528"/>
        </c:manualLayout>
      </c:layout>
      <c:barChart>
        <c:barDir val="col"/>
        <c:grouping val="clustered"/>
        <c:varyColors val="0"/>
        <c:ser>
          <c:idx val="0"/>
          <c:order val="0"/>
          <c:tx>
            <c:v>PORCINOS</c:v>
          </c:tx>
          <c:invertIfNegative val="0"/>
          <c:dLbls>
            <c:showLegendKey val="0"/>
            <c:showVal val="1"/>
            <c:showCatName val="0"/>
            <c:showSerName val="0"/>
            <c:showPercent val="0"/>
            <c:showBubbleSize val="0"/>
            <c:showLeaderLines val="0"/>
          </c:dLbls>
          <c:cat>
            <c:strRef>
              <c:f>'PREDIOS CERTIFICADOS'!$A$3:$A$11</c:f>
              <c:strCache>
                <c:ptCount val="9"/>
                <c:pt idx="0">
                  <c:v>ARMENIA</c:v>
                </c:pt>
                <c:pt idx="1">
                  <c:v>CIRCASIA</c:v>
                </c:pt>
                <c:pt idx="2">
                  <c:v>FILANDIA</c:v>
                </c:pt>
                <c:pt idx="3">
                  <c:v>SALENTO</c:v>
                </c:pt>
                <c:pt idx="4">
                  <c:v>CALARCA</c:v>
                </c:pt>
                <c:pt idx="5">
                  <c:v>LA TEBAIDA</c:v>
                </c:pt>
                <c:pt idx="6">
                  <c:v>MONTENEGRO</c:v>
                </c:pt>
                <c:pt idx="7">
                  <c:v>QUIMBAYA</c:v>
                </c:pt>
                <c:pt idx="8">
                  <c:v>BUENAVISTA</c:v>
                </c:pt>
              </c:strCache>
            </c:strRef>
          </c:cat>
          <c:val>
            <c:numRef>
              <c:f>'PREDIOS CERTIFICADOS'!$B$3:$B$11</c:f>
              <c:numCache>
                <c:formatCode>General</c:formatCode>
                <c:ptCount val="9"/>
                <c:pt idx="0">
                  <c:v>29</c:v>
                </c:pt>
                <c:pt idx="1">
                  <c:v>13</c:v>
                </c:pt>
                <c:pt idx="2">
                  <c:v>5</c:v>
                </c:pt>
                <c:pt idx="3">
                  <c:v>5</c:v>
                </c:pt>
                <c:pt idx="4">
                  <c:v>17</c:v>
                </c:pt>
                <c:pt idx="5">
                  <c:v>7</c:v>
                </c:pt>
                <c:pt idx="6">
                  <c:v>19</c:v>
                </c:pt>
                <c:pt idx="7">
                  <c:v>17</c:v>
                </c:pt>
                <c:pt idx="8">
                  <c:v>2</c:v>
                </c:pt>
              </c:numCache>
            </c:numRef>
          </c:val>
        </c:ser>
        <c:ser>
          <c:idx val="1"/>
          <c:order val="1"/>
          <c:tx>
            <c:v>LECHE</c:v>
          </c:tx>
          <c:invertIfNegative val="0"/>
          <c:dLbls>
            <c:showLegendKey val="0"/>
            <c:showVal val="1"/>
            <c:showCatName val="0"/>
            <c:showSerName val="0"/>
            <c:showPercent val="0"/>
            <c:showBubbleSize val="0"/>
            <c:showLeaderLines val="0"/>
          </c:dLbls>
          <c:cat>
            <c:strRef>
              <c:f>'PREDIOS CERTIFICADOS'!$A$3:$A$11</c:f>
              <c:strCache>
                <c:ptCount val="9"/>
                <c:pt idx="0">
                  <c:v>ARMENIA</c:v>
                </c:pt>
                <c:pt idx="1">
                  <c:v>CIRCASIA</c:v>
                </c:pt>
                <c:pt idx="2">
                  <c:v>FILANDIA</c:v>
                </c:pt>
                <c:pt idx="3">
                  <c:v>SALENTO</c:v>
                </c:pt>
                <c:pt idx="4">
                  <c:v>CALARCA</c:v>
                </c:pt>
                <c:pt idx="5">
                  <c:v>LA TEBAIDA</c:v>
                </c:pt>
                <c:pt idx="6">
                  <c:v>MONTENEGRO</c:v>
                </c:pt>
                <c:pt idx="7">
                  <c:v>QUIMBAYA</c:v>
                </c:pt>
                <c:pt idx="8">
                  <c:v>BUENAVISTA</c:v>
                </c:pt>
              </c:strCache>
            </c:strRef>
          </c:cat>
          <c:val>
            <c:numRef>
              <c:f>'PREDIOS CERTIFICADOS'!$C$3:$C$11</c:f>
              <c:numCache>
                <c:formatCode>General</c:formatCode>
                <c:ptCount val="9"/>
                <c:pt idx="0">
                  <c:v>3</c:v>
                </c:pt>
                <c:pt idx="1">
                  <c:v>2</c:v>
                </c:pt>
                <c:pt idx="2">
                  <c:v>4</c:v>
                </c:pt>
                <c:pt idx="3">
                  <c:v>1</c:v>
                </c:pt>
                <c:pt idx="4">
                  <c:v>3</c:v>
                </c:pt>
                <c:pt idx="5">
                  <c:v>1</c:v>
                </c:pt>
                <c:pt idx="6">
                  <c:v>8</c:v>
                </c:pt>
                <c:pt idx="7">
                  <c:v>1</c:v>
                </c:pt>
                <c:pt idx="8">
                  <c:v>0</c:v>
                </c:pt>
              </c:numCache>
            </c:numRef>
          </c:val>
        </c:ser>
        <c:ser>
          <c:idx val="2"/>
          <c:order val="2"/>
          <c:tx>
            <c:v>CARNE</c:v>
          </c:tx>
          <c:invertIfNegative val="0"/>
          <c:cat>
            <c:strRef>
              <c:f>'PREDIOS CERTIFICADOS'!$A$3:$A$11</c:f>
              <c:strCache>
                <c:ptCount val="9"/>
                <c:pt idx="0">
                  <c:v>ARMENIA</c:v>
                </c:pt>
                <c:pt idx="1">
                  <c:v>CIRCASIA</c:v>
                </c:pt>
                <c:pt idx="2">
                  <c:v>FILANDIA</c:v>
                </c:pt>
                <c:pt idx="3">
                  <c:v>SALENTO</c:v>
                </c:pt>
                <c:pt idx="4">
                  <c:v>CALARCA</c:v>
                </c:pt>
                <c:pt idx="5">
                  <c:v>LA TEBAIDA</c:v>
                </c:pt>
                <c:pt idx="6">
                  <c:v>MONTENEGRO</c:v>
                </c:pt>
                <c:pt idx="7">
                  <c:v>QUIMBAYA</c:v>
                </c:pt>
                <c:pt idx="8">
                  <c:v>BUENAVISTA</c:v>
                </c:pt>
              </c:strCache>
            </c:strRef>
          </c:cat>
          <c:val>
            <c:numRef>
              <c:f>'PREDIOS CERTIFICADOS'!$D$3:$D$11</c:f>
              <c:numCache>
                <c:formatCode>General</c:formatCode>
                <c:ptCount val="9"/>
                <c:pt idx="0">
                  <c:v>0</c:v>
                </c:pt>
                <c:pt idx="1">
                  <c:v>1</c:v>
                </c:pt>
                <c:pt idx="2">
                  <c:v>0</c:v>
                </c:pt>
                <c:pt idx="3">
                  <c:v>0</c:v>
                </c:pt>
                <c:pt idx="4">
                  <c:v>0</c:v>
                </c:pt>
                <c:pt idx="5">
                  <c:v>0</c:v>
                </c:pt>
                <c:pt idx="6">
                  <c:v>0</c:v>
                </c:pt>
                <c:pt idx="7">
                  <c:v>1</c:v>
                </c:pt>
                <c:pt idx="8">
                  <c:v>0</c:v>
                </c:pt>
              </c:numCache>
            </c:numRef>
          </c:val>
        </c:ser>
        <c:dLbls>
          <c:showLegendKey val="0"/>
          <c:showVal val="0"/>
          <c:showCatName val="0"/>
          <c:showSerName val="0"/>
          <c:showPercent val="0"/>
          <c:showBubbleSize val="0"/>
        </c:dLbls>
        <c:gapWidth val="150"/>
        <c:axId val="550692352"/>
        <c:axId val="550693888"/>
      </c:barChart>
      <c:catAx>
        <c:axId val="550692352"/>
        <c:scaling>
          <c:orientation val="minMax"/>
        </c:scaling>
        <c:delete val="0"/>
        <c:axPos val="b"/>
        <c:numFmt formatCode="General" sourceLinked="1"/>
        <c:majorTickMark val="none"/>
        <c:minorTickMark val="none"/>
        <c:tickLblPos val="nextTo"/>
        <c:txPr>
          <a:bodyPr rot="-5400000" vert="horz"/>
          <a:lstStyle/>
          <a:p>
            <a:pPr>
              <a:defRPr/>
            </a:pPr>
            <a:endParaRPr lang="es-CO"/>
          </a:p>
        </c:txPr>
        <c:crossAx val="550693888"/>
        <c:crosses val="autoZero"/>
        <c:auto val="1"/>
        <c:lblAlgn val="ctr"/>
        <c:lblOffset val="100"/>
        <c:noMultiLvlLbl val="0"/>
      </c:catAx>
      <c:valAx>
        <c:axId val="550693888"/>
        <c:scaling>
          <c:orientation val="minMax"/>
        </c:scaling>
        <c:delete val="0"/>
        <c:axPos val="l"/>
        <c:numFmt formatCode="General" sourceLinked="1"/>
        <c:majorTickMark val="none"/>
        <c:minorTickMark val="none"/>
        <c:tickLblPos val="nextTo"/>
        <c:crossAx val="550692352"/>
        <c:crosses val="autoZero"/>
        <c:crossBetween val="between"/>
      </c:valAx>
    </c:plotArea>
    <c:legend>
      <c:legendPos val="r"/>
      <c:layout>
        <c:manualLayout>
          <c:xMode val="edge"/>
          <c:yMode val="edge"/>
          <c:x val="7.5588846057815864E-2"/>
          <c:y val="0.91808239023885452"/>
          <c:w val="0.82713452601154658"/>
          <c:h val="8.139756723957893E-2"/>
        </c:manualLayout>
      </c:layout>
      <c:overlay val="0"/>
      <c:txPr>
        <a:bodyPr rot="0" vert="horz"/>
        <a:lstStyle/>
        <a:p>
          <a:pPr>
            <a:defRPr/>
          </a:pPr>
          <a:endParaRPr lang="es-CO"/>
        </a:p>
      </c:txPr>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489991121525267E-2"/>
          <c:y val="5.9478620949273613E-4"/>
        </c:manualLayout>
      </c:layout>
      <c:overlay val="0"/>
      <c:txPr>
        <a:bodyPr/>
        <a:lstStyle/>
        <a:p>
          <a:pPr>
            <a:defRPr lang="es-MX" sz="700"/>
          </a:pPr>
          <a:endParaRPr lang="es-CO"/>
        </a:p>
      </c:txPr>
    </c:title>
    <c:autoTitleDeleted val="0"/>
    <c:plotArea>
      <c:layout>
        <c:manualLayout>
          <c:layoutTarget val="inner"/>
          <c:xMode val="edge"/>
          <c:yMode val="edge"/>
          <c:x val="0.10827447634396722"/>
          <c:y val="5.2522382909307642E-2"/>
          <c:w val="0.86760281068929423"/>
          <c:h val="0.83622122533488097"/>
        </c:manualLayout>
      </c:layout>
      <c:lineChart>
        <c:grouping val="standard"/>
        <c:varyColors val="0"/>
        <c:ser>
          <c:idx val="1"/>
          <c:order val="0"/>
          <c:tx>
            <c:strRef>
              <c:f>'1.1.1 Serie historica'!$C$5</c:f>
              <c:strCache>
                <c:ptCount val="1"/>
                <c:pt idx="0">
                  <c:v>Salario mínimo mensual</c:v>
                </c:pt>
              </c:strCache>
            </c:strRef>
          </c:tx>
          <c:spPr>
            <a:ln>
              <a:solidFill>
                <a:schemeClr val="accent3">
                  <a:lumMod val="50000"/>
                </a:schemeClr>
              </a:solidFill>
            </a:ln>
          </c:spPr>
          <c:marker>
            <c:symbol val="none"/>
          </c:marker>
          <c:dLbls>
            <c:dLbl>
              <c:idx val="1"/>
              <c:delete val="1"/>
            </c:dLbl>
            <c:dLbl>
              <c:idx val="3"/>
              <c:delete val="1"/>
            </c:dLbl>
            <c:dLbl>
              <c:idx val="5"/>
              <c:delete val="1"/>
            </c:dLbl>
            <c:dLbl>
              <c:idx val="7"/>
              <c:delete val="1"/>
            </c:dLbl>
            <c:dLbl>
              <c:idx val="9"/>
              <c:delete val="1"/>
            </c:dLbl>
            <c:dLbl>
              <c:idx val="10"/>
              <c:delete val="1"/>
            </c:dLbl>
            <c:dLbl>
              <c:idx val="12"/>
              <c:delete val="1"/>
            </c:dLbl>
            <c:dLbl>
              <c:idx val="15"/>
              <c:delete val="1"/>
            </c:dLbl>
            <c:dLbl>
              <c:idx val="17"/>
              <c:delete val="1"/>
            </c:dLbl>
            <c:dLbl>
              <c:idx val="19"/>
              <c:delete val="1"/>
            </c:dLbl>
            <c:dLbl>
              <c:idx val="26"/>
              <c:layout>
                <c:manualLayout>
                  <c:x val="-8.1140350877193027E-2"/>
                  <c:y val="-3.3585222502099401E-3"/>
                </c:manualLayout>
              </c:layout>
              <c:showLegendKey val="0"/>
              <c:showVal val="1"/>
              <c:showCatName val="0"/>
              <c:showSerName val="0"/>
              <c:showPercent val="0"/>
              <c:showBubbleSize val="0"/>
            </c:dLbl>
            <c:dLbl>
              <c:idx val="28"/>
              <c:layout>
                <c:manualLayout>
                  <c:x val="-6.5789473684210523E-2"/>
                  <c:y val="-1.6792611251049541E-2"/>
                </c:manualLayout>
              </c:layout>
              <c:showLegendKey val="0"/>
              <c:showVal val="1"/>
              <c:showCatName val="0"/>
              <c:showSerName val="0"/>
              <c:showPercent val="0"/>
              <c:showBubbleSize val="0"/>
            </c:dLbl>
            <c:dLbl>
              <c:idx val="30"/>
              <c:layout>
                <c:manualLayout>
                  <c:x val="-4.6052631578947921E-2"/>
                  <c:y val="-1.0075566750629754E-2"/>
                </c:manualLayout>
              </c:layout>
              <c:showLegendKey val="0"/>
              <c:showVal val="1"/>
              <c:showCatName val="0"/>
              <c:showSerName val="0"/>
              <c:showPercent val="0"/>
              <c:showBubbleSize val="0"/>
            </c:dLbl>
            <c:txPr>
              <a:bodyPr/>
              <a:lstStyle/>
              <a:p>
                <a:pPr>
                  <a:defRPr lang="es-MX" sz="500"/>
                </a:pPr>
                <a:endParaRPr lang="es-CO"/>
              </a:p>
            </c:txPr>
            <c:showLegendKey val="0"/>
            <c:showVal val="1"/>
            <c:showCatName val="0"/>
            <c:showSerName val="0"/>
            <c:showPercent val="0"/>
            <c:showBubbleSize val="0"/>
            <c:showLeaderLines val="0"/>
          </c:dLbls>
          <c:cat>
            <c:numRef>
              <c:f>'1.1.1 Serie historica'!$A$6:$A$36</c:f>
              <c:numCache>
                <c:formatCode>General</c:formatCode>
                <c:ptCount val="31"/>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numCache>
            </c:numRef>
          </c:cat>
          <c:val>
            <c:numRef>
              <c:f>'1.1.1 Serie historica'!$C$6:$C$36</c:f>
              <c:numCache>
                <c:formatCode>#,##0.00</c:formatCode>
                <c:ptCount val="31"/>
                <c:pt idx="0">
                  <c:v>11298</c:v>
                </c:pt>
                <c:pt idx="1">
                  <c:v>13558</c:v>
                </c:pt>
                <c:pt idx="2">
                  <c:v>16811</c:v>
                </c:pt>
                <c:pt idx="3">
                  <c:v>20510</c:v>
                </c:pt>
                <c:pt idx="4">
                  <c:v>25637</c:v>
                </c:pt>
                <c:pt idx="5">
                  <c:v>32560</c:v>
                </c:pt>
                <c:pt idx="6">
                  <c:v>41025</c:v>
                </c:pt>
                <c:pt idx="7">
                  <c:v>51716</c:v>
                </c:pt>
                <c:pt idx="8">
                  <c:v>65190</c:v>
                </c:pt>
                <c:pt idx="9">
                  <c:v>81510</c:v>
                </c:pt>
                <c:pt idx="10">
                  <c:v>98700</c:v>
                </c:pt>
                <c:pt idx="11">
                  <c:v>118934</c:v>
                </c:pt>
                <c:pt idx="12">
                  <c:v>142125</c:v>
                </c:pt>
                <c:pt idx="13">
                  <c:v>172005</c:v>
                </c:pt>
                <c:pt idx="14">
                  <c:v>203826</c:v>
                </c:pt>
                <c:pt idx="15">
                  <c:v>236460</c:v>
                </c:pt>
                <c:pt idx="16">
                  <c:v>260100</c:v>
                </c:pt>
                <c:pt idx="17">
                  <c:v>286000</c:v>
                </c:pt>
                <c:pt idx="18">
                  <c:v>309000</c:v>
                </c:pt>
                <c:pt idx="19">
                  <c:v>332000</c:v>
                </c:pt>
                <c:pt idx="20">
                  <c:v>358000</c:v>
                </c:pt>
                <c:pt idx="21">
                  <c:v>381500</c:v>
                </c:pt>
                <c:pt idx="22">
                  <c:v>408000</c:v>
                </c:pt>
                <c:pt idx="23">
                  <c:v>433700</c:v>
                </c:pt>
                <c:pt idx="24">
                  <c:v>461500</c:v>
                </c:pt>
                <c:pt idx="25">
                  <c:v>496900</c:v>
                </c:pt>
                <c:pt idx="26">
                  <c:v>515000</c:v>
                </c:pt>
                <c:pt idx="27">
                  <c:v>535600</c:v>
                </c:pt>
                <c:pt idx="28">
                  <c:v>566700</c:v>
                </c:pt>
                <c:pt idx="29">
                  <c:v>589500</c:v>
                </c:pt>
                <c:pt idx="30">
                  <c:v>616000</c:v>
                </c:pt>
              </c:numCache>
            </c:numRef>
          </c:val>
          <c:smooth val="0"/>
        </c:ser>
        <c:dLbls>
          <c:showLegendKey val="0"/>
          <c:showVal val="0"/>
          <c:showCatName val="0"/>
          <c:showSerName val="0"/>
          <c:showPercent val="0"/>
          <c:showBubbleSize val="0"/>
        </c:dLbls>
        <c:marker val="1"/>
        <c:smooth val="0"/>
        <c:axId val="556026880"/>
        <c:axId val="556057344"/>
      </c:lineChart>
      <c:catAx>
        <c:axId val="556026880"/>
        <c:scaling>
          <c:orientation val="minMax"/>
        </c:scaling>
        <c:delete val="0"/>
        <c:axPos val="b"/>
        <c:numFmt formatCode="General" sourceLinked="1"/>
        <c:majorTickMark val="out"/>
        <c:minorTickMark val="none"/>
        <c:tickLblPos val="nextTo"/>
        <c:txPr>
          <a:bodyPr/>
          <a:lstStyle/>
          <a:p>
            <a:pPr>
              <a:defRPr lang="es-MX" sz="700"/>
            </a:pPr>
            <a:endParaRPr lang="es-CO"/>
          </a:p>
        </c:txPr>
        <c:crossAx val="556057344"/>
        <c:crosses val="autoZero"/>
        <c:auto val="1"/>
        <c:lblAlgn val="ctr"/>
        <c:lblOffset val="100"/>
        <c:noMultiLvlLbl val="0"/>
      </c:catAx>
      <c:valAx>
        <c:axId val="556057344"/>
        <c:scaling>
          <c:orientation val="minMax"/>
        </c:scaling>
        <c:delete val="0"/>
        <c:axPos val="l"/>
        <c:numFmt formatCode="#,##0.00" sourceLinked="1"/>
        <c:majorTickMark val="out"/>
        <c:minorTickMark val="none"/>
        <c:tickLblPos val="nextTo"/>
        <c:txPr>
          <a:bodyPr/>
          <a:lstStyle/>
          <a:p>
            <a:pPr>
              <a:defRPr lang="es-MX" sz="600"/>
            </a:pPr>
            <a:endParaRPr lang="es-CO"/>
          </a:p>
        </c:txPr>
        <c:crossAx val="556026880"/>
        <c:crosses val="autoZero"/>
        <c:crossBetween val="between"/>
      </c:valAx>
      <c:spPr>
        <a:noFill/>
      </c:spPr>
    </c:plotArea>
    <c:plotVisOnly val="1"/>
    <c:dispBlanksAs val="gap"/>
    <c:showDLblsOverMax val="0"/>
  </c:chart>
  <c:spPr>
    <a:ln w="6350" cmpd="thickThin">
      <a:solidFill>
        <a:schemeClr val="accent3">
          <a:lumMod val="50000"/>
        </a:schemeClr>
      </a:solidFill>
    </a:ln>
  </c:sp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444618928748685E-2"/>
          <c:y val="1.7936657330189287E-2"/>
        </c:manualLayout>
      </c:layout>
      <c:overlay val="0"/>
      <c:txPr>
        <a:bodyPr/>
        <a:lstStyle/>
        <a:p>
          <a:pPr>
            <a:defRPr lang="es-MX" sz="700"/>
          </a:pPr>
          <a:endParaRPr lang="es-CO"/>
        </a:p>
      </c:txPr>
    </c:title>
    <c:autoTitleDeleted val="0"/>
    <c:plotArea>
      <c:layout>
        <c:manualLayout>
          <c:layoutTarget val="inner"/>
          <c:xMode val="edge"/>
          <c:yMode val="edge"/>
          <c:x val="8.6962874349079677E-2"/>
          <c:y val="8.0533333333333526E-2"/>
          <c:w val="0.87522703535529733"/>
          <c:h val="0.72575698343274286"/>
        </c:manualLayout>
      </c:layout>
      <c:lineChart>
        <c:grouping val="standard"/>
        <c:varyColors val="0"/>
        <c:ser>
          <c:idx val="1"/>
          <c:order val="0"/>
          <c:tx>
            <c:strRef>
              <c:f>'1.1.1 Serie historica'!$B$5</c:f>
              <c:strCache>
                <c:ptCount val="1"/>
                <c:pt idx="0">
                  <c:v>Salario mínimo diario</c:v>
                </c:pt>
              </c:strCache>
            </c:strRef>
          </c:tx>
          <c:cat>
            <c:numRef>
              <c:f>'1.1.1 Serie historica'!$A$6:$A$36</c:f>
              <c:numCache>
                <c:formatCode>General</c:formatCode>
                <c:ptCount val="31"/>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numCache>
            </c:numRef>
          </c:cat>
          <c:val>
            <c:numRef>
              <c:f>'1.1.1 Serie historica'!$B$6:$B$36</c:f>
            </c:numRef>
          </c:val>
          <c:smooth val="0"/>
        </c:ser>
        <c:ser>
          <c:idx val="3"/>
          <c:order val="1"/>
          <c:tx>
            <c:strRef>
              <c:f>'1.1.1 Serie historica'!$D$5</c:f>
              <c:strCache>
                <c:ptCount val="1"/>
                <c:pt idx="0">
                  <c:v>Variación % anual *</c:v>
                </c:pt>
              </c:strCache>
            </c:strRef>
          </c:tx>
          <c:spPr>
            <a:ln>
              <a:solidFill>
                <a:srgbClr val="FF0000"/>
              </a:solidFill>
            </a:ln>
          </c:spPr>
          <c:marker>
            <c:symbol val="none"/>
          </c:marker>
          <c:dLbls>
            <c:dLbl>
              <c:idx val="0"/>
              <c:delete val="1"/>
            </c:dLbl>
            <c:dLbl>
              <c:idx val="25"/>
              <c:layout>
                <c:manualLayout>
                  <c:x val="-1.4111006585136398E-2"/>
                  <c:y val="-7.1746629320757465E-3"/>
                </c:manualLayout>
              </c:layout>
              <c:spPr>
                <a:noFill/>
              </c:spPr>
              <c:txPr>
                <a:bodyPr/>
                <a:lstStyle/>
                <a:p>
                  <a:pPr>
                    <a:defRPr lang="es-MX" sz="600" b="1"/>
                  </a:pPr>
                  <a:endParaRPr lang="es-CO"/>
                </a:p>
              </c:txPr>
              <c:showLegendKey val="0"/>
              <c:showVal val="1"/>
              <c:showCatName val="0"/>
              <c:showSerName val="0"/>
              <c:showPercent val="0"/>
              <c:showBubbleSize val="0"/>
            </c:dLbl>
            <c:dLbl>
              <c:idx val="26"/>
              <c:layout>
                <c:manualLayout>
                  <c:x val="-1.8814675446848644E-2"/>
                  <c:y val="2.1523988796227151E-2"/>
                </c:manualLayout>
              </c:layout>
              <c:spPr>
                <a:solidFill>
                  <a:srgbClr val="FFFF00"/>
                </a:solidFill>
              </c:spPr>
              <c:txPr>
                <a:bodyPr/>
                <a:lstStyle/>
                <a:p>
                  <a:pPr>
                    <a:defRPr lang="es-MX" sz="600"/>
                  </a:pPr>
                  <a:endParaRPr lang="es-CO"/>
                </a:p>
              </c:txPr>
              <c:showLegendKey val="0"/>
              <c:showVal val="1"/>
              <c:showCatName val="0"/>
              <c:showSerName val="0"/>
              <c:showPercent val="0"/>
              <c:showBubbleSize val="0"/>
            </c:dLbl>
            <c:dLbl>
              <c:idx val="27"/>
              <c:layout>
                <c:manualLayout>
                  <c:x val="-1.4111006585136398E-2"/>
                  <c:y val="0"/>
                </c:manualLayout>
              </c:layout>
              <c:showLegendKey val="0"/>
              <c:showVal val="1"/>
              <c:showCatName val="0"/>
              <c:showSerName val="0"/>
              <c:showPercent val="0"/>
              <c:showBubbleSize val="0"/>
            </c:dLbl>
            <c:dLbl>
              <c:idx val="28"/>
              <c:layout>
                <c:manualLayout>
                  <c:x val="-9.4073377234243048E-3"/>
                  <c:y val="0"/>
                </c:manualLayout>
              </c:layout>
              <c:showLegendKey val="0"/>
              <c:showVal val="1"/>
              <c:showCatName val="0"/>
              <c:showSerName val="0"/>
              <c:showPercent val="0"/>
              <c:showBubbleSize val="0"/>
            </c:dLbl>
            <c:dLbl>
              <c:idx val="29"/>
              <c:layout>
                <c:manualLayout>
                  <c:x val="-2.8222013170272814E-2"/>
                  <c:y val="1.4349325864151429E-2"/>
                </c:manualLayout>
              </c:layout>
              <c:showLegendKey val="0"/>
              <c:showVal val="1"/>
              <c:showCatName val="0"/>
              <c:showSerName val="0"/>
              <c:showPercent val="0"/>
              <c:showBubbleSize val="0"/>
            </c:dLbl>
            <c:dLbl>
              <c:idx val="30"/>
              <c:layout>
                <c:manualLayout>
                  <c:x val="-1.8814675446848644E-2"/>
                  <c:y val="-1.0761994398113652E-2"/>
                </c:manualLayout>
              </c:layout>
              <c:showLegendKey val="0"/>
              <c:showVal val="1"/>
              <c:showCatName val="0"/>
              <c:showSerName val="0"/>
              <c:showPercent val="0"/>
              <c:showBubbleSize val="0"/>
            </c:dLbl>
            <c:txPr>
              <a:bodyPr/>
              <a:lstStyle/>
              <a:p>
                <a:pPr>
                  <a:defRPr lang="es-MX" sz="600"/>
                </a:pPr>
                <a:endParaRPr lang="es-CO"/>
              </a:p>
            </c:txPr>
            <c:showLegendKey val="0"/>
            <c:showVal val="1"/>
            <c:showCatName val="0"/>
            <c:showSerName val="0"/>
            <c:showPercent val="0"/>
            <c:showBubbleSize val="0"/>
            <c:showLeaderLines val="0"/>
          </c:dLbls>
          <c:cat>
            <c:numRef>
              <c:f>'1.1.1 Serie historica'!$A$6:$A$36</c:f>
              <c:numCache>
                <c:formatCode>General</c:formatCode>
                <c:ptCount val="31"/>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numCache>
            </c:numRef>
          </c:cat>
          <c:val>
            <c:numRef>
              <c:f>'1.1.1 Serie historica'!$D$6:$D$36</c:f>
              <c:numCache>
                <c:formatCode>General</c:formatCode>
                <c:ptCount val="31"/>
                <c:pt idx="0">
                  <c:v>0</c:v>
                </c:pt>
                <c:pt idx="1">
                  <c:v>20</c:v>
                </c:pt>
                <c:pt idx="2">
                  <c:v>24</c:v>
                </c:pt>
                <c:pt idx="3">
                  <c:v>22</c:v>
                </c:pt>
                <c:pt idx="4">
                  <c:v>25</c:v>
                </c:pt>
                <c:pt idx="5">
                  <c:v>27</c:v>
                </c:pt>
                <c:pt idx="6">
                  <c:v>26</c:v>
                </c:pt>
                <c:pt idx="7">
                  <c:v>26.1</c:v>
                </c:pt>
                <c:pt idx="8">
                  <c:v>26.1</c:v>
                </c:pt>
                <c:pt idx="9">
                  <c:v>25</c:v>
                </c:pt>
                <c:pt idx="10">
                  <c:v>21.1</c:v>
                </c:pt>
                <c:pt idx="11">
                  <c:v>20.5</c:v>
                </c:pt>
                <c:pt idx="12">
                  <c:v>19.5</c:v>
                </c:pt>
                <c:pt idx="13">
                  <c:v>21</c:v>
                </c:pt>
                <c:pt idx="14">
                  <c:v>18.5</c:v>
                </c:pt>
                <c:pt idx="15">
                  <c:v>16</c:v>
                </c:pt>
                <c:pt idx="16">
                  <c:v>10</c:v>
                </c:pt>
                <c:pt idx="17">
                  <c:v>10</c:v>
                </c:pt>
                <c:pt idx="18">
                  <c:v>8</c:v>
                </c:pt>
                <c:pt idx="19">
                  <c:v>7.4</c:v>
                </c:pt>
                <c:pt idx="20">
                  <c:v>7.8</c:v>
                </c:pt>
                <c:pt idx="21">
                  <c:v>6.6</c:v>
                </c:pt>
                <c:pt idx="22">
                  <c:v>6.9</c:v>
                </c:pt>
                <c:pt idx="23">
                  <c:v>6.3</c:v>
                </c:pt>
                <c:pt idx="24">
                  <c:v>6.4</c:v>
                </c:pt>
                <c:pt idx="25">
                  <c:v>7.7</c:v>
                </c:pt>
                <c:pt idx="26">
                  <c:v>3.6</c:v>
                </c:pt>
                <c:pt idx="27">
                  <c:v>4</c:v>
                </c:pt>
                <c:pt idx="28">
                  <c:v>5.8</c:v>
                </c:pt>
                <c:pt idx="29">
                  <c:v>4.0199999999999996</c:v>
                </c:pt>
                <c:pt idx="30">
                  <c:v>4.5</c:v>
                </c:pt>
              </c:numCache>
            </c:numRef>
          </c:val>
          <c:smooth val="0"/>
        </c:ser>
        <c:dLbls>
          <c:showLegendKey val="0"/>
          <c:showVal val="0"/>
          <c:showCatName val="0"/>
          <c:showSerName val="0"/>
          <c:showPercent val="0"/>
          <c:showBubbleSize val="0"/>
        </c:dLbls>
        <c:marker val="1"/>
        <c:smooth val="0"/>
        <c:axId val="557164800"/>
        <c:axId val="557178880"/>
      </c:lineChart>
      <c:catAx>
        <c:axId val="557164800"/>
        <c:scaling>
          <c:orientation val="minMax"/>
        </c:scaling>
        <c:delete val="0"/>
        <c:axPos val="b"/>
        <c:numFmt formatCode="General" sourceLinked="1"/>
        <c:majorTickMark val="out"/>
        <c:minorTickMark val="none"/>
        <c:tickLblPos val="nextTo"/>
        <c:txPr>
          <a:bodyPr/>
          <a:lstStyle/>
          <a:p>
            <a:pPr>
              <a:defRPr lang="es-MX" sz="700"/>
            </a:pPr>
            <a:endParaRPr lang="es-CO"/>
          </a:p>
        </c:txPr>
        <c:crossAx val="557178880"/>
        <c:crosses val="autoZero"/>
        <c:auto val="1"/>
        <c:lblAlgn val="ctr"/>
        <c:lblOffset val="100"/>
        <c:noMultiLvlLbl val="0"/>
      </c:catAx>
      <c:valAx>
        <c:axId val="557178880"/>
        <c:scaling>
          <c:orientation val="minMax"/>
        </c:scaling>
        <c:delete val="0"/>
        <c:axPos val="l"/>
        <c:numFmt formatCode="General" sourceLinked="1"/>
        <c:majorTickMark val="out"/>
        <c:minorTickMark val="none"/>
        <c:tickLblPos val="nextTo"/>
        <c:txPr>
          <a:bodyPr/>
          <a:lstStyle/>
          <a:p>
            <a:pPr>
              <a:defRPr lang="es-MX" sz="700"/>
            </a:pPr>
            <a:endParaRPr lang="es-CO"/>
          </a:p>
        </c:txPr>
        <c:crossAx val="557164800"/>
        <c:crosses val="autoZero"/>
        <c:crossBetween val="between"/>
      </c:valAx>
      <c:spPr>
        <a:noFill/>
      </c:spPr>
    </c:plotArea>
    <c:plotVisOnly val="1"/>
    <c:dispBlanksAs val="gap"/>
    <c:showDLblsOverMax val="0"/>
  </c:chart>
  <c:spPr>
    <a:ln>
      <a:solidFill>
        <a:schemeClr val="bg1">
          <a:lumMod val="65000"/>
        </a:schemeClr>
      </a:solidFill>
    </a:ln>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50"/>
      <c:rAngAx val="1"/>
    </c:view3D>
    <c:floor>
      <c:thickness val="0"/>
      <c:spPr>
        <a:noFill/>
      </c:spPr>
    </c:floor>
    <c:sideWall>
      <c:thickness val="0"/>
    </c:sideWall>
    <c:backWall>
      <c:thickness val="0"/>
    </c:backWall>
    <c:plotArea>
      <c:layout>
        <c:manualLayout>
          <c:layoutTarget val="inner"/>
          <c:xMode val="edge"/>
          <c:yMode val="edge"/>
          <c:x val="2.5401478507566858E-2"/>
          <c:y val="1.9308214083057283E-3"/>
          <c:w val="0.95925391306041763"/>
          <c:h val="0.78123189765666812"/>
        </c:manualLayout>
      </c:layout>
      <c:bar3DChart>
        <c:barDir val="col"/>
        <c:grouping val="clustered"/>
        <c:varyColors val="0"/>
        <c:ser>
          <c:idx val="0"/>
          <c:order val="0"/>
          <c:tx>
            <c:v>Total Proyección Población Quindío 2005-2014</c:v>
          </c:tx>
          <c:spPr>
            <a:solidFill>
              <a:srgbClr val="00B0F0"/>
            </a:solidFill>
          </c:spPr>
          <c:invertIfNegative val="0"/>
          <c:dLbls>
            <c:dLbl>
              <c:idx val="0"/>
              <c:layout>
                <c:manualLayout>
                  <c:x val="-9.376465072667756E-3"/>
                  <c:y val="-3.3585222502099082E-2"/>
                </c:manualLayout>
              </c:layout>
              <c:showLegendKey val="0"/>
              <c:showVal val="1"/>
              <c:showCatName val="0"/>
              <c:showSerName val="0"/>
              <c:showPercent val="0"/>
              <c:showBubbleSize val="0"/>
            </c:dLbl>
            <c:dLbl>
              <c:idx val="1"/>
              <c:layout>
                <c:manualLayout>
                  <c:x val="0"/>
                  <c:y val="-2.6868178001679469E-2"/>
                </c:manualLayout>
              </c:layout>
              <c:showLegendKey val="0"/>
              <c:showVal val="1"/>
              <c:showCatName val="0"/>
              <c:showSerName val="0"/>
              <c:showPercent val="0"/>
              <c:showBubbleSize val="0"/>
            </c:dLbl>
            <c:dLbl>
              <c:idx val="2"/>
              <c:layout>
                <c:manualLayout>
                  <c:x val="-5.6258790436005714E-3"/>
                  <c:y val="-3.0226700251889171E-2"/>
                </c:manualLayout>
              </c:layout>
              <c:showLegendKey val="0"/>
              <c:showVal val="1"/>
              <c:showCatName val="0"/>
              <c:showSerName val="0"/>
              <c:showPercent val="0"/>
              <c:showBubbleSize val="0"/>
            </c:dLbl>
            <c:dLbl>
              <c:idx val="3"/>
              <c:layout>
                <c:manualLayout>
                  <c:x val="-5.6258790436005714E-3"/>
                  <c:y val="-3.0226700251889171E-2"/>
                </c:manualLayout>
              </c:layout>
              <c:showLegendKey val="0"/>
              <c:showVal val="1"/>
              <c:showCatName val="0"/>
              <c:showSerName val="0"/>
              <c:showPercent val="0"/>
              <c:showBubbleSize val="0"/>
            </c:dLbl>
            <c:dLbl>
              <c:idx val="4"/>
              <c:layout>
                <c:manualLayout>
                  <c:x val="-9.376465072667756E-3"/>
                  <c:y val="-2.6868178001679541E-2"/>
                </c:manualLayout>
              </c:layout>
              <c:showLegendKey val="0"/>
              <c:showVal val="1"/>
              <c:showCatName val="0"/>
              <c:showSerName val="0"/>
              <c:showPercent val="0"/>
              <c:showBubbleSize val="0"/>
            </c:dLbl>
            <c:dLbl>
              <c:idx val="5"/>
              <c:layout>
                <c:manualLayout>
                  <c:x val="-1.3127051101734647E-2"/>
                  <c:y val="-2.0151133501259452E-2"/>
                </c:manualLayout>
              </c:layout>
              <c:showLegendKey val="0"/>
              <c:showVal val="1"/>
              <c:showCatName val="0"/>
              <c:showSerName val="0"/>
              <c:showPercent val="0"/>
              <c:showBubbleSize val="0"/>
            </c:dLbl>
            <c:dLbl>
              <c:idx val="6"/>
              <c:layout>
                <c:manualLayout>
                  <c:x val="-1.6877784791669105E-2"/>
                  <c:y val="-2.3509655751469356E-2"/>
                </c:manualLayout>
              </c:layout>
              <c:showLegendKey val="0"/>
              <c:showVal val="1"/>
              <c:showCatName val="0"/>
              <c:showSerName val="0"/>
              <c:showPercent val="0"/>
              <c:showBubbleSize val="0"/>
            </c:dLbl>
            <c:dLbl>
              <c:idx val="7"/>
              <c:layout>
                <c:manualLayout>
                  <c:x val="-1.8752930145335227E-2"/>
                  <c:y val="-2.0151133501259452E-2"/>
                </c:manualLayout>
              </c:layout>
              <c:showLegendKey val="0"/>
              <c:showVal val="1"/>
              <c:showCatName val="0"/>
              <c:showSerName val="0"/>
              <c:showPercent val="0"/>
              <c:showBubbleSize val="0"/>
            </c:dLbl>
            <c:dLbl>
              <c:idx val="8"/>
              <c:layout>
                <c:manualLayout>
                  <c:x val="-1.8752930145335227E-2"/>
                  <c:y val="-1.6792611251049541E-2"/>
                </c:manualLayout>
              </c:layout>
              <c:tx>
                <c:rich>
                  <a:bodyPr/>
                  <a:lstStyle/>
                  <a:p>
                    <a:r>
                      <a:rPr lang="en-US" sz="800">
                        <a:solidFill>
                          <a:srgbClr val="BC5C0C"/>
                        </a:solidFill>
                      </a:rPr>
                      <a:t> 558.969 </a:t>
                    </a:r>
                  </a:p>
                </c:rich>
              </c:tx>
              <c:showLegendKey val="0"/>
              <c:showVal val="1"/>
              <c:showCatName val="0"/>
              <c:showSerName val="0"/>
              <c:showPercent val="0"/>
              <c:showBubbleSize val="0"/>
            </c:dLbl>
            <c:dLbl>
              <c:idx val="9"/>
              <c:layout>
                <c:manualLayout>
                  <c:x val="-2.062822315986873E-2"/>
                  <c:y val="-2.3509655751469356E-2"/>
                </c:manualLayout>
              </c:layout>
              <c:showLegendKey val="0"/>
              <c:showVal val="1"/>
              <c:showCatName val="0"/>
              <c:showSerName val="0"/>
              <c:showPercent val="0"/>
              <c:showBubbleSize val="0"/>
            </c:dLbl>
            <c:txPr>
              <a:bodyPr/>
              <a:lstStyle/>
              <a:p>
                <a:pPr>
                  <a:defRPr sz="700" b="1">
                    <a:solidFill>
                      <a:schemeClr val="accent5">
                        <a:lumMod val="50000"/>
                      </a:schemeClr>
                    </a:solidFill>
                  </a:defRPr>
                </a:pPr>
                <a:endParaRPr lang="es-CO"/>
              </a:p>
            </c:txPr>
            <c:showLegendKey val="0"/>
            <c:showVal val="1"/>
            <c:showCatName val="0"/>
            <c:showSerName val="0"/>
            <c:showPercent val="0"/>
            <c:showBubbleSize val="0"/>
            <c:showLeaderLines val="0"/>
          </c:dLbls>
          <c:cat>
            <c:numRef>
              <c:f>Hoja1!$C$4:$L$4</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Hoja1!$C$5:$L$5</c:f>
              <c:numCache>
                <c:formatCode>_(* #,##0_);_(* \(#,##0\);_(* "-"??_);_(@_)</c:formatCode>
                <c:ptCount val="10"/>
                <c:pt idx="0">
                  <c:v>534506</c:v>
                </c:pt>
                <c:pt idx="1">
                  <c:v>537530</c:v>
                </c:pt>
                <c:pt idx="2">
                  <c:v>540533</c:v>
                </c:pt>
                <c:pt idx="3">
                  <c:v>543579</c:v>
                </c:pt>
                <c:pt idx="4">
                  <c:v>546593</c:v>
                </c:pt>
                <c:pt idx="5">
                  <c:v>549662</c:v>
                </c:pt>
                <c:pt idx="6">
                  <c:v>552755</c:v>
                </c:pt>
                <c:pt idx="7">
                  <c:v>555836</c:v>
                </c:pt>
                <c:pt idx="8">
                  <c:v>558969</c:v>
                </c:pt>
                <c:pt idx="9">
                  <c:v>562114</c:v>
                </c:pt>
              </c:numCache>
            </c:numRef>
          </c:val>
          <c:shape val="cylinder"/>
        </c:ser>
        <c:dLbls>
          <c:showLegendKey val="0"/>
          <c:showVal val="0"/>
          <c:showCatName val="0"/>
          <c:showSerName val="0"/>
          <c:showPercent val="0"/>
          <c:showBubbleSize val="0"/>
        </c:dLbls>
        <c:gapWidth val="77"/>
        <c:gapDepth val="114"/>
        <c:shape val="box"/>
        <c:axId val="557277568"/>
        <c:axId val="557279104"/>
        <c:axId val="0"/>
      </c:bar3DChart>
      <c:catAx>
        <c:axId val="557277568"/>
        <c:scaling>
          <c:orientation val="minMax"/>
        </c:scaling>
        <c:delete val="0"/>
        <c:axPos val="b"/>
        <c:numFmt formatCode="General" sourceLinked="1"/>
        <c:majorTickMark val="out"/>
        <c:minorTickMark val="none"/>
        <c:tickLblPos val="nextTo"/>
        <c:txPr>
          <a:bodyPr/>
          <a:lstStyle/>
          <a:p>
            <a:pPr>
              <a:defRPr sz="700" b="1">
                <a:solidFill>
                  <a:sysClr val="windowText" lastClr="000000"/>
                </a:solidFill>
              </a:defRPr>
            </a:pPr>
            <a:endParaRPr lang="es-CO"/>
          </a:p>
        </c:txPr>
        <c:crossAx val="557279104"/>
        <c:crosses val="autoZero"/>
        <c:auto val="1"/>
        <c:lblAlgn val="ctr"/>
        <c:lblOffset val="100"/>
        <c:noMultiLvlLbl val="0"/>
      </c:catAx>
      <c:valAx>
        <c:axId val="557279104"/>
        <c:scaling>
          <c:orientation val="minMax"/>
        </c:scaling>
        <c:delete val="1"/>
        <c:axPos val="l"/>
        <c:numFmt formatCode="_(* #,##0_);_(* \(#,##0\);_(* &quot;-&quot;??_);_(@_)" sourceLinked="1"/>
        <c:majorTickMark val="out"/>
        <c:minorTickMark val="none"/>
        <c:tickLblPos val="none"/>
        <c:crossAx val="557277568"/>
        <c:crosses val="autoZero"/>
        <c:crossBetween val="between"/>
      </c:valAx>
    </c:plotArea>
    <c:legend>
      <c:legendPos val="r"/>
      <c:legendEntry>
        <c:idx val="0"/>
        <c:txPr>
          <a:bodyPr/>
          <a:lstStyle/>
          <a:p>
            <a:pPr>
              <a:defRPr sz="700" b="1"/>
            </a:pPr>
            <a:endParaRPr lang="es-CO"/>
          </a:p>
        </c:txPr>
      </c:legendEntry>
      <c:layout>
        <c:manualLayout>
          <c:xMode val="edge"/>
          <c:yMode val="edge"/>
          <c:x val="0.19805179752408225"/>
          <c:y val="0.91125690455401087"/>
          <c:w val="0.61317465940840543"/>
          <c:h val="5.6969180813697624E-2"/>
        </c:manualLayout>
      </c:layout>
      <c:overlay val="0"/>
      <c:txPr>
        <a:bodyPr/>
        <a:lstStyle/>
        <a:p>
          <a:pPr>
            <a:defRPr sz="800" b="1"/>
          </a:pPr>
          <a:endParaRPr lang="es-CO"/>
        </a:p>
      </c:txPr>
    </c:legend>
    <c:plotVisOnly val="1"/>
    <c:dispBlanksAs val="gap"/>
    <c:showDLblsOverMax val="0"/>
  </c:chart>
  <c:spPr>
    <a:ln w="6350" cap="rnd" cmpd="thickThin">
      <a:solidFill>
        <a:schemeClr val="bg1">
          <a:lumMod val="65000"/>
        </a:schemeClr>
      </a:solidFill>
    </a:ln>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30"/>
      <c:rAngAx val="1"/>
    </c:view3D>
    <c:floor>
      <c:thickness val="0"/>
      <c:spPr>
        <a:noFill/>
        <a:ln w="3175">
          <a:solidFill>
            <a:schemeClr val="bg2">
              <a:lumMod val="90000"/>
            </a:schemeClr>
          </a:solidFill>
        </a:ln>
      </c:spPr>
    </c:floor>
    <c:sideWall>
      <c:thickness val="0"/>
    </c:sideWall>
    <c:backWall>
      <c:thickness val="0"/>
    </c:backWall>
    <c:plotArea>
      <c:layout>
        <c:manualLayout>
          <c:layoutTarget val="inner"/>
          <c:xMode val="edge"/>
          <c:yMode val="edge"/>
          <c:x val="3.5277561294599274E-2"/>
          <c:y val="4.7482626847810509E-2"/>
          <c:w val="0.9408674876826264"/>
          <c:h val="0.72861919391257368"/>
        </c:manualLayout>
      </c:layout>
      <c:bar3DChart>
        <c:barDir val="col"/>
        <c:grouping val="percentStacked"/>
        <c:varyColors val="0"/>
        <c:ser>
          <c:idx val="0"/>
          <c:order val="0"/>
          <c:tx>
            <c:v>Población Hombres</c:v>
          </c:tx>
          <c:spPr>
            <a:solidFill>
              <a:schemeClr val="accent5">
                <a:lumMod val="60000"/>
                <a:lumOff val="40000"/>
              </a:schemeClr>
            </a:solidFill>
          </c:spPr>
          <c:invertIfNegative val="0"/>
          <c:dLbls>
            <c:dLbl>
              <c:idx val="0"/>
              <c:layout>
                <c:manualLayout>
                  <c:x val="7.0555032925682139E-3"/>
                  <c:y val="-3.9568842932256182E-3"/>
                </c:manualLayout>
              </c:layout>
              <c:showLegendKey val="0"/>
              <c:showVal val="1"/>
              <c:showCatName val="0"/>
              <c:showSerName val="0"/>
              <c:showPercent val="0"/>
              <c:showBubbleSize val="0"/>
            </c:dLbl>
            <c:dLbl>
              <c:idx val="1"/>
              <c:layout>
                <c:manualLayout>
                  <c:x val="7.0553181087547878E-3"/>
                  <c:y val="-3.1156569237997556E-7"/>
                </c:manualLayout>
              </c:layout>
              <c:showLegendKey val="0"/>
              <c:showVal val="1"/>
              <c:showCatName val="0"/>
              <c:showSerName val="0"/>
              <c:showPercent val="0"/>
              <c:showBubbleSize val="0"/>
            </c:dLbl>
            <c:dLbl>
              <c:idx val="2"/>
              <c:layout>
                <c:manualLayout>
                  <c:x val="7.0555032925682104E-3"/>
                  <c:y val="7.2542040697294979E-17"/>
                </c:manualLayout>
              </c:layout>
              <c:showLegendKey val="0"/>
              <c:showVal val="1"/>
              <c:showCatName val="0"/>
              <c:showSerName val="0"/>
              <c:showPercent val="0"/>
              <c:showBubbleSize val="0"/>
            </c:dLbl>
            <c:dLbl>
              <c:idx val="3"/>
              <c:layout>
                <c:manualLayout>
                  <c:x val="9.4073377234243048E-3"/>
                  <c:y val="-7.2542040697294979E-17"/>
                </c:manualLayout>
              </c:layout>
              <c:showLegendKey val="0"/>
              <c:showVal val="1"/>
              <c:showCatName val="0"/>
              <c:showSerName val="0"/>
              <c:showPercent val="0"/>
              <c:showBubbleSize val="0"/>
            </c:dLbl>
            <c:dLbl>
              <c:idx val="4"/>
              <c:layout>
                <c:manualLayout>
                  <c:x val="7.0555032925682104E-3"/>
                  <c:y val="-7.2542040697294979E-17"/>
                </c:manualLayout>
              </c:layout>
              <c:showLegendKey val="0"/>
              <c:showVal val="1"/>
              <c:showCatName val="0"/>
              <c:showSerName val="0"/>
              <c:showPercent val="0"/>
              <c:showBubbleSize val="0"/>
            </c:dLbl>
            <c:dLbl>
              <c:idx val="5"/>
              <c:layout>
                <c:manualLayout>
                  <c:x val="9.4073377234243048E-3"/>
                  <c:y val="0"/>
                </c:manualLayout>
              </c:layout>
              <c:showLegendKey val="0"/>
              <c:showVal val="1"/>
              <c:showCatName val="0"/>
              <c:showSerName val="0"/>
              <c:showPercent val="0"/>
              <c:showBubbleSize val="0"/>
            </c:dLbl>
            <c:dLbl>
              <c:idx val="6"/>
              <c:layout>
                <c:manualLayout>
                  <c:x val="9.4073377234243048E-3"/>
                  <c:y val="0"/>
                </c:manualLayout>
              </c:layout>
              <c:showLegendKey val="0"/>
              <c:showVal val="1"/>
              <c:showCatName val="0"/>
              <c:showSerName val="0"/>
              <c:showPercent val="0"/>
              <c:showBubbleSize val="0"/>
            </c:dLbl>
            <c:dLbl>
              <c:idx val="7"/>
              <c:layout>
                <c:manualLayout>
                  <c:x val="9.4073377234243048E-3"/>
                  <c:y val="0"/>
                </c:manualLayout>
              </c:layout>
              <c:showLegendKey val="0"/>
              <c:showVal val="1"/>
              <c:showCatName val="0"/>
              <c:showSerName val="0"/>
              <c:showPercent val="0"/>
              <c:showBubbleSize val="0"/>
            </c:dLbl>
            <c:dLbl>
              <c:idx val="8"/>
              <c:layout>
                <c:manualLayout>
                  <c:x val="9.4073377234243048E-3"/>
                  <c:y val="-3.1156569237997556E-7"/>
                </c:manualLayout>
              </c:layout>
              <c:showLegendKey val="0"/>
              <c:showVal val="1"/>
              <c:showCatName val="0"/>
              <c:showSerName val="0"/>
              <c:showPercent val="0"/>
              <c:showBubbleSize val="0"/>
            </c:dLbl>
            <c:dLbl>
              <c:idx val="9"/>
              <c:layout>
                <c:manualLayout>
                  <c:x val="4.7036688617121923E-3"/>
                  <c:y val="0"/>
                </c:manualLayout>
              </c:layout>
              <c:showLegendKey val="0"/>
              <c:showVal val="1"/>
              <c:showCatName val="0"/>
              <c:showSerName val="0"/>
              <c:showPercent val="0"/>
              <c:showBubbleSize val="0"/>
            </c:dLbl>
            <c:txPr>
              <a:bodyPr/>
              <a:lstStyle/>
              <a:p>
                <a:pPr>
                  <a:defRPr sz="700" b="1"/>
                </a:pPr>
                <a:endParaRPr lang="es-CO"/>
              </a:p>
            </c:txPr>
            <c:showLegendKey val="0"/>
            <c:showVal val="1"/>
            <c:showCatName val="0"/>
            <c:showSerName val="0"/>
            <c:showPercent val="0"/>
            <c:showBubbleSize val="0"/>
            <c:showLeaderLines val="0"/>
          </c:dLbls>
          <c:cat>
            <c:numRef>
              <c:f>Hoja1!$C$4:$L$4</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Hoja1!$C$6:$L$6</c:f>
              <c:numCache>
                <c:formatCode>_(* #,##0_);_(* \(#,##0\);_(* "-"??_);_(@_)</c:formatCode>
                <c:ptCount val="10"/>
                <c:pt idx="0">
                  <c:v>262217</c:v>
                </c:pt>
                <c:pt idx="1">
                  <c:v>263723</c:v>
                </c:pt>
                <c:pt idx="2">
                  <c:v>265221</c:v>
                </c:pt>
                <c:pt idx="3">
                  <c:v>266725</c:v>
                </c:pt>
                <c:pt idx="4">
                  <c:v>268221</c:v>
                </c:pt>
                <c:pt idx="5">
                  <c:v>269752</c:v>
                </c:pt>
                <c:pt idx="6">
                  <c:v>271285</c:v>
                </c:pt>
                <c:pt idx="7">
                  <c:v>272822</c:v>
                </c:pt>
                <c:pt idx="8">
                  <c:v>274379</c:v>
                </c:pt>
                <c:pt idx="9">
                  <c:v>275928</c:v>
                </c:pt>
              </c:numCache>
            </c:numRef>
          </c:val>
        </c:ser>
        <c:ser>
          <c:idx val="1"/>
          <c:order val="1"/>
          <c:tx>
            <c:v>Población Mujeres</c:v>
          </c:tx>
          <c:spPr>
            <a:solidFill>
              <a:schemeClr val="tx2">
                <a:lumMod val="50000"/>
              </a:schemeClr>
            </a:solidFill>
          </c:spPr>
          <c:invertIfNegative val="0"/>
          <c:dLbls>
            <c:dLbl>
              <c:idx val="0"/>
              <c:layout>
                <c:manualLayout>
                  <c:x val="9.4073377234243048E-3"/>
                  <c:y val="0"/>
                </c:manualLayout>
              </c:layout>
              <c:showLegendKey val="0"/>
              <c:showVal val="1"/>
              <c:showCatName val="0"/>
              <c:showSerName val="0"/>
              <c:showPercent val="0"/>
              <c:showBubbleSize val="0"/>
            </c:dLbl>
            <c:dLbl>
              <c:idx val="1"/>
              <c:layout>
                <c:manualLayout>
                  <c:x val="1.1759172154280321E-2"/>
                  <c:y val="0"/>
                </c:manualLayout>
              </c:layout>
              <c:showLegendKey val="0"/>
              <c:showVal val="1"/>
              <c:showCatName val="0"/>
              <c:showSerName val="0"/>
              <c:showPercent val="0"/>
              <c:showBubbleSize val="0"/>
            </c:dLbl>
            <c:dLbl>
              <c:idx val="2"/>
              <c:layout>
                <c:manualLayout>
                  <c:x val="7.0555032925682104E-3"/>
                  <c:y val="0"/>
                </c:manualLayout>
              </c:layout>
              <c:showLegendKey val="0"/>
              <c:showVal val="1"/>
              <c:showCatName val="0"/>
              <c:showSerName val="0"/>
              <c:showPercent val="0"/>
              <c:showBubbleSize val="0"/>
            </c:dLbl>
            <c:dLbl>
              <c:idx val="3"/>
              <c:layout>
                <c:manualLayout>
                  <c:x val="7.0555032925682104E-3"/>
                  <c:y val="0"/>
                </c:manualLayout>
              </c:layout>
              <c:showLegendKey val="0"/>
              <c:showVal val="1"/>
              <c:showCatName val="0"/>
              <c:showSerName val="0"/>
              <c:showPercent val="0"/>
              <c:showBubbleSize val="0"/>
            </c:dLbl>
            <c:dLbl>
              <c:idx val="4"/>
              <c:layout>
                <c:manualLayout>
                  <c:x val="2.3518344308560675E-3"/>
                  <c:y val="0"/>
                </c:manualLayout>
              </c:layout>
              <c:showLegendKey val="0"/>
              <c:showVal val="1"/>
              <c:showCatName val="0"/>
              <c:showSerName val="0"/>
              <c:showPercent val="0"/>
              <c:showBubbleSize val="0"/>
            </c:dLbl>
            <c:dLbl>
              <c:idx val="5"/>
              <c:layout>
                <c:manualLayout>
                  <c:x val="7.0555032925682104E-3"/>
                  <c:y val="0"/>
                </c:manualLayout>
              </c:layout>
              <c:showLegendKey val="0"/>
              <c:showVal val="1"/>
              <c:showCatName val="0"/>
              <c:showSerName val="0"/>
              <c:showPercent val="0"/>
              <c:showBubbleSize val="0"/>
            </c:dLbl>
            <c:dLbl>
              <c:idx val="6"/>
              <c:layout>
                <c:manualLayout>
                  <c:x val="9.4073377234243048E-3"/>
                  <c:y val="0"/>
                </c:manualLayout>
              </c:layout>
              <c:showLegendKey val="0"/>
              <c:showVal val="1"/>
              <c:showCatName val="0"/>
              <c:showSerName val="0"/>
              <c:showPercent val="0"/>
              <c:showBubbleSize val="0"/>
            </c:dLbl>
            <c:dLbl>
              <c:idx val="7"/>
              <c:layout>
                <c:manualLayout>
                  <c:x val="9.4073377234243048E-3"/>
                  <c:y val="0"/>
                </c:manualLayout>
              </c:layout>
              <c:showLegendKey val="0"/>
              <c:showVal val="1"/>
              <c:showCatName val="0"/>
              <c:showSerName val="0"/>
              <c:showPercent val="0"/>
              <c:showBubbleSize val="0"/>
            </c:dLbl>
            <c:dLbl>
              <c:idx val="8"/>
              <c:layout>
                <c:manualLayout>
                  <c:x val="1.175917215428034E-2"/>
                  <c:y val="0"/>
                </c:manualLayout>
              </c:layout>
              <c:showLegendKey val="0"/>
              <c:showVal val="1"/>
              <c:showCatName val="0"/>
              <c:showSerName val="0"/>
              <c:showPercent val="0"/>
              <c:showBubbleSize val="0"/>
            </c:dLbl>
            <c:dLbl>
              <c:idx val="9"/>
              <c:layout>
                <c:manualLayout>
                  <c:x val="9.4073377234243048E-3"/>
                  <c:y val="3.9568842932256893E-3"/>
                </c:manualLayout>
              </c:layout>
              <c:showLegendKey val="0"/>
              <c:showVal val="1"/>
              <c:showCatName val="0"/>
              <c:showSerName val="0"/>
              <c:showPercent val="0"/>
              <c:showBubbleSize val="0"/>
            </c:dLbl>
            <c:txPr>
              <a:bodyPr/>
              <a:lstStyle/>
              <a:p>
                <a:pPr>
                  <a:defRPr sz="700" b="1">
                    <a:solidFill>
                      <a:schemeClr val="bg1"/>
                    </a:solidFill>
                  </a:defRPr>
                </a:pPr>
                <a:endParaRPr lang="es-CO"/>
              </a:p>
            </c:txPr>
            <c:showLegendKey val="0"/>
            <c:showVal val="1"/>
            <c:showCatName val="0"/>
            <c:showSerName val="0"/>
            <c:showPercent val="0"/>
            <c:showBubbleSize val="0"/>
            <c:showLeaderLines val="0"/>
          </c:dLbls>
          <c:cat>
            <c:numRef>
              <c:f>Hoja1!$C$4:$L$4</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Hoja1!$C$7:$L$7</c:f>
              <c:numCache>
                <c:formatCode>_(* #,##0_);_(* \(#,##0\);_(* "-"??_);_(@_)</c:formatCode>
                <c:ptCount val="10"/>
                <c:pt idx="0">
                  <c:v>272289</c:v>
                </c:pt>
                <c:pt idx="1">
                  <c:v>273807</c:v>
                </c:pt>
                <c:pt idx="2">
                  <c:v>275312</c:v>
                </c:pt>
                <c:pt idx="3">
                  <c:v>276854</c:v>
                </c:pt>
                <c:pt idx="4">
                  <c:v>278372</c:v>
                </c:pt>
                <c:pt idx="5">
                  <c:v>279910</c:v>
                </c:pt>
                <c:pt idx="6">
                  <c:v>281470</c:v>
                </c:pt>
                <c:pt idx="7">
                  <c:v>283014</c:v>
                </c:pt>
                <c:pt idx="8">
                  <c:v>284590</c:v>
                </c:pt>
                <c:pt idx="9">
                  <c:v>286186</c:v>
                </c:pt>
              </c:numCache>
            </c:numRef>
          </c:val>
        </c:ser>
        <c:dLbls>
          <c:showLegendKey val="0"/>
          <c:showVal val="1"/>
          <c:showCatName val="0"/>
          <c:showSerName val="0"/>
          <c:showPercent val="0"/>
          <c:showBubbleSize val="0"/>
        </c:dLbls>
        <c:gapWidth val="75"/>
        <c:shape val="box"/>
        <c:axId val="557322240"/>
        <c:axId val="557323776"/>
        <c:axId val="0"/>
      </c:bar3DChart>
      <c:catAx>
        <c:axId val="557322240"/>
        <c:scaling>
          <c:orientation val="minMax"/>
        </c:scaling>
        <c:delete val="0"/>
        <c:axPos val="b"/>
        <c:numFmt formatCode="General" sourceLinked="1"/>
        <c:majorTickMark val="none"/>
        <c:minorTickMark val="none"/>
        <c:tickLblPos val="nextTo"/>
        <c:txPr>
          <a:bodyPr/>
          <a:lstStyle/>
          <a:p>
            <a:pPr>
              <a:defRPr sz="900" b="1">
                <a:solidFill>
                  <a:schemeClr val="tx1">
                    <a:lumMod val="65000"/>
                    <a:lumOff val="35000"/>
                  </a:schemeClr>
                </a:solidFill>
              </a:defRPr>
            </a:pPr>
            <a:endParaRPr lang="es-CO"/>
          </a:p>
        </c:txPr>
        <c:crossAx val="557323776"/>
        <c:crosses val="autoZero"/>
        <c:auto val="1"/>
        <c:lblAlgn val="ctr"/>
        <c:lblOffset val="100"/>
        <c:noMultiLvlLbl val="0"/>
      </c:catAx>
      <c:valAx>
        <c:axId val="557323776"/>
        <c:scaling>
          <c:orientation val="minMax"/>
        </c:scaling>
        <c:delete val="1"/>
        <c:axPos val="l"/>
        <c:numFmt formatCode="0%" sourceLinked="1"/>
        <c:majorTickMark val="none"/>
        <c:minorTickMark val="none"/>
        <c:tickLblPos val="none"/>
        <c:crossAx val="557322240"/>
        <c:crosses val="autoZero"/>
        <c:crossBetween val="between"/>
      </c:valAx>
    </c:plotArea>
    <c:legend>
      <c:legendPos val="b"/>
      <c:layout>
        <c:manualLayout>
          <c:xMode val="edge"/>
          <c:yMode val="edge"/>
          <c:x val="0.30561987325823442"/>
          <c:y val="0.91832360236159738"/>
          <c:w val="0.38628523823600547"/>
          <c:h val="5.4118559014320104E-2"/>
        </c:manualLayout>
      </c:layout>
      <c:overlay val="0"/>
      <c:txPr>
        <a:bodyPr/>
        <a:lstStyle/>
        <a:p>
          <a:pPr>
            <a:defRPr sz="800"/>
          </a:pPr>
          <a:endParaRPr lang="es-CO"/>
        </a:p>
      </c:txPr>
    </c:legend>
    <c:plotVisOnly val="1"/>
    <c:dispBlanksAs val="gap"/>
    <c:showDLblsOverMax val="0"/>
  </c:chart>
  <c:spPr>
    <a:ln w="6350">
      <a:solidFill>
        <a:schemeClr val="bg1">
          <a:lumMod val="65000"/>
        </a:schemeClr>
      </a:solidFill>
    </a:ln>
  </c:sp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rAngAx val="0"/>
      <c:perspective val="0"/>
    </c:view3D>
    <c:floor>
      <c:thickness val="0"/>
      <c:spPr>
        <a:noFill/>
      </c:spPr>
    </c:floor>
    <c:sideWall>
      <c:thickness val="0"/>
      <c:spPr>
        <a:noFill/>
        <a:ln w="25400">
          <a:noFill/>
        </a:ln>
      </c:spPr>
    </c:sideWall>
    <c:backWall>
      <c:thickness val="0"/>
      <c:spPr>
        <a:noFill/>
        <a:ln w="25400">
          <a:noFill/>
        </a:ln>
      </c:spPr>
    </c:backWall>
    <c:plotArea>
      <c:layout>
        <c:manualLayout>
          <c:layoutTarget val="inner"/>
          <c:xMode val="edge"/>
          <c:yMode val="edge"/>
          <c:x val="3.955946239478686E-2"/>
          <c:y val="3.8203545155674111E-2"/>
          <c:w val="0.87617224880382771"/>
          <c:h val="0.78970593381709664"/>
        </c:manualLayout>
      </c:layout>
      <c:bar3DChart>
        <c:barDir val="col"/>
        <c:grouping val="standard"/>
        <c:varyColors val="0"/>
        <c:ser>
          <c:idx val="0"/>
          <c:order val="0"/>
          <c:invertIfNegative val="0"/>
          <c:dPt>
            <c:idx val="0"/>
            <c:invertIfNegative val="0"/>
            <c:bubble3D val="0"/>
            <c:spPr>
              <a:solidFill>
                <a:schemeClr val="accent6">
                  <a:lumMod val="40000"/>
                  <a:lumOff val="60000"/>
                </a:schemeClr>
              </a:solidFill>
            </c:spPr>
          </c:dPt>
          <c:dPt>
            <c:idx val="1"/>
            <c:invertIfNegative val="0"/>
            <c:bubble3D val="0"/>
            <c:spPr>
              <a:solidFill>
                <a:schemeClr val="tx2">
                  <a:lumMod val="40000"/>
                  <a:lumOff val="60000"/>
                </a:schemeClr>
              </a:solidFill>
            </c:spPr>
          </c:dPt>
          <c:dPt>
            <c:idx val="2"/>
            <c:invertIfNegative val="0"/>
            <c:bubble3D val="0"/>
            <c:spPr>
              <a:solidFill>
                <a:schemeClr val="accent3">
                  <a:lumMod val="60000"/>
                  <a:lumOff val="40000"/>
                </a:schemeClr>
              </a:solidFill>
            </c:spPr>
          </c:dPt>
          <c:dLbls>
            <c:dLbl>
              <c:idx val="0"/>
              <c:layout>
                <c:manualLayout>
                  <c:x val="3.333333333333334E-2"/>
                  <c:y val="0.23855165069222678"/>
                </c:manualLayout>
              </c:layout>
              <c:showLegendKey val="0"/>
              <c:showVal val="1"/>
              <c:showCatName val="0"/>
              <c:showSerName val="0"/>
              <c:showPercent val="0"/>
              <c:showBubbleSize val="0"/>
            </c:dLbl>
            <c:dLbl>
              <c:idx val="1"/>
              <c:layout>
                <c:manualLayout>
                  <c:x val="3.333333333333334E-2"/>
                  <c:y val="4.2598509052183533E-3"/>
                </c:manualLayout>
              </c:layout>
              <c:tx>
                <c:rich>
                  <a:bodyPr/>
                  <a:lstStyle/>
                  <a:p>
                    <a:pPr>
                      <a:defRPr b="1">
                        <a:solidFill>
                          <a:schemeClr val="bg1"/>
                        </a:solidFill>
                      </a:defRPr>
                    </a:pPr>
                    <a:r>
                      <a:rPr lang="en-US">
                        <a:solidFill>
                          <a:schemeClr val="bg1"/>
                        </a:solidFill>
                      </a:rPr>
                      <a:t> 59,7%</a:t>
                    </a:r>
                  </a:p>
                </c:rich>
              </c:tx>
              <c:spPr/>
              <c:showLegendKey val="0"/>
              <c:showVal val="1"/>
              <c:showCatName val="0"/>
              <c:showSerName val="0"/>
              <c:showPercent val="0"/>
              <c:showBubbleSize val="0"/>
            </c:dLbl>
            <c:dLbl>
              <c:idx val="2"/>
              <c:layout>
                <c:manualLayout>
                  <c:x val="2.7777777777778179E-2"/>
                  <c:y val="1.2779552715654953E-2"/>
                </c:manualLayout>
              </c:layout>
              <c:tx>
                <c:rich>
                  <a:bodyPr/>
                  <a:lstStyle/>
                  <a:p>
                    <a:r>
                      <a:rPr lang="en-US"/>
                      <a:t> 40,3%</a:t>
                    </a:r>
                  </a:p>
                </c:rich>
              </c:tx>
              <c:showLegendKey val="0"/>
              <c:showVal val="1"/>
              <c:showCatName val="0"/>
              <c:showSerName val="0"/>
              <c:showPercent val="0"/>
              <c:showBubbleSize val="0"/>
            </c:dLbl>
            <c:txPr>
              <a:bodyPr/>
              <a:lstStyle/>
              <a:p>
                <a:pPr>
                  <a:defRPr b="1"/>
                </a:pPr>
                <a:endParaRPr lang="es-CO"/>
              </a:p>
            </c:txPr>
            <c:showLegendKey val="0"/>
            <c:showVal val="1"/>
            <c:showCatName val="0"/>
            <c:showSerName val="0"/>
            <c:showPercent val="0"/>
            <c:showBubbleSize val="0"/>
            <c:showLeaderLines val="0"/>
          </c:dLbls>
          <c:cat>
            <c:strRef>
              <c:f>Cuadro_22a!$B$5:$D$5</c:f>
              <c:strCache>
                <c:ptCount val="3"/>
                <c:pt idx="0">
                  <c:v>TOTAL</c:v>
                </c:pt>
                <c:pt idx="1">
                  <c:v>Hombres</c:v>
                </c:pt>
                <c:pt idx="2">
                  <c:v>Mujeres</c:v>
                </c:pt>
              </c:strCache>
            </c:strRef>
          </c:cat>
          <c:val>
            <c:numRef>
              <c:f>Cuadro_22a!$B$6:$D$6</c:f>
              <c:numCache>
                <c:formatCode>_(* #,##0_);_(* \(#,##0\);_(* "-"??_);_(@_)</c:formatCode>
                <c:ptCount val="3"/>
                <c:pt idx="0">
                  <c:v>238656</c:v>
                </c:pt>
                <c:pt idx="1">
                  <c:v>142332</c:v>
                </c:pt>
                <c:pt idx="2">
                  <c:v>96324</c:v>
                </c:pt>
              </c:numCache>
            </c:numRef>
          </c:val>
        </c:ser>
        <c:dLbls>
          <c:showLegendKey val="0"/>
          <c:showVal val="0"/>
          <c:showCatName val="0"/>
          <c:showSerName val="0"/>
          <c:showPercent val="0"/>
          <c:showBubbleSize val="0"/>
        </c:dLbls>
        <c:gapWidth val="81"/>
        <c:gapDepth val="30"/>
        <c:shape val="cylinder"/>
        <c:axId val="557383040"/>
        <c:axId val="557384832"/>
        <c:axId val="557343168"/>
      </c:bar3DChart>
      <c:catAx>
        <c:axId val="557383040"/>
        <c:scaling>
          <c:orientation val="minMax"/>
        </c:scaling>
        <c:delete val="0"/>
        <c:axPos val="b"/>
        <c:majorTickMark val="out"/>
        <c:minorTickMark val="none"/>
        <c:tickLblPos val="nextTo"/>
        <c:txPr>
          <a:bodyPr/>
          <a:lstStyle/>
          <a:p>
            <a:pPr>
              <a:defRPr b="1"/>
            </a:pPr>
            <a:endParaRPr lang="es-CO"/>
          </a:p>
        </c:txPr>
        <c:crossAx val="557384832"/>
        <c:crosses val="autoZero"/>
        <c:auto val="1"/>
        <c:lblAlgn val="ctr"/>
        <c:lblOffset val="100"/>
        <c:noMultiLvlLbl val="0"/>
      </c:catAx>
      <c:valAx>
        <c:axId val="557384832"/>
        <c:scaling>
          <c:orientation val="minMax"/>
        </c:scaling>
        <c:delete val="1"/>
        <c:axPos val="l"/>
        <c:numFmt formatCode="_(* #,##0_);_(* \(#,##0\);_(* &quot;-&quot;??_);_(@_)" sourceLinked="1"/>
        <c:majorTickMark val="out"/>
        <c:minorTickMark val="none"/>
        <c:tickLblPos val="none"/>
        <c:crossAx val="557383040"/>
        <c:crosses val="autoZero"/>
        <c:crossBetween val="between"/>
      </c:valAx>
      <c:serAx>
        <c:axId val="557343168"/>
        <c:scaling>
          <c:orientation val="minMax"/>
        </c:scaling>
        <c:delete val="1"/>
        <c:axPos val="b"/>
        <c:majorTickMark val="out"/>
        <c:minorTickMark val="none"/>
        <c:tickLblPos val="none"/>
        <c:crossAx val="557384832"/>
        <c:crosses val="autoZero"/>
      </c:serAx>
      <c:spPr>
        <a:noFill/>
      </c:spPr>
    </c:plotArea>
    <c:plotVisOnly val="1"/>
    <c:dispBlanksAs val="gap"/>
    <c:showDLblsOverMax val="0"/>
  </c:chart>
  <c:spPr>
    <a:noFill/>
    <a:ln w="6350">
      <a:solidFill>
        <a:schemeClr val="bg1">
          <a:lumMod val="65000"/>
        </a:schemeClr>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3.9473684210526355E-2"/>
                  <c:y val="4.1666666666666664E-2"/>
                </c:manualLayout>
              </c:layout>
              <c:showLegendKey val="0"/>
              <c:showVal val="1"/>
              <c:showCatName val="0"/>
              <c:showSerName val="0"/>
              <c:showPercent val="0"/>
              <c:showBubbleSize val="0"/>
            </c:dLbl>
            <c:dLbl>
              <c:idx val="1"/>
              <c:layout>
                <c:manualLayout>
                  <c:x val="-2.4122807017543841E-2"/>
                  <c:y val="-3.2407407407407655E-2"/>
                </c:manualLayout>
              </c:layout>
              <c:showLegendKey val="0"/>
              <c:showVal val="1"/>
              <c:showCatName val="0"/>
              <c:showSerName val="0"/>
              <c:showPercent val="0"/>
              <c:showBubbleSize val="0"/>
            </c:dLbl>
            <c:dLbl>
              <c:idx val="2"/>
              <c:layout>
                <c:manualLayout>
                  <c:x val="-3.9473684210526355E-2"/>
                  <c:y val="4.1666666666666664E-2"/>
                </c:manualLayout>
              </c:layout>
              <c:showLegendKey val="0"/>
              <c:showVal val="1"/>
              <c:showCatName val="0"/>
              <c:showSerName val="0"/>
              <c:showPercent val="0"/>
              <c:showBubbleSize val="0"/>
            </c:dLbl>
            <c:dLbl>
              <c:idx val="3"/>
              <c:layout>
                <c:manualLayout>
                  <c:x val="-1.7543859649122973E-2"/>
                  <c:y val="1.388888888888899E-2"/>
                </c:manualLayout>
              </c:layout>
              <c:showLegendKey val="0"/>
              <c:showVal val="1"/>
              <c:showCatName val="0"/>
              <c:showSerName val="0"/>
              <c:showPercent val="0"/>
              <c:showBubbleSize val="0"/>
            </c:dLbl>
            <c:dLbl>
              <c:idx val="4"/>
              <c:layout>
                <c:manualLayout>
                  <c:x val="-5.9210526315789554E-2"/>
                  <c:y val="-4.1666666666666664E-2"/>
                </c:manualLayout>
              </c:layout>
              <c:showLegendKey val="0"/>
              <c:showVal val="1"/>
              <c:showCatName val="0"/>
              <c:showSerName val="0"/>
              <c:showPercent val="0"/>
              <c:showBubbleSize val="0"/>
            </c:dLbl>
            <c:dLbl>
              <c:idx val="5"/>
              <c:layout>
                <c:manualLayout>
                  <c:x val="-1.973684210526316E-2"/>
                  <c:y val="3.7037037037037292E-2"/>
                </c:manualLayout>
              </c:layout>
              <c:showLegendKey val="0"/>
              <c:showVal val="1"/>
              <c:showCatName val="0"/>
              <c:showSerName val="0"/>
              <c:showPercent val="0"/>
              <c:showBubbleSize val="0"/>
            </c:dLbl>
            <c:dLbl>
              <c:idx val="6"/>
              <c:layout>
                <c:manualLayout>
                  <c:x val="-8.771929824561403E-3"/>
                  <c:y val="-1.388888888888899E-2"/>
                </c:manualLayout>
              </c:layout>
              <c:showLegendKey val="0"/>
              <c:showVal val="1"/>
              <c:showCatName val="0"/>
              <c:showSerName val="0"/>
              <c:showPercent val="0"/>
              <c:showBubbleSize val="0"/>
            </c:dLbl>
            <c:txPr>
              <a:bodyPr/>
              <a:lstStyle/>
              <a:p>
                <a:pPr>
                  <a:defRPr lang="es-MX" sz="800">
                    <a:latin typeface="Times New Roman" pitchFamily="18" charset="0"/>
                    <a:cs typeface="Times New Roman" pitchFamily="18" charset="0"/>
                  </a:defRPr>
                </a:pPr>
                <a:endParaRPr lang="es-CO"/>
              </a:p>
            </c:txPr>
            <c:showLegendKey val="0"/>
            <c:showVal val="1"/>
            <c:showCatName val="0"/>
            <c:showSerName val="0"/>
            <c:showPercent val="0"/>
            <c:showBubbleSize val="0"/>
            <c:showLeaderLines val="0"/>
          </c:dLbls>
          <c:cat>
            <c:strRef>
              <c:f>Migración!$D$28:$J$28</c:f>
              <c:strCache>
                <c:ptCount val="7"/>
                <c:pt idx="0">
                  <c:v>1985-1990</c:v>
                </c:pt>
                <c:pt idx="1">
                  <c:v>1990-1995</c:v>
                </c:pt>
                <c:pt idx="2">
                  <c:v>1995-2000</c:v>
                </c:pt>
                <c:pt idx="3">
                  <c:v>2000-2005</c:v>
                </c:pt>
                <c:pt idx="4">
                  <c:v>2005-2010</c:v>
                </c:pt>
                <c:pt idx="5">
                  <c:v>2010-2015</c:v>
                </c:pt>
                <c:pt idx="6">
                  <c:v>2015-2020</c:v>
                </c:pt>
              </c:strCache>
            </c:strRef>
          </c:cat>
          <c:val>
            <c:numRef>
              <c:f>Migración!$D$29:$J$29</c:f>
              <c:numCache>
                <c:formatCode>#,##0</c:formatCode>
                <c:ptCount val="7"/>
                <c:pt idx="0">
                  <c:v>5477</c:v>
                </c:pt>
                <c:pt idx="1">
                  <c:v>6160</c:v>
                </c:pt>
                <c:pt idx="2">
                  <c:v>-17387</c:v>
                </c:pt>
                <c:pt idx="3">
                  <c:v>-15509</c:v>
                </c:pt>
                <c:pt idx="4">
                  <c:v>-12748</c:v>
                </c:pt>
                <c:pt idx="5">
                  <c:v>-11098</c:v>
                </c:pt>
                <c:pt idx="6">
                  <c:v>-8666</c:v>
                </c:pt>
              </c:numCache>
            </c:numRef>
          </c:val>
          <c:smooth val="0"/>
        </c:ser>
        <c:dLbls>
          <c:showLegendKey val="0"/>
          <c:showVal val="0"/>
          <c:showCatName val="0"/>
          <c:showSerName val="0"/>
          <c:showPercent val="0"/>
          <c:showBubbleSize val="0"/>
        </c:dLbls>
        <c:marker val="1"/>
        <c:smooth val="0"/>
        <c:axId val="157790592"/>
        <c:axId val="157792128"/>
      </c:lineChart>
      <c:catAx>
        <c:axId val="157790592"/>
        <c:scaling>
          <c:orientation val="minMax"/>
        </c:scaling>
        <c:delete val="0"/>
        <c:axPos val="b"/>
        <c:majorTickMark val="out"/>
        <c:minorTickMark val="none"/>
        <c:tickLblPos val="nextTo"/>
        <c:txPr>
          <a:bodyPr rot="-5400000" vert="horz"/>
          <a:lstStyle/>
          <a:p>
            <a:pPr>
              <a:defRPr lang="es-MX" sz="800">
                <a:latin typeface="Times New Roman" pitchFamily="18" charset="0"/>
                <a:cs typeface="Times New Roman" pitchFamily="18" charset="0"/>
              </a:defRPr>
            </a:pPr>
            <a:endParaRPr lang="es-CO"/>
          </a:p>
        </c:txPr>
        <c:crossAx val="157792128"/>
        <c:crosses val="autoZero"/>
        <c:auto val="1"/>
        <c:lblAlgn val="ctr"/>
        <c:lblOffset val="100"/>
        <c:noMultiLvlLbl val="0"/>
      </c:catAx>
      <c:valAx>
        <c:axId val="157792128"/>
        <c:scaling>
          <c:orientation val="minMax"/>
        </c:scaling>
        <c:delete val="0"/>
        <c:axPos val="l"/>
        <c:numFmt formatCode="#,##0" sourceLinked="1"/>
        <c:majorTickMark val="out"/>
        <c:minorTickMark val="none"/>
        <c:tickLblPos val="nextTo"/>
        <c:txPr>
          <a:bodyPr/>
          <a:lstStyle/>
          <a:p>
            <a:pPr>
              <a:defRPr lang="es-MX" sz="800">
                <a:latin typeface="Times New Roman" pitchFamily="18" charset="0"/>
                <a:cs typeface="Times New Roman" pitchFamily="18" charset="0"/>
              </a:defRPr>
            </a:pPr>
            <a:endParaRPr lang="es-CO"/>
          </a:p>
        </c:txPr>
        <c:crossAx val="157790592"/>
        <c:crosses val="autoZero"/>
        <c:crossBetween val="between"/>
      </c:valAx>
    </c:plotArea>
    <c:plotVisOnly val="1"/>
    <c:dispBlanksAs val="gap"/>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20"/>
      <c:rAngAx val="0"/>
      <c:perspective val="0"/>
    </c:view3D>
    <c:floor>
      <c:thickness val="0"/>
      <c:spPr>
        <a:noFill/>
        <a:ln>
          <a:solidFill>
            <a:schemeClr val="bg1">
              <a:lumMod val="85000"/>
            </a:schemeClr>
          </a:solidFill>
        </a:ln>
      </c:spPr>
    </c:floor>
    <c:sideWall>
      <c:thickness val="0"/>
    </c:sideWall>
    <c:backWall>
      <c:thickness val="0"/>
    </c:backWall>
    <c:plotArea>
      <c:layout>
        <c:manualLayout>
          <c:layoutTarget val="inner"/>
          <c:xMode val="edge"/>
          <c:yMode val="edge"/>
          <c:x val="0"/>
          <c:y val="6.6875653082549641E-2"/>
          <c:w val="0.76525973422616034"/>
          <c:h val="0.90386624869383492"/>
        </c:manualLayout>
      </c:layout>
      <c:bar3DChart>
        <c:barDir val="bar"/>
        <c:grouping val="clustered"/>
        <c:varyColors val="1"/>
        <c:ser>
          <c:idx val="0"/>
          <c:order val="0"/>
          <c:invertIfNegative val="0"/>
          <c:dPt>
            <c:idx val="0"/>
            <c:invertIfNegative val="0"/>
            <c:bubble3D val="0"/>
            <c:explosion val="21"/>
            <c:spPr>
              <a:solidFill>
                <a:schemeClr val="bg2">
                  <a:lumMod val="50000"/>
                </a:schemeClr>
              </a:solidFill>
            </c:spPr>
          </c:dPt>
          <c:dPt>
            <c:idx val="1"/>
            <c:invertIfNegative val="0"/>
            <c:bubble3D val="0"/>
            <c:spPr>
              <a:solidFill>
                <a:srgbClr val="FF0000"/>
              </a:solidFill>
            </c:spPr>
          </c:dPt>
          <c:dPt>
            <c:idx val="2"/>
            <c:invertIfNegative val="0"/>
            <c:bubble3D val="0"/>
            <c:spPr>
              <a:solidFill>
                <a:srgbClr val="0BC155"/>
              </a:solidFill>
            </c:spPr>
          </c:dPt>
          <c:dPt>
            <c:idx val="3"/>
            <c:invertIfNegative val="0"/>
            <c:bubble3D val="0"/>
            <c:spPr>
              <a:solidFill>
                <a:srgbClr val="FFC000"/>
              </a:solidFill>
            </c:spPr>
          </c:dPt>
          <c:dPt>
            <c:idx val="4"/>
            <c:invertIfNegative val="0"/>
            <c:bubble3D val="0"/>
            <c:spPr>
              <a:solidFill>
                <a:schemeClr val="accent2">
                  <a:lumMod val="60000"/>
                  <a:lumOff val="40000"/>
                </a:schemeClr>
              </a:solidFill>
            </c:spPr>
          </c:dPt>
          <c:dPt>
            <c:idx val="5"/>
            <c:invertIfNegative val="0"/>
            <c:bubble3D val="0"/>
            <c:spPr>
              <a:solidFill>
                <a:schemeClr val="tx2">
                  <a:lumMod val="60000"/>
                  <a:lumOff val="40000"/>
                </a:schemeClr>
              </a:solidFill>
            </c:spPr>
          </c:dPt>
          <c:dLbls>
            <c:dLbl>
              <c:idx val="0"/>
              <c:layout>
                <c:manualLayout>
                  <c:x val="2.2604402270222812E-2"/>
                  <c:y val="-1.0226846644169534E-3"/>
                </c:manualLayout>
              </c:layout>
              <c:showLegendKey val="0"/>
              <c:showVal val="1"/>
              <c:showCatName val="0"/>
              <c:showSerName val="0"/>
              <c:showPercent val="0"/>
              <c:showBubbleSize val="0"/>
            </c:dLbl>
            <c:dLbl>
              <c:idx val="1"/>
              <c:layout>
                <c:manualLayout>
                  <c:x val="2.4330704000095026E-2"/>
                  <c:y val="-4.1797283176593534E-3"/>
                </c:manualLayout>
              </c:layout>
              <c:tx>
                <c:rich>
                  <a:bodyPr/>
                  <a:lstStyle/>
                  <a:p>
                    <a:r>
                      <a:rPr lang="en-US"/>
                      <a:t>0,021%</a:t>
                    </a:r>
                  </a:p>
                </c:rich>
              </c:tx>
              <c:showLegendKey val="0"/>
              <c:showVal val="1"/>
              <c:showCatName val="0"/>
              <c:showSerName val="0"/>
              <c:showPercent val="0"/>
              <c:showBubbleSize val="0"/>
            </c:dLbl>
            <c:dLbl>
              <c:idx val="2"/>
              <c:layout>
                <c:manualLayout>
                  <c:x val="1.2165447790975E-2"/>
                  <c:y val="-4.1797283176593534E-3"/>
                </c:manualLayout>
              </c:layout>
              <c:tx>
                <c:rich>
                  <a:bodyPr/>
                  <a:lstStyle/>
                  <a:p>
                    <a:r>
                      <a:rPr lang="en-US"/>
                      <a:t> 2,76%</a:t>
                    </a:r>
                  </a:p>
                </c:rich>
              </c:tx>
              <c:showLegendKey val="0"/>
              <c:showVal val="1"/>
              <c:showCatName val="0"/>
              <c:showSerName val="0"/>
              <c:showPercent val="0"/>
              <c:showBubbleSize val="0"/>
            </c:dLbl>
            <c:dLbl>
              <c:idx val="3"/>
              <c:layout>
                <c:manualLayout>
                  <c:x val="9.7323582327800001E-3"/>
                  <c:y val="0"/>
                </c:manualLayout>
              </c:layout>
              <c:tx>
                <c:rich>
                  <a:bodyPr/>
                  <a:lstStyle/>
                  <a:p>
                    <a:r>
                      <a:rPr lang="en-US"/>
                      <a:t> 13,45%</a:t>
                    </a:r>
                  </a:p>
                </c:rich>
              </c:tx>
              <c:showLegendKey val="0"/>
              <c:showVal val="1"/>
              <c:showCatName val="0"/>
              <c:showSerName val="0"/>
              <c:showPercent val="0"/>
              <c:showBubbleSize val="0"/>
            </c:dLbl>
            <c:dLbl>
              <c:idx val="4"/>
              <c:layout>
                <c:manualLayout>
                  <c:x val="1.2165447790975E-2"/>
                  <c:y val="4.1797283176593534E-3"/>
                </c:manualLayout>
              </c:layout>
              <c:tx>
                <c:rich>
                  <a:bodyPr/>
                  <a:lstStyle/>
                  <a:p>
                    <a:r>
                      <a:rPr lang="en-US"/>
                      <a:t> 68,32% </a:t>
                    </a:r>
                  </a:p>
                </c:rich>
              </c:tx>
              <c:showLegendKey val="0"/>
              <c:showVal val="1"/>
              <c:showCatName val="0"/>
              <c:showSerName val="0"/>
              <c:showPercent val="0"/>
              <c:showBubbleSize val="0"/>
            </c:dLbl>
            <c:dLbl>
              <c:idx val="5"/>
              <c:layout>
                <c:manualLayout>
                  <c:x val="1.4598537349170005E-2"/>
                  <c:y val="-4.1797283176593534E-3"/>
                </c:manualLayout>
              </c:layout>
              <c:tx>
                <c:rich>
                  <a:bodyPr/>
                  <a:lstStyle/>
                  <a:p>
                    <a:r>
                      <a:rPr lang="en-US"/>
                      <a:t> 15,44%</a:t>
                    </a:r>
                  </a:p>
                </c:rich>
              </c:tx>
              <c:showLegendKey val="0"/>
              <c:showVal val="1"/>
              <c:showCatName val="0"/>
              <c:showSerName val="0"/>
              <c:showPercent val="0"/>
              <c:showBubbleSize val="0"/>
            </c:dLbl>
            <c:txPr>
              <a:bodyPr/>
              <a:lstStyle/>
              <a:p>
                <a:pPr>
                  <a:defRPr sz="800" b="1"/>
                </a:pPr>
                <a:endParaRPr lang="es-CO"/>
              </a:p>
            </c:txPr>
            <c:showLegendKey val="0"/>
            <c:showVal val="1"/>
            <c:showCatName val="0"/>
            <c:showSerName val="0"/>
            <c:showPercent val="0"/>
            <c:showBubbleSize val="0"/>
            <c:showLeaderLines val="0"/>
          </c:dLbls>
          <c:cat>
            <c:strRef>
              <c:f>Cuadro_23A!$B$5:$G$5</c:f>
              <c:strCache>
                <c:ptCount val="6"/>
                <c:pt idx="0">
                  <c:v>TOTAL</c:v>
                </c:pt>
                <c:pt idx="1">
                  <c:v>De 0 a 11</c:v>
                </c:pt>
                <c:pt idx="2">
                  <c:v>De 12 a 17</c:v>
                </c:pt>
                <c:pt idx="3">
                  <c:v>De 18 a 24</c:v>
                </c:pt>
                <c:pt idx="4">
                  <c:v>De 25 a 55</c:v>
                </c:pt>
                <c:pt idx="5">
                  <c:v>De 56 y mas</c:v>
                </c:pt>
              </c:strCache>
            </c:strRef>
          </c:cat>
          <c:val>
            <c:numRef>
              <c:f>Cuadro_23A!$B$6:$G$6</c:f>
              <c:numCache>
                <c:formatCode>_(* #,##0_);_(* \(#,##0\);_(* "-"??_);_(@_)</c:formatCode>
                <c:ptCount val="6"/>
                <c:pt idx="0">
                  <c:v>238656</c:v>
                </c:pt>
                <c:pt idx="1">
                  <c:v>50</c:v>
                </c:pt>
                <c:pt idx="2">
                  <c:v>6586</c:v>
                </c:pt>
                <c:pt idx="3">
                  <c:v>32112</c:v>
                </c:pt>
                <c:pt idx="4">
                  <c:v>163054</c:v>
                </c:pt>
                <c:pt idx="5">
                  <c:v>36854</c:v>
                </c:pt>
              </c:numCache>
            </c:numRef>
          </c:val>
        </c:ser>
        <c:dLbls>
          <c:showLegendKey val="0"/>
          <c:showVal val="0"/>
          <c:showCatName val="0"/>
          <c:showSerName val="0"/>
          <c:showPercent val="0"/>
          <c:showBubbleSize val="0"/>
        </c:dLbls>
        <c:gapWidth val="35"/>
        <c:gapDepth val="117"/>
        <c:shape val="cylinder"/>
        <c:axId val="557521152"/>
        <c:axId val="557519616"/>
        <c:axId val="0"/>
      </c:bar3DChart>
      <c:valAx>
        <c:axId val="557519616"/>
        <c:scaling>
          <c:orientation val="minMax"/>
        </c:scaling>
        <c:delete val="1"/>
        <c:axPos val="b"/>
        <c:majorGridlines>
          <c:spPr>
            <a:ln>
              <a:solidFill>
                <a:schemeClr val="bg1"/>
              </a:solidFill>
            </a:ln>
          </c:spPr>
        </c:majorGridlines>
        <c:numFmt formatCode="_(* #,##0_);_(* \(#,##0\);_(* &quot;-&quot;??_);_(@_)" sourceLinked="1"/>
        <c:majorTickMark val="out"/>
        <c:minorTickMark val="none"/>
        <c:tickLblPos val="none"/>
        <c:crossAx val="557521152"/>
        <c:crosses val="autoZero"/>
        <c:crossBetween val="between"/>
      </c:valAx>
      <c:catAx>
        <c:axId val="557521152"/>
        <c:scaling>
          <c:orientation val="minMax"/>
        </c:scaling>
        <c:delete val="0"/>
        <c:axPos val="l"/>
        <c:majorTickMark val="out"/>
        <c:minorTickMark val="none"/>
        <c:tickLblPos val="nextTo"/>
        <c:spPr>
          <a:ln>
            <a:solidFill>
              <a:prstClr val="white">
                <a:lumMod val="85000"/>
              </a:prstClr>
            </a:solidFill>
          </a:ln>
        </c:spPr>
        <c:txPr>
          <a:bodyPr/>
          <a:lstStyle/>
          <a:p>
            <a:pPr>
              <a:defRPr sz="800"/>
            </a:pPr>
            <a:endParaRPr lang="es-CO"/>
          </a:p>
        </c:txPr>
        <c:crossAx val="557519616"/>
        <c:crosses val="autoZero"/>
        <c:auto val="1"/>
        <c:lblAlgn val="ctr"/>
        <c:lblOffset val="100"/>
        <c:noMultiLvlLbl val="0"/>
      </c:catAx>
    </c:plotArea>
    <c:plotVisOnly val="1"/>
    <c:dispBlanksAs val="gap"/>
    <c:showDLblsOverMax val="0"/>
  </c:chart>
  <c:spPr>
    <a:ln w="6350">
      <a:solidFill>
        <a:schemeClr val="bg1">
          <a:lumMod val="75000"/>
        </a:schemeClr>
      </a:solidFill>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0"/>
      <c:rotY val="20"/>
      <c:rAngAx val="0"/>
      <c:perspective val="10"/>
    </c:view3D>
    <c:floor>
      <c:thickness val="0"/>
    </c:floor>
    <c:sideWall>
      <c:thickness val="0"/>
    </c:sideWall>
    <c:backWall>
      <c:thickness val="0"/>
    </c:backWall>
    <c:plotArea>
      <c:layout>
        <c:manualLayout>
          <c:layoutTarget val="inner"/>
          <c:xMode val="edge"/>
          <c:yMode val="edge"/>
          <c:x val="1.1198864584449341E-5"/>
          <c:y val="0"/>
          <c:w val="0.84298183954789885"/>
          <c:h val="1"/>
        </c:manualLayout>
      </c:layout>
      <c:pie3DChart>
        <c:varyColors val="1"/>
        <c:ser>
          <c:idx val="0"/>
          <c:order val="0"/>
          <c:explosion val="25"/>
          <c:dPt>
            <c:idx val="0"/>
            <c:bubble3D val="0"/>
            <c:explosion val="21"/>
            <c:spPr>
              <a:solidFill>
                <a:srgbClr val="B0A674"/>
              </a:solidFill>
            </c:spPr>
          </c:dPt>
          <c:dPt>
            <c:idx val="2"/>
            <c:bubble3D val="0"/>
            <c:spPr>
              <a:solidFill>
                <a:srgbClr val="FFC91D"/>
              </a:solidFill>
            </c:spPr>
          </c:dPt>
          <c:dPt>
            <c:idx val="3"/>
            <c:bubble3D val="0"/>
            <c:spPr>
              <a:solidFill>
                <a:srgbClr val="9F8AB8"/>
              </a:solidFill>
            </c:spPr>
          </c:dPt>
          <c:dPt>
            <c:idx val="5"/>
            <c:bubble3D val="0"/>
            <c:spPr>
              <a:solidFill>
                <a:srgbClr val="EC80D5"/>
              </a:solidFill>
            </c:spPr>
          </c:dPt>
          <c:dPt>
            <c:idx val="6"/>
            <c:bubble3D val="0"/>
            <c:spPr>
              <a:solidFill>
                <a:srgbClr val="8AAC46"/>
              </a:solidFill>
            </c:spPr>
          </c:dPt>
          <c:dPt>
            <c:idx val="7"/>
            <c:bubble3D val="0"/>
            <c:spPr>
              <a:solidFill>
                <a:schemeClr val="accent1">
                  <a:lumMod val="40000"/>
                  <a:lumOff val="60000"/>
                </a:schemeClr>
              </a:solidFill>
            </c:spPr>
          </c:dPt>
          <c:dPt>
            <c:idx val="8"/>
            <c:bubble3D val="0"/>
            <c:spPr>
              <a:solidFill>
                <a:schemeClr val="accent6">
                  <a:lumMod val="75000"/>
                </a:schemeClr>
              </a:solidFill>
            </c:spPr>
          </c:dPt>
          <c:dLbls>
            <c:dLbl>
              <c:idx val="0"/>
              <c:layout>
                <c:manualLayout>
                  <c:x val="-0.16274221536261471"/>
                  <c:y val="-0.10018526310165429"/>
                </c:manualLayout>
              </c:layout>
              <c:tx>
                <c:rich>
                  <a:bodyPr/>
                  <a:lstStyle/>
                  <a:p>
                    <a:r>
                      <a:rPr lang="en-US"/>
                      <a:t> 518.172 </a:t>
                    </a:r>
                  </a:p>
                </c:rich>
              </c:tx>
              <c:showLegendKey val="0"/>
              <c:showVal val="1"/>
              <c:showCatName val="0"/>
              <c:showSerName val="0"/>
              <c:showPercent val="0"/>
              <c:showBubbleSize val="0"/>
            </c:dLbl>
            <c:dLbl>
              <c:idx val="6"/>
              <c:layout>
                <c:manualLayout>
                  <c:x val="5.1098263879805848E-3"/>
                  <c:y val="3.053435114503817E-2"/>
                </c:manualLayout>
              </c:layout>
              <c:showLegendKey val="0"/>
              <c:showVal val="1"/>
              <c:showCatName val="0"/>
              <c:showSerName val="0"/>
              <c:showPercent val="0"/>
              <c:showBubbleSize val="0"/>
            </c:dLbl>
            <c:dLbl>
              <c:idx val="7"/>
              <c:layout>
                <c:manualLayout>
                  <c:x val="-2.4731036527410894E-2"/>
                  <c:y val="3.301102629346904E-2"/>
                </c:manualLayout>
              </c:layout>
              <c:showLegendKey val="0"/>
              <c:showVal val="1"/>
              <c:showCatName val="0"/>
              <c:showSerName val="0"/>
              <c:showPercent val="0"/>
              <c:showBubbleSize val="0"/>
            </c:dLbl>
            <c:dLbl>
              <c:idx val="8"/>
              <c:layout>
                <c:manualLayout>
                  <c:x val="3.0087860502934962E-3"/>
                  <c:y val="6.7094629313213167E-2"/>
                </c:manualLayout>
              </c:layout>
              <c:showLegendKey val="0"/>
              <c:showVal val="1"/>
              <c:showCatName val="0"/>
              <c:showSerName val="0"/>
              <c:showPercent val="0"/>
              <c:showBubbleSize val="0"/>
            </c:dLbl>
            <c:txPr>
              <a:bodyPr/>
              <a:lstStyle/>
              <a:p>
                <a:pPr>
                  <a:defRPr sz="800" b="1"/>
                </a:pPr>
                <a:endParaRPr lang="es-CO"/>
              </a:p>
            </c:txPr>
            <c:showLegendKey val="0"/>
            <c:showVal val="1"/>
            <c:showCatName val="0"/>
            <c:showSerName val="0"/>
            <c:showPercent val="0"/>
            <c:showBubbleSize val="0"/>
            <c:showLeaderLines val="1"/>
          </c:dLbls>
          <c:cat>
            <c:strRef>
              <c:f>Cuadro_24!$B$5:$J$5</c:f>
              <c:strCache>
                <c:ptCount val="9"/>
                <c:pt idx="0">
                  <c:v>TOTAL &gt;=5 AÑOS</c:v>
                </c:pt>
                <c:pt idx="1">
                  <c:v>Ninguno</c:v>
                </c:pt>
                <c:pt idx="2">
                  <c:v>Primaria incompleta</c:v>
                </c:pt>
                <c:pt idx="3">
                  <c:v>Primaria completa</c:v>
                </c:pt>
                <c:pt idx="4">
                  <c:v>Secundaria incompleta</c:v>
                </c:pt>
                <c:pt idx="5">
                  <c:v>Secundaria completa</c:v>
                </c:pt>
                <c:pt idx="6">
                  <c:v>Superior incompleta</c:v>
                </c:pt>
                <c:pt idx="7">
                  <c:v>Superior completa</c:v>
                </c:pt>
                <c:pt idx="8">
                  <c:v>No informa</c:v>
                </c:pt>
              </c:strCache>
            </c:strRef>
          </c:cat>
          <c:val>
            <c:numRef>
              <c:f>Cuadro_24!$B$6:$J$6</c:f>
              <c:numCache>
                <c:formatCode>_(* #,##0_);_(* \(#,##0\);_(* "-"??_);_(@_)</c:formatCode>
                <c:ptCount val="9"/>
                <c:pt idx="0">
                  <c:v>518173</c:v>
                </c:pt>
                <c:pt idx="1">
                  <c:v>40465</c:v>
                </c:pt>
                <c:pt idx="2">
                  <c:v>110439</c:v>
                </c:pt>
                <c:pt idx="3">
                  <c:v>65553</c:v>
                </c:pt>
                <c:pt idx="4">
                  <c:v>119246</c:v>
                </c:pt>
                <c:pt idx="5">
                  <c:v>97344</c:v>
                </c:pt>
                <c:pt idx="6">
                  <c:v>51426</c:v>
                </c:pt>
                <c:pt idx="7">
                  <c:v>33612</c:v>
                </c:pt>
                <c:pt idx="8">
                  <c:v>87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5933173388660713"/>
          <c:y val="4.7235236724402774E-2"/>
          <c:w val="0.23665832600118786"/>
          <c:h val="0.85647543510311286"/>
        </c:manualLayout>
      </c:layout>
      <c:overlay val="0"/>
      <c:txPr>
        <a:bodyPr/>
        <a:lstStyle/>
        <a:p>
          <a:pPr>
            <a:defRPr sz="800"/>
          </a:pPr>
          <a:endParaRPr lang="es-CO"/>
        </a:p>
      </c:txPr>
    </c:legend>
    <c:plotVisOnly val="1"/>
    <c:dispBlanksAs val="zero"/>
    <c:showDLblsOverMax val="0"/>
  </c:chart>
  <c:spPr>
    <a:ln w="6350">
      <a:solidFill>
        <a:schemeClr val="bg1">
          <a:lumMod val="65000"/>
        </a:schemeClr>
      </a:solidFill>
    </a:ln>
  </c:sp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60"/>
      <c:rotY val="0"/>
      <c:rAngAx val="0"/>
      <c:perspective val="10"/>
    </c:view3D>
    <c:floor>
      <c:thickness val="0"/>
    </c:floor>
    <c:sideWall>
      <c:thickness val="0"/>
    </c:sideWall>
    <c:backWall>
      <c:thickness val="0"/>
    </c:backWall>
    <c:plotArea>
      <c:layout>
        <c:manualLayout>
          <c:layoutTarget val="inner"/>
          <c:xMode val="edge"/>
          <c:yMode val="edge"/>
          <c:x val="0"/>
          <c:y val="6.6875756703530201E-2"/>
          <c:w val="0.78439850172857661"/>
          <c:h val="0.91495775047803163"/>
        </c:manualLayout>
      </c:layout>
      <c:pie3DChart>
        <c:varyColors val="1"/>
        <c:ser>
          <c:idx val="0"/>
          <c:order val="0"/>
          <c:explosion val="25"/>
          <c:dPt>
            <c:idx val="0"/>
            <c:bubble3D val="0"/>
            <c:explosion val="21"/>
            <c:spPr>
              <a:solidFill>
                <a:srgbClr val="FFD347"/>
              </a:solidFill>
            </c:spPr>
          </c:dPt>
          <c:dPt>
            <c:idx val="1"/>
            <c:bubble3D val="0"/>
            <c:spPr>
              <a:solidFill>
                <a:srgbClr val="6F3505"/>
              </a:solidFill>
            </c:spPr>
          </c:dPt>
          <c:dPt>
            <c:idx val="7"/>
            <c:bubble3D val="0"/>
            <c:spPr>
              <a:solidFill>
                <a:srgbClr val="D60093"/>
              </a:solidFill>
            </c:spPr>
          </c:dPt>
          <c:dLbls>
            <c:dLbl>
              <c:idx val="8"/>
              <c:delete val="1"/>
            </c:dLbl>
            <c:txPr>
              <a:bodyPr/>
              <a:lstStyle/>
              <a:p>
                <a:pPr>
                  <a:defRPr sz="900" b="0">
                    <a:latin typeface="Times New Roman" panose="02020603050405020304" pitchFamily="18" charset="0"/>
                    <a:cs typeface="Times New Roman" panose="02020603050405020304" pitchFamily="18" charset="0"/>
                  </a:defRPr>
                </a:pPr>
                <a:endParaRPr lang="es-CO"/>
              </a:p>
            </c:txPr>
            <c:dLblPos val="bestFit"/>
            <c:showLegendKey val="0"/>
            <c:showVal val="1"/>
            <c:showCatName val="0"/>
            <c:showSerName val="0"/>
            <c:showPercent val="0"/>
            <c:showBubbleSize val="0"/>
            <c:showLeaderLines val="1"/>
          </c:dLbls>
          <c:cat>
            <c:strRef>
              <c:f>Cuadro_24A!$B$5:$J$5</c:f>
              <c:strCache>
                <c:ptCount val="9"/>
                <c:pt idx="0">
                  <c:v>TOTAL</c:v>
                </c:pt>
                <c:pt idx="1">
                  <c:v>Ninguno</c:v>
                </c:pt>
                <c:pt idx="2">
                  <c:v>Primaria incompleta</c:v>
                </c:pt>
                <c:pt idx="3">
                  <c:v>Primaria completa</c:v>
                </c:pt>
                <c:pt idx="4">
                  <c:v>Secundaria incompleta</c:v>
                </c:pt>
                <c:pt idx="5">
                  <c:v>Secundaria completa</c:v>
                </c:pt>
                <c:pt idx="6">
                  <c:v>Superior incompleta</c:v>
                </c:pt>
                <c:pt idx="7">
                  <c:v>Superior completa</c:v>
                </c:pt>
                <c:pt idx="8">
                  <c:v>No informa</c:v>
                </c:pt>
              </c:strCache>
            </c:strRef>
          </c:cat>
          <c:val>
            <c:numRef>
              <c:f>Cuadro_24A!$B$6:$J$6</c:f>
              <c:numCache>
                <c:formatCode>_(* #,##0_);_(* \(#,##0\);_(* "-"??_);_(@_)</c:formatCode>
                <c:ptCount val="9"/>
                <c:pt idx="0">
                  <c:v>238656</c:v>
                </c:pt>
                <c:pt idx="1">
                  <c:v>9591</c:v>
                </c:pt>
                <c:pt idx="2">
                  <c:v>33538</c:v>
                </c:pt>
                <c:pt idx="3">
                  <c:v>30631</c:v>
                </c:pt>
                <c:pt idx="4">
                  <c:v>47167</c:v>
                </c:pt>
                <c:pt idx="5">
                  <c:v>60616</c:v>
                </c:pt>
                <c:pt idx="6">
                  <c:v>31417</c:v>
                </c:pt>
                <c:pt idx="7">
                  <c:v>25696</c:v>
                </c:pt>
              </c:numCache>
            </c:numRef>
          </c:val>
        </c:ser>
        <c:dLbls>
          <c:showLegendKey val="0"/>
          <c:showVal val="0"/>
          <c:showCatName val="0"/>
          <c:showSerName val="0"/>
          <c:showPercent val="0"/>
          <c:showBubbleSize val="0"/>
          <c:showLeaderLines val="1"/>
        </c:dLbls>
      </c:pie3DChart>
    </c:plotArea>
    <c:legend>
      <c:legendPos val="r"/>
      <c:legendEntry>
        <c:idx val="8"/>
        <c:delete val="1"/>
      </c:legendEntry>
      <c:layout>
        <c:manualLayout>
          <c:xMode val="edge"/>
          <c:yMode val="edge"/>
          <c:x val="0.70807044401614649"/>
          <c:y val="1.9054528852347617E-2"/>
          <c:w val="0.2892967337120565"/>
          <c:h val="0.97700480587390459"/>
        </c:manualLayout>
      </c:layout>
      <c:overlay val="0"/>
      <c:txPr>
        <a:bodyPr/>
        <a:lstStyle/>
        <a:p>
          <a:pPr>
            <a:defRPr sz="800">
              <a:latin typeface="Times New Roman" panose="02020603050405020304" pitchFamily="18" charset="0"/>
              <a:cs typeface="Times New Roman" panose="02020603050405020304" pitchFamily="18" charset="0"/>
            </a:defRPr>
          </a:pPr>
          <a:endParaRPr lang="es-CO"/>
        </a:p>
      </c:txPr>
    </c:legend>
    <c:plotVisOnly val="1"/>
    <c:dispBlanksAs val="zero"/>
    <c:showDLblsOverMax val="0"/>
  </c:chart>
  <c:spPr>
    <a:ln w="6350">
      <a:solidFill>
        <a:schemeClr val="bg1">
          <a:lumMod val="65000"/>
        </a:schemeClr>
      </a:solidFill>
    </a:ln>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0"/>
          <c:y val="1.8978173500870842E-2"/>
          <c:w val="1"/>
          <c:h val="0.97844745381903864"/>
        </c:manualLayout>
      </c:layout>
      <c:pie3DChart>
        <c:varyColors val="1"/>
        <c:ser>
          <c:idx val="0"/>
          <c:order val="0"/>
          <c:dPt>
            <c:idx val="0"/>
            <c:bubble3D val="0"/>
            <c:spPr>
              <a:solidFill>
                <a:schemeClr val="bg2">
                  <a:lumMod val="75000"/>
                </a:schemeClr>
              </a:solidFill>
            </c:spPr>
          </c:dPt>
          <c:dLbls>
            <c:dLbl>
              <c:idx val="0"/>
              <c:layout>
                <c:manualLayout>
                  <c:x val="-2.2874726981746651E-2"/>
                  <c:y val="5.5756662175164472E-2"/>
                </c:manualLayout>
              </c:layout>
              <c:dLblPos val="bestFit"/>
              <c:showLegendKey val="0"/>
              <c:showVal val="0"/>
              <c:showCatName val="1"/>
              <c:showSerName val="0"/>
              <c:showPercent val="1"/>
              <c:showBubbleSize val="0"/>
            </c:dLbl>
            <c:dLbl>
              <c:idx val="1"/>
              <c:layout>
                <c:manualLayout>
                  <c:x val="-0.12988699790690714"/>
                  <c:y val="0.15619751160639256"/>
                </c:manualLayout>
              </c:layout>
              <c:dLblPos val="bestFit"/>
              <c:showLegendKey val="0"/>
              <c:showVal val="0"/>
              <c:showCatName val="1"/>
              <c:showSerName val="0"/>
              <c:showPercent val="1"/>
              <c:showBubbleSize val="0"/>
            </c:dLbl>
            <c:dLbl>
              <c:idx val="6"/>
              <c:layout>
                <c:manualLayout>
                  <c:x val="0.10191420313108965"/>
                  <c:y val="7.2069214313876487E-2"/>
                </c:manualLayout>
              </c:layout>
              <c:dLblPos val="bestFit"/>
              <c:showLegendKey val="0"/>
              <c:showVal val="0"/>
              <c:showCatName val="1"/>
              <c:showSerName val="0"/>
              <c:showPercent val="1"/>
              <c:showBubbleSize val="0"/>
            </c:dLbl>
            <c:txPr>
              <a:bodyPr/>
              <a:lstStyle/>
              <a:p>
                <a:pPr>
                  <a:defRPr sz="800" b="0"/>
                </a:pPr>
                <a:endParaRPr lang="es-CO"/>
              </a:p>
            </c:txPr>
            <c:dLblPos val="bestFit"/>
            <c:showLegendKey val="0"/>
            <c:showVal val="0"/>
            <c:showCatName val="1"/>
            <c:showSerName val="0"/>
            <c:showPercent val="1"/>
            <c:showBubbleSize val="0"/>
            <c:showLeaderLines val="1"/>
          </c:dLbls>
          <c:cat>
            <c:strRef>
              <c:f>Cuadro_24A!$C$5:$I$5</c:f>
              <c:strCache>
                <c:ptCount val="7"/>
                <c:pt idx="0">
                  <c:v>Ninguno</c:v>
                </c:pt>
                <c:pt idx="1">
                  <c:v>Primaria incompleta</c:v>
                </c:pt>
                <c:pt idx="2">
                  <c:v>Primaria completa</c:v>
                </c:pt>
                <c:pt idx="3">
                  <c:v>Secundaria incompleta</c:v>
                </c:pt>
                <c:pt idx="4">
                  <c:v>Secundaria completa</c:v>
                </c:pt>
                <c:pt idx="5">
                  <c:v>Superior incompleta</c:v>
                </c:pt>
                <c:pt idx="6">
                  <c:v>Superior completa</c:v>
                </c:pt>
              </c:strCache>
            </c:strRef>
          </c:cat>
          <c:val>
            <c:numRef>
              <c:f>Cuadro_24A!$C$6:$I$6</c:f>
              <c:numCache>
                <c:formatCode>_(* #,##0_);_(* \(#,##0\);_(* "-"??_);_(@_)</c:formatCode>
                <c:ptCount val="7"/>
                <c:pt idx="0">
                  <c:v>9591</c:v>
                </c:pt>
                <c:pt idx="1">
                  <c:v>33538</c:v>
                </c:pt>
                <c:pt idx="2">
                  <c:v>30631</c:v>
                </c:pt>
                <c:pt idx="3">
                  <c:v>47167</c:v>
                </c:pt>
                <c:pt idx="4">
                  <c:v>60616</c:v>
                </c:pt>
                <c:pt idx="5">
                  <c:v>31417</c:v>
                </c:pt>
                <c:pt idx="6">
                  <c:v>25696</c:v>
                </c:pt>
              </c:numCache>
            </c:numRef>
          </c:val>
        </c:ser>
        <c:dLbls>
          <c:showLegendKey val="0"/>
          <c:showVal val="0"/>
          <c:showCatName val="0"/>
          <c:showSerName val="0"/>
          <c:showPercent val="1"/>
          <c:showBubbleSize val="0"/>
          <c:showLeaderLines val="1"/>
        </c:dLbls>
      </c:pie3DChart>
    </c:plotArea>
    <c:plotVisOnly val="1"/>
    <c:dispBlanksAs val="zero"/>
    <c:showDLblsOverMax val="0"/>
  </c:chart>
  <c:spPr>
    <a:ln w="6350">
      <a:solidFill>
        <a:schemeClr val="bg1">
          <a:lumMod val="65000"/>
        </a:schemeClr>
      </a:solidFill>
    </a:ln>
  </c:sp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58916767909181456"/>
          <c:h val="0.91992844443650335"/>
        </c:manualLayout>
      </c:layout>
      <c:doughnutChart>
        <c:varyColors val="1"/>
        <c:ser>
          <c:idx val="0"/>
          <c:order val="0"/>
          <c:tx>
            <c:strRef>
              <c:f>Hoja1!$D$3</c:f>
              <c:strCache>
                <c:ptCount val="1"/>
                <c:pt idx="0">
                  <c:v>PARTICIPACION</c:v>
                </c:pt>
              </c:strCache>
            </c:strRef>
          </c:tx>
          <c:explosion val="25"/>
          <c:dPt>
            <c:idx val="0"/>
            <c:bubble3D val="0"/>
            <c:spPr>
              <a:solidFill>
                <a:srgbClr val="FFC000"/>
              </a:solidFill>
            </c:spPr>
          </c:dPt>
          <c:dLbls>
            <c:dLbl>
              <c:idx val="6"/>
              <c:layout>
                <c:manualLayout>
                  <c:x val="-5.1880674448767832E-3"/>
                  <c:y val="-2.4691358024691412E-2"/>
                </c:manualLayout>
              </c:layout>
              <c:showLegendKey val="0"/>
              <c:showVal val="1"/>
              <c:showCatName val="0"/>
              <c:showSerName val="0"/>
              <c:showPercent val="0"/>
              <c:showBubbleSize val="0"/>
            </c:dLbl>
            <c:txPr>
              <a:bodyPr/>
              <a:lstStyle/>
              <a:p>
                <a:pPr>
                  <a:defRPr sz="800" b="1"/>
                </a:pPr>
                <a:endParaRPr lang="es-CO"/>
              </a:p>
            </c:txPr>
            <c:showLegendKey val="0"/>
            <c:showVal val="1"/>
            <c:showCatName val="0"/>
            <c:showSerName val="0"/>
            <c:showPercent val="0"/>
            <c:showBubbleSize val="0"/>
            <c:showLeaderLines val="1"/>
          </c:dLbls>
          <c:cat>
            <c:strRef>
              <c:f>Hoja1!$C$4:$C$10</c:f>
              <c:strCache>
                <c:ptCount val="7"/>
                <c:pt idx="0">
                  <c:v>Comercio, restaurantes y hoteles</c:v>
                </c:pt>
                <c:pt idx="1">
                  <c:v>Servicios comunales, sociales y personales </c:v>
                </c:pt>
                <c:pt idx="2">
                  <c:v>Industria manufacturera</c:v>
                </c:pt>
                <c:pt idx="3">
                  <c:v>Actividades inmobiliarias empresariales y de alquiler</c:v>
                </c:pt>
                <c:pt idx="4">
                  <c:v>Transporte, almacenamiento y comunicaciones</c:v>
                </c:pt>
                <c:pt idx="5">
                  <c:v>Construcción</c:v>
                </c:pt>
                <c:pt idx="6">
                  <c:v>Otras Ramas: *Otras ramas: Agricultura, ganadería, caza, silvicultura y pesca; explotación de minas y canteras, suministro de electricidad, gas y agua e intermediación financiera.</c:v>
                </c:pt>
              </c:strCache>
            </c:strRef>
          </c:cat>
          <c:val>
            <c:numRef>
              <c:f>Hoja1!$D$4:$D$10</c:f>
              <c:numCache>
                <c:formatCode>0.0%</c:formatCode>
                <c:ptCount val="7"/>
                <c:pt idx="0">
                  <c:v>0.35900000000000032</c:v>
                </c:pt>
                <c:pt idx="1">
                  <c:v>0.23200000000000001</c:v>
                </c:pt>
                <c:pt idx="2">
                  <c:v>0.10100000000000002</c:v>
                </c:pt>
                <c:pt idx="3">
                  <c:v>9.5000000000000043E-2</c:v>
                </c:pt>
                <c:pt idx="4">
                  <c:v>8.5000000000000006E-2</c:v>
                </c:pt>
                <c:pt idx="5">
                  <c:v>7.0999999999999994E-2</c:v>
                </c:pt>
                <c:pt idx="6">
                  <c:v>5.8000000000000003E-2</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3"/>
        <c:txPr>
          <a:bodyPr/>
          <a:lstStyle/>
          <a:p>
            <a:pPr algn="just">
              <a:defRPr sz="700"/>
            </a:pPr>
            <a:endParaRPr lang="es-CO"/>
          </a:p>
        </c:txPr>
      </c:legendEntry>
      <c:legendEntry>
        <c:idx val="6"/>
        <c:txPr>
          <a:bodyPr/>
          <a:lstStyle/>
          <a:p>
            <a:pPr algn="just">
              <a:defRPr sz="700"/>
            </a:pPr>
            <a:endParaRPr lang="es-CO"/>
          </a:p>
        </c:txPr>
      </c:legendEntry>
      <c:layout>
        <c:manualLayout>
          <c:xMode val="edge"/>
          <c:yMode val="edge"/>
          <c:x val="0.61758456553311469"/>
          <c:y val="3.1742328505233357E-3"/>
          <c:w val="0.38241543446688558"/>
          <c:h val="0.99682567685318846"/>
        </c:manualLayout>
      </c:layout>
      <c:overlay val="0"/>
      <c:txPr>
        <a:bodyPr/>
        <a:lstStyle/>
        <a:p>
          <a:pPr>
            <a:defRPr sz="700"/>
          </a:pPr>
          <a:endParaRPr lang="es-CO"/>
        </a:p>
      </c:txPr>
    </c:legend>
    <c:plotVisOnly val="1"/>
    <c:dispBlanksAs val="zero"/>
    <c:showDLblsOverMax val="0"/>
  </c:chart>
  <c:spPr>
    <a:ln w="6350">
      <a:solidFill>
        <a:schemeClr val="bg1">
          <a:lumMod val="65000"/>
        </a:schemeClr>
      </a:solidFill>
    </a:ln>
  </c:sp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rAngAx val="0"/>
      <c:perspective val="20"/>
    </c:view3D>
    <c:floor>
      <c:thickness val="0"/>
      <c:spPr>
        <a:noFill/>
      </c:spPr>
    </c:floor>
    <c:sideWall>
      <c:thickness val="0"/>
    </c:sideWall>
    <c:backWall>
      <c:thickness val="0"/>
    </c:backWall>
    <c:plotArea>
      <c:layout>
        <c:manualLayout>
          <c:layoutTarget val="inner"/>
          <c:xMode val="edge"/>
          <c:yMode val="edge"/>
          <c:x val="7.100152891878718E-2"/>
          <c:y val="2.1991061928069856E-2"/>
          <c:w val="0.9195059268203124"/>
          <c:h val="0.84556657444846417"/>
        </c:manualLayout>
      </c:layout>
      <c:bar3DChart>
        <c:barDir val="col"/>
        <c:grouping val="standard"/>
        <c:varyColors val="0"/>
        <c:ser>
          <c:idx val="0"/>
          <c:order val="0"/>
          <c:tx>
            <c:v>2012</c:v>
          </c:tx>
          <c:spPr>
            <a:solidFill>
              <a:schemeClr val="tx2">
                <a:lumMod val="40000"/>
                <a:lumOff val="60000"/>
              </a:schemeClr>
            </a:solidFill>
          </c:spPr>
          <c:invertIfNegative val="0"/>
          <c:dLbls>
            <c:dLbl>
              <c:idx val="1"/>
              <c:layout>
                <c:manualLayout>
                  <c:x val="2.8681609154968619E-4"/>
                  <c:y val="6.6929227214608714E-2"/>
                </c:manualLayout>
              </c:layout>
              <c:showLegendKey val="0"/>
              <c:showVal val="1"/>
              <c:showCatName val="0"/>
              <c:showSerName val="0"/>
              <c:showPercent val="0"/>
              <c:showBubbleSize val="0"/>
            </c:dLbl>
            <c:dLbl>
              <c:idx val="2"/>
              <c:layout>
                <c:manualLayout>
                  <c:x val="0"/>
                  <c:y val="6.4290211289127056E-2"/>
                </c:manualLayout>
              </c:layout>
              <c:showLegendKey val="0"/>
              <c:showVal val="1"/>
              <c:showCatName val="0"/>
              <c:showSerName val="0"/>
              <c:showPercent val="0"/>
              <c:showBubbleSize val="0"/>
            </c:dLbl>
            <c:dLbl>
              <c:idx val="5"/>
              <c:layout>
                <c:manualLayout>
                  <c:x val="-6.9246773277879012E-4"/>
                  <c:y val="6.7368841174936522E-2"/>
                </c:manualLayout>
              </c:layout>
              <c:showLegendKey val="0"/>
              <c:showVal val="1"/>
              <c:showCatName val="0"/>
              <c:showSerName val="0"/>
              <c:showPercent val="0"/>
              <c:showBubbleSize val="0"/>
            </c:dLbl>
            <c:txPr>
              <a:bodyPr/>
              <a:lstStyle/>
              <a:p>
                <a:pPr>
                  <a:defRPr sz="800" b="1"/>
                </a:pPr>
                <a:endParaRPr lang="es-CO"/>
              </a:p>
            </c:txPr>
            <c:showLegendKey val="0"/>
            <c:showVal val="1"/>
            <c:showCatName val="0"/>
            <c:showSerName val="0"/>
            <c:showPercent val="0"/>
            <c:showBubbleSize val="0"/>
            <c:showLeaderLines val="0"/>
          </c:dLbls>
          <c:cat>
            <c:strRef>
              <c:f>Hoja1!$D$5:$D$10</c:f>
              <c:strCache>
                <c:ptCount val="6"/>
                <c:pt idx="0">
                  <c:v>Inscritos</c:v>
                </c:pt>
                <c:pt idx="1">
                  <c:v>Vacantes</c:v>
                </c:pt>
                <c:pt idx="2">
                  <c:v>Colocados Directos</c:v>
                </c:pt>
                <c:pt idx="3">
                  <c:v>Orientados</c:v>
                </c:pt>
                <c:pt idx="4">
                  <c:v>Nuevas Empresas</c:v>
                </c:pt>
                <c:pt idx="5">
                  <c:v>Profesionales</c:v>
                </c:pt>
              </c:strCache>
            </c:strRef>
          </c:cat>
          <c:val>
            <c:numRef>
              <c:f>Hoja1!$E$5:$E$10</c:f>
              <c:numCache>
                <c:formatCode>#,##0</c:formatCode>
                <c:ptCount val="6"/>
                <c:pt idx="0">
                  <c:v>16063</c:v>
                </c:pt>
                <c:pt idx="1">
                  <c:v>3475</c:v>
                </c:pt>
                <c:pt idx="2">
                  <c:v>2189</c:v>
                </c:pt>
                <c:pt idx="3">
                  <c:v>10444</c:v>
                </c:pt>
                <c:pt idx="4" formatCode="General">
                  <c:v>341</c:v>
                </c:pt>
                <c:pt idx="5">
                  <c:v>5654</c:v>
                </c:pt>
              </c:numCache>
            </c:numRef>
          </c:val>
        </c:ser>
        <c:ser>
          <c:idx val="1"/>
          <c:order val="1"/>
          <c:tx>
            <c:v>2013</c:v>
          </c:tx>
          <c:spPr>
            <a:solidFill>
              <a:srgbClr val="FF0000"/>
            </a:solidFill>
          </c:spPr>
          <c:invertIfNegative val="0"/>
          <c:dLbls>
            <c:txPr>
              <a:bodyPr/>
              <a:lstStyle/>
              <a:p>
                <a:pPr>
                  <a:defRPr sz="800" b="1"/>
                </a:pPr>
                <a:endParaRPr lang="es-CO"/>
              </a:p>
            </c:txPr>
            <c:showLegendKey val="0"/>
            <c:showVal val="1"/>
            <c:showCatName val="0"/>
            <c:showSerName val="0"/>
            <c:showPercent val="0"/>
            <c:showBubbleSize val="0"/>
            <c:showLeaderLines val="0"/>
          </c:dLbls>
          <c:cat>
            <c:strRef>
              <c:f>Hoja1!$D$5:$D$10</c:f>
              <c:strCache>
                <c:ptCount val="6"/>
                <c:pt idx="0">
                  <c:v>Inscritos</c:v>
                </c:pt>
                <c:pt idx="1">
                  <c:v>Vacantes</c:v>
                </c:pt>
                <c:pt idx="2">
                  <c:v>Colocados Directos</c:v>
                </c:pt>
                <c:pt idx="3">
                  <c:v>Orientados</c:v>
                </c:pt>
                <c:pt idx="4">
                  <c:v>Nuevas Empresas</c:v>
                </c:pt>
                <c:pt idx="5">
                  <c:v>Profesionales</c:v>
                </c:pt>
              </c:strCache>
            </c:strRef>
          </c:cat>
          <c:val>
            <c:numRef>
              <c:f>Hoja1!$F$5:$F$10</c:f>
              <c:numCache>
                <c:formatCode>#,##0</c:formatCode>
                <c:ptCount val="6"/>
                <c:pt idx="0">
                  <c:v>19214</c:v>
                </c:pt>
                <c:pt idx="1">
                  <c:v>3639</c:v>
                </c:pt>
                <c:pt idx="2">
                  <c:v>2409</c:v>
                </c:pt>
                <c:pt idx="3">
                  <c:v>12232</c:v>
                </c:pt>
                <c:pt idx="4" formatCode="General">
                  <c:v>338</c:v>
                </c:pt>
                <c:pt idx="5">
                  <c:v>4435</c:v>
                </c:pt>
              </c:numCache>
            </c:numRef>
          </c:val>
        </c:ser>
        <c:dLbls>
          <c:showLegendKey val="0"/>
          <c:showVal val="0"/>
          <c:showCatName val="0"/>
          <c:showSerName val="0"/>
          <c:showPercent val="0"/>
          <c:showBubbleSize val="0"/>
        </c:dLbls>
        <c:gapWidth val="150"/>
        <c:shape val="box"/>
        <c:axId val="558768128"/>
        <c:axId val="558769664"/>
        <c:axId val="558634752"/>
      </c:bar3DChart>
      <c:catAx>
        <c:axId val="558768128"/>
        <c:scaling>
          <c:orientation val="minMax"/>
        </c:scaling>
        <c:delete val="0"/>
        <c:axPos val="b"/>
        <c:majorTickMark val="out"/>
        <c:minorTickMark val="none"/>
        <c:tickLblPos val="nextTo"/>
        <c:txPr>
          <a:bodyPr/>
          <a:lstStyle/>
          <a:p>
            <a:pPr>
              <a:defRPr sz="800" b="1"/>
            </a:pPr>
            <a:endParaRPr lang="es-CO"/>
          </a:p>
        </c:txPr>
        <c:crossAx val="558769664"/>
        <c:crosses val="autoZero"/>
        <c:auto val="1"/>
        <c:lblAlgn val="ctr"/>
        <c:lblOffset val="100"/>
        <c:noMultiLvlLbl val="0"/>
      </c:catAx>
      <c:valAx>
        <c:axId val="558769664"/>
        <c:scaling>
          <c:orientation val="minMax"/>
        </c:scaling>
        <c:delete val="0"/>
        <c:axPos val="l"/>
        <c:numFmt formatCode="#,##0" sourceLinked="1"/>
        <c:majorTickMark val="out"/>
        <c:minorTickMark val="none"/>
        <c:tickLblPos val="nextTo"/>
        <c:txPr>
          <a:bodyPr/>
          <a:lstStyle/>
          <a:p>
            <a:pPr>
              <a:defRPr sz="700"/>
            </a:pPr>
            <a:endParaRPr lang="es-CO"/>
          </a:p>
        </c:txPr>
        <c:crossAx val="558768128"/>
        <c:crosses val="autoZero"/>
        <c:crossBetween val="between"/>
      </c:valAx>
      <c:serAx>
        <c:axId val="558634752"/>
        <c:scaling>
          <c:orientation val="minMax"/>
        </c:scaling>
        <c:delete val="1"/>
        <c:axPos val="b"/>
        <c:majorTickMark val="out"/>
        <c:minorTickMark val="none"/>
        <c:tickLblPos val="none"/>
        <c:crossAx val="558769664"/>
        <c:crosses val="autoZero"/>
      </c:serAx>
    </c:plotArea>
    <c:legend>
      <c:legendPos val="r"/>
      <c:layout>
        <c:manualLayout>
          <c:xMode val="edge"/>
          <c:yMode val="edge"/>
          <c:x val="0.22312483912822376"/>
          <c:y val="0.91731127838940374"/>
          <c:w val="0.52368277838392052"/>
          <c:h val="5.7446313528990732E-2"/>
        </c:manualLayout>
      </c:layout>
      <c:overlay val="0"/>
    </c:legend>
    <c:plotVisOnly val="1"/>
    <c:dispBlanksAs val="gap"/>
    <c:showDLblsOverMax val="0"/>
  </c:chart>
  <c:spPr>
    <a:ln w="6350">
      <a:solidFill>
        <a:sysClr val="window" lastClr="FFFFFF">
          <a:lumMod val="85000"/>
        </a:sysClr>
      </a:solidFill>
    </a:ln>
  </c:sp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9821303587051722E-2"/>
          <c:y val="6.9444444444444579E-3"/>
          <c:w val="0.66305599300087792"/>
          <c:h val="0.9583333333333337"/>
        </c:manualLayout>
      </c:layout>
      <c:pie3DChart>
        <c:varyColors val="1"/>
        <c:ser>
          <c:idx val="0"/>
          <c:order val="0"/>
          <c:tx>
            <c:strRef>
              <c:f>Hoja1!$M$4</c:f>
              <c:strCache>
                <c:ptCount val="1"/>
                <c:pt idx="0">
                  <c:v>No.  Casos</c:v>
                </c:pt>
              </c:strCache>
            </c:strRef>
          </c:tx>
          <c:dPt>
            <c:idx val="3"/>
            <c:bubble3D val="0"/>
            <c:spPr>
              <a:solidFill>
                <a:schemeClr val="accent6">
                  <a:lumMod val="50000"/>
                </a:schemeClr>
              </a:solidFill>
            </c:spPr>
          </c:dPt>
          <c:dPt>
            <c:idx val="4"/>
            <c:bubble3D val="0"/>
            <c:spPr>
              <a:solidFill>
                <a:srgbClr val="FFC000"/>
              </a:solidFill>
            </c:spPr>
          </c:dPt>
          <c:dPt>
            <c:idx val="7"/>
            <c:bubble3D val="0"/>
            <c:spPr>
              <a:solidFill>
                <a:srgbClr val="FF0000"/>
              </a:solidFill>
            </c:spPr>
          </c:dPt>
          <c:dLbls>
            <c:dLbl>
              <c:idx val="0"/>
              <c:layout>
                <c:manualLayout>
                  <c:x val="-0.1483099300087489"/>
                  <c:y val="-0.11301181102362205"/>
                </c:manualLayout>
              </c:layout>
              <c:spPr/>
              <c:txPr>
                <a:bodyPr/>
                <a:lstStyle/>
                <a:p>
                  <a:pPr>
                    <a:defRPr b="1">
                      <a:solidFill>
                        <a:schemeClr val="bg1">
                          <a:lumMod val="95000"/>
                        </a:schemeClr>
                      </a:solidFill>
                    </a:defRPr>
                  </a:pPr>
                  <a:endParaRPr lang="es-CO"/>
                </a:p>
              </c:txPr>
              <c:showLegendKey val="0"/>
              <c:showVal val="0"/>
              <c:showCatName val="0"/>
              <c:showSerName val="0"/>
              <c:showPercent val="1"/>
              <c:showBubbleSize val="0"/>
            </c:dLbl>
            <c:dLbl>
              <c:idx val="1"/>
              <c:layout>
                <c:manualLayout>
                  <c:x val="0.11691776027996501"/>
                  <c:y val="-0.19113006707494887"/>
                </c:manualLayout>
              </c:layout>
              <c:spPr/>
              <c:txPr>
                <a:bodyPr/>
                <a:lstStyle/>
                <a:p>
                  <a:pPr>
                    <a:defRPr b="1">
                      <a:solidFill>
                        <a:schemeClr val="bg1">
                          <a:lumMod val="95000"/>
                        </a:schemeClr>
                      </a:solidFill>
                    </a:defRPr>
                  </a:pPr>
                  <a:endParaRPr lang="es-CO"/>
                </a:p>
              </c:txPr>
              <c:showLegendKey val="0"/>
              <c:showVal val="0"/>
              <c:showCatName val="0"/>
              <c:showSerName val="0"/>
              <c:showPercent val="1"/>
              <c:showBubbleSize val="0"/>
            </c:dLbl>
            <c:dLbl>
              <c:idx val="2"/>
              <c:layout>
                <c:manualLayout>
                  <c:x val="0"/>
                  <c:y val="-0.19849784603347825"/>
                </c:manualLayout>
              </c:layout>
              <c:showLegendKey val="0"/>
              <c:showVal val="0"/>
              <c:showCatName val="0"/>
              <c:showSerName val="0"/>
              <c:showPercent val="1"/>
              <c:showBubbleSize val="0"/>
            </c:dLbl>
            <c:dLbl>
              <c:idx val="3"/>
              <c:layout>
                <c:manualLayout>
                  <c:x val="9.8800962379703094E-2"/>
                  <c:y val="3.202828813065034E-2"/>
                </c:manualLayout>
              </c:layout>
              <c:spPr/>
              <c:txPr>
                <a:bodyPr/>
                <a:lstStyle/>
                <a:p>
                  <a:pPr>
                    <a:defRPr b="1">
                      <a:solidFill>
                        <a:schemeClr val="bg1">
                          <a:lumMod val="95000"/>
                        </a:schemeClr>
                      </a:solidFill>
                    </a:defRPr>
                  </a:pPr>
                  <a:endParaRPr lang="es-CO"/>
                </a:p>
              </c:txPr>
              <c:showLegendKey val="0"/>
              <c:showVal val="0"/>
              <c:showCatName val="0"/>
              <c:showSerName val="0"/>
              <c:showPercent val="1"/>
              <c:showBubbleSize val="0"/>
            </c:dLbl>
            <c:dLbl>
              <c:idx val="4"/>
              <c:layout>
                <c:manualLayout>
                  <c:x val="-1.8198818897637838E-2"/>
                  <c:y val="-2.2023549139690873E-2"/>
                </c:manualLayout>
              </c:layout>
              <c:showLegendKey val="0"/>
              <c:showVal val="0"/>
              <c:showCatName val="0"/>
              <c:showSerName val="0"/>
              <c:showPercent val="1"/>
              <c:showBubbleSize val="0"/>
            </c:dLbl>
            <c:dLbl>
              <c:idx val="7"/>
              <c:layout>
                <c:manualLayout>
                  <c:x val="4.2474846894138352E-3"/>
                  <c:y val="-3.8392388451443576E-2"/>
                </c:manualLayout>
              </c:layout>
              <c:showLegendKey val="0"/>
              <c:showVal val="0"/>
              <c:showCatName val="0"/>
              <c:showSerName val="0"/>
              <c:showPercent val="1"/>
              <c:showBubbleSize val="0"/>
            </c:dLbl>
            <c:dLbl>
              <c:idx val="9"/>
              <c:layout>
                <c:manualLayout>
                  <c:x val="4.5966097987751739E-2"/>
                  <c:y val="0.10229476523767891"/>
                </c:manualLayout>
              </c:layout>
              <c:spPr/>
              <c:txPr>
                <a:bodyPr/>
                <a:lstStyle/>
                <a:p>
                  <a:pPr>
                    <a:defRPr b="1">
                      <a:solidFill>
                        <a:sysClr val="windowText" lastClr="000000"/>
                      </a:solidFill>
                    </a:defRPr>
                  </a:pPr>
                  <a:endParaRPr lang="es-CO"/>
                </a:p>
              </c:txPr>
              <c:showLegendKey val="0"/>
              <c:showVal val="0"/>
              <c:showCatName val="0"/>
              <c:showSerName val="0"/>
              <c:showPercent val="1"/>
              <c:showBubbleSize val="0"/>
            </c:dLbl>
            <c:txPr>
              <a:bodyPr/>
              <a:lstStyle/>
              <a:p>
                <a:pPr>
                  <a:defRPr b="1"/>
                </a:pPr>
                <a:endParaRPr lang="es-CO"/>
              </a:p>
            </c:txPr>
            <c:showLegendKey val="0"/>
            <c:showVal val="0"/>
            <c:showCatName val="0"/>
            <c:showSerName val="0"/>
            <c:showPercent val="1"/>
            <c:showBubbleSize val="0"/>
            <c:showLeaderLines val="1"/>
          </c:dLbls>
          <c:cat>
            <c:strRef>
              <c:f>Hoja1!$I$5:$I$15</c:f>
              <c:strCache>
                <c:ptCount val="11"/>
                <c:pt idx="0">
                  <c:v>AMENAZAS</c:v>
                </c:pt>
                <c:pt idx="1">
                  <c:v>HOMICIDIOS</c:v>
                </c:pt>
                <c:pt idx="2">
                  <c:v>DESPLAZAMIENTO FORZADO</c:v>
                </c:pt>
                <c:pt idx="3">
                  <c:v>DETENCIÓN ARBITRARIA</c:v>
                </c:pt>
                <c:pt idx="4">
                  <c:v>HOSTIGAMIENTO</c:v>
                </c:pt>
                <c:pt idx="5">
                  <c:v>ATENTADO CON O SIN LESIONES</c:v>
                </c:pt>
                <c:pt idx="6">
                  <c:v>DESAPARICIÓN FORZADA</c:v>
                </c:pt>
                <c:pt idx="7">
                  <c:v>SECUESTRO</c:v>
                </c:pt>
                <c:pt idx="8">
                  <c:v>TORTURA</c:v>
                </c:pt>
                <c:pt idx="9">
                  <c:v>ALLANAMIENTO ILEGA</c:v>
                </c:pt>
                <c:pt idx="10">
                  <c:v>HOMICIDIO DE FAMILIAR</c:v>
                </c:pt>
              </c:strCache>
            </c:strRef>
          </c:cat>
          <c:val>
            <c:numRef>
              <c:f>Hoja1!$M$5:$M$15</c:f>
              <c:numCache>
                <c:formatCode>General</c:formatCode>
                <c:ptCount val="11"/>
                <c:pt idx="0">
                  <c:v>30</c:v>
                </c:pt>
                <c:pt idx="1">
                  <c:v>8</c:v>
                </c:pt>
                <c:pt idx="2">
                  <c:v>1</c:v>
                </c:pt>
                <c:pt idx="3">
                  <c:v>7</c:v>
                </c:pt>
                <c:pt idx="4">
                  <c:v>1</c:v>
                </c:pt>
                <c:pt idx="7">
                  <c:v>1</c:v>
                </c:pt>
                <c:pt idx="9">
                  <c:v>4</c:v>
                </c:pt>
              </c:numCache>
            </c:numRef>
          </c:val>
        </c:ser>
        <c:dLbls>
          <c:showLegendKey val="0"/>
          <c:showVal val="0"/>
          <c:showCatName val="0"/>
          <c:showSerName val="0"/>
          <c:showPercent val="0"/>
          <c:showBubbleSize val="0"/>
          <c:showLeaderLines val="1"/>
        </c:dLbls>
      </c:pie3DChart>
    </c:plotArea>
    <c:legend>
      <c:legendPos val="r"/>
      <c:legendEntry>
        <c:idx val="5"/>
        <c:delete val="1"/>
      </c:legendEntry>
      <c:legendEntry>
        <c:idx val="6"/>
        <c:delete val="1"/>
      </c:legendEntry>
      <c:legendEntry>
        <c:idx val="8"/>
        <c:delete val="1"/>
      </c:legendEntry>
      <c:legendEntry>
        <c:idx val="10"/>
        <c:delete val="1"/>
      </c:legendEntry>
      <c:layout>
        <c:manualLayout>
          <c:xMode val="edge"/>
          <c:yMode val="edge"/>
          <c:x val="0.69774868766404397"/>
          <c:y val="0.18925670749489687"/>
          <c:w val="0.28558464566929243"/>
          <c:h val="0.76951917468649889"/>
        </c:manualLayout>
      </c:layout>
      <c:overlay val="0"/>
      <c:txPr>
        <a:bodyPr/>
        <a:lstStyle/>
        <a:p>
          <a:pPr>
            <a:defRPr sz="800"/>
          </a:pPr>
          <a:endParaRPr lang="es-CO"/>
        </a:p>
      </c:txPr>
    </c:legend>
    <c:plotVisOnly val="1"/>
    <c:dispBlanksAs val="gap"/>
    <c:showDLblsOverMax val="0"/>
  </c:chart>
  <c:spPr>
    <a:ln w="6350">
      <a:solidFill>
        <a:schemeClr val="bg1">
          <a:lumMod val="75000"/>
        </a:schemeClr>
      </a:solidFill>
    </a:ln>
  </c:sp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invertIfNegative val="0"/>
          <c:dLbls>
            <c:numFmt formatCode="#,##0" sourceLinked="0"/>
            <c:txPr>
              <a:bodyPr/>
              <a:lstStyle/>
              <a:p>
                <a:pPr>
                  <a:defRPr lang="es-MX" sz="600">
                    <a:latin typeface="Times New Roman" panose="02020603050405020304" pitchFamily="18" charset="0"/>
                    <a:cs typeface="Times New Roman" panose="02020603050405020304" pitchFamily="18" charset="0"/>
                  </a:defRPr>
                </a:pPr>
                <a:endParaRPr lang="es-CO"/>
              </a:p>
            </c:txPr>
            <c:showLegendKey val="0"/>
            <c:showVal val="1"/>
            <c:showCatName val="0"/>
            <c:showSerName val="0"/>
            <c:showPercent val="0"/>
            <c:showBubbleSize val="0"/>
            <c:showLeaderLines val="0"/>
          </c:dLbls>
          <c:cat>
            <c:strRef>
              <c:f>'[GRAFICA1 TURISMO.xlsx]Hoja1'!$A$4:$A$13</c:f>
              <c:strCache>
                <c:ptCount val="10"/>
                <c:pt idx="0">
                  <c:v>2004</c:v>
                </c:pt>
                <c:pt idx="1">
                  <c:v>2005</c:v>
                </c:pt>
                <c:pt idx="2">
                  <c:v>2006</c:v>
                </c:pt>
                <c:pt idx="3">
                  <c:v>2007</c:v>
                </c:pt>
                <c:pt idx="4">
                  <c:v>2008</c:v>
                </c:pt>
                <c:pt idx="5">
                  <c:v>2009</c:v>
                </c:pt>
                <c:pt idx="6">
                  <c:v>2010</c:v>
                </c:pt>
                <c:pt idx="7">
                  <c:v>2011</c:v>
                </c:pt>
                <c:pt idx="8">
                  <c:v>2011
(enero-octubre)</c:v>
                </c:pt>
                <c:pt idx="9">
                  <c:v>2012
(enero-octubre)</c:v>
                </c:pt>
              </c:strCache>
            </c:strRef>
          </c:cat>
          <c:val>
            <c:numRef>
              <c:f>'[GRAFICA1 TURISMO.xlsx]Hoja1'!$B$4:$B$13</c:f>
              <c:numCache>
                <c:formatCode>General</c:formatCode>
                <c:ptCount val="10"/>
                <c:pt idx="0">
                  <c:v>790940</c:v>
                </c:pt>
                <c:pt idx="1">
                  <c:v>933244</c:v>
                </c:pt>
                <c:pt idx="2">
                  <c:v>1053344</c:v>
                </c:pt>
                <c:pt idx="3">
                  <c:v>1195440</c:v>
                </c:pt>
                <c:pt idx="4">
                  <c:v>1222966</c:v>
                </c:pt>
                <c:pt idx="5">
                  <c:v>1353760</c:v>
                </c:pt>
                <c:pt idx="6">
                  <c:v>1474884</c:v>
                </c:pt>
                <c:pt idx="7">
                  <c:v>1582110</c:v>
                </c:pt>
                <c:pt idx="8">
                  <c:v>1303784</c:v>
                </c:pt>
                <c:pt idx="9">
                  <c:v>1389729</c:v>
                </c:pt>
              </c:numCache>
            </c:numRef>
          </c:val>
        </c:ser>
        <c:dLbls>
          <c:showLegendKey val="0"/>
          <c:showVal val="0"/>
          <c:showCatName val="0"/>
          <c:showSerName val="0"/>
          <c:showPercent val="0"/>
          <c:showBubbleSize val="0"/>
        </c:dLbls>
        <c:gapWidth val="150"/>
        <c:shape val="box"/>
        <c:axId val="558851968"/>
        <c:axId val="558853504"/>
        <c:axId val="558780864"/>
      </c:bar3DChart>
      <c:catAx>
        <c:axId val="558851968"/>
        <c:scaling>
          <c:orientation val="minMax"/>
        </c:scaling>
        <c:delete val="0"/>
        <c:axPos val="b"/>
        <c:majorTickMark val="out"/>
        <c:minorTickMark val="none"/>
        <c:tickLblPos val="nextTo"/>
        <c:txPr>
          <a:bodyPr rot="-5400000" vert="horz"/>
          <a:lstStyle/>
          <a:p>
            <a:pPr>
              <a:defRPr lang="es-MX" sz="900">
                <a:latin typeface="Times New Roman" panose="02020603050405020304" pitchFamily="18" charset="0"/>
                <a:cs typeface="Times New Roman" panose="02020603050405020304" pitchFamily="18" charset="0"/>
              </a:defRPr>
            </a:pPr>
            <a:endParaRPr lang="es-CO"/>
          </a:p>
        </c:txPr>
        <c:crossAx val="558853504"/>
        <c:crosses val="autoZero"/>
        <c:auto val="1"/>
        <c:lblAlgn val="ctr"/>
        <c:lblOffset val="100"/>
        <c:noMultiLvlLbl val="0"/>
      </c:catAx>
      <c:valAx>
        <c:axId val="558853504"/>
        <c:scaling>
          <c:orientation val="minMax"/>
        </c:scaling>
        <c:delete val="1"/>
        <c:axPos val="l"/>
        <c:numFmt formatCode="General" sourceLinked="1"/>
        <c:majorTickMark val="out"/>
        <c:minorTickMark val="none"/>
        <c:tickLblPos val="nextTo"/>
        <c:crossAx val="558851968"/>
        <c:crosses val="autoZero"/>
        <c:crossBetween val="between"/>
      </c:valAx>
      <c:serAx>
        <c:axId val="558780864"/>
        <c:scaling>
          <c:orientation val="minMax"/>
        </c:scaling>
        <c:delete val="1"/>
        <c:axPos val="b"/>
        <c:majorTickMark val="out"/>
        <c:minorTickMark val="none"/>
        <c:tickLblPos val="nextTo"/>
        <c:crossAx val="558853504"/>
        <c:crosses val="autoZero"/>
      </c:serAx>
    </c:plotArea>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1078844502235385"/>
          <c:y val="2.8678529721229785E-2"/>
          <c:w val="0.73592288922600269"/>
          <c:h val="0.65026651404257285"/>
        </c:manualLayout>
      </c:layout>
      <c:barChart>
        <c:barDir val="col"/>
        <c:grouping val="clustered"/>
        <c:varyColors val="0"/>
        <c:ser>
          <c:idx val="0"/>
          <c:order val="0"/>
          <c:tx>
            <c:strRef>
              <c:f>'temp. enero-dici'!$C$4:$C$5</c:f>
              <c:strCache>
                <c:ptCount val="1"/>
                <c:pt idx="0">
                  <c:v>DIC 2011- ENE 2012</c:v>
                </c:pt>
              </c:strCache>
            </c:strRef>
          </c:tx>
          <c:invertIfNegative val="0"/>
          <c:cat>
            <c:strRef>
              <c:f>'temp. enero-dici'!$B$6:$B$17</c:f>
              <c:strCache>
                <c:ptCount val="12"/>
                <c:pt idx="0">
                  <c:v>Cundinamarca</c:v>
                </c:pt>
                <c:pt idx="1">
                  <c:v>Anatioquia</c:v>
                </c:pt>
                <c:pt idx="2">
                  <c:v>Valle  Del  Cauca</c:v>
                </c:pt>
                <c:pt idx="3">
                  <c:v>Risaralda</c:v>
                </c:pt>
                <c:pt idx="4">
                  <c:v>Santanderes</c:v>
                </c:pt>
                <c:pt idx="5">
                  <c:v>caldas</c:v>
                </c:pt>
                <c:pt idx="6">
                  <c:v>Tolima</c:v>
                </c:pt>
                <c:pt idx="7">
                  <c:v>Boyaca</c:v>
                </c:pt>
                <c:pt idx="8">
                  <c:v>Meta</c:v>
                </c:pt>
                <c:pt idx="9">
                  <c:v>Atlantico</c:v>
                </c:pt>
                <c:pt idx="10">
                  <c:v>Choco</c:v>
                </c:pt>
                <c:pt idx="11">
                  <c:v>Otros</c:v>
                </c:pt>
              </c:strCache>
            </c:strRef>
          </c:cat>
          <c:val>
            <c:numRef>
              <c:f>'temp. enero-dici'!$C$6:$C$17</c:f>
              <c:numCache>
                <c:formatCode>0.00%</c:formatCode>
                <c:ptCount val="12"/>
                <c:pt idx="0">
                  <c:v>0.252</c:v>
                </c:pt>
                <c:pt idx="1">
                  <c:v>0.129</c:v>
                </c:pt>
                <c:pt idx="2">
                  <c:v>0.18900000000000006</c:v>
                </c:pt>
                <c:pt idx="3">
                  <c:v>8.1000000000000003E-2</c:v>
                </c:pt>
                <c:pt idx="4">
                  <c:v>3.95E-2</c:v>
                </c:pt>
                <c:pt idx="5">
                  <c:v>7.0999999999999994E-2</c:v>
                </c:pt>
                <c:pt idx="6">
                  <c:v>3.4000000000000002E-2</c:v>
                </c:pt>
                <c:pt idx="7">
                  <c:v>2.5999999999999999E-2</c:v>
                </c:pt>
                <c:pt idx="8">
                  <c:v>2.5000000000000001E-2</c:v>
                </c:pt>
                <c:pt idx="9">
                  <c:v>2.0000000000000007E-2</c:v>
                </c:pt>
                <c:pt idx="10">
                  <c:v>7.0000000000000019E-3</c:v>
                </c:pt>
                <c:pt idx="11">
                  <c:v>6.9000000000000034E-2</c:v>
                </c:pt>
              </c:numCache>
            </c:numRef>
          </c:val>
        </c:ser>
        <c:ser>
          <c:idx val="1"/>
          <c:order val="1"/>
          <c:tx>
            <c:strRef>
              <c:f>'temp. enero-dici'!$D$4:$D$5</c:f>
              <c:strCache>
                <c:ptCount val="1"/>
                <c:pt idx="0">
                  <c:v>DIC 2011- ENE 2012</c:v>
                </c:pt>
              </c:strCache>
            </c:strRef>
          </c:tx>
          <c:invertIfNegative val="0"/>
          <c:cat>
            <c:strRef>
              <c:f>'temp. enero-dici'!$B$6:$B$17</c:f>
              <c:strCache>
                <c:ptCount val="12"/>
                <c:pt idx="0">
                  <c:v>Cundinamarca</c:v>
                </c:pt>
                <c:pt idx="1">
                  <c:v>Anatioquia</c:v>
                </c:pt>
                <c:pt idx="2">
                  <c:v>Valle  Del  Cauca</c:v>
                </c:pt>
                <c:pt idx="3">
                  <c:v>Risaralda</c:v>
                </c:pt>
                <c:pt idx="4">
                  <c:v>Santanderes</c:v>
                </c:pt>
                <c:pt idx="5">
                  <c:v>caldas</c:v>
                </c:pt>
                <c:pt idx="6">
                  <c:v>Tolima</c:v>
                </c:pt>
                <c:pt idx="7">
                  <c:v>Boyaca</c:v>
                </c:pt>
                <c:pt idx="8">
                  <c:v>Meta</c:v>
                </c:pt>
                <c:pt idx="9">
                  <c:v>Atlantico</c:v>
                </c:pt>
                <c:pt idx="10">
                  <c:v>Choco</c:v>
                </c:pt>
                <c:pt idx="11">
                  <c:v>Otros</c:v>
                </c:pt>
              </c:strCache>
            </c:strRef>
          </c:cat>
          <c:val>
            <c:numRef>
              <c:f>'temp. enero-dici'!$D$6:$D$17</c:f>
              <c:numCache>
                <c:formatCode>General</c:formatCode>
                <c:ptCount val="12"/>
              </c:numCache>
            </c:numRef>
          </c:val>
        </c:ser>
        <c:ser>
          <c:idx val="2"/>
          <c:order val="2"/>
          <c:tx>
            <c:strRef>
              <c:f>'temp. enero-dici'!$E$4:$E$5</c:f>
              <c:strCache>
                <c:ptCount val="1"/>
                <c:pt idx="0">
                  <c:v>DIC 2012- ENE 2013</c:v>
                </c:pt>
              </c:strCache>
            </c:strRef>
          </c:tx>
          <c:invertIfNegative val="0"/>
          <c:cat>
            <c:strRef>
              <c:f>'temp. enero-dici'!$B$6:$B$17</c:f>
              <c:strCache>
                <c:ptCount val="12"/>
                <c:pt idx="0">
                  <c:v>Cundinamarca</c:v>
                </c:pt>
                <c:pt idx="1">
                  <c:v>Anatioquia</c:v>
                </c:pt>
                <c:pt idx="2">
                  <c:v>Valle  Del  Cauca</c:v>
                </c:pt>
                <c:pt idx="3">
                  <c:v>Risaralda</c:v>
                </c:pt>
                <c:pt idx="4">
                  <c:v>Santanderes</c:v>
                </c:pt>
                <c:pt idx="5">
                  <c:v>caldas</c:v>
                </c:pt>
                <c:pt idx="6">
                  <c:v>Tolima</c:v>
                </c:pt>
                <c:pt idx="7">
                  <c:v>Boyaca</c:v>
                </c:pt>
                <c:pt idx="8">
                  <c:v>Meta</c:v>
                </c:pt>
                <c:pt idx="9">
                  <c:v>Atlantico</c:v>
                </c:pt>
                <c:pt idx="10">
                  <c:v>Choco</c:v>
                </c:pt>
                <c:pt idx="11">
                  <c:v>Otros</c:v>
                </c:pt>
              </c:strCache>
            </c:strRef>
          </c:cat>
          <c:val>
            <c:numRef>
              <c:f>'temp. enero-dici'!$E$6:$E$17</c:f>
              <c:numCache>
                <c:formatCode>0.00%</c:formatCode>
                <c:ptCount val="12"/>
                <c:pt idx="0">
                  <c:v>0.33040000000000025</c:v>
                </c:pt>
                <c:pt idx="1">
                  <c:v>0.14800000000000005</c:v>
                </c:pt>
                <c:pt idx="2">
                  <c:v>0.1731</c:v>
                </c:pt>
                <c:pt idx="3">
                  <c:v>6.5000000000000002E-2</c:v>
                </c:pt>
                <c:pt idx="4">
                  <c:v>4.9500000000000016E-2</c:v>
                </c:pt>
                <c:pt idx="5">
                  <c:v>6.5000000000000002E-2</c:v>
                </c:pt>
                <c:pt idx="6">
                  <c:v>3.4000000000000002E-2</c:v>
                </c:pt>
                <c:pt idx="7">
                  <c:v>2.0000000000000007E-2</c:v>
                </c:pt>
                <c:pt idx="8">
                  <c:v>2.0000000000000007E-2</c:v>
                </c:pt>
                <c:pt idx="9">
                  <c:v>1.0000000000000004E-2</c:v>
                </c:pt>
                <c:pt idx="10">
                  <c:v>6.0000000000000019E-3</c:v>
                </c:pt>
                <c:pt idx="11">
                  <c:v>7.9000000000000029E-2</c:v>
                </c:pt>
              </c:numCache>
            </c:numRef>
          </c:val>
        </c:ser>
        <c:dLbls>
          <c:showLegendKey val="0"/>
          <c:showVal val="0"/>
          <c:showCatName val="0"/>
          <c:showSerName val="0"/>
          <c:showPercent val="0"/>
          <c:showBubbleSize val="0"/>
        </c:dLbls>
        <c:gapWidth val="150"/>
        <c:axId val="558884352"/>
        <c:axId val="558885888"/>
      </c:barChart>
      <c:catAx>
        <c:axId val="558884352"/>
        <c:scaling>
          <c:orientation val="minMax"/>
        </c:scaling>
        <c:delete val="0"/>
        <c:axPos val="b"/>
        <c:majorTickMark val="none"/>
        <c:minorTickMark val="none"/>
        <c:tickLblPos val="nextTo"/>
        <c:txPr>
          <a:bodyPr/>
          <a:lstStyle/>
          <a:p>
            <a:pPr>
              <a:defRPr lang="es-CO" sz="800"/>
            </a:pPr>
            <a:endParaRPr lang="es-CO"/>
          </a:p>
        </c:txPr>
        <c:crossAx val="558885888"/>
        <c:crosses val="autoZero"/>
        <c:auto val="1"/>
        <c:lblAlgn val="ctr"/>
        <c:lblOffset val="100"/>
        <c:noMultiLvlLbl val="0"/>
      </c:catAx>
      <c:valAx>
        <c:axId val="558885888"/>
        <c:scaling>
          <c:orientation val="minMax"/>
        </c:scaling>
        <c:delete val="0"/>
        <c:axPos val="l"/>
        <c:numFmt formatCode="0.00%" sourceLinked="1"/>
        <c:majorTickMark val="none"/>
        <c:minorTickMark val="none"/>
        <c:tickLblPos val="nextTo"/>
        <c:txPr>
          <a:bodyPr/>
          <a:lstStyle/>
          <a:p>
            <a:pPr>
              <a:defRPr lang="es-CO" sz="800"/>
            </a:pPr>
            <a:endParaRPr lang="es-CO"/>
          </a:p>
        </c:txPr>
        <c:crossAx val="558884352"/>
        <c:crosses val="autoZero"/>
        <c:crossBetween val="between"/>
      </c:valAx>
    </c:plotArea>
    <c:legend>
      <c:legendPos val="r"/>
      <c:legendEntry>
        <c:idx val="1"/>
        <c:delete val="1"/>
      </c:legendEntry>
      <c:layout>
        <c:manualLayout>
          <c:xMode val="edge"/>
          <c:yMode val="edge"/>
          <c:x val="0.85945343414641973"/>
          <c:y val="0.41506908552730476"/>
          <c:w val="0.1252560459759044"/>
          <c:h val="0.32257795969336439"/>
        </c:manualLayout>
      </c:layout>
      <c:overlay val="0"/>
      <c:txPr>
        <a:bodyPr/>
        <a:lstStyle/>
        <a:p>
          <a:pPr>
            <a:defRPr lang="es-CO" sz="700"/>
          </a:pPr>
          <a:endParaRPr lang="es-CO"/>
        </a:p>
      </c:txPr>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s-CO"/>
            </a:pPr>
            <a:endParaRPr lang="en-US"/>
          </a:p>
        </c:rich>
      </c:tx>
      <c:overlay val="0"/>
    </c:title>
    <c:autoTitleDeleted val="0"/>
    <c:plotArea>
      <c:layout>
        <c:manualLayout>
          <c:layoutTarget val="inner"/>
          <c:xMode val="edge"/>
          <c:yMode val="edge"/>
          <c:x val="0.23217755570921905"/>
          <c:y val="0"/>
          <c:w val="0.7537473623162545"/>
          <c:h val="0.90974272446713389"/>
        </c:manualLayout>
      </c:layout>
      <c:barChart>
        <c:barDir val="bar"/>
        <c:grouping val="clustered"/>
        <c:varyColors val="0"/>
        <c:ser>
          <c:idx val="0"/>
          <c:order val="0"/>
          <c:tx>
            <c:strRef>
              <c:f>'Razones  de  visita'!$C$5:$C$6</c:f>
              <c:strCache>
                <c:ptCount val="1"/>
                <c:pt idx="0">
                  <c:v>TEMPORADA  DIC-ENERO</c:v>
                </c:pt>
              </c:strCache>
            </c:strRef>
          </c:tx>
          <c:invertIfNegative val="0"/>
          <c:dLbls>
            <c:txPr>
              <a:bodyPr/>
              <a:lstStyle/>
              <a:p>
                <a:pPr>
                  <a:defRPr lang="es-CO" sz="700"/>
                </a:pPr>
                <a:endParaRPr lang="es-CO"/>
              </a:p>
            </c:txPr>
            <c:showLegendKey val="0"/>
            <c:showVal val="1"/>
            <c:showCatName val="0"/>
            <c:showSerName val="0"/>
            <c:showPercent val="0"/>
            <c:showBubbleSize val="0"/>
            <c:showLeaderLines val="0"/>
          </c:dLbls>
          <c:cat>
            <c:strRef>
              <c:f>'Razones  de  visita'!$B$7:$B$13</c:f>
              <c:strCache>
                <c:ptCount val="6"/>
                <c:pt idx="0">
                  <c:v>Descanso/visita  familiares</c:v>
                </c:pt>
                <c:pt idx="1">
                  <c:v>Parques  Tematicos</c:v>
                </c:pt>
                <c:pt idx="2">
                  <c:v>Cultura  Cafetera</c:v>
                </c:pt>
                <c:pt idx="3">
                  <c:v>Turismo Rural</c:v>
                </c:pt>
                <c:pt idx="4">
                  <c:v>Pasadia/Turismo  Aventura</c:v>
                </c:pt>
                <c:pt idx="5">
                  <c:v>Otro</c:v>
                </c:pt>
              </c:strCache>
            </c:strRef>
          </c:cat>
          <c:val>
            <c:numRef>
              <c:f>'Razones  de  visita'!$C$7:$C$13</c:f>
              <c:numCache>
                <c:formatCode>General</c:formatCode>
                <c:ptCount val="7"/>
                <c:pt idx="0">
                  <c:v>29.16</c:v>
                </c:pt>
                <c:pt idx="1">
                  <c:v>29.4</c:v>
                </c:pt>
                <c:pt idx="2">
                  <c:v>11.57</c:v>
                </c:pt>
                <c:pt idx="3">
                  <c:v>9.67</c:v>
                </c:pt>
                <c:pt idx="4">
                  <c:v>14.25</c:v>
                </c:pt>
                <c:pt idx="5">
                  <c:v>5.95</c:v>
                </c:pt>
              </c:numCache>
            </c:numRef>
          </c:val>
        </c:ser>
        <c:ser>
          <c:idx val="1"/>
          <c:order val="1"/>
          <c:tx>
            <c:strRef>
              <c:f>'Razones  de  visita'!$D$5:$D$6</c:f>
              <c:strCache>
                <c:ptCount val="1"/>
                <c:pt idx="0">
                  <c:v>TEMPORADA  SEMANA  SANTA</c:v>
                </c:pt>
              </c:strCache>
            </c:strRef>
          </c:tx>
          <c:invertIfNegative val="0"/>
          <c:dLbls>
            <c:txPr>
              <a:bodyPr/>
              <a:lstStyle/>
              <a:p>
                <a:pPr>
                  <a:defRPr lang="es-CO" sz="700"/>
                </a:pPr>
                <a:endParaRPr lang="es-CO"/>
              </a:p>
            </c:txPr>
            <c:showLegendKey val="0"/>
            <c:showVal val="1"/>
            <c:showCatName val="0"/>
            <c:showSerName val="0"/>
            <c:showPercent val="0"/>
            <c:showBubbleSize val="0"/>
            <c:showLeaderLines val="0"/>
          </c:dLbls>
          <c:cat>
            <c:strRef>
              <c:f>'Razones  de  visita'!$B$7:$B$13</c:f>
              <c:strCache>
                <c:ptCount val="6"/>
                <c:pt idx="0">
                  <c:v>Descanso/visita  familiares</c:v>
                </c:pt>
                <c:pt idx="1">
                  <c:v>Parques  Tematicos</c:v>
                </c:pt>
                <c:pt idx="2">
                  <c:v>Cultura  Cafetera</c:v>
                </c:pt>
                <c:pt idx="3">
                  <c:v>Turismo Rural</c:v>
                </c:pt>
                <c:pt idx="4">
                  <c:v>Pasadia/Turismo  Aventura</c:v>
                </c:pt>
                <c:pt idx="5">
                  <c:v>Otro</c:v>
                </c:pt>
              </c:strCache>
            </c:strRef>
          </c:cat>
          <c:val>
            <c:numRef>
              <c:f>'Razones  de  visita'!$D$7:$D$13</c:f>
              <c:numCache>
                <c:formatCode>General</c:formatCode>
                <c:ptCount val="7"/>
                <c:pt idx="0">
                  <c:v>36.130000000000003</c:v>
                </c:pt>
                <c:pt idx="1">
                  <c:v>15.39</c:v>
                </c:pt>
                <c:pt idx="2">
                  <c:v>12.98</c:v>
                </c:pt>
                <c:pt idx="3">
                  <c:v>10.050000000000002</c:v>
                </c:pt>
                <c:pt idx="4">
                  <c:v>20.010000000000005</c:v>
                </c:pt>
                <c:pt idx="5">
                  <c:v>5.44</c:v>
                </c:pt>
              </c:numCache>
            </c:numRef>
          </c:val>
        </c:ser>
        <c:ser>
          <c:idx val="2"/>
          <c:order val="2"/>
          <c:tx>
            <c:strRef>
              <c:f>'Razones  de  visita'!$E$5:$E$6</c:f>
              <c:strCache>
                <c:ptCount val="1"/>
                <c:pt idx="0">
                  <c:v>TEMPORADA  MITAD  DE  AÑO</c:v>
                </c:pt>
              </c:strCache>
            </c:strRef>
          </c:tx>
          <c:invertIfNegative val="0"/>
          <c:dLbls>
            <c:txPr>
              <a:bodyPr/>
              <a:lstStyle/>
              <a:p>
                <a:pPr>
                  <a:defRPr lang="es-CO" sz="700"/>
                </a:pPr>
                <a:endParaRPr lang="es-CO"/>
              </a:p>
            </c:txPr>
            <c:showLegendKey val="0"/>
            <c:showVal val="1"/>
            <c:showCatName val="0"/>
            <c:showSerName val="0"/>
            <c:showPercent val="0"/>
            <c:showBubbleSize val="0"/>
            <c:showLeaderLines val="0"/>
          </c:dLbls>
          <c:cat>
            <c:strRef>
              <c:f>'Razones  de  visita'!$B$7:$B$13</c:f>
              <c:strCache>
                <c:ptCount val="6"/>
                <c:pt idx="0">
                  <c:v>Descanso/visita  familiares</c:v>
                </c:pt>
                <c:pt idx="1">
                  <c:v>Parques  Tematicos</c:v>
                </c:pt>
                <c:pt idx="2">
                  <c:v>Cultura  Cafetera</c:v>
                </c:pt>
                <c:pt idx="3">
                  <c:v>Turismo Rural</c:v>
                </c:pt>
                <c:pt idx="4">
                  <c:v>Pasadia/Turismo  Aventura</c:v>
                </c:pt>
                <c:pt idx="5">
                  <c:v>Otro</c:v>
                </c:pt>
              </c:strCache>
            </c:strRef>
          </c:cat>
          <c:val>
            <c:numRef>
              <c:f>'Razones  de  visita'!$E$7:$E$13</c:f>
              <c:numCache>
                <c:formatCode>General</c:formatCode>
                <c:ptCount val="7"/>
                <c:pt idx="0">
                  <c:v>25</c:v>
                </c:pt>
                <c:pt idx="1">
                  <c:v>12</c:v>
                </c:pt>
                <c:pt idx="2">
                  <c:v>13</c:v>
                </c:pt>
                <c:pt idx="3">
                  <c:v>7</c:v>
                </c:pt>
                <c:pt idx="4">
                  <c:v>38</c:v>
                </c:pt>
                <c:pt idx="5">
                  <c:v>5</c:v>
                </c:pt>
              </c:numCache>
            </c:numRef>
          </c:val>
        </c:ser>
        <c:dLbls>
          <c:showLegendKey val="0"/>
          <c:showVal val="0"/>
          <c:showCatName val="0"/>
          <c:showSerName val="0"/>
          <c:showPercent val="0"/>
          <c:showBubbleSize val="0"/>
        </c:dLbls>
        <c:gapWidth val="150"/>
        <c:axId val="558929792"/>
        <c:axId val="558931328"/>
      </c:barChart>
      <c:catAx>
        <c:axId val="558929792"/>
        <c:scaling>
          <c:orientation val="minMax"/>
        </c:scaling>
        <c:delete val="0"/>
        <c:axPos val="l"/>
        <c:majorTickMark val="none"/>
        <c:minorTickMark val="none"/>
        <c:tickLblPos val="nextTo"/>
        <c:txPr>
          <a:bodyPr/>
          <a:lstStyle/>
          <a:p>
            <a:pPr>
              <a:defRPr lang="es-CO" sz="800"/>
            </a:pPr>
            <a:endParaRPr lang="es-CO"/>
          </a:p>
        </c:txPr>
        <c:crossAx val="558931328"/>
        <c:crosses val="autoZero"/>
        <c:auto val="1"/>
        <c:lblAlgn val="ctr"/>
        <c:lblOffset val="100"/>
        <c:noMultiLvlLbl val="0"/>
      </c:catAx>
      <c:valAx>
        <c:axId val="558931328"/>
        <c:scaling>
          <c:orientation val="minMax"/>
        </c:scaling>
        <c:delete val="1"/>
        <c:axPos val="b"/>
        <c:numFmt formatCode="General" sourceLinked="1"/>
        <c:majorTickMark val="out"/>
        <c:minorTickMark val="none"/>
        <c:tickLblPos val="nextTo"/>
        <c:crossAx val="558929792"/>
        <c:crosses val="autoZero"/>
        <c:crossBetween val="between"/>
      </c:valAx>
    </c:plotArea>
    <c:legend>
      <c:legendPos val="t"/>
      <c:layout>
        <c:manualLayout>
          <c:xMode val="edge"/>
          <c:yMode val="edge"/>
          <c:x val="6.3597778323035412E-2"/>
          <c:y val="0.89861411554324944"/>
          <c:w val="0.9"/>
          <c:h val="9.914428641781485E-2"/>
        </c:manualLayout>
      </c:layout>
      <c:overlay val="0"/>
      <c:txPr>
        <a:bodyPr/>
        <a:lstStyle/>
        <a:p>
          <a:pPr>
            <a:defRPr lang="es-CO" sz="800"/>
          </a:pPr>
          <a:endParaRPr lang="es-CO"/>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33E-2"/>
          <c:y val="2.4009034269713812E-2"/>
          <c:w val="0.91364905634474547"/>
          <c:h val="0.60582222536901298"/>
        </c:manualLayout>
      </c:layout>
      <c:bar3DChart>
        <c:barDir val="col"/>
        <c:grouping val="clustered"/>
        <c:varyColors val="0"/>
        <c:ser>
          <c:idx val="0"/>
          <c:order val="0"/>
          <c:tx>
            <c:strRef>
              <c:f>Hoja1!$B$6</c:f>
              <c:strCache>
                <c:ptCount val="1"/>
                <c:pt idx="0">
                  <c:v>2012</c:v>
                </c:pt>
              </c:strCache>
            </c:strRef>
          </c:tx>
          <c:invertIfNegative val="0"/>
          <c:dLbls>
            <c:dLbl>
              <c:idx val="0"/>
              <c:layout>
                <c:manualLayout>
                  <c:x val="-3.8649942626518782E-3"/>
                  <c:y val="9.2591651849970851E-3"/>
                </c:manualLayout>
              </c:layout>
              <c:showLegendKey val="0"/>
              <c:showVal val="1"/>
              <c:showCatName val="0"/>
              <c:showSerName val="0"/>
              <c:showPercent val="0"/>
              <c:showBubbleSize val="0"/>
            </c:dLbl>
            <c:dLbl>
              <c:idx val="1"/>
              <c:layout>
                <c:manualLayout>
                  <c:x val="-3.948878249515295E-3"/>
                  <c:y val="2.2402844805689652E-3"/>
                </c:manualLayout>
              </c:layout>
              <c:showLegendKey val="0"/>
              <c:showVal val="1"/>
              <c:showCatName val="0"/>
              <c:showSerName val="0"/>
              <c:showPercent val="0"/>
              <c:showBubbleSize val="0"/>
            </c:dLbl>
            <c:dLbl>
              <c:idx val="2"/>
              <c:layout>
                <c:manualLayout>
                  <c:x val="-3.492629534189428E-2"/>
                  <c:y val="1.0546720875576827E-2"/>
                </c:manualLayout>
              </c:layout>
              <c:showLegendKey val="0"/>
              <c:showVal val="1"/>
              <c:showCatName val="0"/>
              <c:showSerName val="0"/>
              <c:showPercent val="0"/>
              <c:showBubbleSize val="0"/>
            </c:dLbl>
            <c:dLbl>
              <c:idx val="3"/>
              <c:layout>
                <c:manualLayout>
                  <c:x val="2.0095309386422983E-3"/>
                  <c:y val="3.9609061680041741E-3"/>
                </c:manualLayout>
              </c:layout>
              <c:showLegendKey val="0"/>
              <c:showVal val="1"/>
              <c:showCatName val="0"/>
              <c:showSerName val="0"/>
              <c:showPercent val="0"/>
              <c:showBubbleSize val="0"/>
            </c:dLbl>
            <c:txPr>
              <a:bodyPr/>
              <a:lstStyle/>
              <a:p>
                <a:pPr>
                  <a:defRPr lang="es-MX" sz="700" b="0"/>
                </a:pPr>
                <a:endParaRPr lang="es-CO"/>
              </a:p>
            </c:txPr>
            <c:showLegendKey val="0"/>
            <c:showVal val="1"/>
            <c:showCatName val="0"/>
            <c:showSerName val="0"/>
            <c:showPercent val="0"/>
            <c:showBubbleSize val="0"/>
            <c:showLeaderLines val="0"/>
          </c:dLbls>
          <c:cat>
            <c:multiLvlStrRef>
              <c:f>Hoja1!$C$4:$F$5</c:f>
              <c:multiLvlStrCache>
                <c:ptCount val="4"/>
                <c:lvl>
                  <c:pt idx="0">
                    <c:v>Total Nacional</c:v>
                  </c:pt>
                  <c:pt idx="1">
                    <c:v>Quindío</c:v>
                  </c:pt>
                  <c:pt idx="2">
                    <c:v>Total Nacional</c:v>
                  </c:pt>
                  <c:pt idx="3">
                    <c:v>Quindío</c:v>
                  </c:pt>
                </c:lvl>
                <c:lvl>
                  <c:pt idx="0">
                    <c:v>Línea de pobreza Extrema</c:v>
                  </c:pt>
                  <c:pt idx="2">
                    <c:v>Línea de pobreza </c:v>
                  </c:pt>
                </c:lvl>
              </c:multiLvlStrCache>
            </c:multiLvlStrRef>
          </c:cat>
          <c:val>
            <c:numRef>
              <c:f>Hoja1!$C$6:$F$6</c:f>
              <c:numCache>
                <c:formatCode>#,##0</c:formatCode>
                <c:ptCount val="4"/>
                <c:pt idx="0">
                  <c:v>91207</c:v>
                </c:pt>
                <c:pt idx="1">
                  <c:v>91301</c:v>
                </c:pt>
                <c:pt idx="2">
                  <c:v>202083</c:v>
                </c:pt>
                <c:pt idx="3">
                  <c:v>209413</c:v>
                </c:pt>
              </c:numCache>
            </c:numRef>
          </c:val>
        </c:ser>
        <c:ser>
          <c:idx val="1"/>
          <c:order val="1"/>
          <c:tx>
            <c:strRef>
              <c:f>Hoja1!$B$7</c:f>
              <c:strCache>
                <c:ptCount val="1"/>
                <c:pt idx="0">
                  <c:v>2013</c:v>
                </c:pt>
              </c:strCache>
            </c:strRef>
          </c:tx>
          <c:invertIfNegative val="0"/>
          <c:dLbls>
            <c:dLbl>
              <c:idx val="0"/>
              <c:layout>
                <c:manualLayout>
                  <c:x val="2.4516809770637971E-2"/>
                  <c:y val="-1.2544661755990181E-2"/>
                </c:manualLayout>
              </c:layout>
              <c:showLegendKey val="0"/>
              <c:showVal val="1"/>
              <c:showCatName val="0"/>
              <c:showSerName val="0"/>
              <c:showPercent val="0"/>
              <c:showBubbleSize val="0"/>
            </c:dLbl>
            <c:dLbl>
              <c:idx val="1"/>
              <c:layout>
                <c:manualLayout>
                  <c:x val="2.9458578984159652E-2"/>
                  <c:y val="-1.9414952163237683E-2"/>
                </c:manualLayout>
              </c:layout>
              <c:showLegendKey val="0"/>
              <c:showVal val="1"/>
              <c:showCatName val="0"/>
              <c:showSerName val="0"/>
              <c:showPercent val="0"/>
              <c:showBubbleSize val="0"/>
            </c:dLbl>
            <c:dLbl>
              <c:idx val="2"/>
              <c:layout>
                <c:manualLayout>
                  <c:x val="2.2222398079637051E-2"/>
                  <c:y val="-1.3291423249513313E-2"/>
                </c:manualLayout>
              </c:layout>
              <c:showLegendKey val="0"/>
              <c:showVal val="1"/>
              <c:showCatName val="0"/>
              <c:showSerName val="0"/>
              <c:showPercent val="0"/>
              <c:showBubbleSize val="0"/>
            </c:dLbl>
            <c:dLbl>
              <c:idx val="3"/>
              <c:layout>
                <c:manualLayout>
                  <c:x val="4.2239807963703017E-2"/>
                  <c:y val="-1.0155363644060621E-2"/>
                </c:manualLayout>
              </c:layout>
              <c:showLegendKey val="0"/>
              <c:showVal val="1"/>
              <c:showCatName val="0"/>
              <c:showSerName val="0"/>
              <c:showPercent val="0"/>
              <c:showBubbleSize val="0"/>
            </c:dLbl>
            <c:txPr>
              <a:bodyPr/>
              <a:lstStyle/>
              <a:p>
                <a:pPr>
                  <a:defRPr lang="es-MX" sz="700" b="0"/>
                </a:pPr>
                <a:endParaRPr lang="es-CO"/>
              </a:p>
            </c:txPr>
            <c:showLegendKey val="0"/>
            <c:showVal val="1"/>
            <c:showCatName val="0"/>
            <c:showSerName val="0"/>
            <c:showPercent val="0"/>
            <c:showBubbleSize val="0"/>
            <c:showLeaderLines val="0"/>
          </c:dLbls>
          <c:cat>
            <c:multiLvlStrRef>
              <c:f>Hoja1!$C$4:$F$5</c:f>
              <c:multiLvlStrCache>
                <c:ptCount val="4"/>
                <c:lvl>
                  <c:pt idx="0">
                    <c:v>Total Nacional</c:v>
                  </c:pt>
                  <c:pt idx="1">
                    <c:v>Quindío</c:v>
                  </c:pt>
                  <c:pt idx="2">
                    <c:v>Total Nacional</c:v>
                  </c:pt>
                  <c:pt idx="3">
                    <c:v>Quindío</c:v>
                  </c:pt>
                </c:lvl>
                <c:lvl>
                  <c:pt idx="0">
                    <c:v>Línea de pobreza Extrema</c:v>
                  </c:pt>
                  <c:pt idx="2">
                    <c:v>Línea de pobreza </c:v>
                  </c:pt>
                </c:lvl>
              </c:multiLvlStrCache>
            </c:multiLvlStrRef>
          </c:cat>
          <c:val>
            <c:numRef>
              <c:f>Hoja1!$C$7:$F$7</c:f>
              <c:numCache>
                <c:formatCode>#,##0</c:formatCode>
                <c:ptCount val="4"/>
                <c:pt idx="0">
                  <c:v>91698</c:v>
                </c:pt>
                <c:pt idx="1">
                  <c:v>91266</c:v>
                </c:pt>
                <c:pt idx="2">
                  <c:v>206091</c:v>
                </c:pt>
                <c:pt idx="3">
                  <c:v>212527</c:v>
                </c:pt>
              </c:numCache>
            </c:numRef>
          </c:val>
        </c:ser>
        <c:dLbls>
          <c:showLegendKey val="0"/>
          <c:showVal val="0"/>
          <c:showCatName val="0"/>
          <c:showSerName val="0"/>
          <c:showPercent val="0"/>
          <c:showBubbleSize val="0"/>
        </c:dLbls>
        <c:gapWidth val="150"/>
        <c:shape val="box"/>
        <c:axId val="189926400"/>
        <c:axId val="189960960"/>
        <c:axId val="0"/>
      </c:bar3DChart>
      <c:catAx>
        <c:axId val="189926400"/>
        <c:scaling>
          <c:orientation val="minMax"/>
        </c:scaling>
        <c:delete val="0"/>
        <c:axPos val="b"/>
        <c:majorTickMark val="out"/>
        <c:minorTickMark val="none"/>
        <c:tickLblPos val="nextTo"/>
        <c:txPr>
          <a:bodyPr/>
          <a:lstStyle/>
          <a:p>
            <a:pPr>
              <a:defRPr lang="es-MX"/>
            </a:pPr>
            <a:endParaRPr lang="es-CO"/>
          </a:p>
        </c:txPr>
        <c:crossAx val="189960960"/>
        <c:crosses val="autoZero"/>
        <c:auto val="1"/>
        <c:lblAlgn val="ctr"/>
        <c:lblOffset val="100"/>
        <c:noMultiLvlLbl val="0"/>
      </c:catAx>
      <c:valAx>
        <c:axId val="189960960"/>
        <c:scaling>
          <c:orientation val="minMax"/>
        </c:scaling>
        <c:delete val="0"/>
        <c:axPos val="l"/>
        <c:numFmt formatCode="#,##0" sourceLinked="1"/>
        <c:majorTickMark val="out"/>
        <c:minorTickMark val="none"/>
        <c:tickLblPos val="nextTo"/>
        <c:txPr>
          <a:bodyPr/>
          <a:lstStyle/>
          <a:p>
            <a:pPr>
              <a:defRPr lang="es-MX" sz="600" b="0"/>
            </a:pPr>
            <a:endParaRPr lang="es-CO"/>
          </a:p>
        </c:txPr>
        <c:crossAx val="189926400"/>
        <c:crosses val="autoZero"/>
        <c:crossBetween val="between"/>
      </c:valAx>
    </c:plotArea>
    <c:legend>
      <c:legendPos val="r"/>
      <c:layout>
        <c:manualLayout>
          <c:xMode val="edge"/>
          <c:yMode val="edge"/>
          <c:x val="0.13742221153653503"/>
          <c:y val="0.9116531787693205"/>
          <c:w val="0.72488229047704911"/>
          <c:h val="7.4841790609507131E-2"/>
        </c:manualLayout>
      </c:layout>
      <c:overlay val="0"/>
      <c:txPr>
        <a:bodyPr/>
        <a:lstStyle/>
        <a:p>
          <a:pPr>
            <a:defRPr lang="es-MX" sz="1000"/>
          </a:pPr>
          <a:endParaRPr lang="es-CO"/>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748481401959073"/>
          <c:y val="4.4690099591423088E-2"/>
          <c:w val="0.65572614569225351"/>
          <c:h val="0.68979696555183478"/>
        </c:manualLayout>
      </c:layout>
      <c:bar3DChart>
        <c:barDir val="col"/>
        <c:grouping val="percentStacked"/>
        <c:varyColors val="0"/>
        <c:ser>
          <c:idx val="0"/>
          <c:order val="0"/>
          <c:tx>
            <c:strRef>
              <c:f>'Mpio.  de  Hospedaje'!$C$5:$C$6</c:f>
              <c:strCache>
                <c:ptCount val="1"/>
                <c:pt idx="0">
                  <c:v>TEMPORADA  DIC-ENERO</c:v>
                </c:pt>
              </c:strCache>
            </c:strRef>
          </c:tx>
          <c:invertIfNegative val="0"/>
          <c:cat>
            <c:strRef>
              <c:f>'Mpio.  de  Hospedaje'!$B$7:$B$13</c:f>
              <c:strCache>
                <c:ptCount val="6"/>
                <c:pt idx="0">
                  <c:v>Armenia</c:v>
                </c:pt>
                <c:pt idx="1">
                  <c:v>Montenegro</c:v>
                </c:pt>
                <c:pt idx="2">
                  <c:v>Quimbaya</c:v>
                </c:pt>
                <c:pt idx="3">
                  <c:v>Calarca</c:v>
                </c:pt>
                <c:pt idx="4">
                  <c:v>Salento</c:v>
                </c:pt>
                <c:pt idx="5">
                  <c:v>Otros</c:v>
                </c:pt>
              </c:strCache>
            </c:strRef>
          </c:cat>
          <c:val>
            <c:numRef>
              <c:f>'Mpio.  de  Hospedaje'!$C$7:$C$13</c:f>
              <c:numCache>
                <c:formatCode>General</c:formatCode>
                <c:ptCount val="7"/>
                <c:pt idx="0">
                  <c:v>35.93</c:v>
                </c:pt>
                <c:pt idx="1">
                  <c:v>24.110000000000007</c:v>
                </c:pt>
                <c:pt idx="2">
                  <c:v>11.11</c:v>
                </c:pt>
                <c:pt idx="3">
                  <c:v>9.69</c:v>
                </c:pt>
                <c:pt idx="4">
                  <c:v>5.2</c:v>
                </c:pt>
                <c:pt idx="5">
                  <c:v>13.96</c:v>
                </c:pt>
              </c:numCache>
            </c:numRef>
          </c:val>
        </c:ser>
        <c:ser>
          <c:idx val="1"/>
          <c:order val="1"/>
          <c:tx>
            <c:strRef>
              <c:f>'Mpio.  de  Hospedaje'!$D$5:$D$6</c:f>
              <c:strCache>
                <c:ptCount val="1"/>
                <c:pt idx="0">
                  <c:v>TEMPORADA  SEMANA  SANTA</c:v>
                </c:pt>
              </c:strCache>
            </c:strRef>
          </c:tx>
          <c:invertIfNegative val="0"/>
          <c:cat>
            <c:strRef>
              <c:f>'Mpio.  de  Hospedaje'!$B$7:$B$13</c:f>
              <c:strCache>
                <c:ptCount val="6"/>
                <c:pt idx="0">
                  <c:v>Armenia</c:v>
                </c:pt>
                <c:pt idx="1">
                  <c:v>Montenegro</c:v>
                </c:pt>
                <c:pt idx="2">
                  <c:v>Quimbaya</c:v>
                </c:pt>
                <c:pt idx="3">
                  <c:v>Calarca</c:v>
                </c:pt>
                <c:pt idx="4">
                  <c:v>Salento</c:v>
                </c:pt>
                <c:pt idx="5">
                  <c:v>Otros</c:v>
                </c:pt>
              </c:strCache>
            </c:strRef>
          </c:cat>
          <c:val>
            <c:numRef>
              <c:f>'Mpio.  de  Hospedaje'!$D$7:$D$13</c:f>
              <c:numCache>
                <c:formatCode>General</c:formatCode>
                <c:ptCount val="7"/>
                <c:pt idx="0">
                  <c:v>44.290000000000013</c:v>
                </c:pt>
                <c:pt idx="1">
                  <c:v>18.439999999999994</c:v>
                </c:pt>
                <c:pt idx="2">
                  <c:v>8.42</c:v>
                </c:pt>
                <c:pt idx="3">
                  <c:v>7.8199999999999985</c:v>
                </c:pt>
                <c:pt idx="4">
                  <c:v>6.81</c:v>
                </c:pt>
                <c:pt idx="5">
                  <c:v>14.22</c:v>
                </c:pt>
              </c:numCache>
            </c:numRef>
          </c:val>
        </c:ser>
        <c:ser>
          <c:idx val="2"/>
          <c:order val="2"/>
          <c:tx>
            <c:strRef>
              <c:f>'Mpio.  de  Hospedaje'!$E$5:$E$6</c:f>
              <c:strCache>
                <c:ptCount val="1"/>
                <c:pt idx="0">
                  <c:v>TEMPORADA  MITAD  DE  AÑO</c:v>
                </c:pt>
              </c:strCache>
            </c:strRef>
          </c:tx>
          <c:invertIfNegative val="0"/>
          <c:cat>
            <c:strRef>
              <c:f>'Mpio.  de  Hospedaje'!$B$7:$B$13</c:f>
              <c:strCache>
                <c:ptCount val="6"/>
                <c:pt idx="0">
                  <c:v>Armenia</c:v>
                </c:pt>
                <c:pt idx="1">
                  <c:v>Montenegro</c:v>
                </c:pt>
                <c:pt idx="2">
                  <c:v>Quimbaya</c:v>
                </c:pt>
                <c:pt idx="3">
                  <c:v>Calarca</c:v>
                </c:pt>
                <c:pt idx="4">
                  <c:v>Salento</c:v>
                </c:pt>
                <c:pt idx="5">
                  <c:v>Otros</c:v>
                </c:pt>
              </c:strCache>
            </c:strRef>
          </c:cat>
          <c:val>
            <c:numRef>
              <c:f>'Mpio.  de  Hospedaje'!$E$7:$E$13</c:f>
              <c:numCache>
                <c:formatCode>General</c:formatCode>
                <c:ptCount val="7"/>
                <c:pt idx="0">
                  <c:v>37.980000000000004</c:v>
                </c:pt>
                <c:pt idx="1">
                  <c:v>18.600000000000001</c:v>
                </c:pt>
                <c:pt idx="2">
                  <c:v>12.4</c:v>
                </c:pt>
                <c:pt idx="3">
                  <c:v>7.13</c:v>
                </c:pt>
                <c:pt idx="4">
                  <c:v>4.5</c:v>
                </c:pt>
                <c:pt idx="5">
                  <c:v>19.39</c:v>
                </c:pt>
              </c:numCache>
            </c:numRef>
          </c:val>
        </c:ser>
        <c:dLbls>
          <c:showLegendKey val="0"/>
          <c:showVal val="0"/>
          <c:showCatName val="0"/>
          <c:showSerName val="0"/>
          <c:showPercent val="0"/>
          <c:showBubbleSize val="0"/>
        </c:dLbls>
        <c:gapWidth val="55"/>
        <c:gapDepth val="55"/>
        <c:shape val="box"/>
        <c:axId val="559027712"/>
        <c:axId val="559029248"/>
        <c:axId val="0"/>
      </c:bar3DChart>
      <c:catAx>
        <c:axId val="559027712"/>
        <c:scaling>
          <c:orientation val="minMax"/>
        </c:scaling>
        <c:delete val="0"/>
        <c:axPos val="b"/>
        <c:majorTickMark val="none"/>
        <c:minorTickMark val="none"/>
        <c:tickLblPos val="nextTo"/>
        <c:txPr>
          <a:bodyPr rot="-5400000" vert="horz"/>
          <a:lstStyle/>
          <a:p>
            <a:pPr>
              <a:defRPr lang="es-CO" sz="800"/>
            </a:pPr>
            <a:endParaRPr lang="es-CO"/>
          </a:p>
        </c:txPr>
        <c:crossAx val="559029248"/>
        <c:crosses val="autoZero"/>
        <c:auto val="1"/>
        <c:lblAlgn val="ctr"/>
        <c:lblOffset val="100"/>
        <c:noMultiLvlLbl val="0"/>
      </c:catAx>
      <c:valAx>
        <c:axId val="559029248"/>
        <c:scaling>
          <c:orientation val="minMax"/>
        </c:scaling>
        <c:delete val="0"/>
        <c:axPos val="l"/>
        <c:numFmt formatCode="0%" sourceLinked="1"/>
        <c:majorTickMark val="none"/>
        <c:minorTickMark val="none"/>
        <c:tickLblPos val="nextTo"/>
        <c:txPr>
          <a:bodyPr/>
          <a:lstStyle/>
          <a:p>
            <a:pPr>
              <a:defRPr lang="es-CO" sz="800"/>
            </a:pPr>
            <a:endParaRPr lang="es-CO"/>
          </a:p>
        </c:txPr>
        <c:crossAx val="559027712"/>
        <c:crosses val="autoZero"/>
        <c:crossBetween val="between"/>
      </c:valAx>
    </c:plotArea>
    <c:legend>
      <c:legendPos val="r"/>
      <c:layout>
        <c:manualLayout>
          <c:xMode val="edge"/>
          <c:yMode val="edge"/>
          <c:x val="0.78814243385083849"/>
          <c:y val="0.18229921259842519"/>
          <c:w val="0.19825858025516482"/>
          <c:h val="0.58787646544181982"/>
        </c:manualLayout>
      </c:layout>
      <c:overlay val="0"/>
      <c:txPr>
        <a:bodyPr/>
        <a:lstStyle/>
        <a:p>
          <a:pPr>
            <a:defRPr lang="es-CO" sz="800"/>
          </a:pPr>
          <a:endParaRPr lang="es-CO"/>
        </a:p>
      </c:txPr>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3004403148766"/>
          <c:y val="0.18033628149422498"/>
          <c:w val="0.77680271216097985"/>
          <c:h val="0.47285236169855216"/>
        </c:manualLayout>
      </c:layout>
      <c:barChart>
        <c:barDir val="col"/>
        <c:grouping val="clustered"/>
        <c:varyColors val="0"/>
        <c:ser>
          <c:idx val="0"/>
          <c:order val="0"/>
          <c:tx>
            <c:v>2009</c:v>
          </c:tx>
          <c:spPr>
            <a:solidFill>
              <a:schemeClr val="accent1"/>
            </a:solidFill>
            <a:ln>
              <a:noFill/>
            </a:ln>
            <a:effectLst/>
          </c:spPr>
          <c:invertIfNegative val="0"/>
          <c:cat>
            <c:strRef>
              <c:f>'Mort Infantil'!$B$7:$B$18</c:f>
              <c:strCache>
                <c:ptCount val="12"/>
                <c:pt idx="0">
                  <c:v>ARMENIA</c:v>
                </c:pt>
                <c:pt idx="1">
                  <c:v>BUENAVISTA</c:v>
                </c:pt>
                <c:pt idx="2">
                  <c:v>CALARCA</c:v>
                </c:pt>
                <c:pt idx="3">
                  <c:v>CIRCASIA</c:v>
                </c:pt>
                <c:pt idx="4">
                  <c:v>CORDOBA</c:v>
                </c:pt>
                <c:pt idx="5">
                  <c:v>FILANDIA</c:v>
                </c:pt>
                <c:pt idx="6">
                  <c:v>GENOVA</c:v>
                </c:pt>
                <c:pt idx="7">
                  <c:v>LA TEBAIDA</c:v>
                </c:pt>
                <c:pt idx="8">
                  <c:v>MONTENEGRO</c:v>
                </c:pt>
                <c:pt idx="9">
                  <c:v>PIJAO</c:v>
                </c:pt>
                <c:pt idx="10">
                  <c:v>QUIMBAYA</c:v>
                </c:pt>
                <c:pt idx="11">
                  <c:v>SALENTO</c:v>
                </c:pt>
              </c:strCache>
            </c:strRef>
          </c:cat>
          <c:val>
            <c:numRef>
              <c:f>'Mort Infantil'!$C$7:$C$18</c:f>
              <c:numCache>
                <c:formatCode>General</c:formatCode>
                <c:ptCount val="12"/>
                <c:pt idx="0">
                  <c:v>11.21</c:v>
                </c:pt>
                <c:pt idx="1">
                  <c:v>14.33</c:v>
                </c:pt>
                <c:pt idx="2">
                  <c:v>14.25</c:v>
                </c:pt>
                <c:pt idx="3">
                  <c:v>14.49</c:v>
                </c:pt>
                <c:pt idx="4">
                  <c:v>14.69</c:v>
                </c:pt>
                <c:pt idx="5">
                  <c:v>12.31</c:v>
                </c:pt>
                <c:pt idx="6">
                  <c:v>19.11</c:v>
                </c:pt>
                <c:pt idx="7">
                  <c:v>14.62</c:v>
                </c:pt>
                <c:pt idx="8">
                  <c:v>16.559999999999999</c:v>
                </c:pt>
                <c:pt idx="9" formatCode="0.00">
                  <c:v>23.2</c:v>
                </c:pt>
                <c:pt idx="10">
                  <c:v>16.71</c:v>
                </c:pt>
                <c:pt idx="11">
                  <c:v>14.51</c:v>
                </c:pt>
              </c:numCache>
            </c:numRef>
          </c:val>
        </c:ser>
        <c:ser>
          <c:idx val="1"/>
          <c:order val="1"/>
          <c:tx>
            <c:v>2010</c:v>
          </c:tx>
          <c:spPr>
            <a:solidFill>
              <a:schemeClr val="accent2"/>
            </a:solidFill>
            <a:ln>
              <a:noFill/>
            </a:ln>
            <a:effectLst/>
          </c:spPr>
          <c:invertIfNegative val="0"/>
          <c:cat>
            <c:strRef>
              <c:f>'Mort Infantil'!$B$7:$B$18</c:f>
              <c:strCache>
                <c:ptCount val="12"/>
                <c:pt idx="0">
                  <c:v>ARMENIA</c:v>
                </c:pt>
                <c:pt idx="1">
                  <c:v>BUENAVISTA</c:v>
                </c:pt>
                <c:pt idx="2">
                  <c:v>CALARCA</c:v>
                </c:pt>
                <c:pt idx="3">
                  <c:v>CIRCASIA</c:v>
                </c:pt>
                <c:pt idx="4">
                  <c:v>CORDOBA</c:v>
                </c:pt>
                <c:pt idx="5">
                  <c:v>FILANDIA</c:v>
                </c:pt>
                <c:pt idx="6">
                  <c:v>GENOVA</c:v>
                </c:pt>
                <c:pt idx="7">
                  <c:v>LA TEBAIDA</c:v>
                </c:pt>
                <c:pt idx="8">
                  <c:v>MONTENEGRO</c:v>
                </c:pt>
                <c:pt idx="9">
                  <c:v>PIJAO</c:v>
                </c:pt>
                <c:pt idx="10">
                  <c:v>QUIMBAYA</c:v>
                </c:pt>
                <c:pt idx="11">
                  <c:v>SALENTO</c:v>
                </c:pt>
              </c:strCache>
            </c:strRef>
          </c:cat>
          <c:val>
            <c:numRef>
              <c:f>'Mort Infantil'!$D$7:$D$18</c:f>
              <c:numCache>
                <c:formatCode>General</c:formatCode>
                <c:ptCount val="12"/>
                <c:pt idx="0">
                  <c:v>10.83</c:v>
                </c:pt>
                <c:pt idx="1">
                  <c:v>13.84</c:v>
                </c:pt>
                <c:pt idx="2">
                  <c:v>13.76</c:v>
                </c:pt>
                <c:pt idx="3">
                  <c:v>13.99</c:v>
                </c:pt>
                <c:pt idx="4">
                  <c:v>14.19</c:v>
                </c:pt>
                <c:pt idx="5">
                  <c:v>11.89</c:v>
                </c:pt>
                <c:pt idx="6">
                  <c:v>18.95</c:v>
                </c:pt>
                <c:pt idx="7">
                  <c:v>14.12</c:v>
                </c:pt>
                <c:pt idx="8">
                  <c:v>16.350000000000001</c:v>
                </c:pt>
                <c:pt idx="9">
                  <c:v>22.4</c:v>
                </c:pt>
                <c:pt idx="10">
                  <c:v>16.14</c:v>
                </c:pt>
                <c:pt idx="11">
                  <c:v>14.02</c:v>
                </c:pt>
              </c:numCache>
            </c:numRef>
          </c:val>
        </c:ser>
        <c:ser>
          <c:idx val="2"/>
          <c:order val="2"/>
          <c:tx>
            <c:v>2011</c:v>
          </c:tx>
          <c:spPr>
            <a:solidFill>
              <a:schemeClr val="accent3"/>
            </a:solidFill>
            <a:ln>
              <a:noFill/>
            </a:ln>
            <a:effectLst/>
          </c:spPr>
          <c:invertIfNegative val="0"/>
          <c:cat>
            <c:strRef>
              <c:f>'Mort Infantil'!$B$7:$B$18</c:f>
              <c:strCache>
                <c:ptCount val="12"/>
                <c:pt idx="0">
                  <c:v>ARMENIA</c:v>
                </c:pt>
                <c:pt idx="1">
                  <c:v>BUENAVISTA</c:v>
                </c:pt>
                <c:pt idx="2">
                  <c:v>CALARCA</c:v>
                </c:pt>
                <c:pt idx="3">
                  <c:v>CIRCASIA</c:v>
                </c:pt>
                <c:pt idx="4">
                  <c:v>CORDOBA</c:v>
                </c:pt>
                <c:pt idx="5">
                  <c:v>FILANDIA</c:v>
                </c:pt>
                <c:pt idx="6">
                  <c:v>GENOVA</c:v>
                </c:pt>
                <c:pt idx="7">
                  <c:v>LA TEBAIDA</c:v>
                </c:pt>
                <c:pt idx="8">
                  <c:v>MONTENEGRO</c:v>
                </c:pt>
                <c:pt idx="9">
                  <c:v>PIJAO</c:v>
                </c:pt>
                <c:pt idx="10">
                  <c:v>QUIMBAYA</c:v>
                </c:pt>
                <c:pt idx="11">
                  <c:v>SALENTO</c:v>
                </c:pt>
              </c:strCache>
            </c:strRef>
          </c:cat>
          <c:val>
            <c:numRef>
              <c:f>'Mort Infantil'!$E$7:$E$18</c:f>
              <c:numCache>
                <c:formatCode>General</c:formatCode>
                <c:ptCount val="12"/>
                <c:pt idx="0">
                  <c:v>10.54</c:v>
                </c:pt>
                <c:pt idx="1">
                  <c:v>12.74</c:v>
                </c:pt>
                <c:pt idx="2">
                  <c:v>13.3</c:v>
                </c:pt>
                <c:pt idx="3">
                  <c:v>13.99</c:v>
                </c:pt>
                <c:pt idx="4">
                  <c:v>13.35</c:v>
                </c:pt>
                <c:pt idx="5">
                  <c:v>11.89</c:v>
                </c:pt>
                <c:pt idx="6">
                  <c:v>18.79</c:v>
                </c:pt>
                <c:pt idx="7">
                  <c:v>14.12</c:v>
                </c:pt>
                <c:pt idx="8">
                  <c:v>16.350000000000001</c:v>
                </c:pt>
                <c:pt idx="9">
                  <c:v>21.71</c:v>
                </c:pt>
                <c:pt idx="10">
                  <c:v>15.94</c:v>
                </c:pt>
                <c:pt idx="11">
                  <c:v>12.62</c:v>
                </c:pt>
              </c:numCache>
            </c:numRef>
          </c:val>
        </c:ser>
        <c:dLbls>
          <c:showLegendKey val="0"/>
          <c:showVal val="0"/>
          <c:showCatName val="0"/>
          <c:showSerName val="0"/>
          <c:showPercent val="0"/>
          <c:showBubbleSize val="0"/>
        </c:dLbls>
        <c:gapWidth val="150"/>
        <c:axId val="559059328"/>
        <c:axId val="559060864"/>
      </c:barChart>
      <c:catAx>
        <c:axId val="55905932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crossAx val="559060864"/>
        <c:crosses val="autoZero"/>
        <c:auto val="1"/>
        <c:lblAlgn val="ctr"/>
        <c:lblOffset val="100"/>
        <c:noMultiLvlLbl val="0"/>
      </c:catAx>
      <c:valAx>
        <c:axId val="559060864"/>
        <c:scaling>
          <c:orientation val="minMax"/>
        </c:scaling>
        <c:delete val="0"/>
        <c:axPos val="l"/>
        <c:majorGridlines>
          <c:spPr>
            <a:ln w="9525" cap="flat" cmpd="sng" algn="ctr">
              <a:no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crossAx val="55905932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s-CO"/>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52330283038945"/>
          <c:y val="0.2598237577717234"/>
          <c:w val="0.72562318223735545"/>
          <c:h val="0.50596449208107541"/>
        </c:manualLayout>
      </c:layout>
      <c:bar3DChart>
        <c:barDir val="bar"/>
        <c:grouping val="percentStacked"/>
        <c:varyColors val="0"/>
        <c:ser>
          <c:idx val="0"/>
          <c:order val="0"/>
          <c:tx>
            <c:strRef>
              <c:f>Hoja12!$A$9:$B$9</c:f>
              <c:strCache>
                <c:ptCount val="2"/>
                <c:pt idx="0">
                  <c:v>1-024</c:v>
                </c:pt>
                <c:pt idx="1">
                  <c:v>Tumor maligno de la mama de la mujer</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Hoja12!$C$8:$D$8</c:f>
              <c:strCache>
                <c:ptCount val="2"/>
                <c:pt idx="0">
                  <c:v>2011</c:v>
                </c:pt>
                <c:pt idx="1">
                  <c:v> 2013p</c:v>
                </c:pt>
              </c:strCache>
            </c:strRef>
          </c:cat>
          <c:val>
            <c:numRef>
              <c:f>Hoja12!$C$9:$D$9</c:f>
              <c:numCache>
                <c:formatCode>General</c:formatCode>
                <c:ptCount val="2"/>
                <c:pt idx="0">
                  <c:v>55</c:v>
                </c:pt>
                <c:pt idx="1">
                  <c:v>51</c:v>
                </c:pt>
              </c:numCache>
            </c:numRef>
          </c:val>
        </c:ser>
        <c:ser>
          <c:idx val="1"/>
          <c:order val="1"/>
          <c:tx>
            <c:strRef>
              <c:f>Hoja12!$A$10:$B$10</c:f>
              <c:strCache>
                <c:ptCount val="2"/>
                <c:pt idx="0">
                  <c:v>1-025</c:v>
                </c:pt>
                <c:pt idx="1">
                  <c:v>Tumor maligno de cuello de útero</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Hoja12!$C$8:$D$8</c:f>
              <c:strCache>
                <c:ptCount val="2"/>
                <c:pt idx="0">
                  <c:v>2011</c:v>
                </c:pt>
                <c:pt idx="1">
                  <c:v> 2013p</c:v>
                </c:pt>
              </c:strCache>
            </c:strRef>
          </c:cat>
          <c:val>
            <c:numRef>
              <c:f>Hoja12!$C$10:$D$10</c:f>
              <c:numCache>
                <c:formatCode>General</c:formatCode>
                <c:ptCount val="2"/>
                <c:pt idx="0">
                  <c:v>28</c:v>
                </c:pt>
                <c:pt idx="1">
                  <c:v>18</c:v>
                </c:pt>
              </c:numCache>
            </c:numRef>
          </c:val>
        </c:ser>
        <c:dLbls>
          <c:showLegendKey val="0"/>
          <c:showVal val="1"/>
          <c:showCatName val="0"/>
          <c:showSerName val="0"/>
          <c:showPercent val="0"/>
          <c:showBubbleSize val="0"/>
        </c:dLbls>
        <c:gapWidth val="150"/>
        <c:shape val="box"/>
        <c:axId val="559103360"/>
        <c:axId val="559113344"/>
        <c:axId val="0"/>
      </c:bar3DChart>
      <c:catAx>
        <c:axId val="55910336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9113344"/>
        <c:crosses val="autoZero"/>
        <c:auto val="1"/>
        <c:lblAlgn val="ctr"/>
        <c:lblOffset val="100"/>
        <c:noMultiLvlLbl val="0"/>
      </c:catAx>
      <c:valAx>
        <c:axId val="559113344"/>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9103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Hoja15!$B$2</c:f>
              <c:strCache>
                <c:ptCount val="1"/>
                <c:pt idx="0">
                  <c:v>TOSFERINA</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cat>
            <c:strRef>
              <c:f>Hoja15!$A$3:$A$16</c:f>
              <c:strCache>
                <c:ptCount val="14"/>
                <c:pt idx="1">
                  <c:v>ARMENIA</c:v>
                </c:pt>
                <c:pt idx="2">
                  <c:v>BUENAVISTA</c:v>
                </c:pt>
                <c:pt idx="3">
                  <c:v>CALARCA</c:v>
                </c:pt>
                <c:pt idx="4">
                  <c:v>CIRCASIA</c:v>
                </c:pt>
                <c:pt idx="5">
                  <c:v>CORDOBA</c:v>
                </c:pt>
                <c:pt idx="6">
                  <c:v>FILANDIA</c:v>
                </c:pt>
                <c:pt idx="7">
                  <c:v>GENOVA</c:v>
                </c:pt>
                <c:pt idx="8">
                  <c:v>LA TEBAIDA</c:v>
                </c:pt>
                <c:pt idx="9">
                  <c:v>MONTENEGRO</c:v>
                </c:pt>
                <c:pt idx="10">
                  <c:v>PIJAO</c:v>
                </c:pt>
                <c:pt idx="11">
                  <c:v>QUIMBAYA</c:v>
                </c:pt>
                <c:pt idx="12">
                  <c:v>SALENTO</c:v>
                </c:pt>
                <c:pt idx="13">
                  <c:v>QUINDIO</c:v>
                </c:pt>
              </c:strCache>
            </c:strRef>
          </c:cat>
          <c:val>
            <c:numRef>
              <c:f>Hoja15!$B$3:$B$16</c:f>
              <c:numCache>
                <c:formatCode>General</c:formatCode>
                <c:ptCount val="14"/>
                <c:pt idx="1">
                  <c:v>1.02</c:v>
                </c:pt>
                <c:pt idx="2">
                  <c:v>0</c:v>
                </c:pt>
                <c:pt idx="3">
                  <c:v>1.3</c:v>
                </c:pt>
                <c:pt idx="4">
                  <c:v>3.4</c:v>
                </c:pt>
                <c:pt idx="5">
                  <c:v>0</c:v>
                </c:pt>
                <c:pt idx="6">
                  <c:v>7.51</c:v>
                </c:pt>
                <c:pt idx="7">
                  <c:v>0</c:v>
                </c:pt>
                <c:pt idx="8">
                  <c:v>2.48</c:v>
                </c:pt>
                <c:pt idx="9">
                  <c:v>0</c:v>
                </c:pt>
                <c:pt idx="10">
                  <c:v>0</c:v>
                </c:pt>
                <c:pt idx="11">
                  <c:v>0</c:v>
                </c:pt>
                <c:pt idx="12">
                  <c:v>0</c:v>
                </c:pt>
                <c:pt idx="13">
                  <c:v>1.25</c:v>
                </c:pt>
              </c:numCache>
            </c:numRef>
          </c:val>
        </c:ser>
        <c:ser>
          <c:idx val="1"/>
          <c:order val="1"/>
          <c:tx>
            <c:strRef>
              <c:f>Hoja15!$C$2</c:f>
              <c:strCache>
                <c:ptCount val="1"/>
                <c:pt idx="0">
                  <c:v>MENINGITIS</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cat>
            <c:strRef>
              <c:f>Hoja15!$A$3:$A$16</c:f>
              <c:strCache>
                <c:ptCount val="14"/>
                <c:pt idx="1">
                  <c:v>ARMENIA</c:v>
                </c:pt>
                <c:pt idx="2">
                  <c:v>BUENAVISTA</c:v>
                </c:pt>
                <c:pt idx="3">
                  <c:v>CALARCA</c:v>
                </c:pt>
                <c:pt idx="4">
                  <c:v>CIRCASIA</c:v>
                </c:pt>
                <c:pt idx="5">
                  <c:v>CORDOBA</c:v>
                </c:pt>
                <c:pt idx="6">
                  <c:v>FILANDIA</c:v>
                </c:pt>
                <c:pt idx="7">
                  <c:v>GENOVA</c:v>
                </c:pt>
                <c:pt idx="8">
                  <c:v>LA TEBAIDA</c:v>
                </c:pt>
                <c:pt idx="9">
                  <c:v>MONTENEGRO</c:v>
                </c:pt>
                <c:pt idx="10">
                  <c:v>PIJAO</c:v>
                </c:pt>
                <c:pt idx="11">
                  <c:v>QUIMBAYA</c:v>
                </c:pt>
                <c:pt idx="12">
                  <c:v>SALENTO</c:v>
                </c:pt>
                <c:pt idx="13">
                  <c:v>QUINDIO</c:v>
                </c:pt>
              </c:strCache>
            </c:strRef>
          </c:cat>
          <c:val>
            <c:numRef>
              <c:f>Hoja15!$C$3:$C$16</c:f>
              <c:numCache>
                <c:formatCode>General</c:formatCode>
                <c:ptCount val="14"/>
                <c:pt idx="1">
                  <c:v>0</c:v>
                </c:pt>
                <c:pt idx="2">
                  <c:v>0</c:v>
                </c:pt>
                <c:pt idx="3">
                  <c:v>0</c:v>
                </c:pt>
                <c:pt idx="4">
                  <c:v>0</c:v>
                </c:pt>
                <c:pt idx="5">
                  <c:v>0</c:v>
                </c:pt>
                <c:pt idx="6">
                  <c:v>0</c:v>
                </c:pt>
                <c:pt idx="7">
                  <c:v>0</c:v>
                </c:pt>
                <c:pt idx="8">
                  <c:v>0</c:v>
                </c:pt>
                <c:pt idx="9">
                  <c:v>0</c:v>
                </c:pt>
                <c:pt idx="10">
                  <c:v>0</c:v>
                </c:pt>
                <c:pt idx="11">
                  <c:v>2.87</c:v>
                </c:pt>
                <c:pt idx="12">
                  <c:v>0</c:v>
                </c:pt>
                <c:pt idx="13">
                  <c:v>0.17</c:v>
                </c:pt>
              </c:numCache>
            </c:numRef>
          </c:val>
        </c:ser>
        <c:ser>
          <c:idx val="2"/>
          <c:order val="2"/>
          <c:tx>
            <c:strRef>
              <c:f>Hoja15!$D$2</c:f>
              <c:strCache>
                <c:ptCount val="1"/>
                <c:pt idx="0">
                  <c:v>TUBERCULOSIS</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cat>
            <c:strRef>
              <c:f>Hoja15!$A$3:$A$16</c:f>
              <c:strCache>
                <c:ptCount val="14"/>
                <c:pt idx="1">
                  <c:v>ARMENIA</c:v>
                </c:pt>
                <c:pt idx="2">
                  <c:v>BUENAVISTA</c:v>
                </c:pt>
                <c:pt idx="3">
                  <c:v>CALARCA</c:v>
                </c:pt>
                <c:pt idx="4">
                  <c:v>CIRCASIA</c:v>
                </c:pt>
                <c:pt idx="5">
                  <c:v>CORDOBA</c:v>
                </c:pt>
                <c:pt idx="6">
                  <c:v>FILANDIA</c:v>
                </c:pt>
                <c:pt idx="7">
                  <c:v>GENOVA</c:v>
                </c:pt>
                <c:pt idx="8">
                  <c:v>LA TEBAIDA</c:v>
                </c:pt>
                <c:pt idx="9">
                  <c:v>MONTENEGRO</c:v>
                </c:pt>
                <c:pt idx="10">
                  <c:v>PIJAO</c:v>
                </c:pt>
                <c:pt idx="11">
                  <c:v>QUIMBAYA</c:v>
                </c:pt>
                <c:pt idx="12">
                  <c:v>SALENTO</c:v>
                </c:pt>
                <c:pt idx="13">
                  <c:v>QUINDIO</c:v>
                </c:pt>
              </c:strCache>
            </c:strRef>
          </c:cat>
          <c:val>
            <c:numRef>
              <c:f>Hoja15!$D$3:$D$16</c:f>
              <c:numCache>
                <c:formatCode>General</c:formatCode>
                <c:ptCount val="14"/>
                <c:pt idx="1">
                  <c:v>43.25</c:v>
                </c:pt>
                <c:pt idx="2">
                  <c:v>34.65</c:v>
                </c:pt>
                <c:pt idx="3">
                  <c:v>35.14</c:v>
                </c:pt>
                <c:pt idx="4">
                  <c:v>17</c:v>
                </c:pt>
                <c:pt idx="5">
                  <c:v>37.549999999999997</c:v>
                </c:pt>
                <c:pt idx="6">
                  <c:v>0</c:v>
                </c:pt>
                <c:pt idx="7">
                  <c:v>12.15</c:v>
                </c:pt>
                <c:pt idx="8">
                  <c:v>29.81</c:v>
                </c:pt>
                <c:pt idx="9">
                  <c:v>19.5</c:v>
                </c:pt>
                <c:pt idx="10">
                  <c:v>32.03</c:v>
                </c:pt>
                <c:pt idx="11">
                  <c:v>69.010000000000005</c:v>
                </c:pt>
                <c:pt idx="12">
                  <c:v>28.05</c:v>
                </c:pt>
                <c:pt idx="13">
                  <c:v>37.74</c:v>
                </c:pt>
              </c:numCache>
            </c:numRef>
          </c:val>
        </c:ser>
        <c:dLbls>
          <c:showLegendKey val="0"/>
          <c:showVal val="0"/>
          <c:showCatName val="0"/>
          <c:showSerName val="0"/>
          <c:showPercent val="0"/>
          <c:showBubbleSize val="0"/>
        </c:dLbls>
        <c:gapWidth val="150"/>
        <c:shape val="box"/>
        <c:axId val="559155840"/>
        <c:axId val="559157632"/>
        <c:axId val="0"/>
      </c:bar3DChart>
      <c:catAx>
        <c:axId val="55915584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157632"/>
        <c:crosses val="autoZero"/>
        <c:auto val="1"/>
        <c:lblAlgn val="ctr"/>
        <c:lblOffset val="100"/>
        <c:noMultiLvlLbl val="0"/>
      </c:catAx>
      <c:valAx>
        <c:axId val="559157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15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13842403606182"/>
          <c:y val="3.2024842669591415E-2"/>
          <c:w val="0.6653284927602926"/>
          <c:h val="0.87206871868289193"/>
        </c:manualLayout>
      </c:layout>
      <c:barChart>
        <c:barDir val="bar"/>
        <c:grouping val="clustered"/>
        <c:varyColors val="0"/>
        <c:ser>
          <c:idx val="0"/>
          <c:order val="0"/>
          <c:tx>
            <c:strRef>
              <c:f>Hoja5!$A$6</c:f>
              <c:strCache>
                <c:ptCount val="1"/>
                <c:pt idx="0">
                  <c:v>Quindío</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Hoja5!$B$4:$H$5</c:f>
              <c:multiLvlStrCache>
                <c:ptCount val="7"/>
                <c:lvl>
                  <c:pt idx="0">
                    <c:v>Evaluados</c:v>
                  </c:pt>
                  <c:pt idx="1">
                    <c:v>No.</c:v>
                  </c:pt>
                  <c:pt idx="2">
                    <c:v>%</c:v>
                  </c:pt>
                  <c:pt idx="3">
                    <c:v>No.</c:v>
                  </c:pt>
                  <c:pt idx="4">
                    <c:v>%</c:v>
                  </c:pt>
                  <c:pt idx="5">
                    <c:v>No</c:v>
                  </c:pt>
                  <c:pt idx="6">
                    <c:v>%</c:v>
                  </c:pt>
                </c:lvl>
                <c:lvl>
                  <c:pt idx="0">
                    <c:v>Total</c:v>
                  </c:pt>
                  <c:pt idx="1">
                    <c:v>Adecuado</c:v>
                  </c:pt>
                  <c:pt idx="3">
                    <c:v>Riesgo</c:v>
                  </c:pt>
                  <c:pt idx="5">
                    <c:v>Retraso en talla</c:v>
                  </c:pt>
                </c:lvl>
              </c:multiLvlStrCache>
            </c:multiLvlStrRef>
          </c:cat>
          <c:val>
            <c:numRef>
              <c:f>Hoja5!$B$6:$H$6</c:f>
              <c:numCache>
                <c:formatCode>General</c:formatCode>
                <c:ptCount val="7"/>
                <c:pt idx="0">
                  <c:v>4966</c:v>
                </c:pt>
                <c:pt idx="1">
                  <c:v>3291</c:v>
                </c:pt>
                <c:pt idx="2" formatCode="0.00%">
                  <c:v>0.66300000000000003</c:v>
                </c:pt>
                <c:pt idx="3">
                  <c:v>1197</c:v>
                </c:pt>
                <c:pt idx="4" formatCode="0.00%">
                  <c:v>0.24099999999999999</c:v>
                </c:pt>
                <c:pt idx="5">
                  <c:v>478</c:v>
                </c:pt>
                <c:pt idx="6" formatCode="0.00%">
                  <c:v>9.6000000000000002E-2</c:v>
                </c:pt>
              </c:numCache>
            </c:numRef>
          </c:val>
        </c:ser>
        <c:dLbls>
          <c:dLblPos val="outEnd"/>
          <c:showLegendKey val="0"/>
          <c:showVal val="1"/>
          <c:showCatName val="0"/>
          <c:showSerName val="0"/>
          <c:showPercent val="0"/>
          <c:showBubbleSize val="0"/>
        </c:dLbls>
        <c:gapWidth val="227"/>
        <c:overlap val="-48"/>
        <c:axId val="559160704"/>
        <c:axId val="559183744"/>
      </c:barChart>
      <c:catAx>
        <c:axId val="5591607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183744"/>
        <c:crosses val="autoZero"/>
        <c:auto val="1"/>
        <c:lblAlgn val="ctr"/>
        <c:lblOffset val="100"/>
        <c:noMultiLvlLbl val="0"/>
      </c:catAx>
      <c:valAx>
        <c:axId val="559183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16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06996084045644E-2"/>
          <c:y val="5.4726368159203981E-2"/>
          <c:w val="0.90497889384816199"/>
          <c:h val="0.53866063383868057"/>
        </c:manualLayout>
      </c:layout>
      <c:bar3DChart>
        <c:barDir val="col"/>
        <c:grouping val="clustered"/>
        <c:varyColors val="0"/>
        <c:ser>
          <c:idx val="0"/>
          <c:order val="0"/>
          <c:tx>
            <c:strRef>
              <c:f>Hoja7!$L$6</c:f>
              <c:strCache>
                <c:ptCount val="1"/>
                <c:pt idx="0">
                  <c:v>SIFILIS GESTACIONAL</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cat>
            <c:strRef>
              <c:f>Hoja7!$K$7:$K$18</c:f>
              <c:strCache>
                <c:ptCount val="12"/>
                <c:pt idx="0">
                  <c:v>ARMENIA</c:v>
                </c:pt>
                <c:pt idx="1">
                  <c:v>BUENAVISTA</c:v>
                </c:pt>
                <c:pt idx="2">
                  <c:v>CALARCA</c:v>
                </c:pt>
                <c:pt idx="3">
                  <c:v>CIRCASIA</c:v>
                </c:pt>
                <c:pt idx="4">
                  <c:v>CORDOBA</c:v>
                </c:pt>
                <c:pt idx="5">
                  <c:v>FILANDIA</c:v>
                </c:pt>
                <c:pt idx="6">
                  <c:v>GENOVA</c:v>
                </c:pt>
                <c:pt idx="7">
                  <c:v>LA TEBAIDA</c:v>
                </c:pt>
                <c:pt idx="8">
                  <c:v>MONTENEGRO</c:v>
                </c:pt>
                <c:pt idx="9">
                  <c:v>PIJAO</c:v>
                </c:pt>
                <c:pt idx="10">
                  <c:v>QUIMBAYA</c:v>
                </c:pt>
                <c:pt idx="11">
                  <c:v>SALENTO</c:v>
                </c:pt>
              </c:strCache>
            </c:strRef>
          </c:cat>
          <c:val>
            <c:numRef>
              <c:f>Hoja7!$L$7:$L$18</c:f>
              <c:numCache>
                <c:formatCode>0%</c:formatCode>
                <c:ptCount val="12"/>
                <c:pt idx="0">
                  <c:v>0.17</c:v>
                </c:pt>
                <c:pt idx="1">
                  <c:v>0</c:v>
                </c:pt>
                <c:pt idx="2" formatCode="0.00%">
                  <c:v>0.107</c:v>
                </c:pt>
                <c:pt idx="3" formatCode="0.00%">
                  <c:v>0.11849999999999999</c:v>
                </c:pt>
                <c:pt idx="4">
                  <c:v>0</c:v>
                </c:pt>
                <c:pt idx="5" formatCode="0.00%">
                  <c:v>0.1111</c:v>
                </c:pt>
                <c:pt idx="6">
                  <c:v>0</c:v>
                </c:pt>
                <c:pt idx="7" formatCode="0.00%">
                  <c:v>0.1686</c:v>
                </c:pt>
                <c:pt idx="8" formatCode="0.00%">
                  <c:v>0.25469999999999998</c:v>
                </c:pt>
                <c:pt idx="9">
                  <c:v>0</c:v>
                </c:pt>
                <c:pt idx="10" formatCode="0.00%">
                  <c:v>8.4099999999999994E-2</c:v>
                </c:pt>
                <c:pt idx="11">
                  <c:v>0</c:v>
                </c:pt>
              </c:numCache>
            </c:numRef>
          </c:val>
        </c:ser>
        <c:ser>
          <c:idx val="1"/>
          <c:order val="1"/>
          <c:tx>
            <c:strRef>
              <c:f>Hoja7!$M$6</c:f>
              <c:strCache>
                <c:ptCount val="1"/>
                <c:pt idx="0">
                  <c:v>SIFILIS CONGÈNITA</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cat>
            <c:strRef>
              <c:f>Hoja7!$K$7:$K$18</c:f>
              <c:strCache>
                <c:ptCount val="12"/>
                <c:pt idx="0">
                  <c:v>ARMENIA</c:v>
                </c:pt>
                <c:pt idx="1">
                  <c:v>BUENAVISTA</c:v>
                </c:pt>
                <c:pt idx="2">
                  <c:v>CALARCA</c:v>
                </c:pt>
                <c:pt idx="3">
                  <c:v>CIRCASIA</c:v>
                </c:pt>
                <c:pt idx="4">
                  <c:v>CORDOBA</c:v>
                </c:pt>
                <c:pt idx="5">
                  <c:v>FILANDIA</c:v>
                </c:pt>
                <c:pt idx="6">
                  <c:v>GENOVA</c:v>
                </c:pt>
                <c:pt idx="7">
                  <c:v>LA TEBAIDA</c:v>
                </c:pt>
                <c:pt idx="8">
                  <c:v>MONTENEGRO</c:v>
                </c:pt>
                <c:pt idx="9">
                  <c:v>PIJAO</c:v>
                </c:pt>
                <c:pt idx="10">
                  <c:v>QUIMBAYA</c:v>
                </c:pt>
                <c:pt idx="11">
                  <c:v>SALENTO</c:v>
                </c:pt>
              </c:strCache>
            </c:strRef>
          </c:cat>
          <c:val>
            <c:numRef>
              <c:f>Hoja7!$M$7:$M$18</c:f>
              <c:numCache>
                <c:formatCode>0%</c:formatCode>
                <c:ptCount val="12"/>
                <c:pt idx="0" formatCode="0.00%">
                  <c:v>5.5599999999999997E-2</c:v>
                </c:pt>
                <c:pt idx="1">
                  <c:v>0</c:v>
                </c:pt>
                <c:pt idx="2" formatCode="0.00%">
                  <c:v>6.6900000000000001E-2</c:v>
                </c:pt>
                <c:pt idx="3" formatCode="0.00%">
                  <c:v>3.95E-2</c:v>
                </c:pt>
                <c:pt idx="4">
                  <c:v>0</c:v>
                </c:pt>
                <c:pt idx="5">
                  <c:v>0</c:v>
                </c:pt>
                <c:pt idx="6">
                  <c:v>0</c:v>
                </c:pt>
                <c:pt idx="7" formatCode="0.00%">
                  <c:v>0.12039999999999999</c:v>
                </c:pt>
                <c:pt idx="8" formatCode="0.00%">
                  <c:v>6.3600000000000004E-2</c:v>
                </c:pt>
                <c:pt idx="9">
                  <c:v>0</c:v>
                </c:pt>
                <c:pt idx="10" formatCode="0.00%">
                  <c:v>6.5699999999999995E-2</c:v>
                </c:pt>
                <c:pt idx="11">
                  <c:v>0</c:v>
                </c:pt>
              </c:numCache>
            </c:numRef>
          </c:val>
        </c:ser>
        <c:ser>
          <c:idx val="2"/>
          <c:order val="2"/>
          <c:tx>
            <c:strRef>
              <c:f>Hoja7!$N$6</c:f>
              <c:strCache>
                <c:ptCount val="1"/>
                <c:pt idx="0">
                  <c:v>HEPATITIS B</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cat>
            <c:strRef>
              <c:f>Hoja7!$K$7:$K$18</c:f>
              <c:strCache>
                <c:ptCount val="12"/>
                <c:pt idx="0">
                  <c:v>ARMENIA</c:v>
                </c:pt>
                <c:pt idx="1">
                  <c:v>BUENAVISTA</c:v>
                </c:pt>
                <c:pt idx="2">
                  <c:v>CALARCA</c:v>
                </c:pt>
                <c:pt idx="3">
                  <c:v>CIRCASIA</c:v>
                </c:pt>
                <c:pt idx="4">
                  <c:v>CORDOBA</c:v>
                </c:pt>
                <c:pt idx="5">
                  <c:v>FILANDIA</c:v>
                </c:pt>
                <c:pt idx="6">
                  <c:v>GENOVA</c:v>
                </c:pt>
                <c:pt idx="7">
                  <c:v>LA TEBAIDA</c:v>
                </c:pt>
                <c:pt idx="8">
                  <c:v>MONTENEGRO</c:v>
                </c:pt>
                <c:pt idx="9">
                  <c:v>PIJAO</c:v>
                </c:pt>
                <c:pt idx="10">
                  <c:v>QUIMBAYA</c:v>
                </c:pt>
                <c:pt idx="11">
                  <c:v>SALENTO</c:v>
                </c:pt>
              </c:strCache>
            </c:strRef>
          </c:cat>
          <c:val>
            <c:numRef>
              <c:f>Hoja7!$N$7:$N$18</c:f>
              <c:numCache>
                <c:formatCode>0%</c:formatCode>
                <c:ptCount val="12"/>
                <c:pt idx="0" formatCode="0.00%">
                  <c:v>6.13E-2</c:v>
                </c:pt>
                <c:pt idx="1">
                  <c:v>0</c:v>
                </c:pt>
                <c:pt idx="2" formatCode="0.00%">
                  <c:v>5.1999999999999998E-2</c:v>
                </c:pt>
                <c:pt idx="3" formatCode="0.00%">
                  <c:v>3.4000000000000002E-2</c:v>
                </c:pt>
                <c:pt idx="4">
                  <c:v>0</c:v>
                </c:pt>
                <c:pt idx="5">
                  <c:v>0</c:v>
                </c:pt>
                <c:pt idx="6">
                  <c:v>0</c:v>
                </c:pt>
                <c:pt idx="7" formatCode="0.00%">
                  <c:v>9.9299999999999999E-2</c:v>
                </c:pt>
                <c:pt idx="8" formatCode="0.00%">
                  <c:v>0.14630000000000001</c:v>
                </c:pt>
                <c:pt idx="9">
                  <c:v>0.16</c:v>
                </c:pt>
                <c:pt idx="10" formatCode="0.00%">
                  <c:v>8.6199999999999999E-2</c:v>
                </c:pt>
                <c:pt idx="11">
                  <c:v>0</c:v>
                </c:pt>
              </c:numCache>
            </c:numRef>
          </c:val>
        </c:ser>
        <c:ser>
          <c:idx val="3"/>
          <c:order val="3"/>
          <c:tx>
            <c:strRef>
              <c:f>Hoja7!$O$6</c:f>
              <c:strCache>
                <c:ptCount val="1"/>
                <c:pt idx="0">
                  <c:v>VIH/SIDA</c:v>
                </c:pt>
              </c:strCache>
            </c:strRef>
          </c:tx>
          <c:spPr>
            <a:solidFill>
              <a:schemeClr val="accent6">
                <a:lumMod val="60000"/>
              </a:schemeClr>
            </a:solidFill>
            <a:ln>
              <a:solidFill>
                <a:schemeClr val="accent6">
                  <a:lumMod val="60000"/>
                  <a:lumMod val="75000"/>
                </a:schemeClr>
              </a:solidFill>
            </a:ln>
            <a:effectLst/>
            <a:scene3d>
              <a:camera prst="orthographicFront"/>
              <a:lightRig rig="threePt" dir="t"/>
            </a:scene3d>
            <a:sp3d prstMaterial="translucentPowder">
              <a:contourClr>
                <a:schemeClr val="accent6">
                  <a:lumMod val="60000"/>
                  <a:lumMod val="75000"/>
                </a:schemeClr>
              </a:contourClr>
            </a:sp3d>
          </c:spPr>
          <c:invertIfNegative val="0"/>
          <c:cat>
            <c:strRef>
              <c:f>Hoja7!$K$7:$K$18</c:f>
              <c:strCache>
                <c:ptCount val="12"/>
                <c:pt idx="0">
                  <c:v>ARMENIA</c:v>
                </c:pt>
                <c:pt idx="1">
                  <c:v>BUENAVISTA</c:v>
                </c:pt>
                <c:pt idx="2">
                  <c:v>CALARCA</c:v>
                </c:pt>
                <c:pt idx="3">
                  <c:v>CIRCASIA</c:v>
                </c:pt>
                <c:pt idx="4">
                  <c:v>CORDOBA</c:v>
                </c:pt>
                <c:pt idx="5">
                  <c:v>FILANDIA</c:v>
                </c:pt>
                <c:pt idx="6">
                  <c:v>GENOVA</c:v>
                </c:pt>
                <c:pt idx="7">
                  <c:v>LA TEBAIDA</c:v>
                </c:pt>
                <c:pt idx="8">
                  <c:v>MONTENEGRO</c:v>
                </c:pt>
                <c:pt idx="9">
                  <c:v>PIJAO</c:v>
                </c:pt>
                <c:pt idx="10">
                  <c:v>QUIMBAYA</c:v>
                </c:pt>
                <c:pt idx="11">
                  <c:v>SALENTO</c:v>
                </c:pt>
              </c:strCache>
            </c:strRef>
          </c:cat>
          <c:val>
            <c:numRef>
              <c:f>Hoja7!$O$7:$O$18</c:f>
              <c:numCache>
                <c:formatCode>0.00%</c:formatCode>
                <c:ptCount val="12"/>
                <c:pt idx="0">
                  <c:v>0.33029999999999998</c:v>
                </c:pt>
                <c:pt idx="1">
                  <c:v>0.34649999999999997</c:v>
                </c:pt>
                <c:pt idx="2">
                  <c:v>0.24729999999999999</c:v>
                </c:pt>
                <c:pt idx="3">
                  <c:v>0.10199999999999999</c:v>
                </c:pt>
                <c:pt idx="4">
                  <c:v>0.18770000000000001</c:v>
                </c:pt>
                <c:pt idx="5" formatCode="0%">
                  <c:v>0</c:v>
                </c:pt>
                <c:pt idx="6">
                  <c:v>0.1215</c:v>
                </c:pt>
                <c:pt idx="7">
                  <c:v>0.1242</c:v>
                </c:pt>
                <c:pt idx="8">
                  <c:v>0.21940000000000001</c:v>
                </c:pt>
                <c:pt idx="9" formatCode="0%">
                  <c:v>0</c:v>
                </c:pt>
                <c:pt idx="10">
                  <c:v>8.6199999999999999E-2</c:v>
                </c:pt>
                <c:pt idx="11">
                  <c:v>0.42080000000000001</c:v>
                </c:pt>
              </c:numCache>
            </c:numRef>
          </c:val>
        </c:ser>
        <c:dLbls>
          <c:showLegendKey val="0"/>
          <c:showVal val="0"/>
          <c:showCatName val="0"/>
          <c:showSerName val="0"/>
          <c:showPercent val="0"/>
          <c:showBubbleSize val="0"/>
        </c:dLbls>
        <c:gapWidth val="150"/>
        <c:shape val="box"/>
        <c:axId val="559214592"/>
        <c:axId val="559216128"/>
        <c:axId val="0"/>
      </c:bar3DChart>
      <c:catAx>
        <c:axId val="55921459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216128"/>
        <c:crosses val="autoZero"/>
        <c:auto val="1"/>
        <c:lblAlgn val="ctr"/>
        <c:lblOffset val="100"/>
        <c:noMultiLvlLbl val="0"/>
      </c:catAx>
      <c:valAx>
        <c:axId val="5592161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21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Hoja13!$K$13:$K$18</c:f>
              <c:strCache>
                <c:ptCount val="6"/>
                <c:pt idx="0">
                  <c:v>Menor   1</c:v>
                </c:pt>
                <c:pt idx="1">
                  <c:v>1 a 4 </c:v>
                </c:pt>
                <c:pt idx="2">
                  <c:v>5 a 9 </c:v>
                </c:pt>
                <c:pt idx="3">
                  <c:v>10 a 14</c:v>
                </c:pt>
                <c:pt idx="4">
                  <c:v>Mayor 14 </c:v>
                </c:pt>
                <c:pt idx="5">
                  <c:v>Total</c:v>
                </c:pt>
              </c:strCache>
            </c:strRef>
          </c:cat>
          <c:val>
            <c:numRef>
              <c:f>Hoja13!$L$13:$L$18</c:f>
              <c:numCache>
                <c:formatCode>General</c:formatCode>
                <c:ptCount val="6"/>
                <c:pt idx="0">
                  <c:v>1</c:v>
                </c:pt>
                <c:pt idx="1">
                  <c:v>37</c:v>
                </c:pt>
                <c:pt idx="2">
                  <c:v>69</c:v>
                </c:pt>
                <c:pt idx="3">
                  <c:v>159</c:v>
                </c:pt>
                <c:pt idx="4">
                  <c:v>65</c:v>
                </c:pt>
                <c:pt idx="5">
                  <c:v>331</c:v>
                </c:pt>
              </c:numCache>
            </c:numRef>
          </c:val>
        </c:ser>
        <c:dLbls>
          <c:showLegendKey val="0"/>
          <c:showVal val="1"/>
          <c:showCatName val="0"/>
          <c:showSerName val="0"/>
          <c:showPercent val="0"/>
          <c:showBubbleSize val="0"/>
        </c:dLbls>
        <c:gapWidth val="150"/>
        <c:shape val="box"/>
        <c:axId val="560837376"/>
        <c:axId val="560840064"/>
        <c:axId val="0"/>
      </c:bar3DChart>
      <c:catAx>
        <c:axId val="56083737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0840064"/>
        <c:crosses val="autoZero"/>
        <c:auto val="1"/>
        <c:lblAlgn val="ctr"/>
        <c:lblOffset val="100"/>
        <c:noMultiLvlLbl val="0"/>
      </c:catAx>
      <c:valAx>
        <c:axId val="560840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083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630746523311064E-2"/>
          <c:y val="4.0933157850945867E-2"/>
          <c:w val="0.89862357830271211"/>
          <c:h val="0.92239425490268345"/>
        </c:manualLayout>
      </c:layout>
      <c:barChart>
        <c:barDir val="col"/>
        <c:grouping val="clustered"/>
        <c:varyColors val="0"/>
        <c:ser>
          <c:idx val="1"/>
          <c:order val="0"/>
          <c:tx>
            <c:strRef>
              <c:f>Hoja1!$C$51</c:f>
              <c:strCache>
                <c:ptCount val="1"/>
                <c:pt idx="0">
                  <c:v>Caldas</c:v>
                </c:pt>
              </c:strCache>
            </c:strRef>
          </c:tx>
          <c:invertIfNegative val="0"/>
          <c:dLbls>
            <c:dLbl>
              <c:idx val="4"/>
              <c:layout>
                <c:manualLayout>
                  <c:x val="0"/>
                  <c:y val="8.5882969914249287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0232675771370764E-3"/>
                  <c:y val="1.288244548713733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288244548713733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28824454871373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latin typeface="Arial Narrow" panose="020B060602020203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Hoja1!$D$48:$P$49</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2012p</c:v>
                </c:pt>
                <c:pt idx="12">
                  <c:v>2013pr</c:v>
                </c:pt>
              </c:strCache>
            </c:strRef>
          </c:cat>
          <c:val>
            <c:numRef>
              <c:f>Hoja1!$D$51:$P$51</c:f>
              <c:numCache>
                <c:formatCode>0.0</c:formatCode>
                <c:ptCount val="13"/>
                <c:pt idx="0">
                  <c:v>0.10223416224269091</c:v>
                </c:pt>
                <c:pt idx="1">
                  <c:v>9.6075306745029662E-2</c:v>
                </c:pt>
                <c:pt idx="2">
                  <c:v>7.6384355668707341E-2</c:v>
                </c:pt>
                <c:pt idx="3">
                  <c:v>9.2939581765790619E-3</c:v>
                </c:pt>
                <c:pt idx="4">
                  <c:v>8.649834956126895E-2</c:v>
                </c:pt>
                <c:pt idx="5">
                  <c:v>0.13728994931737196</c:v>
                </c:pt>
                <c:pt idx="6">
                  <c:v>0.10181709370920584</c:v>
                </c:pt>
                <c:pt idx="7">
                  <c:v>2.9106703604900558E-2</c:v>
                </c:pt>
                <c:pt idx="8">
                  <c:v>-7.6788444337382036E-2</c:v>
                </c:pt>
                <c:pt idx="9">
                  <c:v>3.8988223076447816E-2</c:v>
                </c:pt>
                <c:pt idx="10">
                  <c:v>0</c:v>
                </c:pt>
                <c:pt idx="11">
                  <c:v>1.8270385571307942E-2</c:v>
                </c:pt>
                <c:pt idx="12">
                  <c:v>1.8270385571307942E-2</c:v>
                </c:pt>
              </c:numCache>
            </c:numRef>
          </c:val>
        </c:ser>
        <c:ser>
          <c:idx val="2"/>
          <c:order val="1"/>
          <c:tx>
            <c:strRef>
              <c:f>Hoja1!$C$52</c:f>
              <c:strCache>
                <c:ptCount val="1"/>
                <c:pt idx="0">
                  <c:v>Quindío</c:v>
                </c:pt>
              </c:strCache>
            </c:strRef>
          </c:tx>
          <c:invertIfNegative val="0"/>
          <c:dLbls>
            <c:dLbl>
              <c:idx val="0"/>
              <c:layout>
                <c:manualLayout>
                  <c:x val="6.0698027314112293E-3"/>
                  <c:y val="4.294148495712445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279210925644917E-2"/>
                  <c:y val="3.86476745833407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302478502781994E-2"/>
                  <c:y val="2.147074247856214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232675771370764E-3"/>
                  <c:y val="1.288244548713737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1.288244548713733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465351542741529E-3"/>
                  <c:y val="9.876541540138623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046535154274152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latin typeface="Arial Narrow" panose="020B060602020203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Hoja1!$D$48:$P$49</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2012p</c:v>
                </c:pt>
                <c:pt idx="12">
                  <c:v>2013pr</c:v>
                </c:pt>
              </c:strCache>
            </c:strRef>
          </c:cat>
          <c:val>
            <c:numRef>
              <c:f>Hoja1!$D$52:$P$52</c:f>
              <c:numCache>
                <c:formatCode>0.0</c:formatCode>
                <c:ptCount val="13"/>
                <c:pt idx="0">
                  <c:v>6.1880121650652126E-2</c:v>
                </c:pt>
                <c:pt idx="1">
                  <c:v>-5.308696259810057E-2</c:v>
                </c:pt>
                <c:pt idx="2">
                  <c:v>-6.5311993667671694E-2</c:v>
                </c:pt>
                <c:pt idx="3">
                  <c:v>-7.0891582312633469E-3</c:v>
                </c:pt>
                <c:pt idx="4">
                  <c:v>-6.7248535772162473E-3</c:v>
                </c:pt>
                <c:pt idx="5">
                  <c:v>9.7014311080798124E-2</c:v>
                </c:pt>
                <c:pt idx="6">
                  <c:v>3.5590286436467299E-2</c:v>
                </c:pt>
                <c:pt idx="7">
                  <c:v>6.4113598972730156E-3</c:v>
                </c:pt>
                <c:pt idx="8">
                  <c:v>-8.1392708811837879E-3</c:v>
                </c:pt>
                <c:pt idx="9">
                  <c:v>2.6339982361296133E-2</c:v>
                </c:pt>
                <c:pt idx="10">
                  <c:v>0.05</c:v>
                </c:pt>
                <c:pt idx="11">
                  <c:v>5.8699147135674472E-2</c:v>
                </c:pt>
                <c:pt idx="12">
                  <c:v>5.8699147135674472E-2</c:v>
                </c:pt>
              </c:numCache>
            </c:numRef>
          </c:val>
        </c:ser>
        <c:ser>
          <c:idx val="3"/>
          <c:order val="2"/>
          <c:tx>
            <c:strRef>
              <c:f>Hoja1!$C$53</c:f>
              <c:strCache>
                <c:ptCount val="1"/>
                <c:pt idx="0">
                  <c:v>Risaralda</c:v>
                </c:pt>
              </c:strCache>
            </c:strRef>
          </c:tx>
          <c:invertIfNegative val="0"/>
          <c:dLbls>
            <c:dLbl>
              <c:idx val="2"/>
              <c:layout>
                <c:manualLayout>
                  <c:x val="2.0232675771371133E-3"/>
                  <c:y val="1.288244548713733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147074247856222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8.5882969914248906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0698027314112293E-3"/>
                  <c:y val="1.288244548713733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0116337885685382E-2"/>
                  <c:y val="2.147074247856222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288244548713733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288244548713733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28824454871373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latin typeface="Arial Narrow" panose="020B060602020203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Hoja1!$D$48:$P$49</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2012p</c:v>
                </c:pt>
                <c:pt idx="12">
                  <c:v>2013pr</c:v>
                </c:pt>
              </c:strCache>
            </c:strRef>
          </c:cat>
          <c:val>
            <c:numRef>
              <c:f>Hoja1!$D$53:$P$53</c:f>
              <c:numCache>
                <c:formatCode>0.0</c:formatCode>
                <c:ptCount val="13"/>
                <c:pt idx="0">
                  <c:v>9.8994067339852176E-3</c:v>
                </c:pt>
                <c:pt idx="1">
                  <c:v>1.110531364087489E-2</c:v>
                </c:pt>
                <c:pt idx="2">
                  <c:v>7.0796164305134981E-2</c:v>
                </c:pt>
                <c:pt idx="3">
                  <c:v>0.1068057796951847</c:v>
                </c:pt>
                <c:pt idx="4">
                  <c:v>0.13491467945467528</c:v>
                </c:pt>
                <c:pt idx="5">
                  <c:v>0.14463951833864475</c:v>
                </c:pt>
                <c:pt idx="6">
                  <c:v>2.9305930238284591E-2</c:v>
                </c:pt>
                <c:pt idx="7">
                  <c:v>3.1080920204351603E-2</c:v>
                </c:pt>
                <c:pt idx="8">
                  <c:v>9.5247163360614139E-3</c:v>
                </c:pt>
                <c:pt idx="9">
                  <c:v>2.5069852501874292E-2</c:v>
                </c:pt>
                <c:pt idx="10">
                  <c:v>0.02</c:v>
                </c:pt>
                <c:pt idx="11">
                  <c:v>4.494535229353365E-2</c:v>
                </c:pt>
                <c:pt idx="12">
                  <c:v>4.494535229353365E-2</c:v>
                </c:pt>
              </c:numCache>
            </c:numRef>
          </c:val>
        </c:ser>
        <c:dLbls>
          <c:showLegendKey val="0"/>
          <c:showVal val="0"/>
          <c:showCatName val="0"/>
          <c:showSerName val="0"/>
          <c:showPercent val="0"/>
          <c:showBubbleSize val="0"/>
        </c:dLbls>
        <c:gapWidth val="150"/>
        <c:axId val="560989696"/>
        <c:axId val="560991232"/>
      </c:barChart>
      <c:catAx>
        <c:axId val="560989696"/>
        <c:scaling>
          <c:orientation val="minMax"/>
        </c:scaling>
        <c:delete val="0"/>
        <c:axPos val="b"/>
        <c:numFmt formatCode="General" sourceLinked="0"/>
        <c:majorTickMark val="out"/>
        <c:minorTickMark val="none"/>
        <c:tickLblPos val="nextTo"/>
        <c:txPr>
          <a:bodyPr rot="-5400000" vert="horz"/>
          <a:lstStyle/>
          <a:p>
            <a:pPr>
              <a:defRPr sz="1000">
                <a:latin typeface="Arial Narrow" panose="020B0606020202030204" pitchFamily="34" charset="0"/>
              </a:defRPr>
            </a:pPr>
            <a:endParaRPr lang="es-CO"/>
          </a:p>
        </c:txPr>
        <c:crossAx val="560991232"/>
        <c:crosses val="autoZero"/>
        <c:auto val="1"/>
        <c:lblAlgn val="ctr"/>
        <c:lblOffset val="100"/>
        <c:noMultiLvlLbl val="0"/>
      </c:catAx>
      <c:valAx>
        <c:axId val="560991232"/>
        <c:scaling>
          <c:orientation val="minMax"/>
        </c:scaling>
        <c:delete val="0"/>
        <c:axPos val="l"/>
        <c:numFmt formatCode="0.0" sourceLinked="1"/>
        <c:majorTickMark val="out"/>
        <c:minorTickMark val="none"/>
        <c:tickLblPos val="nextTo"/>
        <c:txPr>
          <a:bodyPr/>
          <a:lstStyle/>
          <a:p>
            <a:pPr>
              <a:defRPr>
                <a:latin typeface="Arial Narrow" panose="020B0606020202030204" pitchFamily="34" charset="0"/>
              </a:defRPr>
            </a:pPr>
            <a:endParaRPr lang="es-CO"/>
          </a:p>
        </c:txPr>
        <c:crossAx val="560989696"/>
        <c:crosses val="autoZero"/>
        <c:crossBetween val="between"/>
      </c:valAx>
    </c:plotArea>
    <c:legend>
      <c:legendPos val="r"/>
      <c:layout>
        <c:manualLayout>
          <c:xMode val="edge"/>
          <c:yMode val="edge"/>
          <c:x val="0.11392573652117462"/>
          <c:y val="0.89227164851008267"/>
          <c:w val="0.80246265119743188"/>
          <c:h val="9.8373797025371829E-2"/>
        </c:manualLayout>
      </c:layout>
      <c:overlay val="0"/>
      <c:txPr>
        <a:bodyPr/>
        <a:lstStyle/>
        <a:p>
          <a:pPr>
            <a:defRPr>
              <a:latin typeface="Arial Narrow" panose="020B0606020202030204" pitchFamily="34" charset="0"/>
            </a:defRPr>
          </a:pPr>
          <a:endParaRPr lang="es-CO"/>
        </a:p>
      </c:txPr>
    </c:legend>
    <c:plotVisOnly val="1"/>
    <c:dispBlanksAs val="gap"/>
    <c:showDLblsOverMax val="0"/>
  </c:chart>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Hoja1!$C$52</c:f>
              <c:strCache>
                <c:ptCount val="1"/>
                <c:pt idx="0">
                  <c:v>Quindío</c:v>
                </c:pt>
              </c:strCache>
            </c:strRef>
          </c:tx>
          <c:spPr>
            <a:ln>
              <a:solidFill>
                <a:srgbClr val="C00000"/>
              </a:solidFill>
            </a:ln>
          </c:spPr>
          <c:marker>
            <c:spPr>
              <a:solidFill>
                <a:srgbClr val="C00000"/>
              </a:solidFill>
              <a:ln>
                <a:solidFill>
                  <a:srgbClr val="C00000"/>
                </a:solidFill>
              </a:ln>
            </c:spPr>
          </c:marker>
          <c:dLbls>
            <c:dLbl>
              <c:idx val="0"/>
              <c:layout>
                <c:manualLayout>
                  <c:x val="-2.4154589371980676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724637681159424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46376811594203E-3"/>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81642512077294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4154589371980675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246376811594203E-3"/>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5893719806763288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154589371980676E-2"/>
                  <c:y val="4.166630212890055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2077294685990338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Hoja1!$D$48:$P$49</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2012p</c:v>
                </c:pt>
                <c:pt idx="12">
                  <c:v>2013pr</c:v>
                </c:pt>
              </c:strCache>
            </c:strRef>
          </c:cat>
          <c:val>
            <c:numRef>
              <c:f>Hoja1!$D$52:$P$52</c:f>
              <c:numCache>
                <c:formatCode>0.0</c:formatCode>
                <c:ptCount val="13"/>
                <c:pt idx="0">
                  <c:v>6.1880121650652126E-2</c:v>
                </c:pt>
                <c:pt idx="1">
                  <c:v>-5.308696259810057E-2</c:v>
                </c:pt>
                <c:pt idx="2">
                  <c:v>-6.5311993667671694E-2</c:v>
                </c:pt>
                <c:pt idx="3">
                  <c:v>-7.0891582312633469E-3</c:v>
                </c:pt>
                <c:pt idx="4">
                  <c:v>-6.7248535772162473E-3</c:v>
                </c:pt>
                <c:pt idx="5">
                  <c:v>9.7014311080798124E-2</c:v>
                </c:pt>
                <c:pt idx="6">
                  <c:v>3.5590286436467299E-2</c:v>
                </c:pt>
                <c:pt idx="7">
                  <c:v>6.4113598972730156E-3</c:v>
                </c:pt>
                <c:pt idx="8">
                  <c:v>-8.1392708811837879E-3</c:v>
                </c:pt>
                <c:pt idx="9">
                  <c:v>2.6339982361296133E-2</c:v>
                </c:pt>
                <c:pt idx="10">
                  <c:v>0.05</c:v>
                </c:pt>
                <c:pt idx="11">
                  <c:v>5.8699147135674472E-2</c:v>
                </c:pt>
                <c:pt idx="12">
                  <c:v>5.8699147135674472E-2</c:v>
                </c:pt>
              </c:numCache>
            </c:numRef>
          </c:val>
          <c:smooth val="0"/>
        </c:ser>
        <c:dLbls>
          <c:showLegendKey val="0"/>
          <c:showVal val="0"/>
          <c:showCatName val="0"/>
          <c:showSerName val="0"/>
          <c:showPercent val="0"/>
          <c:showBubbleSize val="0"/>
        </c:dLbls>
        <c:marker val="1"/>
        <c:smooth val="0"/>
        <c:axId val="561015808"/>
        <c:axId val="561025792"/>
      </c:lineChart>
      <c:catAx>
        <c:axId val="561015808"/>
        <c:scaling>
          <c:orientation val="minMax"/>
        </c:scaling>
        <c:delete val="0"/>
        <c:axPos val="b"/>
        <c:numFmt formatCode="General" sourceLinked="0"/>
        <c:majorTickMark val="out"/>
        <c:minorTickMark val="none"/>
        <c:tickLblPos val="nextTo"/>
        <c:txPr>
          <a:bodyPr rot="-5400000" vert="horz"/>
          <a:lstStyle/>
          <a:p>
            <a:pPr>
              <a:defRPr/>
            </a:pPr>
            <a:endParaRPr lang="es-CO"/>
          </a:p>
        </c:txPr>
        <c:crossAx val="561025792"/>
        <c:crosses val="autoZero"/>
        <c:auto val="1"/>
        <c:lblAlgn val="ctr"/>
        <c:lblOffset val="100"/>
        <c:noMultiLvlLbl val="0"/>
      </c:catAx>
      <c:valAx>
        <c:axId val="561025792"/>
        <c:scaling>
          <c:orientation val="minMax"/>
        </c:scaling>
        <c:delete val="0"/>
        <c:axPos val="l"/>
        <c:numFmt formatCode="0.00" sourceLinked="0"/>
        <c:majorTickMark val="out"/>
        <c:minorTickMark val="none"/>
        <c:tickLblPos val="nextTo"/>
        <c:crossAx val="561015808"/>
        <c:crosses val="autoZero"/>
        <c:crossBetween val="between"/>
      </c:valAx>
    </c:plotArea>
    <c:plotVisOnly val="1"/>
    <c:dispBlanksAs val="gap"/>
    <c:showDLblsOverMax val="0"/>
  </c:chart>
  <c:txPr>
    <a:bodyPr/>
    <a:lstStyle/>
    <a:p>
      <a:pPr>
        <a:defRPr>
          <a:latin typeface="Arial Narrow" panose="020B0606020202030204" pitchFamily="34" charset="0"/>
        </a:defRPr>
      </a:pPr>
      <a:endParaRPr lang="es-CO"/>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50240594925634"/>
          <c:y val="5.1400554097404488E-2"/>
          <c:w val="0.88824693788276454"/>
          <c:h val="0.89719889180519097"/>
        </c:manualLayout>
      </c:layout>
      <c:lineChart>
        <c:grouping val="standard"/>
        <c:varyColors val="0"/>
        <c:ser>
          <c:idx val="2"/>
          <c:order val="0"/>
          <c:tx>
            <c:strRef>
              <c:f>Hoja1!$C$186</c:f>
              <c:strCache>
                <c:ptCount val="1"/>
                <c:pt idx="0">
                  <c:v>Quindío</c:v>
                </c:pt>
              </c:strCache>
            </c:strRef>
          </c:tx>
          <c:spPr>
            <a:ln>
              <a:solidFill>
                <a:srgbClr val="C00000"/>
              </a:solidFill>
            </a:ln>
          </c:spPr>
          <c:marker>
            <c:spPr>
              <a:solidFill>
                <a:srgbClr val="C00000"/>
              </a:solidFill>
              <a:ln>
                <a:solidFill>
                  <a:srgbClr val="C00000"/>
                </a:solidFill>
              </a:ln>
            </c:spPr>
          </c:marker>
          <c:dLbls>
            <c:dLbl>
              <c:idx val="0"/>
              <c:layout>
                <c:manualLayout>
                  <c:x val="-4.166666666666665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2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552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444663167104166E-2"/>
                  <c:y val="0.138888888888888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05"/>
                  <c:y val="-4.629629629629630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3888888888888884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444444444444445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2777777777777778E-2"/>
                  <c:y val="0.12962962962962971"/>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5555555555555558E-3"/>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4444444444444446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999999999999897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2777777777777778E-2"/>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Hoja1!$D$182:$P$183</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2012p</c:v>
                </c:pt>
                <c:pt idx="12">
                  <c:v>2013pr</c:v>
                </c:pt>
              </c:strCache>
            </c:strRef>
          </c:cat>
          <c:val>
            <c:numRef>
              <c:f>Hoja1!$D$186:$P$186</c:f>
              <c:numCache>
                <c:formatCode>0.0</c:formatCode>
                <c:ptCount val="13"/>
                <c:pt idx="0">
                  <c:v>6.1505832449628883</c:v>
                </c:pt>
                <c:pt idx="1">
                  <c:v>-5.1282051282051384</c:v>
                </c:pt>
                <c:pt idx="2">
                  <c:v>-6.8094068094068092</c:v>
                </c:pt>
                <c:pt idx="3">
                  <c:v>-0.82862523540489974</c:v>
                </c:pt>
                <c:pt idx="4">
                  <c:v>-0.83554880364603434</c:v>
                </c:pt>
                <c:pt idx="5">
                  <c:v>12.638835695135953</c:v>
                </c:pt>
                <c:pt idx="6">
                  <c:v>4.4202652159129485</c:v>
                </c:pt>
                <c:pt idx="7">
                  <c:v>0.81406707912732656</c:v>
                </c:pt>
                <c:pt idx="8">
                  <c:v>-1.0658914728682163</c:v>
                </c:pt>
                <c:pt idx="9">
                  <c:v>3.4606594841658449</c:v>
                </c:pt>
                <c:pt idx="10">
                  <c:v>6.9106973808772381</c:v>
                </c:pt>
                <c:pt idx="11">
                  <c:v>7.9102715466351725</c:v>
                </c:pt>
                <c:pt idx="12">
                  <c:v>1.3949671772428758</c:v>
                </c:pt>
              </c:numCache>
            </c:numRef>
          </c:val>
          <c:smooth val="0"/>
        </c:ser>
        <c:ser>
          <c:idx val="0"/>
          <c:order val="1"/>
          <c:tx>
            <c:strRef>
              <c:f>Hoja1!$C$188</c:f>
              <c:strCache>
                <c:ptCount val="1"/>
                <c:pt idx="0">
                  <c:v>Colombia</c:v>
                </c:pt>
              </c:strCache>
            </c:strRef>
          </c:tx>
          <c:spPr>
            <a:ln>
              <a:solidFill>
                <a:schemeClr val="tx2">
                  <a:lumMod val="50000"/>
                </a:schemeClr>
              </a:solidFill>
            </a:ln>
          </c:spPr>
          <c:marker>
            <c:spPr>
              <a:solidFill>
                <a:schemeClr val="tx2">
                  <a:lumMod val="50000"/>
                </a:schemeClr>
              </a:solidFill>
            </c:spPr>
          </c:marker>
          <c:dLbls>
            <c:dLbl>
              <c:idx val="0"/>
              <c:layout>
                <c:manualLayout>
                  <c:x val="-5.2777777777777764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2777777777777778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000000000000051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6111111111111108E-2"/>
                  <c:y val="-3.703703703703699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888888888888888E-2"/>
                  <c:y val="-4.629629629629633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6666666666666666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6111111111111108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1111111111111109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888888888888889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9999999999999899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Hoja1!$D$182:$P$183</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2012p</c:v>
                </c:pt>
                <c:pt idx="12">
                  <c:v>2013pr</c:v>
                </c:pt>
              </c:strCache>
            </c:strRef>
          </c:cat>
          <c:val>
            <c:numRef>
              <c:f>Hoja1!$D$188:$P$188</c:f>
              <c:numCache>
                <c:formatCode>0.0</c:formatCode>
                <c:ptCount val="13"/>
                <c:pt idx="0">
                  <c:v>1.6778983077036571</c:v>
                </c:pt>
                <c:pt idx="1">
                  <c:v>2.5039804654986</c:v>
                </c:pt>
                <c:pt idx="2">
                  <c:v>3.9182719036083</c:v>
                </c:pt>
                <c:pt idx="3">
                  <c:v>5.3330220674539248</c:v>
                </c:pt>
                <c:pt idx="4">
                  <c:v>4.7065559338311829</c:v>
                </c:pt>
                <c:pt idx="5">
                  <c:v>6.6975152577052768</c:v>
                </c:pt>
                <c:pt idx="6">
                  <c:v>6.9006276554122223</c:v>
                </c:pt>
                <c:pt idx="7">
                  <c:v>3.5468048857810714</c:v>
                </c:pt>
                <c:pt idx="8">
                  <c:v>1.6515492452905391</c:v>
                </c:pt>
                <c:pt idx="9">
                  <c:v>3.9718007047375039</c:v>
                </c:pt>
                <c:pt idx="10">
                  <c:v>6.5895115155711608</c:v>
                </c:pt>
                <c:pt idx="11">
                  <c:v>4.0490258032869377</c:v>
                </c:pt>
                <c:pt idx="12">
                  <c:v>4.6780334803558219</c:v>
                </c:pt>
              </c:numCache>
            </c:numRef>
          </c:val>
          <c:smooth val="0"/>
        </c:ser>
        <c:dLbls>
          <c:showLegendKey val="0"/>
          <c:showVal val="0"/>
          <c:showCatName val="0"/>
          <c:showSerName val="0"/>
          <c:showPercent val="0"/>
          <c:showBubbleSize val="0"/>
        </c:dLbls>
        <c:marker val="1"/>
        <c:smooth val="0"/>
        <c:axId val="561044864"/>
        <c:axId val="557227008"/>
      </c:lineChart>
      <c:catAx>
        <c:axId val="561044864"/>
        <c:scaling>
          <c:orientation val="minMax"/>
        </c:scaling>
        <c:delete val="0"/>
        <c:axPos val="b"/>
        <c:numFmt formatCode="General" sourceLinked="0"/>
        <c:majorTickMark val="out"/>
        <c:minorTickMark val="none"/>
        <c:tickLblPos val="nextTo"/>
        <c:txPr>
          <a:bodyPr rot="-5400000" vert="horz"/>
          <a:lstStyle/>
          <a:p>
            <a:pPr>
              <a:defRPr/>
            </a:pPr>
            <a:endParaRPr lang="es-CO"/>
          </a:p>
        </c:txPr>
        <c:crossAx val="557227008"/>
        <c:crosses val="autoZero"/>
        <c:auto val="1"/>
        <c:lblAlgn val="ctr"/>
        <c:lblOffset val="100"/>
        <c:noMultiLvlLbl val="0"/>
      </c:catAx>
      <c:valAx>
        <c:axId val="557227008"/>
        <c:scaling>
          <c:orientation val="minMax"/>
        </c:scaling>
        <c:delete val="0"/>
        <c:axPos val="l"/>
        <c:numFmt formatCode="0.0" sourceLinked="1"/>
        <c:majorTickMark val="out"/>
        <c:minorTickMark val="none"/>
        <c:tickLblPos val="nextTo"/>
        <c:crossAx val="561044864"/>
        <c:crosses val="autoZero"/>
        <c:crossBetween val="between"/>
      </c:valAx>
    </c:plotArea>
    <c:legend>
      <c:legendPos val="r"/>
      <c:layout>
        <c:manualLayout>
          <c:xMode val="edge"/>
          <c:yMode val="edge"/>
          <c:x val="0.13419378827646544"/>
          <c:y val="0.87461614173228341"/>
          <c:w val="0.86580621172353456"/>
          <c:h val="0.11650845727617382"/>
        </c:manualLayout>
      </c:layout>
      <c:overlay val="0"/>
      <c:txPr>
        <a:bodyPr/>
        <a:lstStyle/>
        <a:p>
          <a:pPr>
            <a:defRPr sz="900">
              <a:latin typeface="Times New Roman" panose="02020603050405020304" pitchFamily="18" charset="0"/>
              <a:cs typeface="Times New Roman" panose="02020603050405020304" pitchFamily="18" charset="0"/>
            </a:defRPr>
          </a:pPr>
          <a:endParaRPr lang="es-CO"/>
        </a:p>
      </c:txPr>
    </c:legend>
    <c:plotVisOnly val="1"/>
    <c:dispBlanksAs val="gap"/>
    <c:showDLblsOverMax val="0"/>
  </c:chart>
  <c:txPr>
    <a:bodyPr/>
    <a:lstStyle/>
    <a:p>
      <a:pPr>
        <a:defRPr>
          <a:latin typeface="Arial Narrow" panose="020B0606020202030204" pitchFamily="34" charset="0"/>
        </a:defRPr>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2330968149036448"/>
          <c:y val="3.1674512297196401E-2"/>
          <c:w val="0.77608165292753073"/>
          <c:h val="0.74580882974921181"/>
        </c:manualLayout>
      </c:layout>
      <c:bar3DChart>
        <c:barDir val="bar"/>
        <c:grouping val="clustered"/>
        <c:varyColors val="0"/>
        <c:ser>
          <c:idx val="0"/>
          <c:order val="0"/>
          <c:tx>
            <c:strRef>
              <c:f>Hoja1!$H$52</c:f>
              <c:strCache>
                <c:ptCount val="1"/>
                <c:pt idx="0">
                  <c:v>2012</c:v>
                </c:pt>
              </c:strCache>
            </c:strRef>
          </c:tx>
          <c:invertIfNegative val="0"/>
          <c:dLbls>
            <c:dLbl>
              <c:idx val="0"/>
              <c:layout>
                <c:manualLayout>
                  <c:x val="3.8161373075615998E-2"/>
                  <c:y val="-1.8670381765116404E-2"/>
                </c:manualLayout>
              </c:layout>
              <c:showLegendKey val="0"/>
              <c:showVal val="1"/>
              <c:showCatName val="0"/>
              <c:showSerName val="0"/>
              <c:showPercent val="0"/>
              <c:showBubbleSize val="0"/>
            </c:dLbl>
            <c:dLbl>
              <c:idx val="1"/>
              <c:layout>
                <c:manualLayout>
                  <c:x val="2.5396825396825397E-2"/>
                  <c:y val="-2.3445455532278302E-2"/>
                </c:manualLayout>
              </c:layout>
              <c:showLegendKey val="0"/>
              <c:showVal val="1"/>
              <c:showCatName val="0"/>
              <c:showSerName val="0"/>
              <c:showPercent val="0"/>
              <c:showBubbleSize val="0"/>
            </c:dLbl>
            <c:txPr>
              <a:bodyPr/>
              <a:lstStyle/>
              <a:p>
                <a:pPr>
                  <a:defRPr sz="800"/>
                </a:pPr>
                <a:endParaRPr lang="es-CO"/>
              </a:p>
            </c:txPr>
            <c:showLegendKey val="0"/>
            <c:showVal val="1"/>
            <c:showCatName val="0"/>
            <c:showSerName val="0"/>
            <c:showPercent val="0"/>
            <c:showBubbleSize val="0"/>
            <c:showLeaderLines val="0"/>
          </c:dLbls>
          <c:cat>
            <c:strRef>
              <c:f>Hoja1!$I$51:$J$51</c:f>
              <c:strCache>
                <c:ptCount val="2"/>
                <c:pt idx="0">
                  <c:v>Quindío</c:v>
                </c:pt>
                <c:pt idx="1">
                  <c:v>Nacional</c:v>
                </c:pt>
              </c:strCache>
            </c:strRef>
          </c:cat>
          <c:val>
            <c:numRef>
              <c:f>Hoja1!$I$52:$J$52</c:f>
              <c:numCache>
                <c:formatCode>General</c:formatCode>
                <c:ptCount val="2"/>
                <c:pt idx="0">
                  <c:v>38.9</c:v>
                </c:pt>
                <c:pt idx="1">
                  <c:v>32.700000000000003</c:v>
                </c:pt>
              </c:numCache>
            </c:numRef>
          </c:val>
        </c:ser>
        <c:ser>
          <c:idx val="1"/>
          <c:order val="1"/>
          <c:tx>
            <c:strRef>
              <c:f>Hoja1!$H$53</c:f>
              <c:strCache>
                <c:ptCount val="1"/>
                <c:pt idx="0">
                  <c:v>2013</c:v>
                </c:pt>
              </c:strCache>
            </c:strRef>
          </c:tx>
          <c:invertIfNegative val="0"/>
          <c:dLbls>
            <c:dLbl>
              <c:idx val="0"/>
              <c:layout>
                <c:manualLayout>
                  <c:x val="2.8571428571428636E-2"/>
                  <c:y val="-3.2823637745189656E-2"/>
                </c:manualLayout>
              </c:layout>
              <c:showLegendKey val="0"/>
              <c:showVal val="1"/>
              <c:showCatName val="0"/>
              <c:showSerName val="0"/>
              <c:showPercent val="0"/>
              <c:showBubbleSize val="0"/>
            </c:dLbl>
            <c:dLbl>
              <c:idx val="1"/>
              <c:layout>
                <c:manualLayout>
                  <c:x val="2.8571428571428591E-2"/>
                  <c:y val="-2.8134546638733961E-2"/>
                </c:manualLayout>
              </c:layout>
              <c:showLegendKey val="0"/>
              <c:showVal val="1"/>
              <c:showCatName val="0"/>
              <c:showSerName val="0"/>
              <c:showPercent val="0"/>
              <c:showBubbleSize val="0"/>
            </c:dLbl>
            <c:txPr>
              <a:bodyPr/>
              <a:lstStyle/>
              <a:p>
                <a:pPr>
                  <a:defRPr sz="800"/>
                </a:pPr>
                <a:endParaRPr lang="es-CO"/>
              </a:p>
            </c:txPr>
            <c:showLegendKey val="0"/>
            <c:showVal val="1"/>
            <c:showCatName val="0"/>
            <c:showSerName val="0"/>
            <c:showPercent val="0"/>
            <c:showBubbleSize val="0"/>
            <c:showLeaderLines val="0"/>
          </c:dLbls>
          <c:cat>
            <c:strRef>
              <c:f>Hoja1!$I$51:$J$51</c:f>
              <c:strCache>
                <c:ptCount val="2"/>
                <c:pt idx="0">
                  <c:v>Quindío</c:v>
                </c:pt>
                <c:pt idx="1">
                  <c:v>Nacional</c:v>
                </c:pt>
              </c:strCache>
            </c:strRef>
          </c:cat>
          <c:val>
            <c:numRef>
              <c:f>Hoja1!$I$53:$J$53</c:f>
              <c:numCache>
                <c:formatCode>General</c:formatCode>
                <c:ptCount val="2"/>
                <c:pt idx="0">
                  <c:v>35.6</c:v>
                </c:pt>
                <c:pt idx="1">
                  <c:v>30.6</c:v>
                </c:pt>
              </c:numCache>
            </c:numRef>
          </c:val>
        </c:ser>
        <c:dLbls>
          <c:showLegendKey val="0"/>
          <c:showVal val="0"/>
          <c:showCatName val="0"/>
          <c:showSerName val="0"/>
          <c:showPercent val="0"/>
          <c:showBubbleSize val="0"/>
        </c:dLbls>
        <c:gapWidth val="150"/>
        <c:shape val="box"/>
        <c:axId val="189978880"/>
        <c:axId val="189984768"/>
        <c:axId val="0"/>
      </c:bar3DChart>
      <c:catAx>
        <c:axId val="189978880"/>
        <c:scaling>
          <c:orientation val="minMax"/>
        </c:scaling>
        <c:delete val="0"/>
        <c:axPos val="l"/>
        <c:majorTickMark val="none"/>
        <c:minorTickMark val="none"/>
        <c:tickLblPos val="nextTo"/>
        <c:crossAx val="189984768"/>
        <c:crossesAt val="0"/>
        <c:auto val="1"/>
        <c:lblAlgn val="ctr"/>
        <c:lblOffset val="100"/>
        <c:noMultiLvlLbl val="0"/>
      </c:catAx>
      <c:valAx>
        <c:axId val="189984768"/>
        <c:scaling>
          <c:orientation val="minMax"/>
        </c:scaling>
        <c:delete val="0"/>
        <c:axPos val="b"/>
        <c:numFmt formatCode="#,##0.0" sourceLinked="0"/>
        <c:majorTickMark val="none"/>
        <c:minorTickMark val="none"/>
        <c:tickLblPos val="nextTo"/>
        <c:txPr>
          <a:bodyPr/>
          <a:lstStyle/>
          <a:p>
            <a:pPr>
              <a:defRPr sz="800"/>
            </a:pPr>
            <a:endParaRPr lang="es-CO"/>
          </a:p>
        </c:txPr>
        <c:crossAx val="189978880"/>
        <c:crosses val="autoZero"/>
        <c:crossBetween val="between"/>
      </c:valAx>
    </c:plotArea>
    <c:legend>
      <c:legendPos val="r"/>
      <c:layout>
        <c:manualLayout>
          <c:xMode val="edge"/>
          <c:yMode val="edge"/>
          <c:x val="0.19945993107621815"/>
          <c:y val="0.89174143043349008"/>
          <c:w val="0.64527625897357066"/>
          <c:h val="8.0588055536292225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704049323121408"/>
          <c:y val="3.0428769017980636E-2"/>
          <c:w val="0.87295950676878586"/>
          <c:h val="0.62999705949619367"/>
        </c:manualLayout>
      </c:layout>
      <c:bar3DChart>
        <c:barDir val="col"/>
        <c:grouping val="clustered"/>
        <c:varyColors val="0"/>
        <c:ser>
          <c:idx val="0"/>
          <c:order val="0"/>
          <c:tx>
            <c:strRef>
              <c:f>Hoja1!$A$270</c:f>
              <c:strCache>
                <c:ptCount val="1"/>
                <c:pt idx="0">
                  <c:v>Bogotá D. C.</c:v>
                </c:pt>
              </c:strCache>
            </c:strRef>
          </c:tx>
          <c:invertIfNegative val="0"/>
          <c:cat>
            <c:strRef>
              <c:f>Hoja1!$B$269:$J$269</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Hoja1!$B$270:$J$270</c:f>
              <c:numCache>
                <c:formatCode>0.0</c:formatCode>
                <c:ptCount val="9"/>
                <c:pt idx="0">
                  <c:v>0</c:v>
                </c:pt>
                <c:pt idx="1">
                  <c:v>0.22753715389420953</c:v>
                </c:pt>
                <c:pt idx="2">
                  <c:v>8.8246588375545212</c:v>
                </c:pt>
                <c:pt idx="3">
                  <c:v>2.6479134785673755</c:v>
                </c:pt>
                <c:pt idx="4">
                  <c:v>6.3813568550582591</c:v>
                </c:pt>
                <c:pt idx="5">
                  <c:v>14.208176435862608</c:v>
                </c:pt>
                <c:pt idx="6">
                  <c:v>6.6902800942244527</c:v>
                </c:pt>
                <c:pt idx="7">
                  <c:v>33.219278185663441</c:v>
                </c:pt>
                <c:pt idx="8">
                  <c:v>18.210996291774848</c:v>
                </c:pt>
              </c:numCache>
            </c:numRef>
          </c:val>
        </c:ser>
        <c:ser>
          <c:idx val="1"/>
          <c:order val="1"/>
          <c:tx>
            <c:strRef>
              <c:f>Hoja1!$A$271</c:f>
              <c:strCache>
                <c:ptCount val="1"/>
                <c:pt idx="0">
                  <c:v>Antioquia</c:v>
                </c:pt>
              </c:strCache>
            </c:strRef>
          </c:tx>
          <c:invertIfNegative val="0"/>
          <c:cat>
            <c:strRef>
              <c:f>Hoja1!$B$269:$J$269</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Hoja1!$B$271:$J$271</c:f>
              <c:numCache>
                <c:formatCode>0.0</c:formatCode>
                <c:ptCount val="9"/>
                <c:pt idx="0">
                  <c:v>5.4978097452814882</c:v>
                </c:pt>
                <c:pt idx="1">
                  <c:v>3.5130604077659404</c:v>
                </c:pt>
                <c:pt idx="2">
                  <c:v>12.465523768319724</c:v>
                </c:pt>
                <c:pt idx="3">
                  <c:v>5.2144286409604677</c:v>
                </c:pt>
                <c:pt idx="4">
                  <c:v>10.005948839976204</c:v>
                </c:pt>
                <c:pt idx="5">
                  <c:v>13.143691525607052</c:v>
                </c:pt>
                <c:pt idx="6">
                  <c:v>5.4145259856146231</c:v>
                </c:pt>
                <c:pt idx="7">
                  <c:v>21.573738575523226</c:v>
                </c:pt>
                <c:pt idx="8">
                  <c:v>14.310745768211564</c:v>
                </c:pt>
              </c:numCache>
            </c:numRef>
          </c:val>
        </c:ser>
        <c:ser>
          <c:idx val="2"/>
          <c:order val="2"/>
          <c:tx>
            <c:strRef>
              <c:f>Hoja1!$A$272</c:f>
              <c:strCache>
                <c:ptCount val="1"/>
                <c:pt idx="0">
                  <c:v>Valle</c:v>
                </c:pt>
              </c:strCache>
            </c:strRef>
          </c:tx>
          <c:invertIfNegative val="0"/>
          <c:cat>
            <c:strRef>
              <c:f>Hoja1!$B$269:$J$269</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Hoja1!$B$272:$J$272</c:f>
              <c:numCache>
                <c:formatCode>0.0</c:formatCode>
                <c:ptCount val="9"/>
                <c:pt idx="0">
                  <c:v>4.5449032805772847</c:v>
                </c:pt>
                <c:pt idx="1">
                  <c:v>0.29713176884361164</c:v>
                </c:pt>
                <c:pt idx="2">
                  <c:v>15.27954641925899</c:v>
                </c:pt>
                <c:pt idx="3">
                  <c:v>3.7656903765690379</c:v>
                </c:pt>
                <c:pt idx="4">
                  <c:v>6.9825965678248743</c:v>
                </c:pt>
                <c:pt idx="5">
                  <c:v>11.776120308046814</c:v>
                </c:pt>
                <c:pt idx="6">
                  <c:v>6.2170274695288334</c:v>
                </c:pt>
                <c:pt idx="7">
                  <c:v>26.246134255048208</c:v>
                </c:pt>
                <c:pt idx="8">
                  <c:v>15.182523800861075</c:v>
                </c:pt>
              </c:numCache>
            </c:numRef>
          </c:val>
        </c:ser>
        <c:ser>
          <c:idx val="3"/>
          <c:order val="3"/>
          <c:tx>
            <c:strRef>
              <c:f>Hoja1!$A$273</c:f>
              <c:strCache>
                <c:ptCount val="1"/>
                <c:pt idx="0">
                  <c:v>Santander</c:v>
                </c:pt>
              </c:strCache>
            </c:strRef>
          </c:tx>
          <c:invertIfNegative val="0"/>
          <c:cat>
            <c:strRef>
              <c:f>Hoja1!$B$269:$J$269</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Hoja1!$B$273:$J$273</c:f>
              <c:numCache>
                <c:formatCode>0.0</c:formatCode>
                <c:ptCount val="9"/>
                <c:pt idx="0">
                  <c:v>4.9331568751558388</c:v>
                </c:pt>
                <c:pt idx="1">
                  <c:v>6.7610334311525406</c:v>
                </c:pt>
                <c:pt idx="2">
                  <c:v>24.266835452749486</c:v>
                </c:pt>
                <c:pt idx="3">
                  <c:v>1.9717283311276064</c:v>
                </c:pt>
                <c:pt idx="4">
                  <c:v>14.500258933195237</c:v>
                </c:pt>
                <c:pt idx="5">
                  <c:v>7.6298981529432073</c:v>
                </c:pt>
                <c:pt idx="6">
                  <c:v>4.5994207568521395</c:v>
                </c:pt>
                <c:pt idx="7">
                  <c:v>10.938488980954025</c:v>
                </c:pt>
                <c:pt idx="8">
                  <c:v>8.767286188311564</c:v>
                </c:pt>
              </c:numCache>
            </c:numRef>
          </c:val>
        </c:ser>
        <c:ser>
          <c:idx val="4"/>
          <c:order val="4"/>
          <c:tx>
            <c:strRef>
              <c:f>Hoja1!$A$274</c:f>
              <c:strCache>
                <c:ptCount val="1"/>
                <c:pt idx="0">
                  <c:v>Meta</c:v>
                </c:pt>
              </c:strCache>
            </c:strRef>
          </c:tx>
          <c:invertIfNegative val="0"/>
          <c:cat>
            <c:strRef>
              <c:f>Hoja1!$B$269:$J$269</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Hoja1!$B$274:$J$274</c:f>
              <c:numCache>
                <c:formatCode>0.0</c:formatCode>
                <c:ptCount val="9"/>
                <c:pt idx="0">
                  <c:v>5.5010428517254457</c:v>
                </c:pt>
                <c:pt idx="1">
                  <c:v>69.911357603337123</c:v>
                </c:pt>
                <c:pt idx="2">
                  <c:v>1.6946340538490707</c:v>
                </c:pt>
                <c:pt idx="3">
                  <c:v>0.84613196814562008</c:v>
                </c:pt>
                <c:pt idx="4">
                  <c:v>6.5865566932119837</c:v>
                </c:pt>
                <c:pt idx="5">
                  <c:v>3.2091391733029959</c:v>
                </c:pt>
                <c:pt idx="6">
                  <c:v>2.1402161547212741</c:v>
                </c:pt>
                <c:pt idx="7">
                  <c:v>3.2731323473644292</c:v>
                </c:pt>
                <c:pt idx="8">
                  <c:v>5.3588357982555932</c:v>
                </c:pt>
              </c:numCache>
            </c:numRef>
          </c:val>
        </c:ser>
        <c:ser>
          <c:idx val="5"/>
          <c:order val="5"/>
          <c:tx>
            <c:strRef>
              <c:f>Hoja1!$A$275</c:f>
              <c:strCache>
                <c:ptCount val="1"/>
                <c:pt idx="0">
                  <c:v>Cundinamarca</c:v>
                </c:pt>
              </c:strCache>
            </c:strRef>
          </c:tx>
          <c:invertIfNegative val="0"/>
          <c:cat>
            <c:strRef>
              <c:f>Hoja1!$B$269:$J$269</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Hoja1!$B$275:$J$275</c:f>
              <c:numCache>
                <c:formatCode>0.0</c:formatCode>
                <c:ptCount val="9"/>
                <c:pt idx="0">
                  <c:v>11.78982860354032</c:v>
                </c:pt>
                <c:pt idx="1">
                  <c:v>1.3346445630795167</c:v>
                </c:pt>
                <c:pt idx="2">
                  <c:v>20.488901376791233</c:v>
                </c:pt>
                <c:pt idx="3">
                  <c:v>5.2908120258499576</c:v>
                </c:pt>
                <c:pt idx="4">
                  <c:v>7.032874402922169</c:v>
                </c:pt>
                <c:pt idx="5">
                  <c:v>12.219724641753302</c:v>
                </c:pt>
                <c:pt idx="6">
                  <c:v>5.3751053666760331</c:v>
                </c:pt>
                <c:pt idx="7">
                  <c:v>9.6122506322000554</c:v>
                </c:pt>
                <c:pt idx="8">
                  <c:v>14.13880303456027</c:v>
                </c:pt>
              </c:numCache>
            </c:numRef>
          </c:val>
        </c:ser>
        <c:ser>
          <c:idx val="6"/>
          <c:order val="6"/>
          <c:tx>
            <c:strRef>
              <c:f>Hoja1!$A$276</c:f>
              <c:strCache>
                <c:ptCount val="1"/>
                <c:pt idx="0">
                  <c:v>Bolívar</c:v>
                </c:pt>
              </c:strCache>
            </c:strRef>
          </c:tx>
          <c:invertIfNegative val="0"/>
          <c:cat>
            <c:strRef>
              <c:f>Hoja1!$B$269:$J$269</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Hoja1!$B$276:$J$276</c:f>
              <c:numCache>
                <c:formatCode>0.0</c:formatCode>
                <c:ptCount val="9"/>
                <c:pt idx="0">
                  <c:v>5.2536934522760124</c:v>
                </c:pt>
                <c:pt idx="1">
                  <c:v>4.0055005112654705</c:v>
                </c:pt>
                <c:pt idx="2">
                  <c:v>21.734071436127074</c:v>
                </c:pt>
                <c:pt idx="3">
                  <c:v>2.9618137583301012</c:v>
                </c:pt>
                <c:pt idx="4">
                  <c:v>11.54402171996756</c:v>
                </c:pt>
                <c:pt idx="5">
                  <c:v>8.896019181270054</c:v>
                </c:pt>
                <c:pt idx="6">
                  <c:v>6.0258806106977891</c:v>
                </c:pt>
                <c:pt idx="7">
                  <c:v>10.595536123549945</c:v>
                </c:pt>
                <c:pt idx="8">
                  <c:v>13.751278163675471</c:v>
                </c:pt>
              </c:numCache>
            </c:numRef>
          </c:val>
        </c:ser>
        <c:ser>
          <c:idx val="7"/>
          <c:order val="7"/>
          <c:tx>
            <c:strRef>
              <c:f>Hoja1!$A$277</c:f>
              <c:strCache>
                <c:ptCount val="1"/>
                <c:pt idx="0">
                  <c:v>Atlántico</c:v>
                </c:pt>
              </c:strCache>
            </c:strRef>
          </c:tx>
          <c:invertIfNegative val="0"/>
          <c:cat>
            <c:strRef>
              <c:f>Hoja1!$B$269:$J$269</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Hoja1!$B$277:$J$277</c:f>
              <c:numCache>
                <c:formatCode>0.0</c:formatCode>
                <c:ptCount val="9"/>
                <c:pt idx="0">
                  <c:v>1.8716677230528316</c:v>
                </c:pt>
                <c:pt idx="1">
                  <c:v>0.3206442712799672</c:v>
                </c:pt>
                <c:pt idx="2">
                  <c:v>13.433503597926997</c:v>
                </c:pt>
                <c:pt idx="3">
                  <c:v>6.6626896834569935</c:v>
                </c:pt>
                <c:pt idx="4">
                  <c:v>9.0898922486111626</c:v>
                </c:pt>
                <c:pt idx="5">
                  <c:v>13.526714141903732</c:v>
                </c:pt>
                <c:pt idx="6">
                  <c:v>7.5686961709108536</c:v>
                </c:pt>
                <c:pt idx="7">
                  <c:v>20.245330151746764</c:v>
                </c:pt>
                <c:pt idx="8">
                  <c:v>16.878565303307109</c:v>
                </c:pt>
              </c:numCache>
            </c:numRef>
          </c:val>
        </c:ser>
        <c:ser>
          <c:idx val="8"/>
          <c:order val="8"/>
          <c:tx>
            <c:strRef>
              <c:f>Hoja1!$A$278</c:f>
              <c:strCache>
                <c:ptCount val="1"/>
                <c:pt idx="0">
                  <c:v>Colombia</c:v>
                </c:pt>
              </c:strCache>
            </c:strRef>
          </c:tx>
          <c:invertIfNegative val="0"/>
          <c:cat>
            <c:strRef>
              <c:f>Hoja1!$B$269:$J$269</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Hoja1!$B$278:$J$278</c:f>
              <c:numCache>
                <c:formatCode>0.0</c:formatCode>
                <c:ptCount val="9"/>
                <c:pt idx="0">
                  <c:v>5.591386597697606</c:v>
                </c:pt>
                <c:pt idx="1">
                  <c:v>10.702129735554182</c:v>
                </c:pt>
                <c:pt idx="2">
                  <c:v>11.246689301264039</c:v>
                </c:pt>
                <c:pt idx="3">
                  <c:v>3.3864223525369179</c:v>
                </c:pt>
                <c:pt idx="4">
                  <c:v>8.6554002746130045</c:v>
                </c:pt>
                <c:pt idx="5">
                  <c:v>11.381591878695149</c:v>
                </c:pt>
                <c:pt idx="6">
                  <c:v>5.6666152886759606</c:v>
                </c:pt>
                <c:pt idx="7">
                  <c:v>18.778042837931665</c:v>
                </c:pt>
                <c:pt idx="8">
                  <c:v>15.950462189805382</c:v>
                </c:pt>
              </c:numCache>
            </c:numRef>
          </c:val>
        </c:ser>
        <c:dLbls>
          <c:showLegendKey val="0"/>
          <c:showVal val="0"/>
          <c:showCatName val="0"/>
          <c:showSerName val="0"/>
          <c:showPercent val="0"/>
          <c:showBubbleSize val="0"/>
        </c:dLbls>
        <c:gapWidth val="150"/>
        <c:shape val="box"/>
        <c:axId val="560924160"/>
        <c:axId val="560925696"/>
        <c:axId val="0"/>
      </c:bar3DChart>
      <c:catAx>
        <c:axId val="560924160"/>
        <c:scaling>
          <c:orientation val="minMax"/>
        </c:scaling>
        <c:delete val="0"/>
        <c:axPos val="b"/>
        <c:numFmt formatCode="General" sourceLinked="0"/>
        <c:majorTickMark val="none"/>
        <c:minorTickMark val="none"/>
        <c:tickLblPos val="nextTo"/>
        <c:crossAx val="560925696"/>
        <c:crosses val="autoZero"/>
        <c:auto val="1"/>
        <c:lblAlgn val="ctr"/>
        <c:lblOffset val="100"/>
        <c:noMultiLvlLbl val="0"/>
      </c:catAx>
      <c:valAx>
        <c:axId val="560925696"/>
        <c:scaling>
          <c:orientation val="minMax"/>
        </c:scaling>
        <c:delete val="0"/>
        <c:axPos val="l"/>
        <c:title>
          <c:tx>
            <c:rich>
              <a:bodyPr/>
              <a:lstStyle/>
              <a:p>
                <a:pPr>
                  <a:defRPr/>
                </a:pPr>
                <a:r>
                  <a:rPr lang="en-US"/>
                  <a:t>Participación %</a:t>
                </a:r>
              </a:p>
            </c:rich>
          </c:tx>
          <c:layout>
            <c:manualLayout>
              <c:xMode val="edge"/>
              <c:yMode val="edge"/>
              <c:x val="3.9730124781443284E-2"/>
              <c:y val="0.27377680487034556"/>
            </c:manualLayout>
          </c:layout>
          <c:overlay val="0"/>
        </c:title>
        <c:numFmt formatCode="0.0" sourceLinked="1"/>
        <c:majorTickMark val="none"/>
        <c:minorTickMark val="none"/>
        <c:tickLblPos val="nextTo"/>
        <c:crossAx val="560924160"/>
        <c:crosses val="autoZero"/>
        <c:crossBetween val="between"/>
      </c:valAx>
      <c:dTable>
        <c:showHorzBorder val="1"/>
        <c:showVertBorder val="1"/>
        <c:showOutline val="1"/>
        <c:showKeys val="1"/>
        <c:txPr>
          <a:bodyPr/>
          <a:lstStyle/>
          <a:p>
            <a:pPr rtl="0">
              <a:defRPr sz="700"/>
            </a:pPr>
            <a:endParaRPr lang="es-CO"/>
          </a:p>
        </c:txPr>
      </c:dTable>
    </c:plotArea>
    <c:plotVisOnly val="1"/>
    <c:dispBlanksAs val="gap"/>
    <c:showDLblsOverMax val="0"/>
  </c:chart>
  <c:txPr>
    <a:bodyPr/>
    <a:lstStyle/>
    <a:p>
      <a:pPr>
        <a:defRPr sz="6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336892770685234"/>
          <c:y val="5.1400554097404488E-2"/>
          <c:w val="0.89663107229314765"/>
          <c:h val="0.69270531963110027"/>
        </c:manualLayout>
      </c:layout>
      <c:bar3DChart>
        <c:barDir val="col"/>
        <c:grouping val="clustered"/>
        <c:varyColors val="0"/>
        <c:ser>
          <c:idx val="0"/>
          <c:order val="0"/>
          <c:tx>
            <c:strRef>
              <c:f>Hoja1!$A$312</c:f>
              <c:strCache>
                <c:ptCount val="1"/>
                <c:pt idx="0">
                  <c:v>Caldas</c:v>
                </c:pt>
              </c:strCache>
            </c:strRef>
          </c:tx>
          <c:invertIfNegative val="0"/>
          <c:cat>
            <c:strRef>
              <c:f>Hoja1!$B$311:$J$311</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Hoja1!$B$312:$J$312</c:f>
              <c:numCache>
                <c:formatCode>0.0</c:formatCode>
                <c:ptCount val="9"/>
                <c:pt idx="0">
                  <c:v>10.361777428234369</c:v>
                </c:pt>
                <c:pt idx="1">
                  <c:v>1.1502162799842706</c:v>
                </c:pt>
                <c:pt idx="2">
                  <c:v>12.111679119150608</c:v>
                </c:pt>
                <c:pt idx="3">
                  <c:v>5.7904050334250883</c:v>
                </c:pt>
                <c:pt idx="4">
                  <c:v>10.607550137632717</c:v>
                </c:pt>
                <c:pt idx="5">
                  <c:v>10.322453794730633</c:v>
                </c:pt>
                <c:pt idx="6">
                  <c:v>5.9083759339362958</c:v>
                </c:pt>
                <c:pt idx="7">
                  <c:v>16.515926071569012</c:v>
                </c:pt>
                <c:pt idx="8">
                  <c:v>19.278411325206449</c:v>
                </c:pt>
              </c:numCache>
            </c:numRef>
          </c:val>
        </c:ser>
        <c:ser>
          <c:idx val="1"/>
          <c:order val="1"/>
          <c:tx>
            <c:strRef>
              <c:f>Hoja1!$A$313</c:f>
              <c:strCache>
                <c:ptCount val="1"/>
                <c:pt idx="0">
                  <c:v>Quindío</c:v>
                </c:pt>
              </c:strCache>
            </c:strRef>
          </c:tx>
          <c:invertIfNegative val="0"/>
          <c:cat>
            <c:strRef>
              <c:f>Hoja1!$B$311:$J$311</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Hoja1!$B$313:$J$313</c:f>
              <c:numCache>
                <c:formatCode>0.0</c:formatCode>
                <c:ptCount val="9"/>
                <c:pt idx="0">
                  <c:v>13.864362201765919</c:v>
                </c:pt>
                <c:pt idx="1">
                  <c:v>0.60116475671613756</c:v>
                </c:pt>
                <c:pt idx="2">
                  <c:v>6.3685891414615821</c:v>
                </c:pt>
                <c:pt idx="3">
                  <c:v>3.1561149727597222</c:v>
                </c:pt>
                <c:pt idx="4">
                  <c:v>15.442419688145783</c:v>
                </c:pt>
                <c:pt idx="5">
                  <c:v>15.310914897614127</c:v>
                </c:pt>
                <c:pt idx="6">
                  <c:v>5.8613563779823412</c:v>
                </c:pt>
                <c:pt idx="7">
                  <c:v>12.586887093744128</c:v>
                </c:pt>
                <c:pt idx="8">
                  <c:v>21.322562464775501</c:v>
                </c:pt>
              </c:numCache>
            </c:numRef>
          </c:val>
        </c:ser>
        <c:ser>
          <c:idx val="2"/>
          <c:order val="2"/>
          <c:tx>
            <c:strRef>
              <c:f>Hoja1!$A$314</c:f>
              <c:strCache>
                <c:ptCount val="1"/>
                <c:pt idx="0">
                  <c:v>Risaralda</c:v>
                </c:pt>
              </c:strCache>
            </c:strRef>
          </c:tx>
          <c:invertIfNegative val="0"/>
          <c:cat>
            <c:strRef>
              <c:f>Hoja1!$B$311:$J$311</c:f>
              <c:strCache>
                <c:ptCount val="9"/>
                <c:pt idx="0">
                  <c:v>Agropecuario</c:v>
                </c:pt>
                <c:pt idx="1">
                  <c:v>Minería</c:v>
                </c:pt>
                <c:pt idx="2">
                  <c:v>Industria</c:v>
                </c:pt>
                <c:pt idx="3">
                  <c:v>Servicios Públicos</c:v>
                </c:pt>
                <c:pt idx="4">
                  <c:v>Construcción</c:v>
                </c:pt>
                <c:pt idx="5">
                  <c:v>Comercio</c:v>
                </c:pt>
                <c:pt idx="6">
                  <c:v>Transporte</c:v>
                </c:pt>
                <c:pt idx="7">
                  <c:v>Financieros</c:v>
                </c:pt>
                <c:pt idx="8">
                  <c:v>Servicios</c:v>
                </c:pt>
              </c:strCache>
            </c:strRef>
          </c:cat>
          <c:val>
            <c:numRef>
              <c:f>Hoja1!$B$314:$J$314</c:f>
              <c:numCache>
                <c:formatCode>0.0</c:formatCode>
                <c:ptCount val="9"/>
                <c:pt idx="0">
                  <c:v>8.126365984502284</c:v>
                </c:pt>
                <c:pt idx="1">
                  <c:v>0.55632823365785811</c:v>
                </c:pt>
                <c:pt idx="2">
                  <c:v>12.487581959070138</c:v>
                </c:pt>
                <c:pt idx="3">
                  <c:v>2.8412477647526324</c:v>
                </c:pt>
                <c:pt idx="4">
                  <c:v>10.878203854559905</c:v>
                </c:pt>
                <c:pt idx="5">
                  <c:v>12.249155573216768</c:v>
                </c:pt>
                <c:pt idx="6">
                  <c:v>6.8547585932843242</c:v>
                </c:pt>
                <c:pt idx="7">
                  <c:v>18.497913769123784</c:v>
                </c:pt>
                <c:pt idx="8">
                  <c:v>19.103914166501092</c:v>
                </c:pt>
              </c:numCache>
            </c:numRef>
          </c:val>
        </c:ser>
        <c:dLbls>
          <c:showLegendKey val="0"/>
          <c:showVal val="0"/>
          <c:showCatName val="0"/>
          <c:showSerName val="0"/>
          <c:showPercent val="0"/>
          <c:showBubbleSize val="0"/>
        </c:dLbls>
        <c:gapWidth val="150"/>
        <c:shape val="box"/>
        <c:axId val="560969984"/>
        <c:axId val="560971776"/>
        <c:axId val="0"/>
      </c:bar3DChart>
      <c:catAx>
        <c:axId val="560969984"/>
        <c:scaling>
          <c:orientation val="minMax"/>
        </c:scaling>
        <c:delete val="0"/>
        <c:axPos val="b"/>
        <c:numFmt formatCode="General" sourceLinked="0"/>
        <c:majorTickMark val="none"/>
        <c:minorTickMark val="none"/>
        <c:tickLblPos val="nextTo"/>
        <c:crossAx val="560971776"/>
        <c:crosses val="autoZero"/>
        <c:auto val="1"/>
        <c:lblAlgn val="ctr"/>
        <c:lblOffset val="100"/>
        <c:noMultiLvlLbl val="0"/>
      </c:catAx>
      <c:valAx>
        <c:axId val="560971776"/>
        <c:scaling>
          <c:orientation val="minMax"/>
        </c:scaling>
        <c:delete val="0"/>
        <c:axPos val="l"/>
        <c:title>
          <c:tx>
            <c:rich>
              <a:bodyPr/>
              <a:lstStyle/>
              <a:p>
                <a:pPr>
                  <a:defRPr b="0"/>
                </a:pPr>
                <a:r>
                  <a:rPr lang="en-US" b="0"/>
                  <a:t>Participación %</a:t>
                </a:r>
              </a:p>
            </c:rich>
          </c:tx>
          <c:layout>
            <c:manualLayout>
              <c:xMode val="edge"/>
              <c:yMode val="edge"/>
              <c:x val="2.2851761799391117E-2"/>
              <c:y val="0.33719645127678693"/>
            </c:manualLayout>
          </c:layout>
          <c:overlay val="0"/>
        </c:title>
        <c:numFmt formatCode="0.0" sourceLinked="1"/>
        <c:majorTickMark val="none"/>
        <c:minorTickMark val="none"/>
        <c:tickLblPos val="nextTo"/>
        <c:crossAx val="560969984"/>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21775693338879"/>
          <c:y val="5.0925925925925923E-2"/>
          <c:w val="0.8778224306661121"/>
          <c:h val="0.63778506853310002"/>
        </c:manualLayout>
      </c:layout>
      <c:bar3DChart>
        <c:barDir val="col"/>
        <c:grouping val="clustered"/>
        <c:varyColors val="0"/>
        <c:ser>
          <c:idx val="0"/>
          <c:order val="0"/>
          <c:invertIfNegative val="0"/>
          <c:dLbls>
            <c:dLbl>
              <c:idx val="10"/>
              <c:layout>
                <c:manualLayout>
                  <c:x val="-2.6715239829993929E-2"/>
                  <c:y val="1.3888888888888931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'Per capita'!$A$250:$A$268</c:f>
              <c:strCache>
                <c:ptCount val="19"/>
                <c:pt idx="0">
                  <c:v>Haití</c:v>
                </c:pt>
                <c:pt idx="1">
                  <c:v>Nicaragua</c:v>
                </c:pt>
                <c:pt idx="2">
                  <c:v>Honduras</c:v>
                </c:pt>
                <c:pt idx="3">
                  <c:v>Bolivia</c:v>
                </c:pt>
                <c:pt idx="4">
                  <c:v>Guatemala</c:v>
                </c:pt>
                <c:pt idx="5">
                  <c:v>El Salvador</c:v>
                </c:pt>
                <c:pt idx="6">
                  <c:v>Paraguay</c:v>
                </c:pt>
                <c:pt idx="7">
                  <c:v>Ecuador</c:v>
                </c:pt>
                <c:pt idx="8">
                  <c:v>Rep. Dominicana</c:v>
                </c:pt>
                <c:pt idx="9">
                  <c:v>Perú</c:v>
                </c:pt>
                <c:pt idx="10">
                  <c:v>COLOMBIA</c:v>
                </c:pt>
                <c:pt idx="11">
                  <c:v>Costa Rica</c:v>
                </c:pt>
                <c:pt idx="12">
                  <c:v>México</c:v>
                </c:pt>
                <c:pt idx="13">
                  <c:v>Panamá</c:v>
                </c:pt>
                <c:pt idx="14">
                  <c:v>Brasil</c:v>
                </c:pt>
                <c:pt idx="15">
                  <c:v>Venezuela</c:v>
                </c:pt>
                <c:pt idx="16">
                  <c:v>Argentina</c:v>
                </c:pt>
                <c:pt idx="17">
                  <c:v>Chile</c:v>
                </c:pt>
                <c:pt idx="18">
                  <c:v>Uruguay</c:v>
                </c:pt>
              </c:strCache>
            </c:strRef>
          </c:cat>
          <c:val>
            <c:numRef>
              <c:f>'Per capita'!$B$250:$B$268</c:f>
              <c:numCache>
                <c:formatCode>_("$"* #,##0.00_);_("$"* \(#,##0.00\);_("$"* "-"??_);_(@_)</c:formatCode>
                <c:ptCount val="19"/>
                <c:pt idx="0">
                  <c:v>819.90391432122385</c:v>
                </c:pt>
                <c:pt idx="1">
                  <c:v>1851.1114693216614</c:v>
                </c:pt>
                <c:pt idx="2">
                  <c:v>2290.7787133936131</c:v>
                </c:pt>
                <c:pt idx="3">
                  <c:v>2867.6397914388554</c:v>
                </c:pt>
                <c:pt idx="4">
                  <c:v>3477.8901679279043</c:v>
                </c:pt>
                <c:pt idx="5">
                  <c:v>3826.0824855759543</c:v>
                </c:pt>
                <c:pt idx="6">
                  <c:v>4402.7591593672778</c:v>
                </c:pt>
                <c:pt idx="7">
                  <c:v>5720.1799217912348</c:v>
                </c:pt>
                <c:pt idx="8">
                  <c:v>5826.1263383886235</c:v>
                </c:pt>
                <c:pt idx="9">
                  <c:v>6659.8064089689342</c:v>
                </c:pt>
                <c:pt idx="10">
                  <c:v>7825.678357565138</c:v>
                </c:pt>
                <c:pt idx="11">
                  <c:v>10184.605671508662</c:v>
                </c:pt>
                <c:pt idx="12">
                  <c:v>10307.283036091996</c:v>
                </c:pt>
                <c:pt idx="13">
                  <c:v>11036.807386838571</c:v>
                </c:pt>
                <c:pt idx="14">
                  <c:v>11208.082735049382</c:v>
                </c:pt>
                <c:pt idx="15">
                  <c:v>14414.753526092252</c:v>
                </c:pt>
                <c:pt idx="16">
                  <c:v>14760.204932556884</c:v>
                </c:pt>
                <c:pt idx="17">
                  <c:v>15732.313773690614</c:v>
                </c:pt>
                <c:pt idx="18">
                  <c:v>16350.728176212124</c:v>
                </c:pt>
              </c:numCache>
            </c:numRef>
          </c:val>
        </c:ser>
        <c:dLbls>
          <c:showLegendKey val="0"/>
          <c:showVal val="0"/>
          <c:showCatName val="0"/>
          <c:showSerName val="0"/>
          <c:showPercent val="0"/>
          <c:showBubbleSize val="0"/>
        </c:dLbls>
        <c:gapWidth val="150"/>
        <c:shape val="box"/>
        <c:axId val="560986368"/>
        <c:axId val="561270784"/>
        <c:axId val="0"/>
      </c:bar3DChart>
      <c:catAx>
        <c:axId val="560986368"/>
        <c:scaling>
          <c:orientation val="minMax"/>
        </c:scaling>
        <c:delete val="0"/>
        <c:axPos val="b"/>
        <c:numFmt formatCode="General" sourceLinked="0"/>
        <c:majorTickMark val="out"/>
        <c:minorTickMark val="none"/>
        <c:tickLblPos val="nextTo"/>
        <c:txPr>
          <a:bodyPr rot="-5400000" vert="horz"/>
          <a:lstStyle/>
          <a:p>
            <a:pPr>
              <a:defRPr/>
            </a:pPr>
            <a:endParaRPr lang="es-CO"/>
          </a:p>
        </c:txPr>
        <c:crossAx val="561270784"/>
        <c:crosses val="autoZero"/>
        <c:auto val="1"/>
        <c:lblAlgn val="ctr"/>
        <c:lblOffset val="100"/>
        <c:noMultiLvlLbl val="0"/>
      </c:catAx>
      <c:valAx>
        <c:axId val="561270784"/>
        <c:scaling>
          <c:orientation val="minMax"/>
        </c:scaling>
        <c:delete val="0"/>
        <c:axPos val="l"/>
        <c:numFmt formatCode="_(&quot;$&quot;* #,##0.00_);_(&quot;$&quot;* \(#,##0.00\);_(&quot;$&quot;* &quot;-&quot;??_);_(@_)" sourceLinked="1"/>
        <c:majorTickMark val="out"/>
        <c:minorTickMark val="none"/>
        <c:tickLblPos val="nextTo"/>
        <c:crossAx val="560986368"/>
        <c:crosses val="autoZero"/>
        <c:crossBetween val="between"/>
      </c:valAx>
    </c:plotArea>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s-CO"/>
  <c:roundedCorners val="1"/>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23731994713636"/>
          <c:y val="4.7984949955129606E-2"/>
          <c:w val="0.82207626726489935"/>
          <c:h val="0.78723230477974371"/>
        </c:manualLayout>
      </c:layout>
      <c:lineChart>
        <c:grouping val="standard"/>
        <c:varyColors val="0"/>
        <c:ser>
          <c:idx val="0"/>
          <c:order val="0"/>
          <c:tx>
            <c:strRef>
              <c:f>'Per capita'!$A$244</c:f>
              <c:strCache>
                <c:ptCount val="1"/>
                <c:pt idx="0">
                  <c:v>Colombia</c:v>
                </c:pt>
              </c:strCache>
            </c:strRef>
          </c:tx>
          <c:cat>
            <c:numRef>
              <c:f>'Per capita'!$B$243:$AO$243</c:f>
              <c:numCache>
                <c:formatCode>General</c:formatCode>
                <c:ptCount val="4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numCache>
            </c:numRef>
          </c:cat>
          <c:val>
            <c:numRef>
              <c:f>'Per capita'!$B$244:$AO$244</c:f>
              <c:numCache>
                <c:formatCode>_("$"* #,##0.00_);_("$"* \(#,##0.00\);_("$"* "-"??_);_(@_)</c:formatCode>
                <c:ptCount val="40"/>
                <c:pt idx="0" formatCode="&quot;$&quot;#,##0.00_);\(&quot;$&quot;#,##0.00\)">
                  <c:v>77089.894</c:v>
                </c:pt>
                <c:pt idx="1">
                  <c:v>94686.009000000005</c:v>
                </c:pt>
                <c:pt idx="2">
                  <c:v>116695.92200000001</c:v>
                </c:pt>
                <c:pt idx="3">
                  <c:v>139699.802</c:v>
                </c:pt>
                <c:pt idx="4">
                  <c:v>172739.255</c:v>
                </c:pt>
                <c:pt idx="5">
                  <c:v>223941.34599999999</c:v>
                </c:pt>
                <c:pt idx="6">
                  <c:v>299887.74599999998</c:v>
                </c:pt>
                <c:pt idx="7">
                  <c:v>381858.50799999997</c:v>
                </c:pt>
                <c:pt idx="8">
                  <c:v>497236.99400000001</c:v>
                </c:pt>
                <c:pt idx="9">
                  <c:v>628120.61100000003</c:v>
                </c:pt>
                <c:pt idx="10">
                  <c:v>823187.41399999999</c:v>
                </c:pt>
                <c:pt idx="11">
                  <c:v>1040792.449</c:v>
                </c:pt>
                <c:pt idx="12">
                  <c:v>1309942.8489999999</c:v>
                </c:pt>
                <c:pt idx="13">
                  <c:v>1683638.3629999999</c:v>
                </c:pt>
                <c:pt idx="14">
                  <c:v>2184333.7370000002</c:v>
                </c:pt>
                <c:pt idx="15">
                  <c:v>2685481.6</c:v>
                </c:pt>
                <c:pt idx="16">
                  <c:v>3151691.63</c:v>
                </c:pt>
                <c:pt idx="17">
                  <c:v>3759413.952</c:v>
                </c:pt>
                <c:pt idx="18">
                  <c:v>4272959.8260000004</c:v>
                </c:pt>
                <c:pt idx="19">
                  <c:v>4551961.0750000002</c:v>
                </c:pt>
                <c:pt idx="20">
                  <c:v>5174980.1469999999</c:v>
                </c:pt>
                <c:pt idx="21">
                  <c:v>5533664.9189999998</c:v>
                </c:pt>
                <c:pt idx="22">
                  <c:v>5935856.1780000003</c:v>
                </c:pt>
                <c:pt idx="23">
                  <c:v>6507801.8590000002</c:v>
                </c:pt>
                <c:pt idx="24">
                  <c:v>7264020.0149999997</c:v>
                </c:pt>
                <c:pt idx="25">
                  <c:v>7931077.8990000002</c:v>
                </c:pt>
                <c:pt idx="26">
                  <c:v>8844353.3149999995</c:v>
                </c:pt>
                <c:pt idx="27">
                  <c:v>9813372.1860000007</c:v>
                </c:pt>
                <c:pt idx="28">
                  <c:v>10800364.446</c:v>
                </c:pt>
                <c:pt idx="29">
                  <c:v>11219613.596999999</c:v>
                </c:pt>
                <c:pt idx="30">
                  <c:v>11973720.062000001</c:v>
                </c:pt>
                <c:pt idx="31">
                  <c:v>13500162.884</c:v>
                </c:pt>
                <c:pt idx="32">
                  <c:v>14264587.18</c:v>
                </c:pt>
                <c:pt idx="33">
                  <c:v>15007682.35</c:v>
                </c:pt>
                <c:pt idx="34">
                  <c:v>16259117.822000001</c:v>
                </c:pt>
                <c:pt idx="35">
                  <c:v>17202716.480999999</c:v>
                </c:pt>
                <c:pt idx="36">
                  <c:v>18277801.820999999</c:v>
                </c:pt>
                <c:pt idx="37">
                  <c:v>19419820.193</c:v>
                </c:pt>
                <c:pt idx="38">
                  <c:v>20627116.291000001</c:v>
                </c:pt>
                <c:pt idx="39">
                  <c:v>21973384.963</c:v>
                </c:pt>
              </c:numCache>
            </c:numRef>
          </c:val>
          <c:smooth val="0"/>
        </c:ser>
        <c:dLbls>
          <c:showLegendKey val="0"/>
          <c:showVal val="0"/>
          <c:showCatName val="0"/>
          <c:showSerName val="0"/>
          <c:showPercent val="0"/>
          <c:showBubbleSize val="0"/>
        </c:dLbls>
        <c:marker val="1"/>
        <c:smooth val="0"/>
        <c:axId val="561282048"/>
        <c:axId val="561296128"/>
      </c:lineChart>
      <c:catAx>
        <c:axId val="561282048"/>
        <c:scaling>
          <c:orientation val="minMax"/>
        </c:scaling>
        <c:delete val="0"/>
        <c:axPos val="b"/>
        <c:numFmt formatCode="General" sourceLinked="1"/>
        <c:majorTickMark val="out"/>
        <c:minorTickMark val="none"/>
        <c:tickLblPos val="nextTo"/>
        <c:txPr>
          <a:bodyPr rot="-5400000" vert="horz"/>
          <a:lstStyle/>
          <a:p>
            <a:pPr>
              <a:defRPr/>
            </a:pPr>
            <a:endParaRPr lang="es-CO"/>
          </a:p>
        </c:txPr>
        <c:crossAx val="561296128"/>
        <c:crosses val="autoZero"/>
        <c:auto val="1"/>
        <c:lblAlgn val="ctr"/>
        <c:lblOffset val="100"/>
        <c:noMultiLvlLbl val="0"/>
      </c:catAx>
      <c:valAx>
        <c:axId val="561296128"/>
        <c:scaling>
          <c:orientation val="minMax"/>
        </c:scaling>
        <c:delete val="0"/>
        <c:axPos val="l"/>
        <c:numFmt formatCode="&quot;$&quot;#,##0.00_);\(&quot;$&quot;#,##0.00\)" sourceLinked="1"/>
        <c:majorTickMark val="out"/>
        <c:minorTickMark val="none"/>
        <c:tickLblPos val="nextTo"/>
        <c:crossAx val="561282048"/>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6B29FB0-CE0E-46CE-AB6C-83C776D8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4639</TotalTime>
  <Pages>229</Pages>
  <Words>43543</Words>
  <Characters>239490</Characters>
  <Application>Microsoft Office Word</Application>
  <DocSecurity>0</DocSecurity>
  <Lines>1995</Lines>
  <Paragraphs>564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AUXPLANEACION08</dc:creator>
  <cp:lastModifiedBy>AUXPLANEACION08</cp:lastModifiedBy>
  <cp:revision>1060</cp:revision>
  <dcterms:created xsi:type="dcterms:W3CDTF">2014-12-09T13:59:00Z</dcterms:created>
  <dcterms:modified xsi:type="dcterms:W3CDTF">2014-12-19T21:34:00Z</dcterms:modified>
</cp:coreProperties>
</file>