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eastAsiaTheme="minorHAnsi" w:hAnsi="Arial" w:cs="Arial"/>
          <w:b w:val="0"/>
          <w:bCs w:val="0"/>
          <w:color w:val="auto"/>
          <w:sz w:val="22"/>
          <w:szCs w:val="22"/>
          <w:lang w:val="es-ES" w:eastAsia="en-US"/>
        </w:rPr>
        <w:id w:val="-892503658"/>
        <w:docPartObj>
          <w:docPartGallery w:val="Table of Contents"/>
          <w:docPartUnique/>
        </w:docPartObj>
      </w:sdtPr>
      <w:sdtEndPr/>
      <w:sdtContent>
        <w:p w:rsidR="005A719C" w:rsidRPr="00D5276B" w:rsidRDefault="005A719C" w:rsidP="006E45D8">
          <w:pPr>
            <w:pStyle w:val="TtuloTDC"/>
            <w:spacing w:line="360" w:lineRule="auto"/>
            <w:rPr>
              <w:rFonts w:ascii="Arial" w:hAnsi="Arial" w:cs="Arial"/>
              <w:color w:val="auto"/>
              <w:sz w:val="22"/>
              <w:szCs w:val="22"/>
            </w:rPr>
          </w:pPr>
          <w:r w:rsidRPr="00D5276B">
            <w:rPr>
              <w:rFonts w:ascii="Arial" w:hAnsi="Arial" w:cs="Arial"/>
              <w:color w:val="auto"/>
              <w:sz w:val="22"/>
              <w:szCs w:val="22"/>
              <w:lang w:val="es-ES"/>
            </w:rPr>
            <w:t>Contenido</w:t>
          </w:r>
        </w:p>
        <w:p w:rsidR="00D71F9C" w:rsidRDefault="000D362A">
          <w:pPr>
            <w:pStyle w:val="TDC2"/>
            <w:tabs>
              <w:tab w:val="right" w:leader="dot" w:pos="8830"/>
            </w:tabs>
            <w:rPr>
              <w:rFonts w:eastAsiaTheme="minorEastAsia"/>
              <w:noProof/>
              <w:lang w:eastAsia="es-CO"/>
            </w:rPr>
          </w:pPr>
          <w:r w:rsidRPr="00D5276B">
            <w:rPr>
              <w:rFonts w:ascii="Arial" w:hAnsi="Arial" w:cs="Arial"/>
            </w:rPr>
            <w:fldChar w:fldCharType="begin"/>
          </w:r>
          <w:r w:rsidR="005A719C" w:rsidRPr="00D5276B">
            <w:rPr>
              <w:rFonts w:ascii="Arial" w:hAnsi="Arial" w:cs="Arial"/>
            </w:rPr>
            <w:instrText xml:space="preserve"> TOC \o "1-3" \h \z \u </w:instrText>
          </w:r>
          <w:r w:rsidRPr="00D5276B">
            <w:rPr>
              <w:rFonts w:ascii="Arial" w:hAnsi="Arial" w:cs="Arial"/>
            </w:rPr>
            <w:fldChar w:fldCharType="separate"/>
          </w:r>
          <w:hyperlink w:anchor="_Toc495334886" w:history="1">
            <w:r w:rsidR="00D71F9C" w:rsidRPr="00524492">
              <w:rPr>
                <w:rStyle w:val="Hipervnculo"/>
                <w:noProof/>
              </w:rPr>
              <w:t>INTRODUCCIÓN</w:t>
            </w:r>
            <w:r w:rsidR="00D71F9C">
              <w:rPr>
                <w:noProof/>
                <w:webHidden/>
              </w:rPr>
              <w:tab/>
            </w:r>
            <w:r w:rsidR="00D71F9C">
              <w:rPr>
                <w:noProof/>
                <w:webHidden/>
              </w:rPr>
              <w:fldChar w:fldCharType="begin"/>
            </w:r>
            <w:r w:rsidR="00D71F9C">
              <w:rPr>
                <w:noProof/>
                <w:webHidden/>
              </w:rPr>
              <w:instrText xml:space="preserve"> PAGEREF _Toc495334886 \h </w:instrText>
            </w:r>
            <w:r w:rsidR="00D71F9C">
              <w:rPr>
                <w:noProof/>
                <w:webHidden/>
              </w:rPr>
            </w:r>
            <w:r w:rsidR="00D71F9C">
              <w:rPr>
                <w:noProof/>
                <w:webHidden/>
              </w:rPr>
              <w:fldChar w:fldCharType="separate"/>
            </w:r>
            <w:r w:rsidR="00A43F21">
              <w:rPr>
                <w:noProof/>
                <w:webHidden/>
              </w:rPr>
              <w:t>1</w:t>
            </w:r>
            <w:r w:rsidR="00D71F9C">
              <w:rPr>
                <w:noProof/>
                <w:webHidden/>
              </w:rPr>
              <w:fldChar w:fldCharType="end"/>
            </w:r>
          </w:hyperlink>
        </w:p>
        <w:p w:rsidR="00D71F9C" w:rsidRDefault="0009104C">
          <w:pPr>
            <w:pStyle w:val="TDC2"/>
            <w:tabs>
              <w:tab w:val="left" w:pos="660"/>
              <w:tab w:val="right" w:leader="dot" w:pos="8830"/>
            </w:tabs>
            <w:rPr>
              <w:rFonts w:eastAsiaTheme="minorEastAsia"/>
              <w:noProof/>
              <w:lang w:eastAsia="es-CO"/>
            </w:rPr>
          </w:pPr>
          <w:hyperlink w:anchor="_Toc495334887" w:history="1">
            <w:r w:rsidR="00D71F9C" w:rsidRPr="00524492">
              <w:rPr>
                <w:rStyle w:val="Hipervnculo"/>
                <w:rFonts w:eastAsiaTheme="majorEastAsia" w:cstheme="majorBidi"/>
                <w:noProof/>
              </w:rPr>
              <w:t>1.</w:t>
            </w:r>
            <w:r w:rsidR="00D71F9C">
              <w:rPr>
                <w:rFonts w:eastAsiaTheme="minorEastAsia"/>
                <w:noProof/>
                <w:lang w:eastAsia="es-CO"/>
              </w:rPr>
              <w:tab/>
            </w:r>
            <w:r w:rsidR="00D71F9C" w:rsidRPr="00524492">
              <w:rPr>
                <w:rStyle w:val="Hipervnculo"/>
                <w:noProof/>
              </w:rPr>
              <w:t>CONTEXTO Y ANTECEDENTES</w:t>
            </w:r>
            <w:r w:rsidR="00D71F9C">
              <w:rPr>
                <w:noProof/>
                <w:webHidden/>
              </w:rPr>
              <w:tab/>
            </w:r>
            <w:r w:rsidR="00D71F9C">
              <w:rPr>
                <w:noProof/>
                <w:webHidden/>
              </w:rPr>
              <w:fldChar w:fldCharType="begin"/>
            </w:r>
            <w:r w:rsidR="00D71F9C">
              <w:rPr>
                <w:noProof/>
                <w:webHidden/>
              </w:rPr>
              <w:instrText xml:space="preserve"> PAGEREF _Toc495334887 \h </w:instrText>
            </w:r>
            <w:r w:rsidR="00D71F9C">
              <w:rPr>
                <w:noProof/>
                <w:webHidden/>
              </w:rPr>
            </w:r>
            <w:r w:rsidR="00D71F9C">
              <w:rPr>
                <w:noProof/>
                <w:webHidden/>
              </w:rPr>
              <w:fldChar w:fldCharType="separate"/>
            </w:r>
            <w:r w:rsidR="00A43F21">
              <w:rPr>
                <w:noProof/>
                <w:webHidden/>
              </w:rPr>
              <w:t>3</w:t>
            </w:r>
            <w:r w:rsidR="00D71F9C">
              <w:rPr>
                <w:noProof/>
                <w:webHidden/>
              </w:rPr>
              <w:fldChar w:fldCharType="end"/>
            </w:r>
          </w:hyperlink>
        </w:p>
        <w:p w:rsidR="00D71F9C" w:rsidRDefault="0009104C">
          <w:pPr>
            <w:pStyle w:val="TDC2"/>
            <w:tabs>
              <w:tab w:val="left" w:pos="880"/>
              <w:tab w:val="right" w:leader="dot" w:pos="8830"/>
            </w:tabs>
            <w:rPr>
              <w:rFonts w:eastAsiaTheme="minorEastAsia"/>
              <w:noProof/>
              <w:lang w:eastAsia="es-CO"/>
            </w:rPr>
          </w:pPr>
          <w:hyperlink w:anchor="_Toc495334888" w:history="1">
            <w:r w:rsidR="00D71F9C" w:rsidRPr="00524492">
              <w:rPr>
                <w:rStyle w:val="Hipervnculo"/>
                <w:noProof/>
              </w:rPr>
              <w:t>1.1</w:t>
            </w:r>
            <w:r w:rsidR="00D71F9C">
              <w:rPr>
                <w:rFonts w:eastAsiaTheme="minorEastAsia"/>
                <w:noProof/>
                <w:lang w:eastAsia="es-CO"/>
              </w:rPr>
              <w:tab/>
            </w:r>
            <w:r w:rsidR="00D71F9C" w:rsidRPr="00524492">
              <w:rPr>
                <w:rStyle w:val="Hipervnculo"/>
                <w:noProof/>
              </w:rPr>
              <w:t>CONTEXTO INTERNACIONAL Y NACIONAL</w:t>
            </w:r>
            <w:r w:rsidR="00D71F9C">
              <w:rPr>
                <w:noProof/>
                <w:webHidden/>
              </w:rPr>
              <w:tab/>
            </w:r>
            <w:r w:rsidR="00D71F9C">
              <w:rPr>
                <w:noProof/>
                <w:webHidden/>
              </w:rPr>
              <w:fldChar w:fldCharType="begin"/>
            </w:r>
            <w:r w:rsidR="00D71F9C">
              <w:rPr>
                <w:noProof/>
                <w:webHidden/>
              </w:rPr>
              <w:instrText xml:space="preserve"> PAGEREF _Toc495334888 \h </w:instrText>
            </w:r>
            <w:r w:rsidR="00D71F9C">
              <w:rPr>
                <w:noProof/>
                <w:webHidden/>
              </w:rPr>
            </w:r>
            <w:r w:rsidR="00D71F9C">
              <w:rPr>
                <w:noProof/>
                <w:webHidden/>
              </w:rPr>
              <w:fldChar w:fldCharType="separate"/>
            </w:r>
            <w:r w:rsidR="00A43F21">
              <w:rPr>
                <w:noProof/>
                <w:webHidden/>
              </w:rPr>
              <w:t>3</w:t>
            </w:r>
            <w:r w:rsidR="00D71F9C">
              <w:rPr>
                <w:noProof/>
                <w:webHidden/>
              </w:rPr>
              <w:fldChar w:fldCharType="end"/>
            </w:r>
          </w:hyperlink>
        </w:p>
        <w:p w:rsidR="00D71F9C" w:rsidRDefault="0009104C">
          <w:pPr>
            <w:pStyle w:val="TDC2"/>
            <w:tabs>
              <w:tab w:val="left" w:pos="880"/>
              <w:tab w:val="right" w:leader="dot" w:pos="8830"/>
            </w:tabs>
            <w:rPr>
              <w:rFonts w:eastAsiaTheme="minorEastAsia"/>
              <w:noProof/>
              <w:lang w:eastAsia="es-CO"/>
            </w:rPr>
          </w:pPr>
          <w:hyperlink w:anchor="_Toc495334889" w:history="1">
            <w:r w:rsidR="00D71F9C" w:rsidRPr="00524492">
              <w:rPr>
                <w:rStyle w:val="Hipervnculo"/>
                <w:noProof/>
              </w:rPr>
              <w:t>1.2</w:t>
            </w:r>
            <w:r w:rsidR="00D71F9C">
              <w:rPr>
                <w:rFonts w:eastAsiaTheme="minorEastAsia"/>
                <w:noProof/>
                <w:lang w:eastAsia="es-CO"/>
              </w:rPr>
              <w:tab/>
            </w:r>
            <w:r w:rsidR="00D71F9C" w:rsidRPr="00524492">
              <w:rPr>
                <w:rStyle w:val="Hipervnculo"/>
                <w:noProof/>
                <w:shd w:val="clear" w:color="auto" w:fill="FFFFFF"/>
              </w:rPr>
              <w:t>CONTEXTO DEPARTAMENTAL</w:t>
            </w:r>
            <w:r w:rsidR="00D71F9C">
              <w:rPr>
                <w:noProof/>
                <w:webHidden/>
              </w:rPr>
              <w:tab/>
            </w:r>
            <w:r w:rsidR="00D71F9C">
              <w:rPr>
                <w:noProof/>
                <w:webHidden/>
              </w:rPr>
              <w:fldChar w:fldCharType="begin"/>
            </w:r>
            <w:r w:rsidR="00D71F9C">
              <w:rPr>
                <w:noProof/>
                <w:webHidden/>
              </w:rPr>
              <w:instrText xml:space="preserve"> PAGEREF _Toc495334889 \h </w:instrText>
            </w:r>
            <w:r w:rsidR="00D71F9C">
              <w:rPr>
                <w:noProof/>
                <w:webHidden/>
              </w:rPr>
            </w:r>
            <w:r w:rsidR="00D71F9C">
              <w:rPr>
                <w:noProof/>
                <w:webHidden/>
              </w:rPr>
              <w:fldChar w:fldCharType="separate"/>
            </w:r>
            <w:r w:rsidR="00A43F21">
              <w:rPr>
                <w:noProof/>
                <w:webHidden/>
              </w:rPr>
              <w:t>8</w:t>
            </w:r>
            <w:r w:rsidR="00D71F9C">
              <w:rPr>
                <w:noProof/>
                <w:webHidden/>
              </w:rPr>
              <w:fldChar w:fldCharType="end"/>
            </w:r>
          </w:hyperlink>
        </w:p>
        <w:p w:rsidR="00D71F9C" w:rsidRDefault="0009104C">
          <w:pPr>
            <w:pStyle w:val="TDC2"/>
            <w:tabs>
              <w:tab w:val="left" w:pos="660"/>
              <w:tab w:val="right" w:leader="dot" w:pos="8830"/>
            </w:tabs>
            <w:rPr>
              <w:rFonts w:eastAsiaTheme="minorEastAsia"/>
              <w:noProof/>
              <w:lang w:eastAsia="es-CO"/>
            </w:rPr>
          </w:pPr>
          <w:hyperlink w:anchor="_Toc495334890" w:history="1">
            <w:r w:rsidR="00D71F9C" w:rsidRPr="00524492">
              <w:rPr>
                <w:rStyle w:val="Hipervnculo"/>
                <w:rFonts w:eastAsiaTheme="majorEastAsia" w:cstheme="majorBidi"/>
                <w:noProof/>
              </w:rPr>
              <w:t>2.</w:t>
            </w:r>
            <w:r w:rsidR="00D71F9C">
              <w:rPr>
                <w:rFonts w:eastAsiaTheme="minorEastAsia"/>
                <w:noProof/>
                <w:lang w:eastAsia="es-CO"/>
              </w:rPr>
              <w:tab/>
            </w:r>
            <w:r w:rsidR="00D71F9C" w:rsidRPr="00524492">
              <w:rPr>
                <w:rStyle w:val="Hipervnculo"/>
                <w:noProof/>
              </w:rPr>
              <w:t>DIAGNÓSTICO DE LA SITUACIÓN FINANCIERA DE LA ENTIDAD TERRITORIAL</w:t>
            </w:r>
            <w:r w:rsidR="00D71F9C">
              <w:rPr>
                <w:noProof/>
                <w:webHidden/>
              </w:rPr>
              <w:tab/>
            </w:r>
            <w:r w:rsidR="00D71F9C">
              <w:rPr>
                <w:noProof/>
                <w:webHidden/>
              </w:rPr>
              <w:fldChar w:fldCharType="begin"/>
            </w:r>
            <w:r w:rsidR="00D71F9C">
              <w:rPr>
                <w:noProof/>
                <w:webHidden/>
              </w:rPr>
              <w:instrText xml:space="preserve"> PAGEREF _Toc495334890 \h </w:instrText>
            </w:r>
            <w:r w:rsidR="00D71F9C">
              <w:rPr>
                <w:noProof/>
                <w:webHidden/>
              </w:rPr>
            </w:r>
            <w:r w:rsidR="00D71F9C">
              <w:rPr>
                <w:noProof/>
                <w:webHidden/>
              </w:rPr>
              <w:fldChar w:fldCharType="separate"/>
            </w:r>
            <w:r w:rsidR="00A43F21">
              <w:rPr>
                <w:noProof/>
                <w:webHidden/>
              </w:rPr>
              <w:t>12</w:t>
            </w:r>
            <w:r w:rsidR="00D71F9C">
              <w:rPr>
                <w:noProof/>
                <w:webHidden/>
              </w:rPr>
              <w:fldChar w:fldCharType="end"/>
            </w:r>
          </w:hyperlink>
        </w:p>
        <w:p w:rsidR="00D71F9C" w:rsidRDefault="0009104C">
          <w:pPr>
            <w:pStyle w:val="TDC2"/>
            <w:tabs>
              <w:tab w:val="left" w:pos="880"/>
              <w:tab w:val="right" w:leader="dot" w:pos="8830"/>
            </w:tabs>
            <w:rPr>
              <w:rFonts w:eastAsiaTheme="minorEastAsia"/>
              <w:noProof/>
              <w:lang w:eastAsia="es-CO"/>
            </w:rPr>
          </w:pPr>
          <w:hyperlink w:anchor="_Toc495334891" w:history="1">
            <w:r w:rsidR="00D71F9C" w:rsidRPr="00524492">
              <w:rPr>
                <w:rStyle w:val="Hipervnculo"/>
                <w:noProof/>
              </w:rPr>
              <w:t>2.1</w:t>
            </w:r>
            <w:r w:rsidR="00D71F9C">
              <w:rPr>
                <w:rFonts w:eastAsiaTheme="minorEastAsia"/>
                <w:noProof/>
                <w:lang w:eastAsia="es-CO"/>
              </w:rPr>
              <w:tab/>
            </w:r>
            <w:r w:rsidR="00D71F9C" w:rsidRPr="00524492">
              <w:rPr>
                <w:rStyle w:val="Hipervnculo"/>
                <w:noProof/>
              </w:rPr>
              <w:t>MARCO CONCEPTUAL</w:t>
            </w:r>
            <w:r w:rsidR="00D71F9C">
              <w:rPr>
                <w:noProof/>
                <w:webHidden/>
              </w:rPr>
              <w:tab/>
            </w:r>
            <w:r w:rsidR="00D71F9C">
              <w:rPr>
                <w:noProof/>
                <w:webHidden/>
              </w:rPr>
              <w:fldChar w:fldCharType="begin"/>
            </w:r>
            <w:r w:rsidR="00D71F9C">
              <w:rPr>
                <w:noProof/>
                <w:webHidden/>
              </w:rPr>
              <w:instrText xml:space="preserve"> PAGEREF _Toc495334891 \h </w:instrText>
            </w:r>
            <w:r w:rsidR="00D71F9C">
              <w:rPr>
                <w:noProof/>
                <w:webHidden/>
              </w:rPr>
            </w:r>
            <w:r w:rsidR="00D71F9C">
              <w:rPr>
                <w:noProof/>
                <w:webHidden/>
              </w:rPr>
              <w:fldChar w:fldCharType="separate"/>
            </w:r>
            <w:r w:rsidR="00A43F21">
              <w:rPr>
                <w:noProof/>
                <w:webHidden/>
              </w:rPr>
              <w:t>12</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892" w:history="1">
            <w:r w:rsidR="00D71F9C" w:rsidRPr="00524492">
              <w:rPr>
                <w:rStyle w:val="Hipervnculo"/>
                <w:noProof/>
              </w:rPr>
              <w:t>2.2 DEPARTAMENTO DEL QUINDÍO (SECTOR CENTRAL) CUATRIENIO 2013-2016</w:t>
            </w:r>
            <w:r w:rsidR="00D71F9C">
              <w:rPr>
                <w:noProof/>
                <w:webHidden/>
              </w:rPr>
              <w:tab/>
            </w:r>
            <w:r w:rsidR="00D71F9C">
              <w:rPr>
                <w:noProof/>
                <w:webHidden/>
              </w:rPr>
              <w:fldChar w:fldCharType="begin"/>
            </w:r>
            <w:r w:rsidR="00D71F9C">
              <w:rPr>
                <w:noProof/>
                <w:webHidden/>
              </w:rPr>
              <w:instrText xml:space="preserve"> PAGEREF _Toc495334892 \h </w:instrText>
            </w:r>
            <w:r w:rsidR="00D71F9C">
              <w:rPr>
                <w:noProof/>
                <w:webHidden/>
              </w:rPr>
            </w:r>
            <w:r w:rsidR="00D71F9C">
              <w:rPr>
                <w:noProof/>
                <w:webHidden/>
              </w:rPr>
              <w:fldChar w:fldCharType="separate"/>
            </w:r>
            <w:r w:rsidR="00A43F21">
              <w:rPr>
                <w:noProof/>
                <w:webHidden/>
              </w:rPr>
              <w:t>18</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893" w:history="1">
            <w:r w:rsidR="00D71F9C" w:rsidRPr="00524492">
              <w:rPr>
                <w:rStyle w:val="Hipervnculo"/>
                <w:noProof/>
                <w:lang w:val="es-ES"/>
              </w:rPr>
              <w:t>2.2.1 Ingresos</w:t>
            </w:r>
            <w:r w:rsidR="00D71F9C">
              <w:rPr>
                <w:noProof/>
                <w:webHidden/>
              </w:rPr>
              <w:tab/>
            </w:r>
            <w:r w:rsidR="00D71F9C">
              <w:rPr>
                <w:noProof/>
                <w:webHidden/>
              </w:rPr>
              <w:fldChar w:fldCharType="begin"/>
            </w:r>
            <w:r w:rsidR="00D71F9C">
              <w:rPr>
                <w:noProof/>
                <w:webHidden/>
              </w:rPr>
              <w:instrText xml:space="preserve"> PAGEREF _Toc495334893 \h </w:instrText>
            </w:r>
            <w:r w:rsidR="00D71F9C">
              <w:rPr>
                <w:noProof/>
                <w:webHidden/>
              </w:rPr>
            </w:r>
            <w:r w:rsidR="00D71F9C">
              <w:rPr>
                <w:noProof/>
                <w:webHidden/>
              </w:rPr>
              <w:fldChar w:fldCharType="separate"/>
            </w:r>
            <w:r w:rsidR="00A43F21">
              <w:rPr>
                <w:noProof/>
                <w:webHidden/>
              </w:rPr>
              <w:t>18</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894" w:history="1">
            <w:r w:rsidR="00D71F9C" w:rsidRPr="00524492">
              <w:rPr>
                <w:rStyle w:val="Hipervnculo"/>
                <w:noProof/>
              </w:rPr>
              <w:t>2.2.2 Gastos</w:t>
            </w:r>
            <w:r w:rsidR="00D71F9C">
              <w:rPr>
                <w:noProof/>
                <w:webHidden/>
              </w:rPr>
              <w:tab/>
            </w:r>
            <w:r w:rsidR="00D71F9C">
              <w:rPr>
                <w:noProof/>
                <w:webHidden/>
              </w:rPr>
              <w:fldChar w:fldCharType="begin"/>
            </w:r>
            <w:r w:rsidR="00D71F9C">
              <w:rPr>
                <w:noProof/>
                <w:webHidden/>
              </w:rPr>
              <w:instrText xml:space="preserve"> PAGEREF _Toc495334894 \h </w:instrText>
            </w:r>
            <w:r w:rsidR="00D71F9C">
              <w:rPr>
                <w:noProof/>
                <w:webHidden/>
              </w:rPr>
            </w:r>
            <w:r w:rsidR="00D71F9C">
              <w:rPr>
                <w:noProof/>
                <w:webHidden/>
              </w:rPr>
              <w:fldChar w:fldCharType="separate"/>
            </w:r>
            <w:r w:rsidR="00A43F21">
              <w:rPr>
                <w:noProof/>
                <w:webHidden/>
              </w:rPr>
              <w:t>24</w:t>
            </w:r>
            <w:r w:rsidR="00D71F9C">
              <w:rPr>
                <w:noProof/>
                <w:webHidden/>
              </w:rPr>
              <w:fldChar w:fldCharType="end"/>
            </w:r>
          </w:hyperlink>
        </w:p>
        <w:p w:rsidR="00D71F9C" w:rsidRDefault="0009104C">
          <w:pPr>
            <w:pStyle w:val="TDC2"/>
            <w:tabs>
              <w:tab w:val="left" w:pos="880"/>
              <w:tab w:val="right" w:leader="dot" w:pos="8830"/>
            </w:tabs>
            <w:rPr>
              <w:rFonts w:eastAsiaTheme="minorEastAsia"/>
              <w:noProof/>
              <w:lang w:eastAsia="es-CO"/>
            </w:rPr>
          </w:pPr>
          <w:hyperlink w:anchor="_Toc495334895" w:history="1">
            <w:r w:rsidR="00D71F9C" w:rsidRPr="00524492">
              <w:rPr>
                <w:rStyle w:val="Hipervnculo"/>
                <w:noProof/>
              </w:rPr>
              <w:t xml:space="preserve">2.3 </w:t>
            </w:r>
            <w:r w:rsidR="00D71F9C">
              <w:rPr>
                <w:rFonts w:eastAsiaTheme="minorEastAsia"/>
                <w:noProof/>
                <w:lang w:eastAsia="es-CO"/>
              </w:rPr>
              <w:tab/>
            </w:r>
            <w:r w:rsidR="00D71F9C" w:rsidRPr="00524492">
              <w:rPr>
                <w:rStyle w:val="Hipervnculo"/>
                <w:noProof/>
              </w:rPr>
              <w:t>DEPARTAMENTO DEL QUINDÍO SECTOR CENTRAL  VIGENCIA ACTUAL 2017</w:t>
            </w:r>
            <w:r w:rsidR="00D71F9C">
              <w:rPr>
                <w:noProof/>
                <w:webHidden/>
              </w:rPr>
              <w:tab/>
            </w:r>
            <w:r w:rsidR="00D71F9C">
              <w:rPr>
                <w:noProof/>
                <w:webHidden/>
              </w:rPr>
              <w:fldChar w:fldCharType="begin"/>
            </w:r>
            <w:r w:rsidR="00D71F9C">
              <w:rPr>
                <w:noProof/>
                <w:webHidden/>
              </w:rPr>
              <w:instrText xml:space="preserve"> PAGEREF _Toc495334895 \h </w:instrText>
            </w:r>
            <w:r w:rsidR="00D71F9C">
              <w:rPr>
                <w:noProof/>
                <w:webHidden/>
              </w:rPr>
            </w:r>
            <w:r w:rsidR="00D71F9C">
              <w:rPr>
                <w:noProof/>
                <w:webHidden/>
              </w:rPr>
              <w:fldChar w:fldCharType="separate"/>
            </w:r>
            <w:r w:rsidR="00A43F21">
              <w:rPr>
                <w:noProof/>
                <w:webHidden/>
              </w:rPr>
              <w:t>27</w:t>
            </w:r>
            <w:r w:rsidR="00D71F9C">
              <w:rPr>
                <w:noProof/>
                <w:webHidden/>
              </w:rPr>
              <w:fldChar w:fldCharType="end"/>
            </w:r>
          </w:hyperlink>
        </w:p>
        <w:p w:rsidR="00D71F9C" w:rsidRDefault="0009104C">
          <w:pPr>
            <w:pStyle w:val="TDC3"/>
            <w:tabs>
              <w:tab w:val="left" w:pos="1320"/>
              <w:tab w:val="right" w:leader="dot" w:pos="8830"/>
            </w:tabs>
            <w:rPr>
              <w:rFonts w:eastAsiaTheme="minorEastAsia"/>
              <w:noProof/>
              <w:lang w:eastAsia="es-CO"/>
            </w:rPr>
          </w:pPr>
          <w:hyperlink w:anchor="_Toc495334896" w:history="1">
            <w:r w:rsidR="00D71F9C" w:rsidRPr="00524492">
              <w:rPr>
                <w:rStyle w:val="Hipervnculo"/>
                <w:noProof/>
                <w:lang w:val="es-ES" w:eastAsia="es-ES"/>
              </w:rPr>
              <w:t xml:space="preserve">2.3.1 </w:t>
            </w:r>
            <w:r w:rsidR="00D71F9C">
              <w:rPr>
                <w:rFonts w:eastAsiaTheme="minorEastAsia"/>
                <w:noProof/>
                <w:lang w:eastAsia="es-CO"/>
              </w:rPr>
              <w:tab/>
            </w:r>
            <w:r w:rsidR="00D71F9C" w:rsidRPr="00524492">
              <w:rPr>
                <w:rStyle w:val="Hipervnculo"/>
                <w:noProof/>
                <w:lang w:val="es-ES" w:eastAsia="es-ES"/>
              </w:rPr>
              <w:t>Ejecución Presupuestal</w:t>
            </w:r>
            <w:r w:rsidR="00D71F9C">
              <w:rPr>
                <w:noProof/>
                <w:webHidden/>
              </w:rPr>
              <w:tab/>
            </w:r>
            <w:r w:rsidR="00D71F9C">
              <w:rPr>
                <w:noProof/>
                <w:webHidden/>
              </w:rPr>
              <w:fldChar w:fldCharType="begin"/>
            </w:r>
            <w:r w:rsidR="00D71F9C">
              <w:rPr>
                <w:noProof/>
                <w:webHidden/>
              </w:rPr>
              <w:instrText xml:space="preserve"> PAGEREF _Toc495334896 \h </w:instrText>
            </w:r>
            <w:r w:rsidR="00D71F9C">
              <w:rPr>
                <w:noProof/>
                <w:webHidden/>
              </w:rPr>
            </w:r>
            <w:r w:rsidR="00D71F9C">
              <w:rPr>
                <w:noProof/>
                <w:webHidden/>
              </w:rPr>
              <w:fldChar w:fldCharType="separate"/>
            </w:r>
            <w:r w:rsidR="00A43F21">
              <w:rPr>
                <w:noProof/>
                <w:webHidden/>
              </w:rPr>
              <w:t>27</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897" w:history="1">
            <w:r w:rsidR="00D71F9C" w:rsidRPr="00524492">
              <w:rPr>
                <w:rStyle w:val="Hipervnculo"/>
                <w:noProof/>
                <w:lang w:val="es-ES" w:eastAsia="es-ES"/>
              </w:rPr>
              <w:t>2.3.1.2 Gastos corte 30 de Septiembre de 2017</w:t>
            </w:r>
            <w:r w:rsidR="00D71F9C">
              <w:rPr>
                <w:noProof/>
                <w:webHidden/>
              </w:rPr>
              <w:tab/>
            </w:r>
            <w:r w:rsidR="00D71F9C">
              <w:rPr>
                <w:noProof/>
                <w:webHidden/>
              </w:rPr>
              <w:fldChar w:fldCharType="begin"/>
            </w:r>
            <w:r w:rsidR="00D71F9C">
              <w:rPr>
                <w:noProof/>
                <w:webHidden/>
              </w:rPr>
              <w:instrText xml:space="preserve"> PAGEREF _Toc495334897 \h </w:instrText>
            </w:r>
            <w:r w:rsidR="00D71F9C">
              <w:rPr>
                <w:noProof/>
                <w:webHidden/>
              </w:rPr>
            </w:r>
            <w:r w:rsidR="00D71F9C">
              <w:rPr>
                <w:noProof/>
                <w:webHidden/>
              </w:rPr>
              <w:fldChar w:fldCharType="separate"/>
            </w:r>
            <w:r w:rsidR="00A43F21">
              <w:rPr>
                <w:noProof/>
                <w:webHidden/>
              </w:rPr>
              <w:t>28</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898" w:history="1">
            <w:r w:rsidR="00D71F9C" w:rsidRPr="00524492">
              <w:rPr>
                <w:rStyle w:val="Hipervnculo"/>
                <w:noProof/>
                <w:lang w:val="es-ES" w:eastAsia="es-ES"/>
              </w:rPr>
              <w:t>2.3.2 Balance General Comparativo a Junio 30 de 2017vs2016</w:t>
            </w:r>
            <w:r w:rsidR="00D71F9C">
              <w:rPr>
                <w:noProof/>
                <w:webHidden/>
              </w:rPr>
              <w:tab/>
            </w:r>
            <w:r w:rsidR="00D71F9C">
              <w:rPr>
                <w:noProof/>
                <w:webHidden/>
              </w:rPr>
              <w:fldChar w:fldCharType="begin"/>
            </w:r>
            <w:r w:rsidR="00D71F9C">
              <w:rPr>
                <w:noProof/>
                <w:webHidden/>
              </w:rPr>
              <w:instrText xml:space="preserve"> PAGEREF _Toc495334898 \h </w:instrText>
            </w:r>
            <w:r w:rsidR="00D71F9C">
              <w:rPr>
                <w:noProof/>
                <w:webHidden/>
              </w:rPr>
            </w:r>
            <w:r w:rsidR="00D71F9C">
              <w:rPr>
                <w:noProof/>
                <w:webHidden/>
              </w:rPr>
              <w:fldChar w:fldCharType="separate"/>
            </w:r>
            <w:r w:rsidR="00A43F21">
              <w:rPr>
                <w:noProof/>
                <w:webHidden/>
              </w:rPr>
              <w:t>28</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899" w:history="1">
            <w:r w:rsidR="00D71F9C" w:rsidRPr="00524492">
              <w:rPr>
                <w:rStyle w:val="Hipervnculo"/>
                <w:noProof/>
              </w:rPr>
              <w:t>2.3.3   Estado De Actividad Financiera, Económica y Social A Junio 30 de 2017 comparativo junio 30 de 2016</w:t>
            </w:r>
            <w:r w:rsidR="00D71F9C">
              <w:rPr>
                <w:noProof/>
                <w:webHidden/>
              </w:rPr>
              <w:tab/>
            </w:r>
            <w:r w:rsidR="00D71F9C">
              <w:rPr>
                <w:noProof/>
                <w:webHidden/>
              </w:rPr>
              <w:fldChar w:fldCharType="begin"/>
            </w:r>
            <w:r w:rsidR="00D71F9C">
              <w:rPr>
                <w:noProof/>
                <w:webHidden/>
              </w:rPr>
              <w:instrText xml:space="preserve"> PAGEREF _Toc495334899 \h </w:instrText>
            </w:r>
            <w:r w:rsidR="00D71F9C">
              <w:rPr>
                <w:noProof/>
                <w:webHidden/>
              </w:rPr>
            </w:r>
            <w:r w:rsidR="00D71F9C">
              <w:rPr>
                <w:noProof/>
                <w:webHidden/>
              </w:rPr>
              <w:fldChar w:fldCharType="separate"/>
            </w:r>
            <w:r w:rsidR="00A43F21">
              <w:rPr>
                <w:noProof/>
                <w:webHidden/>
              </w:rPr>
              <w:t>32</w:t>
            </w:r>
            <w:r w:rsidR="00D71F9C">
              <w:rPr>
                <w:noProof/>
                <w:webHidden/>
              </w:rPr>
              <w:fldChar w:fldCharType="end"/>
            </w:r>
          </w:hyperlink>
        </w:p>
        <w:p w:rsidR="00D71F9C" w:rsidRDefault="0009104C">
          <w:pPr>
            <w:pStyle w:val="TDC2"/>
            <w:tabs>
              <w:tab w:val="left" w:pos="880"/>
              <w:tab w:val="right" w:leader="dot" w:pos="8830"/>
            </w:tabs>
            <w:rPr>
              <w:rFonts w:eastAsiaTheme="minorEastAsia"/>
              <w:noProof/>
              <w:lang w:eastAsia="es-CO"/>
            </w:rPr>
          </w:pPr>
          <w:hyperlink w:anchor="_Toc495334900" w:history="1">
            <w:r w:rsidR="00D71F9C" w:rsidRPr="00524492">
              <w:rPr>
                <w:rStyle w:val="Hipervnculo"/>
                <w:noProof/>
              </w:rPr>
              <w:t xml:space="preserve">2.4 </w:t>
            </w:r>
            <w:r w:rsidR="00D71F9C">
              <w:rPr>
                <w:rFonts w:eastAsiaTheme="minorEastAsia"/>
                <w:noProof/>
                <w:lang w:eastAsia="es-CO"/>
              </w:rPr>
              <w:tab/>
            </w:r>
            <w:r w:rsidR="00D71F9C" w:rsidRPr="00524492">
              <w:rPr>
                <w:rStyle w:val="Hipervnculo"/>
                <w:noProof/>
              </w:rPr>
              <w:t>DEPARTAMENTO DEL QUINDÍO</w:t>
            </w:r>
            <w:r w:rsidR="00D71F9C">
              <w:rPr>
                <w:noProof/>
                <w:webHidden/>
              </w:rPr>
              <w:tab/>
            </w:r>
            <w:r w:rsidR="00D71F9C">
              <w:rPr>
                <w:noProof/>
                <w:webHidden/>
              </w:rPr>
              <w:fldChar w:fldCharType="begin"/>
            </w:r>
            <w:r w:rsidR="00D71F9C">
              <w:rPr>
                <w:noProof/>
                <w:webHidden/>
              </w:rPr>
              <w:instrText xml:space="preserve"> PAGEREF _Toc495334900 \h </w:instrText>
            </w:r>
            <w:r w:rsidR="00D71F9C">
              <w:rPr>
                <w:noProof/>
                <w:webHidden/>
              </w:rPr>
            </w:r>
            <w:r w:rsidR="00D71F9C">
              <w:rPr>
                <w:noProof/>
                <w:webHidden/>
              </w:rPr>
              <w:fldChar w:fldCharType="separate"/>
            </w:r>
            <w:r w:rsidR="00A43F21">
              <w:rPr>
                <w:noProof/>
                <w:webHidden/>
              </w:rPr>
              <w:t>35</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01" w:history="1">
            <w:r w:rsidR="00D71F9C" w:rsidRPr="00524492">
              <w:rPr>
                <w:rStyle w:val="Hipervnculo"/>
                <w:noProof/>
              </w:rPr>
              <w:t>(SECTOR DESCENTRALIZADO) VIGENCIA ACTUAL 2017</w:t>
            </w:r>
            <w:r w:rsidR="00D71F9C">
              <w:rPr>
                <w:noProof/>
                <w:webHidden/>
              </w:rPr>
              <w:tab/>
            </w:r>
            <w:r w:rsidR="00D71F9C">
              <w:rPr>
                <w:noProof/>
                <w:webHidden/>
              </w:rPr>
              <w:fldChar w:fldCharType="begin"/>
            </w:r>
            <w:r w:rsidR="00D71F9C">
              <w:rPr>
                <w:noProof/>
                <w:webHidden/>
              </w:rPr>
              <w:instrText xml:space="preserve"> PAGEREF _Toc495334901 \h </w:instrText>
            </w:r>
            <w:r w:rsidR="00D71F9C">
              <w:rPr>
                <w:noProof/>
                <w:webHidden/>
              </w:rPr>
            </w:r>
            <w:r w:rsidR="00D71F9C">
              <w:rPr>
                <w:noProof/>
                <w:webHidden/>
              </w:rPr>
              <w:fldChar w:fldCharType="separate"/>
            </w:r>
            <w:r w:rsidR="00A43F21">
              <w:rPr>
                <w:noProof/>
                <w:webHidden/>
              </w:rPr>
              <w:t>35</w:t>
            </w:r>
            <w:r w:rsidR="00D71F9C">
              <w:rPr>
                <w:noProof/>
                <w:webHidden/>
              </w:rPr>
              <w:fldChar w:fldCharType="end"/>
            </w:r>
          </w:hyperlink>
        </w:p>
        <w:p w:rsidR="00D71F9C" w:rsidRDefault="0009104C">
          <w:pPr>
            <w:pStyle w:val="TDC3"/>
            <w:tabs>
              <w:tab w:val="left" w:pos="1320"/>
              <w:tab w:val="right" w:leader="dot" w:pos="8830"/>
            </w:tabs>
            <w:rPr>
              <w:rFonts w:eastAsiaTheme="minorEastAsia"/>
              <w:noProof/>
              <w:lang w:eastAsia="es-CO"/>
            </w:rPr>
          </w:pPr>
          <w:hyperlink w:anchor="_Toc495334902" w:history="1">
            <w:r w:rsidR="00D71F9C" w:rsidRPr="00524492">
              <w:rPr>
                <w:rStyle w:val="Hipervnculo"/>
                <w:noProof/>
                <w:lang w:eastAsia="es-ES"/>
              </w:rPr>
              <w:t xml:space="preserve">2.4.1 </w:t>
            </w:r>
            <w:r w:rsidR="00D71F9C">
              <w:rPr>
                <w:rFonts w:eastAsiaTheme="minorEastAsia"/>
                <w:noProof/>
                <w:lang w:eastAsia="es-CO"/>
              </w:rPr>
              <w:tab/>
            </w:r>
            <w:r w:rsidR="00D71F9C" w:rsidRPr="00524492">
              <w:rPr>
                <w:rStyle w:val="Hipervnculo"/>
                <w:noProof/>
                <w:lang w:val="es-ES" w:eastAsia="es-ES"/>
              </w:rPr>
              <w:t>Instituto Departamental De Tránsito Del Quindío</w:t>
            </w:r>
            <w:r w:rsidR="00D71F9C">
              <w:rPr>
                <w:noProof/>
                <w:webHidden/>
              </w:rPr>
              <w:tab/>
            </w:r>
            <w:r w:rsidR="00D71F9C">
              <w:rPr>
                <w:noProof/>
                <w:webHidden/>
              </w:rPr>
              <w:fldChar w:fldCharType="begin"/>
            </w:r>
            <w:r w:rsidR="00D71F9C">
              <w:rPr>
                <w:noProof/>
                <w:webHidden/>
              </w:rPr>
              <w:instrText xml:space="preserve"> PAGEREF _Toc495334902 \h </w:instrText>
            </w:r>
            <w:r w:rsidR="00D71F9C">
              <w:rPr>
                <w:noProof/>
                <w:webHidden/>
              </w:rPr>
            </w:r>
            <w:r w:rsidR="00D71F9C">
              <w:rPr>
                <w:noProof/>
                <w:webHidden/>
              </w:rPr>
              <w:fldChar w:fldCharType="separate"/>
            </w:r>
            <w:r w:rsidR="00A43F21">
              <w:rPr>
                <w:noProof/>
                <w:webHidden/>
              </w:rPr>
              <w:t>35</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03" w:history="1">
            <w:r w:rsidR="00D71F9C" w:rsidRPr="00524492">
              <w:rPr>
                <w:rStyle w:val="Hipervnculo"/>
                <w:noProof/>
                <w:lang w:val="es-ES" w:eastAsia="es-ES"/>
              </w:rPr>
              <w:t>Análisis Presupuestal :</w:t>
            </w:r>
            <w:r w:rsidR="00D71F9C">
              <w:rPr>
                <w:noProof/>
                <w:webHidden/>
              </w:rPr>
              <w:tab/>
            </w:r>
            <w:r w:rsidR="00D71F9C">
              <w:rPr>
                <w:noProof/>
                <w:webHidden/>
              </w:rPr>
              <w:fldChar w:fldCharType="begin"/>
            </w:r>
            <w:r w:rsidR="00D71F9C">
              <w:rPr>
                <w:noProof/>
                <w:webHidden/>
              </w:rPr>
              <w:instrText xml:space="preserve"> PAGEREF _Toc495334903 \h </w:instrText>
            </w:r>
            <w:r w:rsidR="00D71F9C">
              <w:rPr>
                <w:noProof/>
                <w:webHidden/>
              </w:rPr>
            </w:r>
            <w:r w:rsidR="00D71F9C">
              <w:rPr>
                <w:noProof/>
                <w:webHidden/>
              </w:rPr>
              <w:fldChar w:fldCharType="separate"/>
            </w:r>
            <w:r w:rsidR="00A43F21">
              <w:rPr>
                <w:noProof/>
                <w:webHidden/>
              </w:rPr>
              <w:t>36</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04" w:history="1">
            <w:r w:rsidR="00D71F9C" w:rsidRPr="00524492">
              <w:rPr>
                <w:rStyle w:val="Hipervnculo"/>
                <w:noProof/>
                <w:lang w:val="es-ES" w:eastAsia="es-ES"/>
              </w:rPr>
              <w:t>El Instituto Departamental de Tránsito del Quindío en su ejecución de ingresos a 30 de Junio de 2017 nos muestra una ejecución del 49% en donde el 99% de estos ingresos corresponden a ingresos no tributarios, y el 1% a Otros Recursos de Capital, de otra parte la ejecución de gastos a la misma fecha nos muestra una ejecución del 54% en donde la mayor participación de esta ejecución la tiene los recursos humanos con un 34%, seguido por los gastos de personal con una participación en la ejecución del 28%, Gastos de Comercialización con un 21% con un Gastos Generales con el 13%, Gastos de Inversión con un 3% y Transferencias Corrientes con un 1.1%.</w:t>
            </w:r>
            <w:r w:rsidR="00D71F9C">
              <w:rPr>
                <w:noProof/>
                <w:webHidden/>
              </w:rPr>
              <w:tab/>
            </w:r>
            <w:r w:rsidR="00D71F9C">
              <w:rPr>
                <w:noProof/>
                <w:webHidden/>
              </w:rPr>
              <w:fldChar w:fldCharType="begin"/>
            </w:r>
            <w:r w:rsidR="00D71F9C">
              <w:rPr>
                <w:noProof/>
                <w:webHidden/>
              </w:rPr>
              <w:instrText xml:space="preserve"> PAGEREF _Toc495334904 \h </w:instrText>
            </w:r>
            <w:r w:rsidR="00D71F9C">
              <w:rPr>
                <w:noProof/>
                <w:webHidden/>
              </w:rPr>
            </w:r>
            <w:r w:rsidR="00D71F9C">
              <w:rPr>
                <w:noProof/>
                <w:webHidden/>
              </w:rPr>
              <w:fldChar w:fldCharType="separate"/>
            </w:r>
            <w:r w:rsidR="00A43F21">
              <w:rPr>
                <w:noProof/>
                <w:webHidden/>
              </w:rPr>
              <w:t>36</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05" w:history="1">
            <w:r w:rsidR="00D71F9C" w:rsidRPr="00524492">
              <w:rPr>
                <w:rStyle w:val="Hipervnculo"/>
                <w:noProof/>
                <w:lang w:val="es-ES" w:eastAsia="es-ES"/>
              </w:rPr>
              <w:t>2.4.2 Instituto Departamental de Deporte y Recreación Del Quindío</w:t>
            </w:r>
            <w:r w:rsidR="00D71F9C">
              <w:rPr>
                <w:noProof/>
                <w:webHidden/>
              </w:rPr>
              <w:tab/>
            </w:r>
            <w:r w:rsidR="00D71F9C">
              <w:rPr>
                <w:noProof/>
                <w:webHidden/>
              </w:rPr>
              <w:fldChar w:fldCharType="begin"/>
            </w:r>
            <w:r w:rsidR="00D71F9C">
              <w:rPr>
                <w:noProof/>
                <w:webHidden/>
              </w:rPr>
              <w:instrText xml:space="preserve"> PAGEREF _Toc495334905 \h </w:instrText>
            </w:r>
            <w:r w:rsidR="00D71F9C">
              <w:rPr>
                <w:noProof/>
                <w:webHidden/>
              </w:rPr>
            </w:r>
            <w:r w:rsidR="00D71F9C">
              <w:rPr>
                <w:noProof/>
                <w:webHidden/>
              </w:rPr>
              <w:fldChar w:fldCharType="separate"/>
            </w:r>
            <w:r w:rsidR="00A43F21">
              <w:rPr>
                <w:noProof/>
                <w:webHidden/>
              </w:rPr>
              <w:t>37</w:t>
            </w:r>
            <w:r w:rsidR="00D71F9C">
              <w:rPr>
                <w:noProof/>
                <w:webHidden/>
              </w:rPr>
              <w:fldChar w:fldCharType="end"/>
            </w:r>
          </w:hyperlink>
        </w:p>
        <w:p w:rsidR="00D71F9C" w:rsidRDefault="0009104C">
          <w:pPr>
            <w:pStyle w:val="TDC2"/>
            <w:tabs>
              <w:tab w:val="left" w:pos="660"/>
              <w:tab w:val="right" w:leader="dot" w:pos="8830"/>
            </w:tabs>
            <w:rPr>
              <w:rFonts w:eastAsiaTheme="minorEastAsia"/>
              <w:noProof/>
              <w:lang w:eastAsia="es-CO"/>
            </w:rPr>
          </w:pPr>
          <w:hyperlink w:anchor="_Toc495334906" w:history="1">
            <w:r w:rsidR="00D71F9C" w:rsidRPr="00524492">
              <w:rPr>
                <w:rStyle w:val="Hipervnculo"/>
                <w:rFonts w:eastAsiaTheme="majorEastAsia" w:cstheme="majorBidi"/>
                <w:noProof/>
              </w:rPr>
              <w:t>3.</w:t>
            </w:r>
            <w:r w:rsidR="00D71F9C">
              <w:rPr>
                <w:rFonts w:eastAsiaTheme="minorEastAsia"/>
                <w:noProof/>
                <w:lang w:eastAsia="es-CO"/>
              </w:rPr>
              <w:tab/>
            </w:r>
            <w:r w:rsidR="00D71F9C" w:rsidRPr="00524492">
              <w:rPr>
                <w:rStyle w:val="Hipervnculo"/>
                <w:noProof/>
              </w:rPr>
              <w:t>INFORME DE LOS RESULTADOS FISCALES DE LA VIGENCIA FISCAL ANTERIOR (VIGENCIA 2016)</w:t>
            </w:r>
            <w:r w:rsidR="00D71F9C">
              <w:rPr>
                <w:noProof/>
                <w:webHidden/>
              </w:rPr>
              <w:tab/>
            </w:r>
            <w:r w:rsidR="00D71F9C">
              <w:rPr>
                <w:noProof/>
                <w:webHidden/>
              </w:rPr>
              <w:fldChar w:fldCharType="begin"/>
            </w:r>
            <w:r w:rsidR="00D71F9C">
              <w:rPr>
                <w:noProof/>
                <w:webHidden/>
              </w:rPr>
              <w:instrText xml:space="preserve"> PAGEREF _Toc495334906 \h </w:instrText>
            </w:r>
            <w:r w:rsidR="00D71F9C">
              <w:rPr>
                <w:noProof/>
                <w:webHidden/>
              </w:rPr>
            </w:r>
            <w:r w:rsidR="00D71F9C">
              <w:rPr>
                <w:noProof/>
                <w:webHidden/>
              </w:rPr>
              <w:fldChar w:fldCharType="separate"/>
            </w:r>
            <w:r w:rsidR="00A43F21">
              <w:rPr>
                <w:noProof/>
                <w:webHidden/>
              </w:rPr>
              <w:t>39</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07" w:history="1">
            <w:r w:rsidR="00D71F9C" w:rsidRPr="00524492">
              <w:rPr>
                <w:rStyle w:val="Hipervnculo"/>
                <w:noProof/>
              </w:rPr>
              <w:t>3.1 DEPARTAMENTO DEL QUINDIO - SECTOR CENTRAL</w:t>
            </w:r>
            <w:r w:rsidR="00D71F9C">
              <w:rPr>
                <w:noProof/>
                <w:webHidden/>
              </w:rPr>
              <w:tab/>
            </w:r>
            <w:r w:rsidR="00D71F9C">
              <w:rPr>
                <w:noProof/>
                <w:webHidden/>
              </w:rPr>
              <w:fldChar w:fldCharType="begin"/>
            </w:r>
            <w:r w:rsidR="00D71F9C">
              <w:rPr>
                <w:noProof/>
                <w:webHidden/>
              </w:rPr>
              <w:instrText xml:space="preserve"> PAGEREF _Toc495334907 \h </w:instrText>
            </w:r>
            <w:r w:rsidR="00D71F9C">
              <w:rPr>
                <w:noProof/>
                <w:webHidden/>
              </w:rPr>
            </w:r>
            <w:r w:rsidR="00D71F9C">
              <w:rPr>
                <w:noProof/>
                <w:webHidden/>
              </w:rPr>
              <w:fldChar w:fldCharType="separate"/>
            </w:r>
            <w:r w:rsidR="00A43F21">
              <w:rPr>
                <w:noProof/>
                <w:webHidden/>
              </w:rPr>
              <w:t>39</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08" w:history="1">
            <w:r w:rsidR="00D71F9C" w:rsidRPr="00524492">
              <w:rPr>
                <w:rStyle w:val="Hipervnculo"/>
                <w:noProof/>
              </w:rPr>
              <w:t>3.1.1 Ingresos</w:t>
            </w:r>
            <w:r w:rsidR="00D71F9C">
              <w:rPr>
                <w:noProof/>
                <w:webHidden/>
              </w:rPr>
              <w:tab/>
            </w:r>
            <w:r w:rsidR="00D71F9C">
              <w:rPr>
                <w:noProof/>
                <w:webHidden/>
              </w:rPr>
              <w:fldChar w:fldCharType="begin"/>
            </w:r>
            <w:r w:rsidR="00D71F9C">
              <w:rPr>
                <w:noProof/>
                <w:webHidden/>
              </w:rPr>
              <w:instrText xml:space="preserve"> PAGEREF _Toc495334908 \h </w:instrText>
            </w:r>
            <w:r w:rsidR="00D71F9C">
              <w:rPr>
                <w:noProof/>
                <w:webHidden/>
              </w:rPr>
            </w:r>
            <w:r w:rsidR="00D71F9C">
              <w:rPr>
                <w:noProof/>
                <w:webHidden/>
              </w:rPr>
              <w:fldChar w:fldCharType="separate"/>
            </w:r>
            <w:r w:rsidR="00A43F21">
              <w:rPr>
                <w:noProof/>
                <w:webHidden/>
              </w:rPr>
              <w:t>40</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09" w:history="1">
            <w:r w:rsidR="00D71F9C" w:rsidRPr="00524492">
              <w:rPr>
                <w:rStyle w:val="Hipervnculo"/>
                <w:noProof/>
              </w:rPr>
              <w:t>3.1.2 Gastos</w:t>
            </w:r>
            <w:r w:rsidR="00D71F9C">
              <w:rPr>
                <w:noProof/>
                <w:webHidden/>
              </w:rPr>
              <w:tab/>
            </w:r>
            <w:r w:rsidR="00D71F9C">
              <w:rPr>
                <w:noProof/>
                <w:webHidden/>
              </w:rPr>
              <w:fldChar w:fldCharType="begin"/>
            </w:r>
            <w:r w:rsidR="00D71F9C">
              <w:rPr>
                <w:noProof/>
                <w:webHidden/>
              </w:rPr>
              <w:instrText xml:space="preserve"> PAGEREF _Toc495334909 \h </w:instrText>
            </w:r>
            <w:r w:rsidR="00D71F9C">
              <w:rPr>
                <w:noProof/>
                <w:webHidden/>
              </w:rPr>
            </w:r>
            <w:r w:rsidR="00D71F9C">
              <w:rPr>
                <w:noProof/>
                <w:webHidden/>
              </w:rPr>
              <w:fldChar w:fldCharType="separate"/>
            </w:r>
            <w:r w:rsidR="00A43F21">
              <w:rPr>
                <w:noProof/>
                <w:webHidden/>
              </w:rPr>
              <w:t>47</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10" w:history="1">
            <w:r w:rsidR="00D71F9C" w:rsidRPr="00524492">
              <w:rPr>
                <w:rStyle w:val="Hipervnculo"/>
                <w:noProof/>
              </w:rPr>
              <w:t>3.2   SECTOR DESCENTRALIZADO</w:t>
            </w:r>
            <w:r w:rsidR="00D71F9C">
              <w:rPr>
                <w:noProof/>
                <w:webHidden/>
              </w:rPr>
              <w:tab/>
            </w:r>
            <w:r w:rsidR="00D71F9C">
              <w:rPr>
                <w:noProof/>
                <w:webHidden/>
              </w:rPr>
              <w:fldChar w:fldCharType="begin"/>
            </w:r>
            <w:r w:rsidR="00D71F9C">
              <w:rPr>
                <w:noProof/>
                <w:webHidden/>
              </w:rPr>
              <w:instrText xml:space="preserve"> PAGEREF _Toc495334910 \h </w:instrText>
            </w:r>
            <w:r w:rsidR="00D71F9C">
              <w:rPr>
                <w:noProof/>
                <w:webHidden/>
              </w:rPr>
            </w:r>
            <w:r w:rsidR="00D71F9C">
              <w:rPr>
                <w:noProof/>
                <w:webHidden/>
              </w:rPr>
              <w:fldChar w:fldCharType="separate"/>
            </w:r>
            <w:r w:rsidR="00A43F21">
              <w:rPr>
                <w:noProof/>
                <w:webHidden/>
              </w:rPr>
              <w:t>61</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11" w:history="1">
            <w:r w:rsidR="00D71F9C" w:rsidRPr="00524492">
              <w:rPr>
                <w:rStyle w:val="Hipervnculo"/>
                <w:noProof/>
                <w:lang w:val="es-ES" w:eastAsia="es-ES"/>
              </w:rPr>
              <w:t>3.2.1 Hospital San Juan De Dios</w:t>
            </w:r>
            <w:r w:rsidR="00D71F9C">
              <w:rPr>
                <w:noProof/>
                <w:webHidden/>
              </w:rPr>
              <w:tab/>
            </w:r>
            <w:r w:rsidR="00D71F9C">
              <w:rPr>
                <w:noProof/>
                <w:webHidden/>
              </w:rPr>
              <w:fldChar w:fldCharType="begin"/>
            </w:r>
            <w:r w:rsidR="00D71F9C">
              <w:rPr>
                <w:noProof/>
                <w:webHidden/>
              </w:rPr>
              <w:instrText xml:space="preserve"> PAGEREF _Toc495334911 \h </w:instrText>
            </w:r>
            <w:r w:rsidR="00D71F9C">
              <w:rPr>
                <w:noProof/>
                <w:webHidden/>
              </w:rPr>
            </w:r>
            <w:r w:rsidR="00D71F9C">
              <w:rPr>
                <w:noProof/>
                <w:webHidden/>
              </w:rPr>
              <w:fldChar w:fldCharType="separate"/>
            </w:r>
            <w:r w:rsidR="00A43F21">
              <w:rPr>
                <w:noProof/>
                <w:webHidden/>
              </w:rPr>
              <w:t>61</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12" w:history="1">
            <w:r w:rsidR="00D71F9C" w:rsidRPr="00524492">
              <w:rPr>
                <w:rStyle w:val="Hipervnculo"/>
                <w:noProof/>
                <w:lang w:val="es-ES" w:eastAsia="es-ES"/>
              </w:rPr>
              <w:t>3.2.2 Hospital La Misericordia De Calarcá</w:t>
            </w:r>
            <w:r w:rsidR="00D71F9C">
              <w:rPr>
                <w:noProof/>
                <w:webHidden/>
              </w:rPr>
              <w:tab/>
            </w:r>
            <w:r w:rsidR="00D71F9C">
              <w:rPr>
                <w:noProof/>
                <w:webHidden/>
              </w:rPr>
              <w:fldChar w:fldCharType="begin"/>
            </w:r>
            <w:r w:rsidR="00D71F9C">
              <w:rPr>
                <w:noProof/>
                <w:webHidden/>
              </w:rPr>
              <w:instrText xml:space="preserve"> PAGEREF _Toc495334912 \h </w:instrText>
            </w:r>
            <w:r w:rsidR="00D71F9C">
              <w:rPr>
                <w:noProof/>
                <w:webHidden/>
              </w:rPr>
            </w:r>
            <w:r w:rsidR="00D71F9C">
              <w:rPr>
                <w:noProof/>
                <w:webHidden/>
              </w:rPr>
              <w:fldChar w:fldCharType="separate"/>
            </w:r>
            <w:r w:rsidR="00A43F21">
              <w:rPr>
                <w:noProof/>
                <w:webHidden/>
              </w:rPr>
              <w:t>63</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13" w:history="1">
            <w:r w:rsidR="00D71F9C" w:rsidRPr="00524492">
              <w:rPr>
                <w:rStyle w:val="Hipervnculo"/>
                <w:noProof/>
                <w:lang w:val="es-ES" w:eastAsia="es-ES"/>
              </w:rPr>
              <w:t>3.2.3 Lotería Del Quindío</w:t>
            </w:r>
            <w:r w:rsidR="00D71F9C">
              <w:rPr>
                <w:noProof/>
                <w:webHidden/>
              </w:rPr>
              <w:tab/>
            </w:r>
            <w:r w:rsidR="00D71F9C">
              <w:rPr>
                <w:noProof/>
                <w:webHidden/>
              </w:rPr>
              <w:fldChar w:fldCharType="begin"/>
            </w:r>
            <w:r w:rsidR="00D71F9C">
              <w:rPr>
                <w:noProof/>
                <w:webHidden/>
              </w:rPr>
              <w:instrText xml:space="preserve"> PAGEREF _Toc495334913 \h </w:instrText>
            </w:r>
            <w:r w:rsidR="00D71F9C">
              <w:rPr>
                <w:noProof/>
                <w:webHidden/>
              </w:rPr>
            </w:r>
            <w:r w:rsidR="00D71F9C">
              <w:rPr>
                <w:noProof/>
                <w:webHidden/>
              </w:rPr>
              <w:fldChar w:fldCharType="separate"/>
            </w:r>
            <w:r w:rsidR="00A43F21">
              <w:rPr>
                <w:noProof/>
                <w:webHidden/>
              </w:rPr>
              <w:t>65</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14" w:history="1">
            <w:r w:rsidR="00D71F9C" w:rsidRPr="00524492">
              <w:rPr>
                <w:rStyle w:val="Hipervnculo"/>
                <w:noProof/>
              </w:rPr>
              <w:t>3.2.4 Instituto Departamental de Deporte y Recreación del Quindío</w:t>
            </w:r>
            <w:r w:rsidR="00D71F9C">
              <w:rPr>
                <w:noProof/>
                <w:webHidden/>
              </w:rPr>
              <w:tab/>
            </w:r>
            <w:r w:rsidR="00D71F9C">
              <w:rPr>
                <w:noProof/>
                <w:webHidden/>
              </w:rPr>
              <w:fldChar w:fldCharType="begin"/>
            </w:r>
            <w:r w:rsidR="00D71F9C">
              <w:rPr>
                <w:noProof/>
                <w:webHidden/>
              </w:rPr>
              <w:instrText xml:space="preserve"> PAGEREF _Toc495334914 \h </w:instrText>
            </w:r>
            <w:r w:rsidR="00D71F9C">
              <w:rPr>
                <w:noProof/>
                <w:webHidden/>
              </w:rPr>
            </w:r>
            <w:r w:rsidR="00D71F9C">
              <w:rPr>
                <w:noProof/>
                <w:webHidden/>
              </w:rPr>
              <w:fldChar w:fldCharType="separate"/>
            </w:r>
            <w:r w:rsidR="00A43F21">
              <w:rPr>
                <w:noProof/>
                <w:webHidden/>
              </w:rPr>
              <w:t>67</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15" w:history="1">
            <w:r w:rsidR="00D71F9C" w:rsidRPr="00524492">
              <w:rPr>
                <w:rStyle w:val="Hipervnculo"/>
                <w:noProof/>
                <w:lang w:val="es-ES" w:eastAsia="es-ES"/>
              </w:rPr>
              <w:t>3.2.5 Hospital Mental de Filandia</w:t>
            </w:r>
            <w:r w:rsidR="00D71F9C">
              <w:rPr>
                <w:noProof/>
                <w:webHidden/>
              </w:rPr>
              <w:tab/>
            </w:r>
            <w:r w:rsidR="00D71F9C">
              <w:rPr>
                <w:noProof/>
                <w:webHidden/>
              </w:rPr>
              <w:fldChar w:fldCharType="begin"/>
            </w:r>
            <w:r w:rsidR="00D71F9C">
              <w:rPr>
                <w:noProof/>
                <w:webHidden/>
              </w:rPr>
              <w:instrText xml:space="preserve"> PAGEREF _Toc495334915 \h </w:instrText>
            </w:r>
            <w:r w:rsidR="00D71F9C">
              <w:rPr>
                <w:noProof/>
                <w:webHidden/>
              </w:rPr>
            </w:r>
            <w:r w:rsidR="00D71F9C">
              <w:rPr>
                <w:noProof/>
                <w:webHidden/>
              </w:rPr>
              <w:fldChar w:fldCharType="separate"/>
            </w:r>
            <w:r w:rsidR="00A43F21">
              <w:rPr>
                <w:noProof/>
                <w:webHidden/>
              </w:rPr>
              <w:t>69</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16" w:history="1">
            <w:r w:rsidR="00D71F9C" w:rsidRPr="00524492">
              <w:rPr>
                <w:rStyle w:val="Hipervnculo"/>
                <w:noProof/>
                <w:lang w:val="es-ES" w:eastAsia="es-ES"/>
              </w:rPr>
              <w:t>3.2.6 Promotora de Vivienda y Desarrollo del Quindío</w:t>
            </w:r>
            <w:r w:rsidR="00D71F9C">
              <w:rPr>
                <w:noProof/>
                <w:webHidden/>
              </w:rPr>
              <w:tab/>
            </w:r>
            <w:r w:rsidR="00D71F9C">
              <w:rPr>
                <w:noProof/>
                <w:webHidden/>
              </w:rPr>
              <w:fldChar w:fldCharType="begin"/>
            </w:r>
            <w:r w:rsidR="00D71F9C">
              <w:rPr>
                <w:noProof/>
                <w:webHidden/>
              </w:rPr>
              <w:instrText xml:space="preserve"> PAGEREF _Toc495334916 \h </w:instrText>
            </w:r>
            <w:r w:rsidR="00D71F9C">
              <w:rPr>
                <w:noProof/>
                <w:webHidden/>
              </w:rPr>
            </w:r>
            <w:r w:rsidR="00D71F9C">
              <w:rPr>
                <w:noProof/>
                <w:webHidden/>
              </w:rPr>
              <w:fldChar w:fldCharType="separate"/>
            </w:r>
            <w:r w:rsidR="00A43F21">
              <w:rPr>
                <w:noProof/>
                <w:webHidden/>
              </w:rPr>
              <w:t>71</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17" w:history="1">
            <w:r w:rsidR="00D71F9C" w:rsidRPr="00524492">
              <w:rPr>
                <w:rStyle w:val="Hipervnculo"/>
                <w:noProof/>
                <w:lang w:val="es-ES" w:eastAsia="es-ES"/>
              </w:rPr>
              <w:t>3.2.7 Instituto Departamental de Tránsito del Quindío</w:t>
            </w:r>
            <w:r w:rsidR="00D71F9C">
              <w:rPr>
                <w:noProof/>
                <w:webHidden/>
              </w:rPr>
              <w:tab/>
            </w:r>
            <w:r w:rsidR="00D71F9C">
              <w:rPr>
                <w:noProof/>
                <w:webHidden/>
              </w:rPr>
              <w:fldChar w:fldCharType="begin"/>
            </w:r>
            <w:r w:rsidR="00D71F9C">
              <w:rPr>
                <w:noProof/>
                <w:webHidden/>
              </w:rPr>
              <w:instrText xml:space="preserve"> PAGEREF _Toc495334917 \h </w:instrText>
            </w:r>
            <w:r w:rsidR="00D71F9C">
              <w:rPr>
                <w:noProof/>
                <w:webHidden/>
              </w:rPr>
            </w:r>
            <w:r w:rsidR="00D71F9C">
              <w:rPr>
                <w:noProof/>
                <w:webHidden/>
              </w:rPr>
              <w:fldChar w:fldCharType="separate"/>
            </w:r>
            <w:r w:rsidR="00A43F21">
              <w:rPr>
                <w:noProof/>
                <w:webHidden/>
              </w:rPr>
              <w:t>73</w:t>
            </w:r>
            <w:r w:rsidR="00D71F9C">
              <w:rPr>
                <w:noProof/>
                <w:webHidden/>
              </w:rPr>
              <w:fldChar w:fldCharType="end"/>
            </w:r>
          </w:hyperlink>
        </w:p>
        <w:p w:rsidR="00D71F9C" w:rsidRDefault="0009104C">
          <w:pPr>
            <w:pStyle w:val="TDC2"/>
            <w:tabs>
              <w:tab w:val="left" w:pos="660"/>
              <w:tab w:val="right" w:leader="dot" w:pos="8830"/>
            </w:tabs>
            <w:rPr>
              <w:rFonts w:eastAsiaTheme="minorEastAsia"/>
              <w:noProof/>
              <w:lang w:eastAsia="es-CO"/>
            </w:rPr>
          </w:pPr>
          <w:hyperlink w:anchor="_Toc495334918" w:history="1">
            <w:r w:rsidR="00D71F9C" w:rsidRPr="00524492">
              <w:rPr>
                <w:rStyle w:val="Hipervnculo"/>
                <w:rFonts w:eastAsiaTheme="majorEastAsia" w:cstheme="majorBidi"/>
                <w:noProof/>
              </w:rPr>
              <w:t>4.</w:t>
            </w:r>
            <w:r w:rsidR="00D71F9C">
              <w:rPr>
                <w:rFonts w:eastAsiaTheme="minorEastAsia"/>
                <w:noProof/>
                <w:lang w:eastAsia="es-CO"/>
              </w:rPr>
              <w:tab/>
            </w:r>
            <w:r w:rsidR="00D71F9C" w:rsidRPr="00524492">
              <w:rPr>
                <w:rStyle w:val="Hipervnculo"/>
                <w:noProof/>
              </w:rPr>
              <w:t>PLAN FINANCIERO</w:t>
            </w:r>
            <w:r w:rsidR="00D71F9C">
              <w:rPr>
                <w:noProof/>
                <w:webHidden/>
              </w:rPr>
              <w:tab/>
            </w:r>
            <w:r w:rsidR="00D71F9C">
              <w:rPr>
                <w:noProof/>
                <w:webHidden/>
              </w:rPr>
              <w:fldChar w:fldCharType="begin"/>
            </w:r>
            <w:r w:rsidR="00D71F9C">
              <w:rPr>
                <w:noProof/>
                <w:webHidden/>
              </w:rPr>
              <w:instrText xml:space="preserve"> PAGEREF _Toc495334918 \h </w:instrText>
            </w:r>
            <w:r w:rsidR="00D71F9C">
              <w:rPr>
                <w:noProof/>
                <w:webHidden/>
              </w:rPr>
            </w:r>
            <w:r w:rsidR="00D71F9C">
              <w:rPr>
                <w:noProof/>
                <w:webHidden/>
              </w:rPr>
              <w:fldChar w:fldCharType="separate"/>
            </w:r>
            <w:r w:rsidR="00A43F21">
              <w:rPr>
                <w:noProof/>
                <w:webHidden/>
              </w:rPr>
              <w:t>76</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19" w:history="1">
            <w:r w:rsidR="00D71F9C" w:rsidRPr="00524492">
              <w:rPr>
                <w:rStyle w:val="Hipervnculo"/>
                <w:noProof/>
              </w:rPr>
              <w:t>4.1 SUPUESTOS ECONOMICOS PARA LA PROYECCION VIGENCIA 2018-2027</w:t>
            </w:r>
            <w:r w:rsidR="00D71F9C">
              <w:rPr>
                <w:noProof/>
                <w:webHidden/>
              </w:rPr>
              <w:tab/>
            </w:r>
            <w:r w:rsidR="00D71F9C">
              <w:rPr>
                <w:noProof/>
                <w:webHidden/>
              </w:rPr>
              <w:fldChar w:fldCharType="begin"/>
            </w:r>
            <w:r w:rsidR="00D71F9C">
              <w:rPr>
                <w:noProof/>
                <w:webHidden/>
              </w:rPr>
              <w:instrText xml:space="preserve"> PAGEREF _Toc495334919 \h </w:instrText>
            </w:r>
            <w:r w:rsidR="00D71F9C">
              <w:rPr>
                <w:noProof/>
                <w:webHidden/>
              </w:rPr>
            </w:r>
            <w:r w:rsidR="00D71F9C">
              <w:rPr>
                <w:noProof/>
                <w:webHidden/>
              </w:rPr>
              <w:fldChar w:fldCharType="separate"/>
            </w:r>
            <w:r w:rsidR="00A43F21">
              <w:rPr>
                <w:noProof/>
                <w:webHidden/>
              </w:rPr>
              <w:t>77</w:t>
            </w:r>
            <w:r w:rsidR="00D71F9C">
              <w:rPr>
                <w:noProof/>
                <w:webHidden/>
              </w:rPr>
              <w:fldChar w:fldCharType="end"/>
            </w:r>
          </w:hyperlink>
        </w:p>
        <w:p w:rsidR="00D71F9C" w:rsidRDefault="0009104C">
          <w:pPr>
            <w:pStyle w:val="TDC2"/>
            <w:tabs>
              <w:tab w:val="left" w:pos="660"/>
              <w:tab w:val="right" w:leader="dot" w:pos="8830"/>
            </w:tabs>
            <w:rPr>
              <w:rFonts w:eastAsiaTheme="minorEastAsia"/>
              <w:noProof/>
              <w:lang w:eastAsia="es-CO"/>
            </w:rPr>
          </w:pPr>
          <w:hyperlink w:anchor="_Toc495334920" w:history="1">
            <w:r w:rsidR="00D71F9C" w:rsidRPr="00524492">
              <w:rPr>
                <w:rStyle w:val="Hipervnculo"/>
                <w:rFonts w:eastAsiaTheme="majorEastAsia" w:cstheme="majorBidi"/>
                <w:noProof/>
              </w:rPr>
              <w:t>5.</w:t>
            </w:r>
            <w:r w:rsidR="00D71F9C">
              <w:rPr>
                <w:rFonts w:eastAsiaTheme="minorEastAsia"/>
                <w:noProof/>
                <w:lang w:eastAsia="es-CO"/>
              </w:rPr>
              <w:tab/>
            </w:r>
            <w:r w:rsidR="00D71F9C" w:rsidRPr="00524492">
              <w:rPr>
                <w:rStyle w:val="Hipervnculo"/>
                <w:noProof/>
              </w:rPr>
              <w:t>METAS DE SUPERÁVIT PRIMARIO</w:t>
            </w:r>
            <w:r w:rsidR="00D71F9C">
              <w:rPr>
                <w:noProof/>
                <w:webHidden/>
              </w:rPr>
              <w:tab/>
            </w:r>
            <w:r w:rsidR="00D71F9C">
              <w:rPr>
                <w:noProof/>
                <w:webHidden/>
              </w:rPr>
              <w:fldChar w:fldCharType="begin"/>
            </w:r>
            <w:r w:rsidR="00D71F9C">
              <w:rPr>
                <w:noProof/>
                <w:webHidden/>
              </w:rPr>
              <w:instrText xml:space="preserve"> PAGEREF _Toc495334920 \h </w:instrText>
            </w:r>
            <w:r w:rsidR="00D71F9C">
              <w:rPr>
                <w:noProof/>
                <w:webHidden/>
              </w:rPr>
            </w:r>
            <w:r w:rsidR="00D71F9C">
              <w:rPr>
                <w:noProof/>
                <w:webHidden/>
              </w:rPr>
              <w:fldChar w:fldCharType="separate"/>
            </w:r>
            <w:r w:rsidR="00A43F21">
              <w:rPr>
                <w:noProof/>
                <w:webHidden/>
              </w:rPr>
              <w:t>79</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21" w:history="1">
            <w:r w:rsidR="00D71F9C" w:rsidRPr="00524492">
              <w:rPr>
                <w:rStyle w:val="Hipervnculo"/>
                <w:noProof/>
              </w:rPr>
              <w:t>5.2 NIVEL DE DEUDA PÚBLICA Y ANÁLISIS DE SU SOSTENIBILIDAD</w:t>
            </w:r>
            <w:r w:rsidR="00D71F9C">
              <w:rPr>
                <w:noProof/>
                <w:webHidden/>
              </w:rPr>
              <w:tab/>
            </w:r>
            <w:r w:rsidR="00D71F9C">
              <w:rPr>
                <w:noProof/>
                <w:webHidden/>
              </w:rPr>
              <w:fldChar w:fldCharType="begin"/>
            </w:r>
            <w:r w:rsidR="00D71F9C">
              <w:rPr>
                <w:noProof/>
                <w:webHidden/>
              </w:rPr>
              <w:instrText xml:space="preserve"> PAGEREF _Toc495334921 \h </w:instrText>
            </w:r>
            <w:r w:rsidR="00D71F9C">
              <w:rPr>
                <w:noProof/>
                <w:webHidden/>
              </w:rPr>
            </w:r>
            <w:r w:rsidR="00D71F9C">
              <w:rPr>
                <w:noProof/>
                <w:webHidden/>
              </w:rPr>
              <w:fldChar w:fldCharType="separate"/>
            </w:r>
            <w:r w:rsidR="00A43F21">
              <w:rPr>
                <w:noProof/>
                <w:webHidden/>
              </w:rPr>
              <w:t>80</w:t>
            </w:r>
            <w:r w:rsidR="00D71F9C">
              <w:rPr>
                <w:noProof/>
                <w:webHidden/>
              </w:rPr>
              <w:fldChar w:fldCharType="end"/>
            </w:r>
          </w:hyperlink>
        </w:p>
        <w:p w:rsidR="00D71F9C" w:rsidRDefault="0009104C">
          <w:pPr>
            <w:pStyle w:val="TDC3"/>
            <w:tabs>
              <w:tab w:val="left" w:pos="1320"/>
              <w:tab w:val="right" w:leader="dot" w:pos="8830"/>
            </w:tabs>
            <w:rPr>
              <w:rFonts w:eastAsiaTheme="minorEastAsia"/>
              <w:noProof/>
              <w:lang w:eastAsia="es-CO"/>
            </w:rPr>
          </w:pPr>
          <w:hyperlink w:anchor="_Toc495334922" w:history="1">
            <w:r w:rsidR="00D71F9C" w:rsidRPr="00524492">
              <w:rPr>
                <w:rStyle w:val="Hipervnculo"/>
                <w:rFonts w:eastAsia="Times New Roman" w:cs="Times New Roman"/>
                <w:noProof/>
                <w:lang w:eastAsia="es-ES"/>
              </w:rPr>
              <w:t>5.2.1</w:t>
            </w:r>
            <w:r w:rsidR="00D71F9C">
              <w:rPr>
                <w:rFonts w:eastAsiaTheme="minorEastAsia"/>
                <w:noProof/>
                <w:lang w:eastAsia="es-CO"/>
              </w:rPr>
              <w:tab/>
            </w:r>
            <w:r w:rsidR="00D71F9C" w:rsidRPr="00524492">
              <w:rPr>
                <w:rStyle w:val="Hipervnculo"/>
                <w:rFonts w:eastAsia="Times New Roman"/>
                <w:noProof/>
                <w:lang w:eastAsia="es-ES"/>
              </w:rPr>
              <w:t>Cuadro Saldo y Composición de la Deuda, diciembre 31 /2016</w:t>
            </w:r>
            <w:r w:rsidR="00D71F9C">
              <w:rPr>
                <w:noProof/>
                <w:webHidden/>
              </w:rPr>
              <w:tab/>
            </w:r>
            <w:r w:rsidR="00D71F9C">
              <w:rPr>
                <w:noProof/>
                <w:webHidden/>
              </w:rPr>
              <w:fldChar w:fldCharType="begin"/>
            </w:r>
            <w:r w:rsidR="00D71F9C">
              <w:rPr>
                <w:noProof/>
                <w:webHidden/>
              </w:rPr>
              <w:instrText xml:space="preserve"> PAGEREF _Toc495334922 \h </w:instrText>
            </w:r>
            <w:r w:rsidR="00D71F9C">
              <w:rPr>
                <w:noProof/>
                <w:webHidden/>
              </w:rPr>
            </w:r>
            <w:r w:rsidR="00D71F9C">
              <w:rPr>
                <w:noProof/>
                <w:webHidden/>
              </w:rPr>
              <w:fldChar w:fldCharType="separate"/>
            </w:r>
            <w:r w:rsidR="00A43F21">
              <w:rPr>
                <w:noProof/>
                <w:webHidden/>
              </w:rPr>
              <w:t>80</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23" w:history="1">
            <w:r w:rsidR="00D71F9C" w:rsidRPr="00524492">
              <w:rPr>
                <w:rStyle w:val="Hipervnculo"/>
                <w:noProof/>
              </w:rPr>
              <w:t>5.2.2. Capacidad de Endeudamiento (Ley 358 De 1997)</w:t>
            </w:r>
            <w:r w:rsidR="00D71F9C">
              <w:rPr>
                <w:noProof/>
                <w:webHidden/>
              </w:rPr>
              <w:tab/>
            </w:r>
            <w:r w:rsidR="00D71F9C">
              <w:rPr>
                <w:noProof/>
                <w:webHidden/>
              </w:rPr>
              <w:fldChar w:fldCharType="begin"/>
            </w:r>
            <w:r w:rsidR="00D71F9C">
              <w:rPr>
                <w:noProof/>
                <w:webHidden/>
              </w:rPr>
              <w:instrText xml:space="preserve"> PAGEREF _Toc495334923 \h </w:instrText>
            </w:r>
            <w:r w:rsidR="00D71F9C">
              <w:rPr>
                <w:noProof/>
                <w:webHidden/>
              </w:rPr>
            </w:r>
            <w:r w:rsidR="00D71F9C">
              <w:rPr>
                <w:noProof/>
                <w:webHidden/>
              </w:rPr>
              <w:fldChar w:fldCharType="separate"/>
            </w:r>
            <w:r w:rsidR="00A43F21">
              <w:rPr>
                <w:noProof/>
                <w:webHidden/>
              </w:rPr>
              <w:t>80</w:t>
            </w:r>
            <w:r w:rsidR="00D71F9C">
              <w:rPr>
                <w:noProof/>
                <w:webHidden/>
              </w:rPr>
              <w:fldChar w:fldCharType="end"/>
            </w:r>
          </w:hyperlink>
        </w:p>
        <w:p w:rsidR="00D71F9C" w:rsidRDefault="0009104C">
          <w:pPr>
            <w:pStyle w:val="TDC2"/>
            <w:tabs>
              <w:tab w:val="left" w:pos="880"/>
              <w:tab w:val="right" w:leader="dot" w:pos="8830"/>
            </w:tabs>
            <w:rPr>
              <w:rFonts w:eastAsiaTheme="minorEastAsia"/>
              <w:noProof/>
              <w:lang w:eastAsia="es-CO"/>
            </w:rPr>
          </w:pPr>
          <w:hyperlink w:anchor="_Toc495334924" w:history="1">
            <w:r w:rsidR="00D71F9C" w:rsidRPr="00524492">
              <w:rPr>
                <w:rStyle w:val="Hipervnculo"/>
                <w:noProof/>
                <w:lang w:val="es-ES" w:eastAsia="es-ES"/>
              </w:rPr>
              <w:t>5.3</w:t>
            </w:r>
            <w:r w:rsidR="00D71F9C">
              <w:rPr>
                <w:rFonts w:eastAsiaTheme="minorEastAsia"/>
                <w:noProof/>
                <w:lang w:eastAsia="es-CO"/>
              </w:rPr>
              <w:tab/>
            </w:r>
            <w:r w:rsidR="00D71F9C" w:rsidRPr="00524492">
              <w:rPr>
                <w:rStyle w:val="Hipervnculo"/>
                <w:noProof/>
                <w:lang w:val="es-ES" w:eastAsia="es-ES"/>
              </w:rPr>
              <w:t>LEY 617 DE 2000</w:t>
            </w:r>
            <w:r w:rsidR="00D71F9C">
              <w:rPr>
                <w:noProof/>
                <w:webHidden/>
              </w:rPr>
              <w:tab/>
            </w:r>
            <w:r w:rsidR="00D71F9C">
              <w:rPr>
                <w:noProof/>
                <w:webHidden/>
              </w:rPr>
              <w:fldChar w:fldCharType="begin"/>
            </w:r>
            <w:r w:rsidR="00D71F9C">
              <w:rPr>
                <w:noProof/>
                <w:webHidden/>
              </w:rPr>
              <w:instrText xml:space="preserve"> PAGEREF _Toc495334924 \h </w:instrText>
            </w:r>
            <w:r w:rsidR="00D71F9C">
              <w:rPr>
                <w:noProof/>
                <w:webHidden/>
              </w:rPr>
            </w:r>
            <w:r w:rsidR="00D71F9C">
              <w:rPr>
                <w:noProof/>
                <w:webHidden/>
              </w:rPr>
              <w:fldChar w:fldCharType="separate"/>
            </w:r>
            <w:r w:rsidR="00A43F21">
              <w:rPr>
                <w:noProof/>
                <w:webHidden/>
              </w:rPr>
              <w:t>85</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25" w:history="1">
            <w:r w:rsidR="00D71F9C" w:rsidRPr="00524492">
              <w:rPr>
                <w:rStyle w:val="Hipervnculo"/>
                <w:noProof/>
                <w:lang w:val="es-ES" w:eastAsia="es-ES"/>
              </w:rPr>
              <w:t>5.3.1 Cumplimiento de la Ley 617 de 2000</w:t>
            </w:r>
            <w:r w:rsidR="00D71F9C">
              <w:rPr>
                <w:noProof/>
                <w:webHidden/>
              </w:rPr>
              <w:tab/>
            </w:r>
            <w:r w:rsidR="00D71F9C">
              <w:rPr>
                <w:noProof/>
                <w:webHidden/>
              </w:rPr>
              <w:fldChar w:fldCharType="begin"/>
            </w:r>
            <w:r w:rsidR="00D71F9C">
              <w:rPr>
                <w:noProof/>
                <w:webHidden/>
              </w:rPr>
              <w:instrText xml:space="preserve"> PAGEREF _Toc495334925 \h </w:instrText>
            </w:r>
            <w:r w:rsidR="00D71F9C">
              <w:rPr>
                <w:noProof/>
                <w:webHidden/>
              </w:rPr>
            </w:r>
            <w:r w:rsidR="00D71F9C">
              <w:rPr>
                <w:noProof/>
                <w:webHidden/>
              </w:rPr>
              <w:fldChar w:fldCharType="separate"/>
            </w:r>
            <w:r w:rsidR="00A43F21">
              <w:rPr>
                <w:noProof/>
                <w:webHidden/>
              </w:rPr>
              <w:t>85</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26" w:history="1">
            <w:r w:rsidR="00D71F9C" w:rsidRPr="00524492">
              <w:rPr>
                <w:rStyle w:val="Hipervnculo"/>
                <w:noProof/>
              </w:rPr>
              <w:t>5.3.2 Proyección Ley 617 de 2000</w:t>
            </w:r>
            <w:r w:rsidR="00D71F9C">
              <w:rPr>
                <w:noProof/>
                <w:webHidden/>
              </w:rPr>
              <w:tab/>
            </w:r>
            <w:r w:rsidR="00D71F9C">
              <w:rPr>
                <w:noProof/>
                <w:webHidden/>
              </w:rPr>
              <w:fldChar w:fldCharType="begin"/>
            </w:r>
            <w:r w:rsidR="00D71F9C">
              <w:rPr>
                <w:noProof/>
                <w:webHidden/>
              </w:rPr>
              <w:instrText xml:space="preserve"> PAGEREF _Toc495334926 \h </w:instrText>
            </w:r>
            <w:r w:rsidR="00D71F9C">
              <w:rPr>
                <w:noProof/>
                <w:webHidden/>
              </w:rPr>
            </w:r>
            <w:r w:rsidR="00D71F9C">
              <w:rPr>
                <w:noProof/>
                <w:webHidden/>
              </w:rPr>
              <w:fldChar w:fldCharType="separate"/>
            </w:r>
            <w:r w:rsidR="00A43F21">
              <w:rPr>
                <w:noProof/>
                <w:webHidden/>
              </w:rPr>
              <w:t>86</w:t>
            </w:r>
            <w:r w:rsidR="00D71F9C">
              <w:rPr>
                <w:noProof/>
                <w:webHidden/>
              </w:rPr>
              <w:fldChar w:fldCharType="end"/>
            </w:r>
          </w:hyperlink>
        </w:p>
        <w:p w:rsidR="00D71F9C" w:rsidRDefault="0009104C">
          <w:pPr>
            <w:pStyle w:val="TDC2"/>
            <w:tabs>
              <w:tab w:val="left" w:pos="660"/>
              <w:tab w:val="right" w:leader="dot" w:pos="8830"/>
            </w:tabs>
            <w:rPr>
              <w:rFonts w:eastAsiaTheme="minorEastAsia"/>
              <w:noProof/>
              <w:lang w:eastAsia="es-CO"/>
            </w:rPr>
          </w:pPr>
          <w:hyperlink w:anchor="_Toc495334927" w:history="1">
            <w:r w:rsidR="00D71F9C" w:rsidRPr="00524492">
              <w:rPr>
                <w:rStyle w:val="Hipervnculo"/>
                <w:rFonts w:eastAsiaTheme="majorEastAsia" w:cstheme="majorBidi"/>
                <w:noProof/>
              </w:rPr>
              <w:t>6.</w:t>
            </w:r>
            <w:r w:rsidR="00D71F9C">
              <w:rPr>
                <w:rFonts w:eastAsiaTheme="minorEastAsia"/>
                <w:noProof/>
                <w:lang w:eastAsia="es-CO"/>
              </w:rPr>
              <w:tab/>
            </w:r>
            <w:r w:rsidR="00D71F9C" w:rsidRPr="00524492">
              <w:rPr>
                <w:rStyle w:val="Hipervnculo"/>
                <w:noProof/>
              </w:rPr>
              <w:t>ACCIONES Y MEDIDAS QUE SUSTENTAN EL CUMPLIMIENTO DE METAS</w:t>
            </w:r>
            <w:r w:rsidR="00D71F9C">
              <w:rPr>
                <w:noProof/>
                <w:webHidden/>
              </w:rPr>
              <w:tab/>
            </w:r>
            <w:r w:rsidR="00D71F9C">
              <w:rPr>
                <w:noProof/>
                <w:webHidden/>
              </w:rPr>
              <w:fldChar w:fldCharType="begin"/>
            </w:r>
            <w:r w:rsidR="00D71F9C">
              <w:rPr>
                <w:noProof/>
                <w:webHidden/>
              </w:rPr>
              <w:instrText xml:space="preserve"> PAGEREF _Toc495334927 \h </w:instrText>
            </w:r>
            <w:r w:rsidR="00D71F9C">
              <w:rPr>
                <w:noProof/>
                <w:webHidden/>
              </w:rPr>
            </w:r>
            <w:r w:rsidR="00D71F9C">
              <w:rPr>
                <w:noProof/>
                <w:webHidden/>
              </w:rPr>
              <w:fldChar w:fldCharType="separate"/>
            </w:r>
            <w:r w:rsidR="00A43F21">
              <w:rPr>
                <w:noProof/>
                <w:webHidden/>
              </w:rPr>
              <w:t>87</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28" w:history="1">
            <w:r w:rsidR="00D71F9C" w:rsidRPr="00524492">
              <w:rPr>
                <w:rStyle w:val="Hipervnculo"/>
                <w:noProof/>
              </w:rPr>
              <w:t>6.1.</w:t>
            </w:r>
            <w:r w:rsidR="00D71F9C">
              <w:rPr>
                <w:noProof/>
                <w:webHidden/>
              </w:rPr>
              <w:tab/>
            </w:r>
            <w:r w:rsidR="00D71F9C">
              <w:rPr>
                <w:noProof/>
                <w:webHidden/>
              </w:rPr>
              <w:fldChar w:fldCharType="begin"/>
            </w:r>
            <w:r w:rsidR="00D71F9C">
              <w:rPr>
                <w:noProof/>
                <w:webHidden/>
              </w:rPr>
              <w:instrText xml:space="preserve"> PAGEREF _Toc495334928 \h </w:instrText>
            </w:r>
            <w:r w:rsidR="00D71F9C">
              <w:rPr>
                <w:noProof/>
                <w:webHidden/>
              </w:rPr>
            </w:r>
            <w:r w:rsidR="00D71F9C">
              <w:rPr>
                <w:noProof/>
                <w:webHidden/>
              </w:rPr>
              <w:fldChar w:fldCharType="separate"/>
            </w:r>
            <w:r w:rsidR="00A43F21">
              <w:rPr>
                <w:noProof/>
                <w:webHidden/>
              </w:rPr>
              <w:t>91</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29" w:history="1">
            <w:r w:rsidR="00D71F9C" w:rsidRPr="00524492">
              <w:rPr>
                <w:rStyle w:val="Hipervnculo"/>
                <w:noProof/>
              </w:rPr>
              <w:t>6.2 RESULTADOS EJECUCIÓN DE INGRESOS VIGENCIA 2016 QUE REFLEJAN LAS ACCIONES Y MEDIDAS TOMADAS POR LA SECRETARIA DE HACIENDA EN CUMPLIMIENTO DE LAS METAS FINANCIERAS VIGENCIA 2016</w:t>
            </w:r>
            <w:r w:rsidR="00D71F9C">
              <w:rPr>
                <w:noProof/>
                <w:webHidden/>
              </w:rPr>
              <w:tab/>
            </w:r>
            <w:r w:rsidR="00D71F9C">
              <w:rPr>
                <w:noProof/>
                <w:webHidden/>
              </w:rPr>
              <w:fldChar w:fldCharType="begin"/>
            </w:r>
            <w:r w:rsidR="00D71F9C">
              <w:rPr>
                <w:noProof/>
                <w:webHidden/>
              </w:rPr>
              <w:instrText xml:space="preserve"> PAGEREF _Toc495334929 \h </w:instrText>
            </w:r>
            <w:r w:rsidR="00D71F9C">
              <w:rPr>
                <w:noProof/>
                <w:webHidden/>
              </w:rPr>
            </w:r>
            <w:r w:rsidR="00D71F9C">
              <w:rPr>
                <w:noProof/>
                <w:webHidden/>
              </w:rPr>
              <w:fldChar w:fldCharType="separate"/>
            </w:r>
            <w:r w:rsidR="00A43F21">
              <w:rPr>
                <w:noProof/>
                <w:webHidden/>
              </w:rPr>
              <w:t>98</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30" w:history="1">
            <w:r w:rsidR="00D71F9C" w:rsidRPr="00524492">
              <w:rPr>
                <w:rStyle w:val="Hipervnculo"/>
                <w:noProof/>
              </w:rPr>
              <w:t>6.2.1 Ingresos Plan Financiero Plan de Desarrollo vs Presupuesto Ejecutado vigencia 2016</w:t>
            </w:r>
            <w:r w:rsidR="00D71F9C">
              <w:rPr>
                <w:noProof/>
                <w:webHidden/>
              </w:rPr>
              <w:tab/>
            </w:r>
            <w:r w:rsidR="00D71F9C">
              <w:rPr>
                <w:noProof/>
                <w:webHidden/>
              </w:rPr>
              <w:fldChar w:fldCharType="begin"/>
            </w:r>
            <w:r w:rsidR="00D71F9C">
              <w:rPr>
                <w:noProof/>
                <w:webHidden/>
              </w:rPr>
              <w:instrText xml:space="preserve"> PAGEREF _Toc495334930 \h </w:instrText>
            </w:r>
            <w:r w:rsidR="00D71F9C">
              <w:rPr>
                <w:noProof/>
                <w:webHidden/>
              </w:rPr>
            </w:r>
            <w:r w:rsidR="00D71F9C">
              <w:rPr>
                <w:noProof/>
                <w:webHidden/>
              </w:rPr>
              <w:fldChar w:fldCharType="separate"/>
            </w:r>
            <w:r w:rsidR="00A43F21">
              <w:rPr>
                <w:noProof/>
                <w:webHidden/>
              </w:rPr>
              <w:t>98</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31" w:history="1">
            <w:r w:rsidR="00D71F9C" w:rsidRPr="00524492">
              <w:rPr>
                <w:rStyle w:val="Hipervnculo"/>
                <w:noProof/>
                <w:lang w:val="es-ES" w:eastAsia="es-ES"/>
              </w:rPr>
              <w:t>6.2.2 Cumplimiento de las Metas del Plan de Desarrollo 2016-2019 “En Defensa del Bien Común</w:t>
            </w:r>
            <w:r w:rsidR="00D71F9C">
              <w:rPr>
                <w:noProof/>
                <w:webHidden/>
              </w:rPr>
              <w:tab/>
            </w:r>
            <w:r w:rsidR="00D71F9C">
              <w:rPr>
                <w:noProof/>
                <w:webHidden/>
              </w:rPr>
              <w:fldChar w:fldCharType="begin"/>
            </w:r>
            <w:r w:rsidR="00D71F9C">
              <w:rPr>
                <w:noProof/>
                <w:webHidden/>
              </w:rPr>
              <w:instrText xml:space="preserve"> PAGEREF _Toc495334931 \h </w:instrText>
            </w:r>
            <w:r w:rsidR="00D71F9C">
              <w:rPr>
                <w:noProof/>
                <w:webHidden/>
              </w:rPr>
            </w:r>
            <w:r w:rsidR="00D71F9C">
              <w:rPr>
                <w:noProof/>
                <w:webHidden/>
              </w:rPr>
              <w:fldChar w:fldCharType="separate"/>
            </w:r>
            <w:r w:rsidR="00A43F21">
              <w:rPr>
                <w:noProof/>
                <w:webHidden/>
              </w:rPr>
              <w:t>99</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32" w:history="1">
            <w:r w:rsidR="00D71F9C" w:rsidRPr="00524492">
              <w:rPr>
                <w:rStyle w:val="Hipervnculo"/>
                <w:noProof/>
              </w:rPr>
              <w:t>7.ESTIMACIÓN DEL COSTO FISCAL DE LAS EXENCIONES TRIBUTARIAS EXISTENTES EN LA VIGENCIA FISCAL ANTERIOR</w:t>
            </w:r>
            <w:r w:rsidR="00D71F9C">
              <w:rPr>
                <w:noProof/>
                <w:webHidden/>
              </w:rPr>
              <w:tab/>
            </w:r>
            <w:r w:rsidR="00D71F9C">
              <w:rPr>
                <w:noProof/>
                <w:webHidden/>
              </w:rPr>
              <w:fldChar w:fldCharType="begin"/>
            </w:r>
            <w:r w:rsidR="00D71F9C">
              <w:rPr>
                <w:noProof/>
                <w:webHidden/>
              </w:rPr>
              <w:instrText xml:space="preserve"> PAGEREF _Toc495334932 \h </w:instrText>
            </w:r>
            <w:r w:rsidR="00D71F9C">
              <w:rPr>
                <w:noProof/>
                <w:webHidden/>
              </w:rPr>
            </w:r>
            <w:r w:rsidR="00D71F9C">
              <w:rPr>
                <w:noProof/>
                <w:webHidden/>
              </w:rPr>
              <w:fldChar w:fldCharType="separate"/>
            </w:r>
            <w:r w:rsidR="00A43F21">
              <w:rPr>
                <w:noProof/>
                <w:webHidden/>
              </w:rPr>
              <w:t>101</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33" w:history="1">
            <w:r w:rsidR="00D71F9C" w:rsidRPr="00524492">
              <w:rPr>
                <w:rStyle w:val="Hipervnculo"/>
                <w:noProof/>
              </w:rPr>
              <w:t>Exenciones Tributarias:</w:t>
            </w:r>
            <w:r w:rsidR="00D71F9C">
              <w:rPr>
                <w:noProof/>
                <w:webHidden/>
              </w:rPr>
              <w:tab/>
            </w:r>
            <w:r w:rsidR="00D71F9C">
              <w:rPr>
                <w:noProof/>
                <w:webHidden/>
              </w:rPr>
              <w:fldChar w:fldCharType="begin"/>
            </w:r>
            <w:r w:rsidR="00D71F9C">
              <w:rPr>
                <w:noProof/>
                <w:webHidden/>
              </w:rPr>
              <w:instrText xml:space="preserve"> PAGEREF _Toc495334933 \h </w:instrText>
            </w:r>
            <w:r w:rsidR="00D71F9C">
              <w:rPr>
                <w:noProof/>
                <w:webHidden/>
              </w:rPr>
            </w:r>
            <w:r w:rsidR="00D71F9C">
              <w:rPr>
                <w:noProof/>
                <w:webHidden/>
              </w:rPr>
              <w:fldChar w:fldCharType="separate"/>
            </w:r>
            <w:r w:rsidR="00A43F21">
              <w:rPr>
                <w:noProof/>
                <w:webHidden/>
              </w:rPr>
              <w:t>101</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34" w:history="1">
            <w:r w:rsidR="00D71F9C" w:rsidRPr="00524492">
              <w:rPr>
                <w:rStyle w:val="Hipervnculo"/>
                <w:noProof/>
              </w:rPr>
              <w:t>Costo Tributario:</w:t>
            </w:r>
            <w:r w:rsidR="00D71F9C">
              <w:rPr>
                <w:noProof/>
                <w:webHidden/>
              </w:rPr>
              <w:tab/>
            </w:r>
            <w:r w:rsidR="00D71F9C">
              <w:rPr>
                <w:noProof/>
                <w:webHidden/>
              </w:rPr>
              <w:fldChar w:fldCharType="begin"/>
            </w:r>
            <w:r w:rsidR="00D71F9C">
              <w:rPr>
                <w:noProof/>
                <w:webHidden/>
              </w:rPr>
              <w:instrText xml:space="preserve"> PAGEREF _Toc495334934 \h </w:instrText>
            </w:r>
            <w:r w:rsidR="00D71F9C">
              <w:rPr>
                <w:noProof/>
                <w:webHidden/>
              </w:rPr>
            </w:r>
            <w:r w:rsidR="00D71F9C">
              <w:rPr>
                <w:noProof/>
                <w:webHidden/>
              </w:rPr>
              <w:fldChar w:fldCharType="separate"/>
            </w:r>
            <w:r w:rsidR="00A43F21">
              <w:rPr>
                <w:noProof/>
                <w:webHidden/>
              </w:rPr>
              <w:t>101</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35" w:history="1">
            <w:r w:rsidR="00D71F9C" w:rsidRPr="00524492">
              <w:rPr>
                <w:rStyle w:val="Hipervnculo"/>
                <w:noProof/>
              </w:rPr>
              <w:t>Beneficio Tributario:</w:t>
            </w:r>
            <w:r w:rsidR="00D71F9C">
              <w:rPr>
                <w:noProof/>
                <w:webHidden/>
              </w:rPr>
              <w:tab/>
            </w:r>
            <w:r w:rsidR="00D71F9C">
              <w:rPr>
                <w:noProof/>
                <w:webHidden/>
              </w:rPr>
              <w:fldChar w:fldCharType="begin"/>
            </w:r>
            <w:r w:rsidR="00D71F9C">
              <w:rPr>
                <w:noProof/>
                <w:webHidden/>
              </w:rPr>
              <w:instrText xml:space="preserve"> PAGEREF _Toc495334935 \h </w:instrText>
            </w:r>
            <w:r w:rsidR="00D71F9C">
              <w:rPr>
                <w:noProof/>
                <w:webHidden/>
              </w:rPr>
            </w:r>
            <w:r w:rsidR="00D71F9C">
              <w:rPr>
                <w:noProof/>
                <w:webHidden/>
              </w:rPr>
              <w:fldChar w:fldCharType="separate"/>
            </w:r>
            <w:r w:rsidR="00A43F21">
              <w:rPr>
                <w:noProof/>
                <w:webHidden/>
              </w:rPr>
              <w:t>102</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36" w:history="1">
            <w:r w:rsidR="00D71F9C" w:rsidRPr="00524492">
              <w:rPr>
                <w:rStyle w:val="Hipervnculo"/>
                <w:noProof/>
              </w:rPr>
              <w:t>7.2 COSTO FISCAL EXENCIONES IMPUESTO DE REGISTRO</w:t>
            </w:r>
            <w:r w:rsidR="00D71F9C">
              <w:rPr>
                <w:noProof/>
                <w:webHidden/>
              </w:rPr>
              <w:tab/>
            </w:r>
            <w:r w:rsidR="00D71F9C">
              <w:rPr>
                <w:noProof/>
                <w:webHidden/>
              </w:rPr>
              <w:fldChar w:fldCharType="begin"/>
            </w:r>
            <w:r w:rsidR="00D71F9C">
              <w:rPr>
                <w:noProof/>
                <w:webHidden/>
              </w:rPr>
              <w:instrText xml:space="preserve"> PAGEREF _Toc495334936 \h </w:instrText>
            </w:r>
            <w:r w:rsidR="00D71F9C">
              <w:rPr>
                <w:noProof/>
                <w:webHidden/>
              </w:rPr>
            </w:r>
            <w:r w:rsidR="00D71F9C">
              <w:rPr>
                <w:noProof/>
                <w:webHidden/>
              </w:rPr>
              <w:fldChar w:fldCharType="separate"/>
            </w:r>
            <w:r w:rsidR="00A43F21">
              <w:rPr>
                <w:noProof/>
                <w:webHidden/>
              </w:rPr>
              <w:t>103</w:t>
            </w:r>
            <w:r w:rsidR="00D71F9C">
              <w:rPr>
                <w:noProof/>
                <w:webHidden/>
              </w:rPr>
              <w:fldChar w:fldCharType="end"/>
            </w:r>
          </w:hyperlink>
        </w:p>
        <w:p w:rsidR="00D71F9C" w:rsidRDefault="0009104C">
          <w:pPr>
            <w:pStyle w:val="TDC2"/>
            <w:tabs>
              <w:tab w:val="left" w:pos="660"/>
              <w:tab w:val="right" w:leader="dot" w:pos="8830"/>
            </w:tabs>
            <w:rPr>
              <w:rFonts w:eastAsiaTheme="minorEastAsia"/>
              <w:noProof/>
              <w:lang w:eastAsia="es-CO"/>
            </w:rPr>
          </w:pPr>
          <w:hyperlink w:anchor="_Toc495334937" w:history="1">
            <w:r w:rsidR="00D71F9C" w:rsidRPr="00524492">
              <w:rPr>
                <w:rStyle w:val="Hipervnculo"/>
                <w:rFonts w:eastAsiaTheme="majorEastAsia" w:cstheme="majorBidi"/>
                <w:noProof/>
              </w:rPr>
              <w:t>8.</w:t>
            </w:r>
            <w:r w:rsidR="00D71F9C">
              <w:rPr>
                <w:rFonts w:eastAsiaTheme="minorEastAsia"/>
                <w:noProof/>
                <w:lang w:eastAsia="es-CO"/>
              </w:rPr>
              <w:tab/>
            </w:r>
            <w:r w:rsidR="00D71F9C" w:rsidRPr="00524492">
              <w:rPr>
                <w:rStyle w:val="Hipervnculo"/>
                <w:noProof/>
              </w:rPr>
              <w:t>UNA RELACIÓN DE LOS PASIVOS EXIGIBLES Y DE LOS PASIVOS CONTINGENTES QUE PUEDEN AFECTAR LA SITUACION FINANCIERA DE LA ENTIDAD TERRITORIAL</w:t>
            </w:r>
            <w:r w:rsidR="00D71F9C">
              <w:rPr>
                <w:noProof/>
                <w:webHidden/>
              </w:rPr>
              <w:tab/>
            </w:r>
            <w:r w:rsidR="00D71F9C">
              <w:rPr>
                <w:noProof/>
                <w:webHidden/>
              </w:rPr>
              <w:fldChar w:fldCharType="begin"/>
            </w:r>
            <w:r w:rsidR="00D71F9C">
              <w:rPr>
                <w:noProof/>
                <w:webHidden/>
              </w:rPr>
              <w:instrText xml:space="preserve"> PAGEREF _Toc495334937 \h </w:instrText>
            </w:r>
            <w:r w:rsidR="00D71F9C">
              <w:rPr>
                <w:noProof/>
                <w:webHidden/>
              </w:rPr>
            </w:r>
            <w:r w:rsidR="00D71F9C">
              <w:rPr>
                <w:noProof/>
                <w:webHidden/>
              </w:rPr>
              <w:fldChar w:fldCharType="separate"/>
            </w:r>
            <w:r w:rsidR="00A43F21">
              <w:rPr>
                <w:noProof/>
                <w:webHidden/>
              </w:rPr>
              <w:t>105</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38" w:history="1">
            <w:r w:rsidR="00D71F9C" w:rsidRPr="00524492">
              <w:rPr>
                <w:rStyle w:val="Hipervnculo"/>
                <w:noProof/>
              </w:rPr>
              <w:t>8.1 PASIVOS EXIGIBLES:</w:t>
            </w:r>
            <w:r w:rsidR="00D71F9C">
              <w:rPr>
                <w:noProof/>
                <w:webHidden/>
              </w:rPr>
              <w:tab/>
            </w:r>
            <w:r w:rsidR="00D71F9C">
              <w:rPr>
                <w:noProof/>
                <w:webHidden/>
              </w:rPr>
              <w:fldChar w:fldCharType="begin"/>
            </w:r>
            <w:r w:rsidR="00D71F9C">
              <w:rPr>
                <w:noProof/>
                <w:webHidden/>
              </w:rPr>
              <w:instrText xml:space="preserve"> PAGEREF _Toc495334938 \h </w:instrText>
            </w:r>
            <w:r w:rsidR="00D71F9C">
              <w:rPr>
                <w:noProof/>
                <w:webHidden/>
              </w:rPr>
            </w:r>
            <w:r w:rsidR="00D71F9C">
              <w:rPr>
                <w:noProof/>
                <w:webHidden/>
              </w:rPr>
              <w:fldChar w:fldCharType="separate"/>
            </w:r>
            <w:r w:rsidR="00A43F21">
              <w:rPr>
                <w:noProof/>
                <w:webHidden/>
              </w:rPr>
              <w:t>107</w:t>
            </w:r>
            <w:r w:rsidR="00D71F9C">
              <w:rPr>
                <w:noProof/>
                <w:webHidden/>
              </w:rPr>
              <w:fldChar w:fldCharType="end"/>
            </w:r>
          </w:hyperlink>
        </w:p>
        <w:p w:rsidR="00D71F9C" w:rsidRDefault="0009104C">
          <w:pPr>
            <w:pStyle w:val="TDC2"/>
            <w:tabs>
              <w:tab w:val="left" w:pos="880"/>
              <w:tab w:val="right" w:leader="dot" w:pos="8830"/>
            </w:tabs>
            <w:rPr>
              <w:rFonts w:eastAsiaTheme="minorEastAsia"/>
              <w:noProof/>
              <w:lang w:eastAsia="es-CO"/>
            </w:rPr>
          </w:pPr>
          <w:hyperlink w:anchor="_Toc495334939" w:history="1">
            <w:r w:rsidR="00D71F9C" w:rsidRPr="00524492">
              <w:rPr>
                <w:rStyle w:val="Hipervnculo"/>
                <w:noProof/>
              </w:rPr>
              <w:t>8.2</w:t>
            </w:r>
            <w:r w:rsidR="00D71F9C">
              <w:rPr>
                <w:rFonts w:eastAsiaTheme="minorEastAsia"/>
                <w:noProof/>
                <w:lang w:eastAsia="es-CO"/>
              </w:rPr>
              <w:tab/>
            </w:r>
            <w:r w:rsidR="00D71F9C" w:rsidRPr="00524492">
              <w:rPr>
                <w:rStyle w:val="Hipervnculo"/>
                <w:noProof/>
              </w:rPr>
              <w:t>PASIVOS CONTINGENTES:</w:t>
            </w:r>
            <w:r w:rsidR="00D71F9C">
              <w:rPr>
                <w:noProof/>
                <w:webHidden/>
              </w:rPr>
              <w:tab/>
            </w:r>
            <w:r w:rsidR="00D71F9C">
              <w:rPr>
                <w:noProof/>
                <w:webHidden/>
              </w:rPr>
              <w:fldChar w:fldCharType="begin"/>
            </w:r>
            <w:r w:rsidR="00D71F9C">
              <w:rPr>
                <w:noProof/>
                <w:webHidden/>
              </w:rPr>
              <w:instrText xml:space="preserve"> PAGEREF _Toc495334939 \h </w:instrText>
            </w:r>
            <w:r w:rsidR="00D71F9C">
              <w:rPr>
                <w:noProof/>
                <w:webHidden/>
              </w:rPr>
            </w:r>
            <w:r w:rsidR="00D71F9C">
              <w:rPr>
                <w:noProof/>
                <w:webHidden/>
              </w:rPr>
              <w:fldChar w:fldCharType="separate"/>
            </w:r>
            <w:r w:rsidR="00A43F21">
              <w:rPr>
                <w:noProof/>
                <w:webHidden/>
              </w:rPr>
              <w:t>111</w:t>
            </w:r>
            <w:r w:rsidR="00D71F9C">
              <w:rPr>
                <w:noProof/>
                <w:webHidden/>
              </w:rPr>
              <w:fldChar w:fldCharType="end"/>
            </w:r>
          </w:hyperlink>
        </w:p>
        <w:p w:rsidR="00D71F9C" w:rsidRDefault="0009104C">
          <w:pPr>
            <w:pStyle w:val="TDC3"/>
            <w:tabs>
              <w:tab w:val="left" w:pos="1320"/>
              <w:tab w:val="right" w:leader="dot" w:pos="8830"/>
            </w:tabs>
            <w:rPr>
              <w:rFonts w:eastAsiaTheme="minorEastAsia"/>
              <w:noProof/>
              <w:lang w:eastAsia="es-CO"/>
            </w:rPr>
          </w:pPr>
          <w:hyperlink w:anchor="_Toc495334940" w:history="1">
            <w:r w:rsidR="00D71F9C" w:rsidRPr="00524492">
              <w:rPr>
                <w:rStyle w:val="Hipervnculo"/>
                <w:rFonts w:cs="Times New Roman"/>
                <w:noProof/>
                <w:lang w:eastAsia="es-ES"/>
              </w:rPr>
              <w:t>8.2.1</w:t>
            </w:r>
            <w:r w:rsidR="00D71F9C">
              <w:rPr>
                <w:rFonts w:eastAsiaTheme="minorEastAsia"/>
                <w:noProof/>
                <w:lang w:eastAsia="es-CO"/>
              </w:rPr>
              <w:tab/>
            </w:r>
            <w:r w:rsidR="00D71F9C" w:rsidRPr="00524492">
              <w:rPr>
                <w:rStyle w:val="Hipervnculo"/>
                <w:noProof/>
                <w:lang w:eastAsia="es-ES"/>
              </w:rPr>
              <w:t>RELACION DE CUANTIA DE LAS PRETENSIONES POR PROCESOS ADMINISTRATIVOS</w:t>
            </w:r>
            <w:r w:rsidR="00D71F9C">
              <w:rPr>
                <w:noProof/>
                <w:webHidden/>
              </w:rPr>
              <w:tab/>
            </w:r>
            <w:r w:rsidR="00D71F9C">
              <w:rPr>
                <w:noProof/>
                <w:webHidden/>
              </w:rPr>
              <w:fldChar w:fldCharType="begin"/>
            </w:r>
            <w:r w:rsidR="00D71F9C">
              <w:rPr>
                <w:noProof/>
                <w:webHidden/>
              </w:rPr>
              <w:instrText xml:space="preserve"> PAGEREF _Toc495334940 \h </w:instrText>
            </w:r>
            <w:r w:rsidR="00D71F9C">
              <w:rPr>
                <w:noProof/>
                <w:webHidden/>
              </w:rPr>
            </w:r>
            <w:r w:rsidR="00D71F9C">
              <w:rPr>
                <w:noProof/>
                <w:webHidden/>
              </w:rPr>
              <w:fldChar w:fldCharType="separate"/>
            </w:r>
            <w:r w:rsidR="00A43F21">
              <w:rPr>
                <w:noProof/>
                <w:webHidden/>
              </w:rPr>
              <w:t>111</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41" w:history="1">
            <w:r w:rsidR="00D71F9C" w:rsidRPr="00524492">
              <w:rPr>
                <w:rStyle w:val="Hipervnculo"/>
                <w:noProof/>
                <w:lang w:eastAsia="es-ES"/>
              </w:rPr>
              <w:t>8.2.2 INSTANCIA POR PROCESO</w:t>
            </w:r>
            <w:r w:rsidR="00D71F9C">
              <w:rPr>
                <w:noProof/>
                <w:webHidden/>
              </w:rPr>
              <w:tab/>
            </w:r>
            <w:r w:rsidR="00D71F9C">
              <w:rPr>
                <w:noProof/>
                <w:webHidden/>
              </w:rPr>
              <w:fldChar w:fldCharType="begin"/>
            </w:r>
            <w:r w:rsidR="00D71F9C">
              <w:rPr>
                <w:noProof/>
                <w:webHidden/>
              </w:rPr>
              <w:instrText xml:space="preserve"> PAGEREF _Toc495334941 \h </w:instrText>
            </w:r>
            <w:r w:rsidR="00D71F9C">
              <w:rPr>
                <w:noProof/>
                <w:webHidden/>
              </w:rPr>
            </w:r>
            <w:r w:rsidR="00D71F9C">
              <w:rPr>
                <w:noProof/>
                <w:webHidden/>
              </w:rPr>
              <w:fldChar w:fldCharType="separate"/>
            </w:r>
            <w:r w:rsidR="00A43F21">
              <w:rPr>
                <w:noProof/>
                <w:webHidden/>
              </w:rPr>
              <w:t>112</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42" w:history="1">
            <w:r w:rsidR="00D71F9C" w:rsidRPr="00524492">
              <w:rPr>
                <w:rStyle w:val="Hipervnculo"/>
                <w:noProof/>
                <w:lang w:eastAsia="es-ES"/>
              </w:rPr>
              <w:t>8.2.3 RELACION DE LA CUANTÍA DE FALLOS EN PRIMERA Y SEGUNDA INSTANCIA FAVORABLES</w:t>
            </w:r>
            <w:r w:rsidR="00D71F9C">
              <w:rPr>
                <w:noProof/>
                <w:webHidden/>
              </w:rPr>
              <w:tab/>
            </w:r>
            <w:r w:rsidR="00D71F9C">
              <w:rPr>
                <w:noProof/>
                <w:webHidden/>
              </w:rPr>
              <w:fldChar w:fldCharType="begin"/>
            </w:r>
            <w:r w:rsidR="00D71F9C">
              <w:rPr>
                <w:noProof/>
                <w:webHidden/>
              </w:rPr>
              <w:instrText xml:space="preserve"> PAGEREF _Toc495334942 \h </w:instrText>
            </w:r>
            <w:r w:rsidR="00D71F9C">
              <w:rPr>
                <w:noProof/>
                <w:webHidden/>
              </w:rPr>
            </w:r>
            <w:r w:rsidR="00D71F9C">
              <w:rPr>
                <w:noProof/>
                <w:webHidden/>
              </w:rPr>
              <w:fldChar w:fldCharType="separate"/>
            </w:r>
            <w:r w:rsidR="00A43F21">
              <w:rPr>
                <w:noProof/>
                <w:webHidden/>
              </w:rPr>
              <w:t>112</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43" w:history="1">
            <w:r w:rsidR="00D71F9C" w:rsidRPr="00524492">
              <w:rPr>
                <w:rStyle w:val="Hipervnculo"/>
                <w:noProof/>
                <w:lang w:eastAsia="es-ES"/>
              </w:rPr>
              <w:t>8.2.4 RELACION DE LA CUANTÍA DE FALLOS EN PRIMERA Y SEGUNDA INSTANCIA DESFAVORABLES</w:t>
            </w:r>
            <w:r w:rsidR="00D71F9C">
              <w:rPr>
                <w:noProof/>
                <w:webHidden/>
              </w:rPr>
              <w:tab/>
            </w:r>
            <w:r w:rsidR="00D71F9C">
              <w:rPr>
                <w:noProof/>
                <w:webHidden/>
              </w:rPr>
              <w:fldChar w:fldCharType="begin"/>
            </w:r>
            <w:r w:rsidR="00D71F9C">
              <w:rPr>
                <w:noProof/>
                <w:webHidden/>
              </w:rPr>
              <w:instrText xml:space="preserve"> PAGEREF _Toc495334943 \h </w:instrText>
            </w:r>
            <w:r w:rsidR="00D71F9C">
              <w:rPr>
                <w:noProof/>
                <w:webHidden/>
              </w:rPr>
            </w:r>
            <w:r w:rsidR="00D71F9C">
              <w:rPr>
                <w:noProof/>
                <w:webHidden/>
              </w:rPr>
              <w:fldChar w:fldCharType="separate"/>
            </w:r>
            <w:r w:rsidR="00A43F21">
              <w:rPr>
                <w:noProof/>
                <w:webHidden/>
              </w:rPr>
              <w:t>113</w:t>
            </w:r>
            <w:r w:rsidR="00D71F9C">
              <w:rPr>
                <w:noProof/>
                <w:webHidden/>
              </w:rPr>
              <w:fldChar w:fldCharType="end"/>
            </w:r>
          </w:hyperlink>
        </w:p>
        <w:p w:rsidR="00D71F9C" w:rsidRDefault="0009104C">
          <w:pPr>
            <w:pStyle w:val="TDC3"/>
            <w:tabs>
              <w:tab w:val="right" w:leader="dot" w:pos="8830"/>
            </w:tabs>
            <w:rPr>
              <w:rFonts w:eastAsiaTheme="minorEastAsia"/>
              <w:noProof/>
              <w:lang w:eastAsia="es-CO"/>
            </w:rPr>
          </w:pPr>
          <w:hyperlink w:anchor="_Toc495334944" w:history="1">
            <w:r w:rsidR="00D71F9C" w:rsidRPr="00524492">
              <w:rPr>
                <w:rStyle w:val="Hipervnculo"/>
                <w:noProof/>
              </w:rPr>
              <w:t>8.2.5 PROCESOS DE SALUD</w:t>
            </w:r>
            <w:r w:rsidR="00D71F9C">
              <w:rPr>
                <w:noProof/>
                <w:webHidden/>
              </w:rPr>
              <w:tab/>
            </w:r>
            <w:r w:rsidR="00D71F9C">
              <w:rPr>
                <w:noProof/>
                <w:webHidden/>
              </w:rPr>
              <w:fldChar w:fldCharType="begin"/>
            </w:r>
            <w:r w:rsidR="00D71F9C">
              <w:rPr>
                <w:noProof/>
                <w:webHidden/>
              </w:rPr>
              <w:instrText xml:space="preserve"> PAGEREF _Toc495334944 \h </w:instrText>
            </w:r>
            <w:r w:rsidR="00D71F9C">
              <w:rPr>
                <w:noProof/>
                <w:webHidden/>
              </w:rPr>
            </w:r>
            <w:r w:rsidR="00D71F9C">
              <w:rPr>
                <w:noProof/>
                <w:webHidden/>
              </w:rPr>
              <w:fldChar w:fldCharType="separate"/>
            </w:r>
            <w:r w:rsidR="00A43F21">
              <w:rPr>
                <w:noProof/>
                <w:webHidden/>
              </w:rPr>
              <w:t>113</w:t>
            </w:r>
            <w:r w:rsidR="00D71F9C">
              <w:rPr>
                <w:noProof/>
                <w:webHidden/>
              </w:rPr>
              <w:fldChar w:fldCharType="end"/>
            </w:r>
          </w:hyperlink>
        </w:p>
        <w:p w:rsidR="00D71F9C" w:rsidRDefault="0009104C">
          <w:pPr>
            <w:pStyle w:val="TDC2"/>
            <w:tabs>
              <w:tab w:val="right" w:leader="dot" w:pos="8830"/>
            </w:tabs>
            <w:rPr>
              <w:rFonts w:eastAsiaTheme="minorEastAsia"/>
              <w:noProof/>
              <w:lang w:eastAsia="es-CO"/>
            </w:rPr>
          </w:pPr>
          <w:hyperlink w:anchor="_Toc495334945" w:history="1">
            <w:r w:rsidR="00D71F9C" w:rsidRPr="00524492">
              <w:rPr>
                <w:rStyle w:val="Hipervnculo"/>
                <w:noProof/>
              </w:rPr>
              <w:t>9. EL COSTO FISCAL DE LOS PROYECTOS DE ORDENANZA SANCIONADOS EN LA VIGENCIA FISCAL ANTERIOR</w:t>
            </w:r>
            <w:r w:rsidR="00D71F9C">
              <w:rPr>
                <w:noProof/>
                <w:webHidden/>
              </w:rPr>
              <w:tab/>
            </w:r>
            <w:r w:rsidR="00D71F9C">
              <w:rPr>
                <w:noProof/>
                <w:webHidden/>
              </w:rPr>
              <w:fldChar w:fldCharType="begin"/>
            </w:r>
            <w:r w:rsidR="00D71F9C">
              <w:rPr>
                <w:noProof/>
                <w:webHidden/>
              </w:rPr>
              <w:instrText xml:space="preserve"> PAGEREF _Toc495334945 \h </w:instrText>
            </w:r>
            <w:r w:rsidR="00D71F9C">
              <w:rPr>
                <w:noProof/>
                <w:webHidden/>
              </w:rPr>
            </w:r>
            <w:r w:rsidR="00D71F9C">
              <w:rPr>
                <w:noProof/>
                <w:webHidden/>
              </w:rPr>
              <w:fldChar w:fldCharType="separate"/>
            </w:r>
            <w:r w:rsidR="00A43F21">
              <w:rPr>
                <w:noProof/>
                <w:webHidden/>
              </w:rPr>
              <w:t>115</w:t>
            </w:r>
            <w:r w:rsidR="00D71F9C">
              <w:rPr>
                <w:noProof/>
                <w:webHidden/>
              </w:rPr>
              <w:fldChar w:fldCharType="end"/>
            </w:r>
          </w:hyperlink>
        </w:p>
        <w:p w:rsidR="005A719C" w:rsidRPr="005A719C" w:rsidRDefault="000D362A" w:rsidP="006E45D8">
          <w:pPr>
            <w:spacing w:line="360" w:lineRule="auto"/>
            <w:rPr>
              <w:rFonts w:ascii="Arial" w:hAnsi="Arial" w:cs="Arial"/>
            </w:rPr>
          </w:pPr>
          <w:r w:rsidRPr="00D5276B">
            <w:rPr>
              <w:rFonts w:ascii="Arial" w:hAnsi="Arial" w:cs="Arial"/>
              <w:b/>
              <w:bCs/>
              <w:lang w:val="es-ES"/>
            </w:rPr>
            <w:fldChar w:fldCharType="end"/>
          </w:r>
        </w:p>
      </w:sdtContent>
    </w:sdt>
    <w:p w:rsidR="003A72DA" w:rsidRDefault="005A719C" w:rsidP="006E45D8">
      <w:pPr>
        <w:spacing w:line="360" w:lineRule="auto"/>
        <w:sectPr w:rsidR="003A72DA" w:rsidSect="004532FA">
          <w:headerReference w:type="default" r:id="rId9"/>
          <w:footerReference w:type="default" r:id="rId10"/>
          <w:headerReference w:type="first" r:id="rId11"/>
          <w:footerReference w:type="first" r:id="rId12"/>
          <w:pgSz w:w="12242" w:h="18722" w:code="258"/>
          <w:pgMar w:top="1418" w:right="1701" w:bottom="1418" w:left="1701" w:header="709" w:footer="709" w:gutter="0"/>
          <w:paperSrc w:first="7"/>
          <w:pgNumType w:start="0"/>
          <w:cols w:space="708"/>
          <w:docGrid w:linePitch="360"/>
        </w:sectPr>
      </w:pPr>
      <w:r>
        <w:br w:type="page"/>
      </w:r>
    </w:p>
    <w:p w:rsidR="004347AD" w:rsidRDefault="004347AD" w:rsidP="006E45D8">
      <w:pPr>
        <w:pStyle w:val="Ttulo2"/>
        <w:numPr>
          <w:ilvl w:val="0"/>
          <w:numId w:val="0"/>
        </w:numPr>
        <w:spacing w:line="360" w:lineRule="auto"/>
        <w:jc w:val="center"/>
      </w:pPr>
    </w:p>
    <w:p w:rsidR="004E73AA" w:rsidRDefault="004E73AA" w:rsidP="004E73AA"/>
    <w:p w:rsidR="004E73AA" w:rsidRDefault="004E73AA" w:rsidP="004E73AA"/>
    <w:p w:rsidR="004E73AA" w:rsidRPr="004E73AA" w:rsidRDefault="004E73AA" w:rsidP="004E73AA"/>
    <w:p w:rsidR="00872231" w:rsidRDefault="00C77154" w:rsidP="006E45D8">
      <w:pPr>
        <w:pStyle w:val="Ttulo2"/>
        <w:numPr>
          <w:ilvl w:val="0"/>
          <w:numId w:val="0"/>
        </w:numPr>
        <w:spacing w:line="360" w:lineRule="auto"/>
        <w:jc w:val="center"/>
      </w:pPr>
      <w:bookmarkStart w:id="1" w:name="_Toc495334886"/>
      <w:r w:rsidRPr="00DD1336">
        <w:t>INTRODUCCIÓN</w:t>
      </w:r>
      <w:bookmarkEnd w:id="1"/>
    </w:p>
    <w:p w:rsidR="004E73AA" w:rsidRDefault="004E73AA" w:rsidP="004E73AA"/>
    <w:p w:rsidR="004E73AA" w:rsidRDefault="004E73AA" w:rsidP="004E73AA"/>
    <w:p w:rsidR="004E73AA" w:rsidRPr="004E73AA" w:rsidRDefault="004E73AA" w:rsidP="004E73AA"/>
    <w:p w:rsidR="00C77154" w:rsidRPr="00DD1336" w:rsidRDefault="00C77154" w:rsidP="004E73AA">
      <w:pPr>
        <w:spacing w:before="100" w:beforeAutospacing="1" w:after="100" w:afterAutospacing="1" w:line="360" w:lineRule="auto"/>
        <w:jc w:val="both"/>
        <w:rPr>
          <w:rFonts w:ascii="Arial" w:hAnsi="Arial" w:cs="Arial"/>
          <w:sz w:val="24"/>
          <w:szCs w:val="24"/>
          <w:lang w:val="es-ES" w:eastAsia="es-ES"/>
        </w:rPr>
      </w:pPr>
      <w:r w:rsidRPr="00E44D61">
        <w:rPr>
          <w:rFonts w:ascii="Arial" w:hAnsi="Arial" w:cs="Arial"/>
          <w:sz w:val="24"/>
          <w:szCs w:val="24"/>
          <w:lang w:val="es-ES" w:eastAsia="es-ES"/>
        </w:rPr>
        <w:t xml:space="preserve">El Marco </w:t>
      </w:r>
      <w:r w:rsidR="004532FA">
        <w:rPr>
          <w:rFonts w:ascii="Arial" w:hAnsi="Arial" w:cs="Arial"/>
          <w:sz w:val="24"/>
          <w:szCs w:val="24"/>
          <w:lang w:val="es-ES" w:eastAsia="es-ES"/>
        </w:rPr>
        <w:t>Fiscal de Mediano P</w:t>
      </w:r>
      <w:r w:rsidRPr="00E44D61">
        <w:rPr>
          <w:rFonts w:ascii="Arial" w:hAnsi="Arial" w:cs="Arial"/>
          <w:sz w:val="24"/>
          <w:szCs w:val="24"/>
          <w:lang w:val="es-ES" w:eastAsia="es-ES"/>
        </w:rPr>
        <w:t>lazo</w:t>
      </w:r>
      <w:r w:rsidR="004532FA">
        <w:rPr>
          <w:rFonts w:ascii="Arial" w:hAnsi="Arial" w:cs="Arial"/>
          <w:sz w:val="24"/>
          <w:szCs w:val="24"/>
          <w:lang w:val="es-ES" w:eastAsia="es-ES"/>
        </w:rPr>
        <w:t xml:space="preserve"> (MFMP)</w:t>
      </w:r>
      <w:r w:rsidRPr="00E44D61">
        <w:rPr>
          <w:rFonts w:ascii="Arial" w:hAnsi="Arial" w:cs="Arial"/>
          <w:sz w:val="24"/>
          <w:szCs w:val="24"/>
          <w:lang w:val="es-ES" w:eastAsia="es-ES"/>
        </w:rPr>
        <w:t xml:space="preserve"> está fundamentado en la Ley 819 de 2003, especialmente en su artículo 5, en donde se afirma que el Gobernador deberá presentarlo a la </w:t>
      </w:r>
      <w:r w:rsidR="00CF6A00" w:rsidRPr="00E44D61">
        <w:rPr>
          <w:rFonts w:ascii="Arial" w:hAnsi="Arial" w:cs="Arial"/>
          <w:sz w:val="24"/>
          <w:szCs w:val="24"/>
          <w:lang w:val="es-ES" w:eastAsia="es-ES"/>
        </w:rPr>
        <w:t>r</w:t>
      </w:r>
      <w:r w:rsidRPr="00E44D61">
        <w:rPr>
          <w:rFonts w:ascii="Arial" w:hAnsi="Arial" w:cs="Arial"/>
          <w:sz w:val="24"/>
          <w:szCs w:val="24"/>
          <w:lang w:val="es-ES" w:eastAsia="es-ES"/>
        </w:rPr>
        <w:t xml:space="preserve">espectiva Asamblea, a título informativo, el cual se presentará en el mismo periodo en el cual se deba presentar el proyecto de presupuesto y debe contener como </w:t>
      </w:r>
      <w:r w:rsidR="00EE0EE8" w:rsidRPr="00E44D61">
        <w:rPr>
          <w:rFonts w:ascii="Arial" w:hAnsi="Arial" w:cs="Arial"/>
          <w:sz w:val="24"/>
          <w:szCs w:val="24"/>
          <w:lang w:val="es-ES" w:eastAsia="es-ES"/>
        </w:rPr>
        <w:t>mínimo</w:t>
      </w:r>
      <w:r w:rsidRPr="00E44D61">
        <w:rPr>
          <w:rFonts w:ascii="Arial" w:hAnsi="Arial" w:cs="Arial"/>
          <w:sz w:val="24"/>
          <w:szCs w:val="24"/>
          <w:lang w:val="es-ES" w:eastAsia="es-ES"/>
        </w:rPr>
        <w:t xml:space="preserve">: </w:t>
      </w:r>
      <w:r w:rsidRPr="004532FA">
        <w:rPr>
          <w:rFonts w:ascii="Arial" w:hAnsi="Arial" w:cs="Arial"/>
          <w:b/>
          <w:sz w:val="24"/>
          <w:szCs w:val="24"/>
          <w:lang w:val="es-ES" w:eastAsia="es-ES"/>
        </w:rPr>
        <w:t>a)</w:t>
      </w:r>
      <w:r w:rsidRPr="00E44D61">
        <w:rPr>
          <w:rFonts w:ascii="Arial" w:hAnsi="Arial" w:cs="Arial"/>
          <w:sz w:val="24"/>
          <w:szCs w:val="24"/>
          <w:lang w:val="es-ES" w:eastAsia="es-ES"/>
        </w:rPr>
        <w:t xml:space="preserve"> el Plan Financiero </w:t>
      </w:r>
      <w:r w:rsidRPr="004532FA">
        <w:rPr>
          <w:rFonts w:ascii="Arial" w:hAnsi="Arial" w:cs="Arial"/>
          <w:b/>
          <w:sz w:val="24"/>
          <w:szCs w:val="24"/>
          <w:lang w:val="es-ES" w:eastAsia="es-ES"/>
        </w:rPr>
        <w:t>b)</w:t>
      </w:r>
      <w:r w:rsidRPr="00E44D61">
        <w:rPr>
          <w:rFonts w:ascii="Arial" w:hAnsi="Arial" w:cs="Arial"/>
          <w:sz w:val="24"/>
          <w:szCs w:val="24"/>
          <w:lang w:val="es-ES" w:eastAsia="es-ES"/>
        </w:rPr>
        <w:t xml:space="preserve"> las metas</w:t>
      </w:r>
      <w:r w:rsidRPr="00DD1336">
        <w:rPr>
          <w:rFonts w:ascii="Arial" w:hAnsi="Arial" w:cs="Arial"/>
          <w:sz w:val="24"/>
          <w:szCs w:val="24"/>
          <w:lang w:val="es-ES" w:eastAsia="es-ES"/>
        </w:rPr>
        <w:t xml:space="preserve"> de superávit primario a qu</w:t>
      </w:r>
      <w:r w:rsidR="00192DDF">
        <w:rPr>
          <w:rFonts w:ascii="Arial" w:hAnsi="Arial" w:cs="Arial"/>
          <w:sz w:val="24"/>
          <w:szCs w:val="24"/>
          <w:lang w:val="es-ES" w:eastAsia="es-ES"/>
        </w:rPr>
        <w:t>e hace referencia la mencionada ley</w:t>
      </w:r>
      <w:r w:rsidR="006D7D6B" w:rsidRPr="00DD1336">
        <w:rPr>
          <w:rFonts w:ascii="Arial" w:hAnsi="Arial" w:cs="Arial"/>
          <w:sz w:val="24"/>
          <w:szCs w:val="24"/>
          <w:lang w:val="es-ES" w:eastAsia="es-ES"/>
        </w:rPr>
        <w:t>,</w:t>
      </w:r>
      <w:r w:rsidR="00192DDF">
        <w:rPr>
          <w:rFonts w:ascii="Arial" w:hAnsi="Arial" w:cs="Arial"/>
          <w:sz w:val="24"/>
          <w:szCs w:val="24"/>
          <w:lang w:val="es-ES" w:eastAsia="es-ES"/>
        </w:rPr>
        <w:t xml:space="preserve"> </w:t>
      </w:r>
      <w:r w:rsidR="00192DDF" w:rsidRPr="004532FA">
        <w:rPr>
          <w:rFonts w:ascii="Arial" w:hAnsi="Arial" w:cs="Arial"/>
          <w:b/>
          <w:sz w:val="24"/>
          <w:szCs w:val="24"/>
          <w:lang w:val="es-ES" w:eastAsia="es-ES"/>
        </w:rPr>
        <w:t>c)</w:t>
      </w:r>
      <w:r w:rsidR="00192DDF">
        <w:rPr>
          <w:rFonts w:ascii="Arial" w:hAnsi="Arial" w:cs="Arial"/>
          <w:sz w:val="24"/>
          <w:szCs w:val="24"/>
          <w:lang w:val="es-ES" w:eastAsia="es-ES"/>
        </w:rPr>
        <w:t xml:space="preserve"> las acciones y medidas </w:t>
      </w:r>
      <w:r w:rsidR="008F3216">
        <w:rPr>
          <w:rFonts w:ascii="Arial" w:hAnsi="Arial" w:cs="Arial"/>
          <w:sz w:val="24"/>
          <w:szCs w:val="24"/>
          <w:lang w:val="es-ES" w:eastAsia="es-ES"/>
        </w:rPr>
        <w:t>específicas</w:t>
      </w:r>
      <w:r w:rsidR="00192DDF">
        <w:rPr>
          <w:rFonts w:ascii="Arial" w:hAnsi="Arial" w:cs="Arial"/>
          <w:sz w:val="24"/>
          <w:szCs w:val="24"/>
          <w:lang w:val="es-ES" w:eastAsia="es-ES"/>
        </w:rPr>
        <w:t xml:space="preserve"> en las que se sustenta el cumplimiento de metas, con sus correspondientes cronogramas de ejecución. </w:t>
      </w:r>
      <w:r w:rsidR="00192DDF" w:rsidRPr="004532FA">
        <w:rPr>
          <w:rFonts w:ascii="Arial" w:hAnsi="Arial" w:cs="Arial"/>
          <w:b/>
          <w:sz w:val="24"/>
          <w:szCs w:val="24"/>
          <w:lang w:val="es-ES" w:eastAsia="es-ES"/>
        </w:rPr>
        <w:t>d)</w:t>
      </w:r>
      <w:r w:rsidR="00192DDF">
        <w:rPr>
          <w:rFonts w:ascii="Arial" w:hAnsi="Arial" w:cs="Arial"/>
          <w:sz w:val="24"/>
          <w:szCs w:val="24"/>
          <w:lang w:val="es-ES" w:eastAsia="es-ES"/>
        </w:rPr>
        <w:t xml:space="preserve"> un informe de los resultados fiscales de la vigencia fiscal anterior</w:t>
      </w:r>
      <w:r w:rsidR="00085D3A">
        <w:rPr>
          <w:rFonts w:ascii="Arial" w:hAnsi="Arial" w:cs="Arial"/>
          <w:sz w:val="24"/>
          <w:szCs w:val="24"/>
          <w:lang w:val="es-ES" w:eastAsia="es-ES"/>
        </w:rPr>
        <w:t>...</w:t>
      </w:r>
      <w:r w:rsidR="00192DDF">
        <w:rPr>
          <w:rFonts w:ascii="Arial" w:hAnsi="Arial" w:cs="Arial"/>
          <w:sz w:val="24"/>
          <w:szCs w:val="24"/>
          <w:lang w:val="es-ES" w:eastAsia="es-ES"/>
        </w:rPr>
        <w:t xml:space="preserve"> </w:t>
      </w:r>
      <w:r w:rsidR="00192DDF" w:rsidRPr="004532FA">
        <w:rPr>
          <w:rFonts w:ascii="Arial" w:hAnsi="Arial" w:cs="Arial"/>
          <w:b/>
          <w:sz w:val="24"/>
          <w:szCs w:val="24"/>
          <w:lang w:val="es-ES" w:eastAsia="es-ES"/>
        </w:rPr>
        <w:t>e)</w:t>
      </w:r>
      <w:r w:rsidR="00192DDF">
        <w:rPr>
          <w:rFonts w:ascii="Arial" w:hAnsi="Arial" w:cs="Arial"/>
          <w:sz w:val="24"/>
          <w:szCs w:val="24"/>
          <w:lang w:val="es-ES" w:eastAsia="es-ES"/>
        </w:rPr>
        <w:t xml:space="preserve"> Una estimación del costo fiscal de las exenciones tributarias en la vigencia anterior, </w:t>
      </w:r>
      <w:r w:rsidR="00192DDF" w:rsidRPr="004532FA">
        <w:rPr>
          <w:rFonts w:ascii="Arial" w:hAnsi="Arial" w:cs="Arial"/>
          <w:b/>
          <w:sz w:val="24"/>
          <w:szCs w:val="24"/>
          <w:lang w:val="es-ES" w:eastAsia="es-ES"/>
        </w:rPr>
        <w:t>f</w:t>
      </w:r>
      <w:r w:rsidR="009426B4" w:rsidRPr="004532FA">
        <w:rPr>
          <w:rFonts w:ascii="Arial" w:hAnsi="Arial" w:cs="Arial"/>
          <w:b/>
          <w:sz w:val="24"/>
          <w:szCs w:val="24"/>
          <w:lang w:val="es-ES" w:eastAsia="es-ES"/>
        </w:rPr>
        <w:t>)</w:t>
      </w:r>
      <w:r w:rsidR="009426B4">
        <w:rPr>
          <w:rFonts w:ascii="Arial" w:hAnsi="Arial" w:cs="Arial"/>
          <w:sz w:val="24"/>
          <w:szCs w:val="24"/>
          <w:lang w:val="es-ES" w:eastAsia="es-ES"/>
        </w:rPr>
        <w:t xml:space="preserve"> Una</w:t>
      </w:r>
      <w:r w:rsidR="00192DDF">
        <w:rPr>
          <w:rFonts w:ascii="Arial" w:hAnsi="Arial" w:cs="Arial"/>
          <w:sz w:val="24"/>
          <w:szCs w:val="24"/>
          <w:lang w:val="es-ES" w:eastAsia="es-ES"/>
        </w:rPr>
        <w:t xml:space="preserve"> relación de los pasivos exigibles y de los pasivos contingentes que pueden afectar la situación financiera de la entidad territorial </w:t>
      </w:r>
      <w:r w:rsidR="00192DDF" w:rsidRPr="004532FA">
        <w:rPr>
          <w:rFonts w:ascii="Arial" w:hAnsi="Arial" w:cs="Arial"/>
          <w:b/>
          <w:sz w:val="24"/>
          <w:szCs w:val="24"/>
          <w:lang w:val="es-ES" w:eastAsia="es-ES"/>
        </w:rPr>
        <w:t>g)</w:t>
      </w:r>
      <w:r w:rsidR="00192DDF">
        <w:rPr>
          <w:rFonts w:ascii="Arial" w:hAnsi="Arial" w:cs="Arial"/>
          <w:sz w:val="24"/>
          <w:szCs w:val="24"/>
          <w:lang w:val="es-ES" w:eastAsia="es-ES"/>
        </w:rPr>
        <w:t xml:space="preserve"> El costo fiscal de los proyectos de ordenanza o acuerdos sanci</w:t>
      </w:r>
      <w:r w:rsidR="008F3216">
        <w:rPr>
          <w:rFonts w:ascii="Arial" w:hAnsi="Arial" w:cs="Arial"/>
          <w:sz w:val="24"/>
          <w:szCs w:val="24"/>
          <w:lang w:val="es-ES" w:eastAsia="es-ES"/>
        </w:rPr>
        <w:t>onados</w:t>
      </w:r>
      <w:r w:rsidR="000038F3">
        <w:rPr>
          <w:rFonts w:ascii="Arial" w:hAnsi="Arial" w:cs="Arial"/>
          <w:sz w:val="24"/>
          <w:szCs w:val="24"/>
          <w:lang w:val="es-ES" w:eastAsia="es-ES"/>
        </w:rPr>
        <w:t xml:space="preserve"> </w:t>
      </w:r>
      <w:r w:rsidR="00776E4A">
        <w:rPr>
          <w:rFonts w:ascii="Arial" w:hAnsi="Arial" w:cs="Arial"/>
          <w:sz w:val="24"/>
          <w:szCs w:val="24"/>
          <w:lang w:val="es-ES" w:eastAsia="es-ES"/>
        </w:rPr>
        <w:t>en la vigencia fiscal anterior.</w:t>
      </w:r>
      <w:r w:rsidR="00422C1E">
        <w:rPr>
          <w:rStyle w:val="Refdenotaalpie"/>
          <w:rFonts w:ascii="Arial" w:hAnsi="Arial" w:cs="Arial"/>
          <w:sz w:val="24"/>
          <w:szCs w:val="24"/>
          <w:lang w:val="es-ES" w:eastAsia="es-ES"/>
        </w:rPr>
        <w:footnoteReference w:id="1"/>
      </w:r>
    </w:p>
    <w:p w:rsidR="004347AD" w:rsidRDefault="009426B4" w:rsidP="006E45D8">
      <w:pPr>
        <w:spacing w:line="360" w:lineRule="auto"/>
        <w:jc w:val="both"/>
        <w:rPr>
          <w:rFonts w:ascii="Arial" w:hAnsi="Arial" w:cs="Arial"/>
          <w:sz w:val="24"/>
          <w:szCs w:val="24"/>
          <w:lang w:val="es-ES" w:eastAsia="es-ES"/>
        </w:rPr>
      </w:pPr>
      <w:r>
        <w:rPr>
          <w:rFonts w:ascii="Arial" w:hAnsi="Arial" w:cs="Arial"/>
          <w:sz w:val="24"/>
          <w:szCs w:val="24"/>
          <w:lang w:val="es-ES" w:eastAsia="es-ES"/>
        </w:rPr>
        <w:t xml:space="preserve">El presente documento </w:t>
      </w:r>
      <w:r w:rsidR="00917B2B">
        <w:rPr>
          <w:rFonts w:ascii="Arial" w:hAnsi="Arial" w:cs="Arial"/>
          <w:sz w:val="24"/>
          <w:szCs w:val="24"/>
          <w:lang w:val="es-ES" w:eastAsia="es-ES"/>
        </w:rPr>
        <w:t>se fortaleció en el</w:t>
      </w:r>
      <w:r w:rsidR="00776E4A" w:rsidRPr="00DD1336">
        <w:rPr>
          <w:rFonts w:ascii="Arial" w:hAnsi="Arial" w:cs="Arial"/>
          <w:sz w:val="24"/>
          <w:szCs w:val="24"/>
          <w:lang w:val="es-ES" w:eastAsia="es-ES"/>
        </w:rPr>
        <w:t xml:space="preserve"> marco normativo de la disciplina fiscal compuesto además por las leyes 358 de 1997, 549 de 19</w:t>
      </w:r>
      <w:r w:rsidR="004347AD">
        <w:rPr>
          <w:rFonts w:ascii="Arial" w:hAnsi="Arial" w:cs="Arial"/>
          <w:sz w:val="24"/>
          <w:szCs w:val="24"/>
          <w:lang w:val="es-ES" w:eastAsia="es-ES"/>
        </w:rPr>
        <w:t xml:space="preserve">99, 550 de 1999 y 617 de 2000; que </w:t>
      </w:r>
      <w:r w:rsidR="00776E4A" w:rsidRPr="00DD1336">
        <w:rPr>
          <w:rFonts w:ascii="Arial" w:hAnsi="Arial" w:cs="Arial"/>
          <w:sz w:val="24"/>
          <w:szCs w:val="24"/>
          <w:lang w:val="es-ES" w:eastAsia="es-ES"/>
        </w:rPr>
        <w:t>buscan afianzar los Departamentos desde el punto de vista fiscal</w:t>
      </w:r>
      <w:r w:rsidR="004347AD">
        <w:rPr>
          <w:rFonts w:ascii="Arial" w:hAnsi="Arial" w:cs="Arial"/>
          <w:sz w:val="24"/>
          <w:szCs w:val="24"/>
          <w:lang w:val="es-ES" w:eastAsia="es-ES"/>
        </w:rPr>
        <w:t>,</w:t>
      </w:r>
      <w:r w:rsidR="00776E4A" w:rsidRPr="00DD1336">
        <w:rPr>
          <w:rFonts w:ascii="Arial" w:hAnsi="Arial" w:cs="Arial"/>
          <w:sz w:val="24"/>
          <w:szCs w:val="24"/>
          <w:lang w:val="es-ES" w:eastAsia="es-ES"/>
        </w:rPr>
        <w:t xml:space="preserve"> de tal manera </w:t>
      </w:r>
      <w:r w:rsidR="004347AD">
        <w:rPr>
          <w:rFonts w:ascii="Arial" w:hAnsi="Arial" w:cs="Arial"/>
          <w:sz w:val="24"/>
          <w:szCs w:val="24"/>
          <w:lang w:val="es-ES" w:eastAsia="es-ES"/>
        </w:rPr>
        <w:t>que se evidencie la realidad de los</w:t>
      </w:r>
      <w:r w:rsidR="00776E4A" w:rsidRPr="00DD1336">
        <w:rPr>
          <w:rFonts w:ascii="Arial" w:hAnsi="Arial" w:cs="Arial"/>
          <w:sz w:val="24"/>
          <w:szCs w:val="24"/>
          <w:lang w:val="es-ES" w:eastAsia="es-ES"/>
        </w:rPr>
        <w:t xml:space="preserve"> ingresos, ahorro y capacidad de pago</w:t>
      </w:r>
      <w:r w:rsidR="00776E4A">
        <w:rPr>
          <w:rFonts w:ascii="Arial" w:hAnsi="Arial" w:cs="Arial"/>
          <w:sz w:val="24"/>
          <w:szCs w:val="24"/>
          <w:lang w:val="es-ES" w:eastAsia="es-ES"/>
        </w:rPr>
        <w:t xml:space="preserve"> que</w:t>
      </w:r>
      <w:r w:rsidR="004347AD">
        <w:rPr>
          <w:rFonts w:ascii="Arial" w:hAnsi="Arial" w:cs="Arial"/>
          <w:sz w:val="24"/>
          <w:szCs w:val="24"/>
          <w:lang w:val="es-ES" w:eastAsia="es-ES"/>
        </w:rPr>
        <w:t xml:space="preserve"> garantice la inversión social; </w:t>
      </w:r>
      <w:r w:rsidR="00776E4A">
        <w:rPr>
          <w:rFonts w:ascii="Arial" w:hAnsi="Arial" w:cs="Arial"/>
          <w:sz w:val="24"/>
          <w:szCs w:val="24"/>
          <w:lang w:val="es-ES" w:eastAsia="es-ES"/>
        </w:rPr>
        <w:t xml:space="preserve"> </w:t>
      </w:r>
      <w:r>
        <w:rPr>
          <w:rFonts w:ascii="Arial" w:hAnsi="Arial" w:cs="Arial"/>
          <w:sz w:val="24"/>
          <w:szCs w:val="24"/>
          <w:lang w:val="es-ES" w:eastAsia="es-ES"/>
        </w:rPr>
        <w:t>se construyó</w:t>
      </w:r>
      <w:r w:rsidR="00917B2B">
        <w:rPr>
          <w:rFonts w:ascii="Arial" w:hAnsi="Arial" w:cs="Arial"/>
          <w:sz w:val="24"/>
          <w:szCs w:val="24"/>
          <w:lang w:val="es-ES" w:eastAsia="es-ES"/>
        </w:rPr>
        <w:t xml:space="preserve"> realizando </w:t>
      </w:r>
      <w:r w:rsidR="004532FA">
        <w:rPr>
          <w:rFonts w:ascii="Arial" w:hAnsi="Arial" w:cs="Arial"/>
          <w:sz w:val="24"/>
          <w:szCs w:val="24"/>
          <w:lang w:val="es-ES" w:eastAsia="es-ES"/>
        </w:rPr>
        <w:t>una contextualización i</w:t>
      </w:r>
      <w:r w:rsidR="00776E4A">
        <w:rPr>
          <w:rFonts w:ascii="Arial" w:hAnsi="Arial" w:cs="Arial"/>
          <w:sz w:val="24"/>
          <w:szCs w:val="24"/>
          <w:lang w:val="es-ES" w:eastAsia="es-ES"/>
        </w:rPr>
        <w:t>nternaci</w:t>
      </w:r>
      <w:r w:rsidR="004347AD">
        <w:rPr>
          <w:rFonts w:ascii="Arial" w:hAnsi="Arial" w:cs="Arial"/>
          <w:sz w:val="24"/>
          <w:szCs w:val="24"/>
          <w:lang w:val="es-ES" w:eastAsia="es-ES"/>
        </w:rPr>
        <w:t xml:space="preserve">onal, </w:t>
      </w:r>
      <w:r w:rsidR="004532FA">
        <w:rPr>
          <w:rFonts w:ascii="Arial" w:hAnsi="Arial" w:cs="Arial"/>
          <w:sz w:val="24"/>
          <w:szCs w:val="24"/>
          <w:lang w:val="es-ES" w:eastAsia="es-ES"/>
        </w:rPr>
        <w:t>n</w:t>
      </w:r>
      <w:r w:rsidR="004347AD">
        <w:rPr>
          <w:rFonts w:ascii="Arial" w:hAnsi="Arial" w:cs="Arial"/>
          <w:sz w:val="24"/>
          <w:szCs w:val="24"/>
          <w:lang w:val="es-ES" w:eastAsia="es-ES"/>
        </w:rPr>
        <w:t xml:space="preserve">acional, y </w:t>
      </w:r>
      <w:r w:rsidR="004532FA">
        <w:rPr>
          <w:rFonts w:ascii="Arial" w:hAnsi="Arial" w:cs="Arial"/>
          <w:sz w:val="24"/>
          <w:szCs w:val="24"/>
          <w:lang w:val="es-ES" w:eastAsia="es-ES"/>
        </w:rPr>
        <w:t>d</w:t>
      </w:r>
      <w:r w:rsidR="004347AD">
        <w:rPr>
          <w:rFonts w:ascii="Arial" w:hAnsi="Arial" w:cs="Arial"/>
          <w:sz w:val="24"/>
          <w:szCs w:val="24"/>
          <w:lang w:val="es-ES" w:eastAsia="es-ES"/>
        </w:rPr>
        <w:t>epartamental;</w:t>
      </w:r>
      <w:r w:rsidR="00776E4A">
        <w:rPr>
          <w:rFonts w:ascii="Arial" w:hAnsi="Arial" w:cs="Arial"/>
          <w:sz w:val="24"/>
          <w:szCs w:val="24"/>
          <w:lang w:val="es-ES" w:eastAsia="es-ES"/>
        </w:rPr>
        <w:t xml:space="preserve"> un </w:t>
      </w:r>
      <w:r w:rsidR="004532FA">
        <w:rPr>
          <w:rFonts w:ascii="Arial" w:hAnsi="Arial" w:cs="Arial"/>
          <w:sz w:val="24"/>
          <w:szCs w:val="24"/>
          <w:lang w:val="es-ES" w:eastAsia="es-ES"/>
        </w:rPr>
        <w:t>m</w:t>
      </w:r>
      <w:r w:rsidR="00776E4A">
        <w:rPr>
          <w:rFonts w:ascii="Arial" w:hAnsi="Arial" w:cs="Arial"/>
          <w:sz w:val="24"/>
          <w:szCs w:val="24"/>
          <w:lang w:val="es-ES" w:eastAsia="es-ES"/>
        </w:rPr>
        <w:t xml:space="preserve">arco </w:t>
      </w:r>
      <w:r w:rsidR="004532FA">
        <w:rPr>
          <w:rFonts w:ascii="Arial" w:hAnsi="Arial" w:cs="Arial"/>
          <w:sz w:val="24"/>
          <w:szCs w:val="24"/>
          <w:lang w:val="es-ES" w:eastAsia="es-ES"/>
        </w:rPr>
        <w:t>c</w:t>
      </w:r>
      <w:r w:rsidR="00776E4A">
        <w:rPr>
          <w:rFonts w:ascii="Arial" w:hAnsi="Arial" w:cs="Arial"/>
          <w:sz w:val="24"/>
          <w:szCs w:val="24"/>
          <w:lang w:val="es-ES" w:eastAsia="es-ES"/>
        </w:rPr>
        <w:t>onceptual donde se especifican los principales términ</w:t>
      </w:r>
      <w:r w:rsidR="004347AD">
        <w:rPr>
          <w:rFonts w:ascii="Arial" w:hAnsi="Arial" w:cs="Arial"/>
          <w:sz w:val="24"/>
          <w:szCs w:val="24"/>
          <w:lang w:val="es-ES" w:eastAsia="es-ES"/>
        </w:rPr>
        <w:t>os q</w:t>
      </w:r>
      <w:r w:rsidR="004532FA">
        <w:rPr>
          <w:rFonts w:ascii="Arial" w:hAnsi="Arial" w:cs="Arial"/>
          <w:sz w:val="24"/>
          <w:szCs w:val="24"/>
          <w:lang w:val="es-ES" w:eastAsia="es-ES"/>
        </w:rPr>
        <w:t>ue intervienen en el mismo; un d</w:t>
      </w:r>
      <w:r w:rsidR="004347AD">
        <w:rPr>
          <w:rFonts w:ascii="Arial" w:hAnsi="Arial" w:cs="Arial"/>
          <w:sz w:val="24"/>
          <w:szCs w:val="24"/>
          <w:lang w:val="es-ES" w:eastAsia="es-ES"/>
        </w:rPr>
        <w:t>iagnó</w:t>
      </w:r>
      <w:r w:rsidR="00776E4A">
        <w:rPr>
          <w:rFonts w:ascii="Arial" w:hAnsi="Arial" w:cs="Arial"/>
          <w:sz w:val="24"/>
          <w:szCs w:val="24"/>
          <w:lang w:val="es-ES" w:eastAsia="es-ES"/>
        </w:rPr>
        <w:t xml:space="preserve">stico  de la </w:t>
      </w:r>
      <w:r w:rsidR="004532FA">
        <w:rPr>
          <w:rFonts w:ascii="Arial" w:hAnsi="Arial" w:cs="Arial"/>
          <w:sz w:val="24"/>
          <w:szCs w:val="24"/>
          <w:lang w:val="es-ES" w:eastAsia="es-ES"/>
        </w:rPr>
        <w:t>s</w:t>
      </w:r>
      <w:r w:rsidR="00776E4A">
        <w:rPr>
          <w:rFonts w:ascii="Arial" w:hAnsi="Arial" w:cs="Arial"/>
          <w:sz w:val="24"/>
          <w:szCs w:val="24"/>
          <w:lang w:val="es-ES" w:eastAsia="es-ES"/>
        </w:rPr>
        <w:t xml:space="preserve">ituación </w:t>
      </w:r>
      <w:r w:rsidR="004532FA">
        <w:rPr>
          <w:rFonts w:ascii="Arial" w:hAnsi="Arial" w:cs="Arial"/>
          <w:sz w:val="24"/>
          <w:szCs w:val="24"/>
          <w:lang w:val="es-ES" w:eastAsia="es-ES"/>
        </w:rPr>
        <w:lastRenderedPageBreak/>
        <w:t>f</w:t>
      </w:r>
      <w:r w:rsidR="00776E4A">
        <w:rPr>
          <w:rFonts w:ascii="Arial" w:hAnsi="Arial" w:cs="Arial"/>
          <w:sz w:val="24"/>
          <w:szCs w:val="24"/>
          <w:lang w:val="es-ES" w:eastAsia="es-ES"/>
        </w:rPr>
        <w:t>inan</w:t>
      </w:r>
      <w:r w:rsidR="00917B2B">
        <w:rPr>
          <w:rFonts w:ascii="Arial" w:hAnsi="Arial" w:cs="Arial"/>
          <w:sz w:val="24"/>
          <w:szCs w:val="24"/>
          <w:lang w:val="es-ES" w:eastAsia="es-ES"/>
        </w:rPr>
        <w:t>c</w:t>
      </w:r>
      <w:r w:rsidR="004347AD">
        <w:rPr>
          <w:rFonts w:ascii="Arial" w:hAnsi="Arial" w:cs="Arial"/>
          <w:sz w:val="24"/>
          <w:szCs w:val="24"/>
          <w:lang w:val="es-ES" w:eastAsia="es-ES"/>
        </w:rPr>
        <w:t>iera de la Entidad Territorial en el que se analizó</w:t>
      </w:r>
      <w:r w:rsidR="00776E4A">
        <w:rPr>
          <w:rFonts w:ascii="Arial" w:hAnsi="Arial" w:cs="Arial"/>
          <w:sz w:val="24"/>
          <w:szCs w:val="24"/>
          <w:lang w:val="es-ES" w:eastAsia="es-ES"/>
        </w:rPr>
        <w:t xml:space="preserve"> la evolución</w:t>
      </w:r>
      <w:r w:rsidR="00917B2B">
        <w:rPr>
          <w:rFonts w:ascii="Arial" w:hAnsi="Arial" w:cs="Arial"/>
          <w:sz w:val="24"/>
          <w:szCs w:val="24"/>
          <w:lang w:val="es-ES" w:eastAsia="es-ES"/>
        </w:rPr>
        <w:t xml:space="preserve"> y composición de los ingresos y gastos en los últimos 4 años y de la vi</w:t>
      </w:r>
      <w:r w:rsidR="004347AD">
        <w:rPr>
          <w:rFonts w:ascii="Arial" w:hAnsi="Arial" w:cs="Arial"/>
          <w:sz w:val="24"/>
          <w:szCs w:val="24"/>
          <w:lang w:val="es-ES" w:eastAsia="es-ES"/>
        </w:rPr>
        <w:t>gencia en curso.  Así mismo, para las Entidades Descentralizadas se analizan la situación financiera a través de l</w:t>
      </w:r>
      <w:r w:rsidR="00422C1E">
        <w:rPr>
          <w:rFonts w:ascii="Arial" w:hAnsi="Arial" w:cs="Arial"/>
          <w:sz w:val="24"/>
          <w:szCs w:val="24"/>
          <w:lang w:val="es-ES" w:eastAsia="es-ES"/>
        </w:rPr>
        <w:t>os estados financieros y ejecuciones presupuestale</w:t>
      </w:r>
      <w:r w:rsidR="004347AD">
        <w:rPr>
          <w:rFonts w:ascii="Arial" w:hAnsi="Arial" w:cs="Arial"/>
          <w:sz w:val="24"/>
          <w:szCs w:val="24"/>
          <w:lang w:val="es-ES" w:eastAsia="es-ES"/>
        </w:rPr>
        <w:t>s,</w:t>
      </w:r>
      <w:r w:rsidR="00422C1E">
        <w:rPr>
          <w:rFonts w:ascii="Arial" w:hAnsi="Arial" w:cs="Arial"/>
          <w:sz w:val="24"/>
          <w:szCs w:val="24"/>
          <w:lang w:val="es-ES" w:eastAsia="es-ES"/>
        </w:rPr>
        <w:t xml:space="preserve"> tanto de la vigencia anterior como de la vigencia en curso. </w:t>
      </w:r>
    </w:p>
    <w:p w:rsidR="009426B4" w:rsidRPr="00116CC5" w:rsidRDefault="001D2CF1" w:rsidP="006E45D8">
      <w:pPr>
        <w:spacing w:line="360" w:lineRule="auto"/>
        <w:jc w:val="both"/>
        <w:rPr>
          <w:rFonts w:ascii="Arial" w:hAnsi="Arial" w:cs="Arial"/>
          <w:sz w:val="24"/>
          <w:szCs w:val="24"/>
          <w:lang w:val="es-ES" w:eastAsia="es-ES"/>
        </w:rPr>
      </w:pPr>
      <w:r>
        <w:rPr>
          <w:rFonts w:ascii="Arial" w:hAnsi="Arial" w:cs="Arial"/>
          <w:sz w:val="24"/>
          <w:szCs w:val="24"/>
          <w:lang w:val="es-ES" w:eastAsia="es-ES"/>
        </w:rPr>
        <w:t xml:space="preserve">Todo esto con el fin, </w:t>
      </w:r>
      <w:r w:rsidR="00116CC5">
        <w:rPr>
          <w:rFonts w:ascii="Arial" w:hAnsi="Arial" w:cs="Arial"/>
          <w:sz w:val="24"/>
          <w:szCs w:val="24"/>
          <w:lang w:val="es-ES" w:eastAsia="es-ES"/>
        </w:rPr>
        <w:t xml:space="preserve"> </w:t>
      </w:r>
      <w:r w:rsidR="00F071E8">
        <w:rPr>
          <w:rFonts w:ascii="Arial" w:hAnsi="Arial" w:cs="Arial"/>
          <w:sz w:val="24"/>
          <w:szCs w:val="24"/>
          <w:lang w:val="es-ES" w:eastAsia="es-ES"/>
        </w:rPr>
        <w:t>de</w:t>
      </w:r>
      <w:r w:rsidR="00116CC5">
        <w:rPr>
          <w:rFonts w:ascii="Arial" w:hAnsi="Arial" w:cs="Arial"/>
          <w:sz w:val="24"/>
          <w:szCs w:val="24"/>
          <w:lang w:val="es-ES" w:eastAsia="es-ES"/>
        </w:rPr>
        <w:t xml:space="preserve"> tener un panorama claro del comportamiento financiero de la Entidad analizando los resultados fiscales con el fin de proyectar a los 10 años siguientes en una perspectiva clara.</w:t>
      </w:r>
      <w:r w:rsidR="009426B4">
        <w:rPr>
          <w:rFonts w:ascii="Arial" w:hAnsi="Arial" w:cs="Arial"/>
          <w:b/>
          <w:sz w:val="24"/>
          <w:szCs w:val="24"/>
          <w:lang w:val="es-ES" w:eastAsia="es-ES"/>
        </w:rPr>
        <w:br w:type="page"/>
      </w:r>
    </w:p>
    <w:p w:rsidR="007A2624" w:rsidRDefault="007A2624" w:rsidP="007A2624">
      <w:pPr>
        <w:pStyle w:val="Ttulo2"/>
        <w:numPr>
          <w:ilvl w:val="0"/>
          <w:numId w:val="0"/>
        </w:numPr>
        <w:spacing w:line="360" w:lineRule="auto"/>
      </w:pPr>
    </w:p>
    <w:p w:rsidR="000971DB" w:rsidRPr="00DD1336" w:rsidRDefault="000971DB" w:rsidP="006E45D8">
      <w:pPr>
        <w:pStyle w:val="Ttulo2"/>
        <w:spacing w:line="360" w:lineRule="auto"/>
        <w:ind w:left="0" w:firstLine="0"/>
      </w:pPr>
      <w:bookmarkStart w:id="2" w:name="_Toc495334887"/>
      <w:r w:rsidRPr="00DD1336">
        <w:t>CONTEXTO Y ANTECEDENTES</w:t>
      </w:r>
      <w:bookmarkEnd w:id="2"/>
    </w:p>
    <w:p w:rsidR="00F60468" w:rsidRPr="00DD1336" w:rsidRDefault="00F60468" w:rsidP="007A69C9">
      <w:pPr>
        <w:pStyle w:val="Ttulo2"/>
        <w:numPr>
          <w:ilvl w:val="1"/>
          <w:numId w:val="19"/>
        </w:numPr>
        <w:spacing w:line="360" w:lineRule="auto"/>
        <w:ind w:left="0" w:firstLine="0"/>
      </w:pPr>
      <w:bookmarkStart w:id="3" w:name="_Toc495334888"/>
      <w:r w:rsidRPr="00DD1336">
        <w:t xml:space="preserve">CONTEXTO INTERNACIONAL </w:t>
      </w:r>
      <w:r w:rsidR="00AE48B6">
        <w:t>Y NACIONAL</w:t>
      </w:r>
      <w:bookmarkEnd w:id="3"/>
    </w:p>
    <w:p w:rsidR="000B5FE4" w:rsidRDefault="004532FA" w:rsidP="005C7707">
      <w:pPr>
        <w:spacing w:before="100" w:beforeAutospacing="1" w:after="100" w:afterAutospacing="1" w:line="360" w:lineRule="auto"/>
        <w:jc w:val="both"/>
        <w:rPr>
          <w:rFonts w:ascii="Arial" w:hAnsi="Arial" w:cs="Arial"/>
          <w:sz w:val="24"/>
          <w:szCs w:val="24"/>
        </w:rPr>
      </w:pPr>
      <w:r>
        <w:rPr>
          <w:rFonts w:ascii="Arial" w:hAnsi="Arial" w:cs="Arial"/>
          <w:sz w:val="24"/>
          <w:szCs w:val="24"/>
        </w:rPr>
        <w:t>“</w:t>
      </w:r>
      <w:r w:rsidR="001D2CF1" w:rsidRPr="004532FA">
        <w:rPr>
          <w:rFonts w:ascii="Times New Roman" w:hAnsi="Times New Roman" w:cs="Times New Roman"/>
          <w:i/>
          <w:sz w:val="24"/>
          <w:szCs w:val="24"/>
        </w:rPr>
        <w:t>Según la ANDI, e</w:t>
      </w:r>
      <w:r w:rsidR="00DF4F66" w:rsidRPr="004532FA">
        <w:rPr>
          <w:rFonts w:ascii="Times New Roman" w:hAnsi="Times New Roman" w:cs="Times New Roman"/>
          <w:i/>
          <w:sz w:val="24"/>
          <w:szCs w:val="24"/>
        </w:rPr>
        <w:t xml:space="preserve">l 2016 se puede calificar como un año de alta incertidumbre económica y </w:t>
      </w:r>
      <w:r w:rsidR="000B5FE4" w:rsidRPr="004532FA">
        <w:rPr>
          <w:rFonts w:ascii="Times New Roman" w:hAnsi="Times New Roman" w:cs="Times New Roman"/>
          <w:i/>
          <w:sz w:val="24"/>
          <w:szCs w:val="24"/>
        </w:rPr>
        <w:t>política</w:t>
      </w:r>
      <w:r w:rsidR="00DF4F66" w:rsidRPr="004532FA">
        <w:rPr>
          <w:rFonts w:ascii="Times New Roman" w:hAnsi="Times New Roman" w:cs="Times New Roman"/>
          <w:i/>
          <w:sz w:val="24"/>
          <w:szCs w:val="24"/>
        </w:rPr>
        <w:t xml:space="preserve"> fuerte volati</w:t>
      </w:r>
      <w:r w:rsidR="001D2CF1" w:rsidRPr="004532FA">
        <w:rPr>
          <w:rFonts w:ascii="Times New Roman" w:hAnsi="Times New Roman" w:cs="Times New Roman"/>
          <w:i/>
          <w:sz w:val="24"/>
          <w:szCs w:val="24"/>
        </w:rPr>
        <w:t>li</w:t>
      </w:r>
      <w:r w:rsidR="00DF4F66" w:rsidRPr="004532FA">
        <w:rPr>
          <w:rFonts w:ascii="Times New Roman" w:hAnsi="Times New Roman" w:cs="Times New Roman"/>
          <w:i/>
          <w:sz w:val="24"/>
          <w:szCs w:val="24"/>
        </w:rPr>
        <w:t>dad en los mercados y desaceleración económica, características que se dieron tanto internacionalmente como internamente, los pronósticos acerca de la recuperación de la economía de Estados Unidos, una situación menos cri</w:t>
      </w:r>
      <w:r w:rsidR="001D2CF1" w:rsidRPr="004532FA">
        <w:rPr>
          <w:rFonts w:ascii="Times New Roman" w:hAnsi="Times New Roman" w:cs="Times New Roman"/>
          <w:i/>
          <w:sz w:val="24"/>
          <w:szCs w:val="24"/>
        </w:rPr>
        <w:t>tica de la Unión Europea y una d</w:t>
      </w:r>
      <w:r w:rsidR="000B5FE4" w:rsidRPr="004532FA">
        <w:rPr>
          <w:rFonts w:ascii="Times New Roman" w:hAnsi="Times New Roman" w:cs="Times New Roman"/>
          <w:i/>
          <w:sz w:val="24"/>
          <w:szCs w:val="24"/>
        </w:rPr>
        <w:t>esaceleración en China, se fueron cumpliendo en lo corrido del año, en América Latina se encontraron varios contrastes como la Alianza del Pacífico donde se viene consolidando una política económica y comercial integrada, así como un ambiente de confianza entre inversionistas nacionales y extranjeros. Otro contraste es el de los países en proceso de recuperación como es el caso de Argentina y Brasil y finalmente, países con fuerte desequilibrio macroeconómico como Ecuador y Venezuela</w:t>
      </w:r>
      <w:r>
        <w:rPr>
          <w:rFonts w:ascii="Arial" w:hAnsi="Arial" w:cs="Arial"/>
          <w:sz w:val="24"/>
          <w:szCs w:val="24"/>
        </w:rPr>
        <w:t>”</w:t>
      </w:r>
      <w:r w:rsidR="000B5FE4">
        <w:rPr>
          <w:rFonts w:ascii="Arial" w:hAnsi="Arial" w:cs="Arial"/>
          <w:sz w:val="24"/>
          <w:szCs w:val="24"/>
        </w:rPr>
        <w:t>.</w:t>
      </w:r>
      <w:r w:rsidR="00AE48B6">
        <w:rPr>
          <w:rStyle w:val="Refdenotaalpie"/>
          <w:rFonts w:ascii="Arial" w:hAnsi="Arial" w:cs="Arial"/>
          <w:sz w:val="24"/>
          <w:szCs w:val="24"/>
        </w:rPr>
        <w:footnoteReference w:id="2"/>
      </w:r>
    </w:p>
    <w:p w:rsidR="00AE48B6" w:rsidRPr="004532FA" w:rsidRDefault="00AE48B6" w:rsidP="004E73AA">
      <w:pPr>
        <w:spacing w:before="100" w:beforeAutospacing="1" w:after="100" w:afterAutospacing="1" w:line="360" w:lineRule="auto"/>
        <w:jc w:val="both"/>
        <w:rPr>
          <w:rFonts w:ascii="Times New Roman" w:hAnsi="Times New Roman" w:cs="Times New Roman"/>
          <w:i/>
          <w:sz w:val="24"/>
          <w:szCs w:val="24"/>
        </w:rPr>
      </w:pPr>
      <w:r w:rsidRPr="004532FA">
        <w:rPr>
          <w:rFonts w:ascii="Times New Roman" w:hAnsi="Times New Roman" w:cs="Times New Roman"/>
          <w:i/>
          <w:sz w:val="24"/>
          <w:szCs w:val="24"/>
        </w:rPr>
        <w:t>En</w:t>
      </w:r>
      <w:r w:rsidR="00620F95" w:rsidRPr="004532FA">
        <w:rPr>
          <w:rFonts w:ascii="Times New Roman" w:hAnsi="Times New Roman" w:cs="Times New Roman"/>
          <w:i/>
          <w:sz w:val="24"/>
          <w:szCs w:val="24"/>
        </w:rPr>
        <w:t xml:space="preserve"> Colombia, la situación puede </w:t>
      </w:r>
      <w:r w:rsidR="00C830B4" w:rsidRPr="004532FA">
        <w:rPr>
          <w:rFonts w:ascii="Times New Roman" w:hAnsi="Times New Roman" w:cs="Times New Roman"/>
          <w:i/>
          <w:sz w:val="24"/>
          <w:szCs w:val="24"/>
        </w:rPr>
        <w:t>calificarse</w:t>
      </w:r>
      <w:r w:rsidR="00620F95" w:rsidRPr="004532FA">
        <w:rPr>
          <w:rFonts w:ascii="Times New Roman" w:hAnsi="Times New Roman" w:cs="Times New Roman"/>
          <w:i/>
          <w:sz w:val="24"/>
          <w:szCs w:val="24"/>
        </w:rPr>
        <w:t xml:space="preserve"> de una manera similar, según la ANDI un crecimiento moderado, un proceso de desaceleración que se incrementó en el segundo semestre del año; un comercio exterior que no despega, </w:t>
      </w:r>
      <w:r w:rsidR="00CB38CD" w:rsidRPr="004532FA">
        <w:rPr>
          <w:rFonts w:ascii="Times New Roman" w:hAnsi="Times New Roman" w:cs="Times New Roman"/>
          <w:i/>
          <w:sz w:val="24"/>
          <w:szCs w:val="24"/>
        </w:rPr>
        <w:t>y,</w:t>
      </w:r>
      <w:r w:rsidR="00620F95" w:rsidRPr="004532FA">
        <w:rPr>
          <w:rFonts w:ascii="Times New Roman" w:hAnsi="Times New Roman" w:cs="Times New Roman"/>
          <w:i/>
          <w:sz w:val="24"/>
          <w:szCs w:val="24"/>
        </w:rPr>
        <w:t xml:space="preserve"> un entorno </w:t>
      </w:r>
      <w:r w:rsidR="00D61468" w:rsidRPr="004532FA">
        <w:rPr>
          <w:rFonts w:ascii="Times New Roman" w:hAnsi="Times New Roman" w:cs="Times New Roman"/>
          <w:i/>
          <w:sz w:val="24"/>
          <w:szCs w:val="24"/>
        </w:rPr>
        <w:t>más</w:t>
      </w:r>
      <w:r w:rsidR="00620F95" w:rsidRPr="004532FA">
        <w:rPr>
          <w:rFonts w:ascii="Times New Roman" w:hAnsi="Times New Roman" w:cs="Times New Roman"/>
          <w:i/>
          <w:sz w:val="24"/>
          <w:szCs w:val="24"/>
        </w:rPr>
        <w:t xml:space="preserve"> retador donde se manifestaron vulnerabilidades en lo fiscal y lo cambiario. A lo anterior se suman factores climáticos, el riesgo del posible racionamiento y los grandes costos que generó el paro camionero. Todo esto enmarcado lograr la negociación del proceso de paz, en donde también hubo sorpresas </w:t>
      </w:r>
      <w:r w:rsidR="00C830B4" w:rsidRPr="004532FA">
        <w:rPr>
          <w:rFonts w:ascii="Times New Roman" w:hAnsi="Times New Roman" w:cs="Times New Roman"/>
          <w:i/>
          <w:sz w:val="24"/>
          <w:szCs w:val="24"/>
        </w:rPr>
        <w:t xml:space="preserve">con el resultado del plebiscito. Con sobresaltos que eran de esperarse el país logró </w:t>
      </w:r>
      <w:r w:rsidR="007A0037" w:rsidRPr="004532FA">
        <w:rPr>
          <w:rFonts w:ascii="Times New Roman" w:hAnsi="Times New Roman" w:cs="Times New Roman"/>
          <w:i/>
          <w:sz w:val="24"/>
          <w:szCs w:val="24"/>
        </w:rPr>
        <w:t>la firma del acuerdo, el paso siguiente es la implementación y la incorporación de los grupos insurgentes a la sociedad.</w:t>
      </w:r>
    </w:p>
    <w:p w:rsidR="00620F95" w:rsidRPr="004532FA" w:rsidRDefault="00620F95" w:rsidP="006E45D8">
      <w:pPr>
        <w:spacing w:before="100" w:beforeAutospacing="1" w:after="100" w:afterAutospacing="1" w:line="360" w:lineRule="auto"/>
        <w:jc w:val="both"/>
        <w:rPr>
          <w:rFonts w:ascii="Times New Roman" w:hAnsi="Times New Roman" w:cs="Times New Roman"/>
          <w:i/>
          <w:sz w:val="24"/>
          <w:szCs w:val="24"/>
        </w:rPr>
      </w:pPr>
      <w:r w:rsidRPr="004532FA">
        <w:rPr>
          <w:rFonts w:ascii="Times New Roman" w:hAnsi="Times New Roman" w:cs="Times New Roman"/>
          <w:i/>
          <w:sz w:val="24"/>
          <w:szCs w:val="24"/>
        </w:rPr>
        <w:t xml:space="preserve">La inflación estuvo lejos del rango de la meta del Banco </w:t>
      </w:r>
      <w:r w:rsidR="004532FA" w:rsidRPr="004532FA">
        <w:rPr>
          <w:rFonts w:ascii="Times New Roman" w:hAnsi="Times New Roman" w:cs="Times New Roman"/>
          <w:i/>
          <w:sz w:val="24"/>
          <w:szCs w:val="24"/>
        </w:rPr>
        <w:t>de la Repú</w:t>
      </w:r>
      <w:r w:rsidR="002B4526" w:rsidRPr="004532FA">
        <w:rPr>
          <w:rFonts w:ascii="Times New Roman" w:hAnsi="Times New Roman" w:cs="Times New Roman"/>
          <w:i/>
          <w:sz w:val="24"/>
          <w:szCs w:val="24"/>
        </w:rPr>
        <w:t>blica, lo que</w:t>
      </w:r>
      <w:r w:rsidR="008E209B" w:rsidRPr="004532FA">
        <w:rPr>
          <w:rFonts w:ascii="Times New Roman" w:hAnsi="Times New Roman" w:cs="Times New Roman"/>
          <w:i/>
          <w:sz w:val="24"/>
          <w:szCs w:val="24"/>
        </w:rPr>
        <w:t>, según la ANDI</w:t>
      </w:r>
      <w:r w:rsidR="002B4526" w:rsidRPr="004532FA">
        <w:rPr>
          <w:rFonts w:ascii="Times New Roman" w:hAnsi="Times New Roman" w:cs="Times New Roman"/>
          <w:i/>
          <w:sz w:val="24"/>
          <w:szCs w:val="24"/>
        </w:rPr>
        <w:t xml:space="preserve"> propició</w:t>
      </w:r>
      <w:r w:rsidRPr="004532FA">
        <w:rPr>
          <w:rFonts w:ascii="Times New Roman" w:hAnsi="Times New Roman" w:cs="Times New Roman"/>
          <w:i/>
          <w:sz w:val="24"/>
          <w:szCs w:val="24"/>
        </w:rPr>
        <w:t xml:space="preserve"> aumentos en la tasa de interés de referencia, el mayor costo de dinero fue uno de los factores que incidió </w:t>
      </w:r>
      <w:r w:rsidR="002B4526" w:rsidRPr="004532FA">
        <w:rPr>
          <w:rFonts w:ascii="Times New Roman" w:hAnsi="Times New Roman" w:cs="Times New Roman"/>
          <w:i/>
          <w:sz w:val="24"/>
          <w:szCs w:val="24"/>
        </w:rPr>
        <w:t>en la tasa</w:t>
      </w:r>
      <w:r w:rsidR="004532FA" w:rsidRPr="004532FA">
        <w:rPr>
          <w:rFonts w:ascii="Times New Roman" w:hAnsi="Times New Roman" w:cs="Times New Roman"/>
          <w:i/>
          <w:sz w:val="24"/>
          <w:szCs w:val="24"/>
        </w:rPr>
        <w:t xml:space="preserve"> de crecimiento, por lo cual é</w:t>
      </w:r>
      <w:r w:rsidR="008E209B" w:rsidRPr="004532FA">
        <w:rPr>
          <w:rFonts w:ascii="Times New Roman" w:hAnsi="Times New Roman" w:cs="Times New Roman"/>
          <w:i/>
          <w:sz w:val="24"/>
          <w:szCs w:val="24"/>
        </w:rPr>
        <w:t xml:space="preserve">sta </w:t>
      </w:r>
      <w:r w:rsidR="002B4526" w:rsidRPr="004532FA">
        <w:rPr>
          <w:rFonts w:ascii="Times New Roman" w:hAnsi="Times New Roman" w:cs="Times New Roman"/>
          <w:i/>
          <w:sz w:val="24"/>
          <w:szCs w:val="24"/>
        </w:rPr>
        <w:t xml:space="preserve">solicitó reiteradamente a las autoridades económicas moderar su política contraccionista y así </w:t>
      </w:r>
      <w:r w:rsidR="002B4526" w:rsidRPr="004532FA">
        <w:rPr>
          <w:rFonts w:ascii="Times New Roman" w:hAnsi="Times New Roman" w:cs="Times New Roman"/>
          <w:i/>
          <w:sz w:val="24"/>
          <w:szCs w:val="24"/>
        </w:rPr>
        <w:lastRenderedPageBreak/>
        <w:t>evitar un mayor costo en términos de crecimiento. Cabe la pena reseñar la fragilidad al aumentar el déficit de la cuenta corriente, la caída de los precios del petróleo se tradujo en una reducción de $20 billones de pesos en recaudos fiscales, lo cual trajo como consecuencia un impacto en las finanzas públicas del país, incluso generó una señal de alerta entre las calificadoras de riesgos, que si bien mantuvieron el grado de inversión pasaron de estable a negativo.</w:t>
      </w:r>
    </w:p>
    <w:p w:rsidR="00C830B4" w:rsidRPr="004532FA" w:rsidRDefault="00D86565" w:rsidP="007A2624">
      <w:pPr>
        <w:spacing w:before="100" w:beforeAutospacing="1" w:after="100" w:afterAutospacing="1" w:line="360" w:lineRule="auto"/>
        <w:jc w:val="both"/>
        <w:rPr>
          <w:rFonts w:ascii="Times New Roman" w:hAnsi="Times New Roman" w:cs="Times New Roman"/>
          <w:i/>
          <w:sz w:val="24"/>
          <w:szCs w:val="24"/>
        </w:rPr>
      </w:pPr>
      <w:r w:rsidRPr="004532FA">
        <w:rPr>
          <w:rFonts w:ascii="Times New Roman" w:hAnsi="Times New Roman" w:cs="Times New Roman"/>
          <w:i/>
          <w:sz w:val="24"/>
          <w:szCs w:val="24"/>
        </w:rPr>
        <w:t xml:space="preserve">A pesar de estas dificultades nombradas anteriormente, </w:t>
      </w:r>
      <w:r w:rsidR="001D2CF1" w:rsidRPr="004532FA">
        <w:rPr>
          <w:rFonts w:ascii="Times New Roman" w:hAnsi="Times New Roman" w:cs="Times New Roman"/>
          <w:i/>
          <w:sz w:val="24"/>
          <w:szCs w:val="24"/>
        </w:rPr>
        <w:t>s</w:t>
      </w:r>
      <w:r w:rsidR="00C830B4" w:rsidRPr="004532FA">
        <w:rPr>
          <w:rFonts w:ascii="Times New Roman" w:hAnsi="Times New Roman" w:cs="Times New Roman"/>
          <w:i/>
          <w:sz w:val="24"/>
          <w:szCs w:val="24"/>
        </w:rPr>
        <w:t xml:space="preserve">egún Informe de la ANDI, </w:t>
      </w:r>
      <w:r w:rsidRPr="004532FA">
        <w:rPr>
          <w:rFonts w:ascii="Times New Roman" w:hAnsi="Times New Roman" w:cs="Times New Roman"/>
          <w:i/>
          <w:sz w:val="24"/>
          <w:szCs w:val="24"/>
        </w:rPr>
        <w:t xml:space="preserve">Colombia en 2016 termina con cifras que reflejan solidez en la economía, logramos crecer en un contexto de contracción en América Latina, mantuvimos una tasa de desempleo de un digito; los indicadores sociales avanzaron; la industria </w:t>
      </w:r>
      <w:r w:rsidR="00C830B4" w:rsidRPr="004532FA">
        <w:rPr>
          <w:rFonts w:ascii="Times New Roman" w:hAnsi="Times New Roman" w:cs="Times New Roman"/>
          <w:i/>
          <w:sz w:val="24"/>
          <w:szCs w:val="24"/>
        </w:rPr>
        <w:t>se recuperó; la construcción sigue liderando el crecimiento y logramos estabilizar el entorno macroeconómico, en una coyuntura de fuertes presiones inflacionarias y volati</w:t>
      </w:r>
      <w:r w:rsidR="001D2CF1" w:rsidRPr="004532FA">
        <w:rPr>
          <w:rFonts w:ascii="Times New Roman" w:hAnsi="Times New Roman" w:cs="Times New Roman"/>
          <w:i/>
          <w:sz w:val="24"/>
          <w:szCs w:val="24"/>
        </w:rPr>
        <w:t>li</w:t>
      </w:r>
      <w:r w:rsidR="00C830B4" w:rsidRPr="004532FA">
        <w:rPr>
          <w:rFonts w:ascii="Times New Roman" w:hAnsi="Times New Roman" w:cs="Times New Roman"/>
          <w:i/>
          <w:sz w:val="24"/>
          <w:szCs w:val="24"/>
        </w:rPr>
        <w:t>dad en los mercados .</w:t>
      </w:r>
    </w:p>
    <w:p w:rsidR="007A0037" w:rsidRPr="004532FA" w:rsidRDefault="007A0037" w:rsidP="009B391B">
      <w:pPr>
        <w:spacing w:before="100" w:beforeAutospacing="1" w:after="100" w:afterAutospacing="1" w:line="360" w:lineRule="auto"/>
        <w:jc w:val="both"/>
        <w:rPr>
          <w:rFonts w:ascii="Times New Roman" w:hAnsi="Times New Roman" w:cs="Times New Roman"/>
          <w:i/>
          <w:sz w:val="24"/>
          <w:szCs w:val="24"/>
        </w:rPr>
      </w:pPr>
      <w:r w:rsidRPr="004532FA">
        <w:rPr>
          <w:rFonts w:ascii="Times New Roman" w:hAnsi="Times New Roman" w:cs="Times New Roman"/>
          <w:i/>
          <w:sz w:val="24"/>
          <w:szCs w:val="24"/>
        </w:rPr>
        <w:t>En el 2017 con un entorno nacional de relativa mayor tranquilidad, la prioridad tiene que centrarse en recuperar las tasas de crecimiento altas y sostenidas, convertir el país en una región atractiva a la inversión y a la creación de nuevas empresas, garantizar la certidumbre jurídica, atacar la corrupción y el contrabando, reducir la informalidad e insertarnos en las cadenas globales de valor, trabajar en la apropiación empresarial e institucional de las tecnologías emergentes, entre otros. Todo esto implica poner como eje central una estrategia de competitividad.</w:t>
      </w:r>
      <w:r w:rsidRPr="004532FA">
        <w:rPr>
          <w:rStyle w:val="Refdenotaalpie"/>
          <w:rFonts w:ascii="Times New Roman" w:hAnsi="Times New Roman" w:cs="Times New Roman"/>
          <w:i/>
          <w:sz w:val="24"/>
          <w:szCs w:val="24"/>
        </w:rPr>
        <w:footnoteReference w:id="3"/>
      </w:r>
    </w:p>
    <w:p w:rsidR="00C830B4" w:rsidRDefault="007A0037" w:rsidP="006E45D8">
      <w:pPr>
        <w:spacing w:before="100" w:beforeAutospacing="1" w:after="100" w:afterAutospacing="1" w:line="360" w:lineRule="auto"/>
        <w:jc w:val="both"/>
        <w:rPr>
          <w:rFonts w:ascii="Arial" w:hAnsi="Arial" w:cs="Arial"/>
          <w:sz w:val="24"/>
          <w:szCs w:val="24"/>
        </w:rPr>
      </w:pPr>
      <w:r w:rsidRPr="004532FA">
        <w:rPr>
          <w:rFonts w:ascii="Times New Roman" w:hAnsi="Times New Roman" w:cs="Times New Roman"/>
          <w:i/>
          <w:sz w:val="24"/>
          <w:szCs w:val="24"/>
        </w:rPr>
        <w:t>En el contexto mundial, el 2016 fue un año difícil para América Latina, y como consecuencia</w:t>
      </w:r>
      <w:r w:rsidR="00FF634E" w:rsidRPr="004532FA">
        <w:rPr>
          <w:rFonts w:ascii="Times New Roman" w:hAnsi="Times New Roman" w:cs="Times New Roman"/>
          <w:i/>
          <w:sz w:val="24"/>
          <w:szCs w:val="24"/>
        </w:rPr>
        <w:t xml:space="preserve">, tal como lo afirma la ANDI, </w:t>
      </w:r>
      <w:r w:rsidRPr="004532FA">
        <w:rPr>
          <w:rFonts w:ascii="Times New Roman" w:hAnsi="Times New Roman" w:cs="Times New Roman"/>
          <w:i/>
          <w:sz w:val="24"/>
          <w:szCs w:val="24"/>
        </w:rPr>
        <w:t>se esperan bajos niveles de crecimiento en la mayoría de los países</w:t>
      </w:r>
      <w:r w:rsidR="00FF634E" w:rsidRPr="004532FA">
        <w:rPr>
          <w:rFonts w:ascii="Times New Roman" w:hAnsi="Times New Roman" w:cs="Times New Roman"/>
          <w:i/>
          <w:sz w:val="24"/>
          <w:szCs w:val="24"/>
        </w:rPr>
        <w:t xml:space="preserve">, explicado por el deterioro en las condiciones internas y externas por ello el Fondo Monetario Internacional estima una contracción del -0.6% con una recuperación para el 2017 creciendo al 1.6%. El deterioro de las condiciones externas se dio principalmente por 3 aspectos: la débil demanda externa, la disminución en los precios de materias primas y unas condiciones financieras volátiles. Algunos de los factores internos han afectado la demanda interna en la región aumentando la incertidumbre en las inversiones: En Brasil la inestabilidad </w:t>
      </w:r>
      <w:r w:rsidR="00DE2960" w:rsidRPr="004532FA">
        <w:rPr>
          <w:rFonts w:ascii="Times New Roman" w:hAnsi="Times New Roman" w:cs="Times New Roman"/>
          <w:i/>
          <w:sz w:val="24"/>
          <w:szCs w:val="24"/>
        </w:rPr>
        <w:t>política</w:t>
      </w:r>
      <w:r w:rsidR="00FF634E" w:rsidRPr="004532FA">
        <w:rPr>
          <w:rFonts w:ascii="Times New Roman" w:hAnsi="Times New Roman" w:cs="Times New Roman"/>
          <w:i/>
          <w:sz w:val="24"/>
          <w:szCs w:val="24"/>
        </w:rPr>
        <w:t xml:space="preserve">, deterioro de la dinámica fiscal condiciones financieras apretadas y </w:t>
      </w:r>
      <w:r w:rsidR="00FF634E" w:rsidRPr="004532FA">
        <w:rPr>
          <w:rFonts w:ascii="Times New Roman" w:hAnsi="Times New Roman" w:cs="Times New Roman"/>
          <w:i/>
          <w:sz w:val="24"/>
          <w:szCs w:val="24"/>
        </w:rPr>
        <w:lastRenderedPageBreak/>
        <w:t xml:space="preserve">aumentos en los precios de la </w:t>
      </w:r>
      <w:r w:rsidR="00313DCC" w:rsidRPr="004532FA">
        <w:rPr>
          <w:rFonts w:ascii="Times New Roman" w:hAnsi="Times New Roman" w:cs="Times New Roman"/>
          <w:i/>
          <w:sz w:val="24"/>
          <w:szCs w:val="24"/>
        </w:rPr>
        <w:t xml:space="preserve">energía; en Venezuela, </w:t>
      </w:r>
      <w:r w:rsidR="00DE2960" w:rsidRPr="004532FA">
        <w:rPr>
          <w:rFonts w:ascii="Times New Roman" w:hAnsi="Times New Roman" w:cs="Times New Roman"/>
          <w:i/>
          <w:sz w:val="24"/>
          <w:szCs w:val="24"/>
        </w:rPr>
        <w:t>crítica</w:t>
      </w:r>
      <w:r w:rsidR="00313DCC" w:rsidRPr="004532FA">
        <w:rPr>
          <w:rFonts w:ascii="Times New Roman" w:hAnsi="Times New Roman" w:cs="Times New Roman"/>
          <w:i/>
          <w:sz w:val="24"/>
          <w:szCs w:val="24"/>
        </w:rPr>
        <w:t xml:space="preserve"> situación </w:t>
      </w:r>
      <w:r w:rsidR="00DE2960" w:rsidRPr="004532FA">
        <w:rPr>
          <w:rFonts w:ascii="Times New Roman" w:hAnsi="Times New Roman" w:cs="Times New Roman"/>
          <w:i/>
          <w:sz w:val="24"/>
          <w:szCs w:val="24"/>
        </w:rPr>
        <w:t>política</w:t>
      </w:r>
      <w:r w:rsidR="00313DCC" w:rsidRPr="004532FA">
        <w:rPr>
          <w:rFonts w:ascii="Times New Roman" w:hAnsi="Times New Roman" w:cs="Times New Roman"/>
          <w:i/>
          <w:sz w:val="24"/>
          <w:szCs w:val="24"/>
        </w:rPr>
        <w:t xml:space="preserve">, graves problemas de escasez, desequilibrios cambiarios y fiscales, inflación desbordada, entre otros; en Ecuador, </w:t>
      </w:r>
      <w:r w:rsidR="00DE2960" w:rsidRPr="004532FA">
        <w:rPr>
          <w:rFonts w:ascii="Times New Roman" w:hAnsi="Times New Roman" w:cs="Times New Roman"/>
          <w:i/>
          <w:sz w:val="24"/>
          <w:szCs w:val="24"/>
        </w:rPr>
        <w:t>política</w:t>
      </w:r>
      <w:r w:rsidR="00313DCC" w:rsidRPr="004532FA">
        <w:rPr>
          <w:rFonts w:ascii="Times New Roman" w:hAnsi="Times New Roman" w:cs="Times New Roman"/>
          <w:i/>
          <w:sz w:val="24"/>
          <w:szCs w:val="24"/>
        </w:rPr>
        <w:t xml:space="preserve"> macroeconómicas con escaso margen de maniobra</w:t>
      </w:r>
      <w:r w:rsidR="00313DCC">
        <w:rPr>
          <w:rFonts w:ascii="Arial" w:hAnsi="Arial" w:cs="Arial"/>
          <w:sz w:val="24"/>
          <w:szCs w:val="24"/>
        </w:rPr>
        <w:t>.</w:t>
      </w:r>
    </w:p>
    <w:p w:rsidR="00B50F7E" w:rsidRDefault="00D61468" w:rsidP="006E45D8">
      <w:pPr>
        <w:spacing w:before="100" w:beforeAutospacing="1" w:after="100" w:afterAutospacing="1" w:line="360" w:lineRule="auto"/>
        <w:jc w:val="both"/>
        <w:rPr>
          <w:rFonts w:ascii="Arial" w:hAnsi="Arial" w:cs="Arial"/>
          <w:b/>
          <w:sz w:val="24"/>
          <w:szCs w:val="24"/>
        </w:rPr>
      </w:pPr>
      <w:r>
        <w:rPr>
          <w:rFonts w:ascii="Arial" w:hAnsi="Arial" w:cs="Arial"/>
          <w:b/>
          <w:sz w:val="24"/>
          <w:szCs w:val="24"/>
        </w:rPr>
        <w:t>La Solide</w:t>
      </w:r>
      <w:r w:rsidRPr="00B50F7E">
        <w:rPr>
          <w:rFonts w:ascii="Arial" w:hAnsi="Arial" w:cs="Arial"/>
          <w:b/>
          <w:sz w:val="24"/>
          <w:szCs w:val="24"/>
        </w:rPr>
        <w:t>z</w:t>
      </w:r>
      <w:r w:rsidR="003E4CB0">
        <w:rPr>
          <w:rFonts w:ascii="Arial" w:hAnsi="Arial" w:cs="Arial"/>
          <w:b/>
          <w:sz w:val="24"/>
          <w:szCs w:val="24"/>
        </w:rPr>
        <w:t xml:space="preserve"> en la</w:t>
      </w:r>
      <w:r w:rsidR="00B50F7E" w:rsidRPr="00B50F7E">
        <w:rPr>
          <w:rFonts w:ascii="Arial" w:hAnsi="Arial" w:cs="Arial"/>
          <w:b/>
          <w:sz w:val="24"/>
          <w:szCs w:val="24"/>
        </w:rPr>
        <w:t xml:space="preserve"> Economía Colombiana según la ANDI:</w:t>
      </w:r>
    </w:p>
    <w:p w:rsidR="00B50F7E" w:rsidRPr="00B50F7E" w:rsidRDefault="00B50F7E" w:rsidP="006E45D8">
      <w:pPr>
        <w:spacing w:before="100" w:beforeAutospacing="1" w:after="100" w:afterAutospacing="1" w:line="360" w:lineRule="auto"/>
        <w:jc w:val="both"/>
        <w:rPr>
          <w:rFonts w:ascii="Arial" w:hAnsi="Arial" w:cs="Arial"/>
          <w:sz w:val="24"/>
          <w:szCs w:val="24"/>
        </w:rPr>
      </w:pPr>
      <w:r w:rsidRPr="00B50F7E">
        <w:rPr>
          <w:rFonts w:ascii="Arial" w:hAnsi="Arial" w:cs="Arial"/>
          <w:sz w:val="24"/>
          <w:szCs w:val="24"/>
        </w:rPr>
        <w:t>Entre las cosas más relevantes se encuentra:</w:t>
      </w:r>
    </w:p>
    <w:p w:rsidR="00B50F7E" w:rsidRDefault="00DE2960" w:rsidP="006E45D8">
      <w:pPr>
        <w:pStyle w:val="Prrafodelista"/>
        <w:numPr>
          <w:ilvl w:val="0"/>
          <w:numId w:val="10"/>
        </w:numPr>
        <w:tabs>
          <w:tab w:val="left" w:pos="426"/>
        </w:tabs>
        <w:spacing w:after="0" w:line="360" w:lineRule="auto"/>
        <w:ind w:left="0" w:firstLine="0"/>
        <w:jc w:val="both"/>
        <w:rPr>
          <w:rFonts w:ascii="Arial" w:hAnsi="Arial" w:cs="Arial"/>
          <w:sz w:val="24"/>
          <w:szCs w:val="24"/>
        </w:rPr>
      </w:pPr>
      <w:r w:rsidRPr="00B50F7E">
        <w:rPr>
          <w:rFonts w:ascii="Arial" w:hAnsi="Arial" w:cs="Arial"/>
          <w:sz w:val="24"/>
          <w:szCs w:val="24"/>
        </w:rPr>
        <w:t xml:space="preserve">La moderada expansión de Colombia en 2016 se compara muy favorablemente con la caída del PIB en </w:t>
      </w:r>
      <w:r w:rsidR="00B50F7E" w:rsidRPr="00B50F7E">
        <w:rPr>
          <w:rFonts w:ascii="Arial" w:hAnsi="Arial" w:cs="Arial"/>
          <w:sz w:val="24"/>
          <w:szCs w:val="24"/>
        </w:rPr>
        <w:t>América</w:t>
      </w:r>
      <w:r w:rsidRPr="00B50F7E">
        <w:rPr>
          <w:rFonts w:ascii="Arial" w:hAnsi="Arial" w:cs="Arial"/>
          <w:sz w:val="24"/>
          <w:szCs w:val="24"/>
        </w:rPr>
        <w:t xml:space="preserve"> Latina; y frente a contracciones en </w:t>
      </w:r>
      <w:r w:rsidR="00B50F7E" w:rsidRPr="00B50F7E">
        <w:rPr>
          <w:rFonts w:ascii="Arial" w:hAnsi="Arial" w:cs="Arial"/>
          <w:sz w:val="24"/>
          <w:szCs w:val="24"/>
        </w:rPr>
        <w:t>países</w:t>
      </w:r>
      <w:r w:rsidRPr="00B50F7E">
        <w:rPr>
          <w:rFonts w:ascii="Arial" w:hAnsi="Arial" w:cs="Arial"/>
          <w:sz w:val="24"/>
          <w:szCs w:val="24"/>
        </w:rPr>
        <w:t xml:space="preserve"> como Argentina (-2%) Brasil (-3.6%) Ecuador (-2%) o Venezuela (-9.7%) o incluso si nos comparamos con el 1.6% estimado para Chile. Para </w:t>
      </w:r>
      <w:r w:rsidR="00B50F7E" w:rsidRPr="00B50F7E">
        <w:rPr>
          <w:rFonts w:ascii="Arial" w:hAnsi="Arial" w:cs="Arial"/>
          <w:sz w:val="24"/>
          <w:szCs w:val="24"/>
        </w:rPr>
        <w:t>México</w:t>
      </w:r>
      <w:r w:rsidRPr="00B50F7E">
        <w:rPr>
          <w:rFonts w:ascii="Arial" w:hAnsi="Arial" w:cs="Arial"/>
          <w:sz w:val="24"/>
          <w:szCs w:val="24"/>
        </w:rPr>
        <w:t xml:space="preserve"> se prevé una tasa muy simila</w:t>
      </w:r>
      <w:r w:rsidR="004532FA">
        <w:rPr>
          <w:rFonts w:ascii="Arial" w:hAnsi="Arial" w:cs="Arial"/>
          <w:sz w:val="24"/>
          <w:szCs w:val="24"/>
        </w:rPr>
        <w:t>r a la Colombiana y en Perú el p</w:t>
      </w:r>
      <w:r w:rsidRPr="00B50F7E">
        <w:rPr>
          <w:rFonts w:ascii="Arial" w:hAnsi="Arial" w:cs="Arial"/>
          <w:sz w:val="24"/>
          <w:szCs w:val="24"/>
        </w:rPr>
        <w:t>ronóstico es significativamente mayor 3.9%.</w:t>
      </w:r>
    </w:p>
    <w:p w:rsidR="00B50F7E" w:rsidRPr="00B50F7E" w:rsidRDefault="00B50F7E" w:rsidP="006E45D8">
      <w:pPr>
        <w:pStyle w:val="Prrafodelista"/>
        <w:spacing w:after="0" w:line="360" w:lineRule="auto"/>
        <w:ind w:left="0"/>
        <w:jc w:val="both"/>
        <w:rPr>
          <w:rFonts w:ascii="Arial" w:hAnsi="Arial" w:cs="Arial"/>
          <w:sz w:val="24"/>
          <w:szCs w:val="24"/>
        </w:rPr>
      </w:pPr>
    </w:p>
    <w:p w:rsidR="00B15A75" w:rsidRDefault="00B50F7E" w:rsidP="006E45D8">
      <w:pPr>
        <w:pStyle w:val="Prrafodelista"/>
        <w:numPr>
          <w:ilvl w:val="0"/>
          <w:numId w:val="10"/>
        </w:numPr>
        <w:tabs>
          <w:tab w:val="left" w:pos="426"/>
        </w:tabs>
        <w:spacing w:after="0" w:line="360" w:lineRule="auto"/>
        <w:ind w:left="0" w:firstLine="0"/>
        <w:jc w:val="both"/>
        <w:rPr>
          <w:rFonts w:ascii="Arial" w:hAnsi="Arial" w:cs="Arial"/>
          <w:sz w:val="24"/>
          <w:szCs w:val="24"/>
        </w:rPr>
      </w:pPr>
      <w:r w:rsidRPr="00B50F7E">
        <w:rPr>
          <w:rFonts w:ascii="Arial" w:hAnsi="Arial" w:cs="Arial"/>
          <w:sz w:val="24"/>
          <w:szCs w:val="24"/>
        </w:rPr>
        <w:t xml:space="preserve">Este desempeño luce más sólido cuando se tiene en cuenta que Colombia sigue sufriendo las consecuencias del drástico choque de los precios del petróleo sobre el empleo, sobre los sectores de encadenamiento minero-energético, sobre la misma explotación petrolera, sobre las cuentas fiscales, las cuentas externas, la generación </w:t>
      </w:r>
      <w:r w:rsidR="00B15A75">
        <w:rPr>
          <w:rFonts w:ascii="Arial" w:hAnsi="Arial" w:cs="Arial"/>
          <w:sz w:val="24"/>
          <w:szCs w:val="24"/>
        </w:rPr>
        <w:t>de divisas.</w:t>
      </w:r>
    </w:p>
    <w:p w:rsidR="00B15A75" w:rsidRPr="00B15A75" w:rsidRDefault="00B15A75" w:rsidP="006E45D8">
      <w:pPr>
        <w:pStyle w:val="Prrafodelista"/>
        <w:spacing w:after="0" w:line="360" w:lineRule="auto"/>
        <w:ind w:left="0"/>
        <w:rPr>
          <w:rFonts w:ascii="Arial" w:hAnsi="Arial" w:cs="Arial"/>
          <w:sz w:val="24"/>
          <w:szCs w:val="24"/>
        </w:rPr>
      </w:pPr>
    </w:p>
    <w:p w:rsidR="00B15A75" w:rsidRDefault="00B15A75" w:rsidP="006E45D8">
      <w:pPr>
        <w:pStyle w:val="Prrafodelista"/>
        <w:numPr>
          <w:ilvl w:val="0"/>
          <w:numId w:val="10"/>
        </w:numPr>
        <w:tabs>
          <w:tab w:val="left" w:pos="426"/>
        </w:tabs>
        <w:spacing w:after="0" w:line="360" w:lineRule="auto"/>
        <w:ind w:left="0" w:firstLine="0"/>
        <w:jc w:val="both"/>
        <w:rPr>
          <w:rFonts w:ascii="Arial" w:hAnsi="Arial" w:cs="Arial"/>
          <w:sz w:val="24"/>
          <w:szCs w:val="24"/>
        </w:rPr>
      </w:pPr>
      <w:r>
        <w:rPr>
          <w:rFonts w:ascii="Arial" w:hAnsi="Arial" w:cs="Arial"/>
          <w:sz w:val="24"/>
          <w:szCs w:val="24"/>
        </w:rPr>
        <w:t>La inversión como porcentaje del PIB, se mantiene alrededor del 30%. En el contexto regional el nivel de Colombia junto a Perú y Ecuador, está muy por encima del p</w:t>
      </w:r>
      <w:r w:rsidR="001D2CF1">
        <w:rPr>
          <w:rFonts w:ascii="Arial" w:hAnsi="Arial" w:cs="Arial"/>
          <w:sz w:val="24"/>
          <w:szCs w:val="24"/>
        </w:rPr>
        <w:t xml:space="preserve">romedio de América Latina 18.4%, como resultado de una moderada </w:t>
      </w:r>
      <w:r>
        <w:rPr>
          <w:rFonts w:ascii="Arial" w:hAnsi="Arial" w:cs="Arial"/>
          <w:sz w:val="24"/>
          <w:szCs w:val="24"/>
        </w:rPr>
        <w:t>inversión extranjera directa a nivel mundial.</w:t>
      </w:r>
    </w:p>
    <w:p w:rsidR="00B15A75" w:rsidRPr="00B15A75" w:rsidRDefault="00B15A75" w:rsidP="006E45D8">
      <w:pPr>
        <w:pStyle w:val="Prrafodelista"/>
        <w:spacing w:after="0" w:line="360" w:lineRule="auto"/>
        <w:ind w:left="0"/>
        <w:rPr>
          <w:rFonts w:ascii="Arial" w:hAnsi="Arial" w:cs="Arial"/>
          <w:sz w:val="24"/>
          <w:szCs w:val="24"/>
        </w:rPr>
      </w:pPr>
    </w:p>
    <w:p w:rsidR="00B15A75" w:rsidRDefault="00AF5852" w:rsidP="006E45D8">
      <w:pPr>
        <w:pStyle w:val="Prrafodelista"/>
        <w:numPr>
          <w:ilvl w:val="0"/>
          <w:numId w:val="10"/>
        </w:numPr>
        <w:tabs>
          <w:tab w:val="left" w:pos="426"/>
        </w:tabs>
        <w:spacing w:after="0" w:line="360" w:lineRule="auto"/>
        <w:ind w:left="0" w:firstLine="0"/>
        <w:jc w:val="both"/>
        <w:rPr>
          <w:rFonts w:ascii="Arial" w:hAnsi="Arial" w:cs="Arial"/>
          <w:sz w:val="24"/>
          <w:szCs w:val="24"/>
        </w:rPr>
      </w:pPr>
      <w:r>
        <w:rPr>
          <w:rFonts w:ascii="Arial" w:hAnsi="Arial" w:cs="Arial"/>
          <w:sz w:val="24"/>
          <w:szCs w:val="24"/>
        </w:rPr>
        <w:t>Los Esfuerzos del país en política económica son reconocidos internacionalmente y así lo indican las calificadoras de riesgos, quienes mantienen el grado de inversión para Colombia, selecto grupo que compartimos con los países de Alianza del Pacifico (Chile, México, Perú) Uruguay y Panamá.</w:t>
      </w:r>
    </w:p>
    <w:p w:rsidR="004532FA" w:rsidRDefault="004532FA" w:rsidP="004532FA">
      <w:pPr>
        <w:pStyle w:val="Prrafodelista"/>
        <w:tabs>
          <w:tab w:val="left" w:pos="426"/>
        </w:tabs>
        <w:spacing w:after="0" w:line="360" w:lineRule="auto"/>
        <w:ind w:left="0"/>
        <w:jc w:val="both"/>
        <w:rPr>
          <w:rFonts w:ascii="Arial" w:hAnsi="Arial" w:cs="Arial"/>
          <w:sz w:val="24"/>
          <w:szCs w:val="24"/>
        </w:rPr>
      </w:pPr>
    </w:p>
    <w:p w:rsidR="00AF5852" w:rsidRDefault="00AF5852" w:rsidP="006E45D8">
      <w:pPr>
        <w:pStyle w:val="Prrafodelista"/>
        <w:numPr>
          <w:ilvl w:val="0"/>
          <w:numId w:val="10"/>
        </w:numPr>
        <w:tabs>
          <w:tab w:val="left" w:pos="426"/>
        </w:tabs>
        <w:spacing w:after="0" w:line="360" w:lineRule="auto"/>
        <w:ind w:left="0" w:firstLine="0"/>
        <w:jc w:val="both"/>
        <w:rPr>
          <w:rFonts w:ascii="Arial" w:hAnsi="Arial" w:cs="Arial"/>
          <w:sz w:val="24"/>
          <w:szCs w:val="24"/>
        </w:rPr>
      </w:pPr>
      <w:r>
        <w:rPr>
          <w:rFonts w:ascii="Arial" w:hAnsi="Arial" w:cs="Arial"/>
          <w:sz w:val="24"/>
          <w:szCs w:val="24"/>
        </w:rPr>
        <w:t xml:space="preserve">En un año difícil e incierto como lo fue el 2016, no podemos limitarnos a la visión positiva que nos arroja el contexto general y una visión del largo plazo de la </w:t>
      </w:r>
      <w:r>
        <w:rPr>
          <w:rFonts w:ascii="Arial" w:hAnsi="Arial" w:cs="Arial"/>
          <w:sz w:val="24"/>
          <w:szCs w:val="24"/>
        </w:rPr>
        <w:lastRenderedPageBreak/>
        <w:t>economía colombiana. En 2016 se hicieron evidentes las vulnerabilidades del país en lo fiscal y en el frente cambiario.</w:t>
      </w:r>
    </w:p>
    <w:p w:rsidR="00C95940" w:rsidRDefault="00C95940" w:rsidP="00C95940">
      <w:pPr>
        <w:pStyle w:val="Prrafodelista"/>
        <w:tabs>
          <w:tab w:val="left" w:pos="426"/>
        </w:tabs>
        <w:spacing w:after="0" w:line="360" w:lineRule="auto"/>
        <w:ind w:left="0"/>
        <w:jc w:val="both"/>
        <w:rPr>
          <w:rFonts w:ascii="Arial" w:hAnsi="Arial" w:cs="Arial"/>
          <w:sz w:val="24"/>
          <w:szCs w:val="24"/>
        </w:rPr>
      </w:pPr>
    </w:p>
    <w:p w:rsidR="00AF5852" w:rsidRPr="00B15A75" w:rsidRDefault="00AF5852" w:rsidP="006E45D8">
      <w:pPr>
        <w:pStyle w:val="Prrafodelista"/>
        <w:numPr>
          <w:ilvl w:val="0"/>
          <w:numId w:val="10"/>
        </w:numPr>
        <w:tabs>
          <w:tab w:val="left" w:pos="426"/>
        </w:tabs>
        <w:spacing w:after="0" w:line="360" w:lineRule="auto"/>
        <w:ind w:left="0" w:firstLine="0"/>
        <w:jc w:val="both"/>
        <w:rPr>
          <w:rFonts w:ascii="Arial" w:hAnsi="Arial" w:cs="Arial"/>
          <w:sz w:val="24"/>
          <w:szCs w:val="24"/>
        </w:rPr>
      </w:pPr>
      <w:r>
        <w:rPr>
          <w:rFonts w:ascii="Arial" w:hAnsi="Arial" w:cs="Arial"/>
          <w:sz w:val="24"/>
          <w:szCs w:val="24"/>
        </w:rPr>
        <w:t>El Déficit de la cuenta corriente registró una tendencia creciente a partir del 2010</w:t>
      </w:r>
      <w:r w:rsidR="00587833">
        <w:rPr>
          <w:rFonts w:ascii="Arial" w:hAnsi="Arial" w:cs="Arial"/>
          <w:sz w:val="24"/>
          <w:szCs w:val="24"/>
        </w:rPr>
        <w:t>, alcanzando niveles del 6.5% del PIB en 2015, en 2016 este se moderó y se espera que continúe recortándose en los últimos años.</w:t>
      </w:r>
    </w:p>
    <w:p w:rsidR="001D2CF1" w:rsidRDefault="001D2CF1" w:rsidP="00C95940">
      <w:pPr>
        <w:spacing w:after="0" w:line="360" w:lineRule="auto"/>
        <w:jc w:val="both"/>
        <w:rPr>
          <w:rFonts w:ascii="Arial" w:hAnsi="Arial" w:cs="Arial"/>
          <w:sz w:val="24"/>
          <w:szCs w:val="24"/>
          <w:lang w:val="es-ES"/>
        </w:rPr>
      </w:pPr>
    </w:p>
    <w:p w:rsidR="000B5FE4" w:rsidRDefault="00B50F7E" w:rsidP="00C95940">
      <w:pPr>
        <w:spacing w:after="0" w:line="360" w:lineRule="auto"/>
        <w:jc w:val="both"/>
        <w:rPr>
          <w:rFonts w:ascii="Arial" w:hAnsi="Arial" w:cs="Arial"/>
          <w:b/>
          <w:sz w:val="24"/>
          <w:szCs w:val="24"/>
        </w:rPr>
      </w:pPr>
      <w:r>
        <w:rPr>
          <w:rFonts w:ascii="Arial" w:hAnsi="Arial" w:cs="Arial"/>
          <w:sz w:val="24"/>
          <w:szCs w:val="24"/>
        </w:rPr>
        <w:t xml:space="preserve"> </w:t>
      </w:r>
      <w:r w:rsidR="00FC4CDC">
        <w:rPr>
          <w:rFonts w:ascii="Arial" w:hAnsi="Arial" w:cs="Arial"/>
          <w:b/>
          <w:sz w:val="24"/>
          <w:szCs w:val="24"/>
        </w:rPr>
        <w:t xml:space="preserve">Crecimiento Económico, </w:t>
      </w:r>
      <w:r w:rsidR="00F071E8">
        <w:rPr>
          <w:rFonts w:ascii="Arial" w:hAnsi="Arial" w:cs="Arial"/>
          <w:b/>
          <w:sz w:val="24"/>
          <w:szCs w:val="24"/>
        </w:rPr>
        <w:t>(</w:t>
      </w:r>
      <w:r w:rsidR="00FC4CDC">
        <w:rPr>
          <w:rFonts w:ascii="Arial" w:hAnsi="Arial" w:cs="Arial"/>
          <w:b/>
          <w:sz w:val="24"/>
          <w:szCs w:val="24"/>
        </w:rPr>
        <w:t>Según la ANDI</w:t>
      </w:r>
      <w:r w:rsidR="00F071E8">
        <w:rPr>
          <w:rFonts w:ascii="Arial" w:hAnsi="Arial" w:cs="Arial"/>
          <w:b/>
          <w:sz w:val="24"/>
          <w:szCs w:val="24"/>
        </w:rPr>
        <w:t>)</w:t>
      </w:r>
    </w:p>
    <w:p w:rsidR="00F837C8" w:rsidRPr="00DD1336" w:rsidRDefault="00F837C8" w:rsidP="001D2CF1">
      <w:pPr>
        <w:spacing w:before="100" w:beforeAutospacing="1" w:after="100" w:afterAutospacing="1" w:line="360" w:lineRule="auto"/>
        <w:jc w:val="center"/>
        <w:rPr>
          <w:rStyle w:val="Textoennegrita"/>
          <w:rFonts w:ascii="Arial" w:hAnsi="Arial" w:cs="Arial"/>
          <w:sz w:val="24"/>
          <w:szCs w:val="24"/>
          <w:shd w:val="clear" w:color="auto" w:fill="FFFFFF"/>
        </w:rPr>
      </w:pPr>
      <w:r w:rsidRPr="00DD1336">
        <w:rPr>
          <w:rFonts w:ascii="Arial" w:hAnsi="Arial" w:cs="Arial"/>
          <w:noProof/>
          <w:sz w:val="24"/>
          <w:szCs w:val="24"/>
          <w:lang w:eastAsia="es-CO"/>
        </w:rPr>
        <w:drawing>
          <wp:inline distT="0" distB="0" distL="0" distR="0" wp14:anchorId="2F1AF20B" wp14:editId="37C46484">
            <wp:extent cx="4257675" cy="1771383"/>
            <wp:effectExtent l="114300" t="57150" r="85725" b="15303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63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6509" cy="17708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DD1336">
        <w:rPr>
          <w:rStyle w:val="Textoennegrita"/>
          <w:rFonts w:ascii="Arial" w:hAnsi="Arial" w:cs="Arial"/>
          <w:sz w:val="24"/>
          <w:szCs w:val="24"/>
          <w:shd w:val="clear" w:color="auto" w:fill="FFFFFF"/>
        </w:rPr>
        <w:t>Fuente: DANE</w:t>
      </w:r>
    </w:p>
    <w:p w:rsidR="00FC4CDC" w:rsidRDefault="004B2C94" w:rsidP="009B391B">
      <w:pPr>
        <w:spacing w:before="100" w:beforeAutospacing="1" w:after="100" w:afterAutospacing="1" w:line="360" w:lineRule="auto"/>
        <w:jc w:val="both"/>
        <w:rPr>
          <w:rFonts w:ascii="Arial" w:hAnsi="Arial" w:cs="Arial"/>
          <w:sz w:val="24"/>
          <w:szCs w:val="24"/>
        </w:rPr>
      </w:pPr>
      <w:r w:rsidRPr="004B2C94">
        <w:rPr>
          <w:rFonts w:ascii="Arial" w:hAnsi="Arial" w:cs="Arial"/>
          <w:sz w:val="24"/>
          <w:szCs w:val="24"/>
        </w:rPr>
        <w:t xml:space="preserve">El crecimiento </w:t>
      </w:r>
      <w:r>
        <w:rPr>
          <w:rFonts w:ascii="Arial" w:hAnsi="Arial" w:cs="Arial"/>
          <w:sz w:val="24"/>
          <w:szCs w:val="24"/>
        </w:rPr>
        <w:t xml:space="preserve">económico </w:t>
      </w:r>
      <w:r w:rsidR="006513CE">
        <w:rPr>
          <w:rFonts w:ascii="Arial" w:hAnsi="Arial" w:cs="Arial"/>
          <w:sz w:val="24"/>
          <w:szCs w:val="24"/>
        </w:rPr>
        <w:t>cerró  en un 2%</w:t>
      </w:r>
      <w:r w:rsidR="006513CE">
        <w:rPr>
          <w:rStyle w:val="Refdenotaalpie"/>
          <w:rFonts w:ascii="Arial" w:hAnsi="Arial" w:cs="Arial"/>
          <w:sz w:val="24"/>
          <w:szCs w:val="24"/>
        </w:rPr>
        <w:footnoteReference w:id="4"/>
      </w:r>
      <w:r w:rsidR="006513CE">
        <w:rPr>
          <w:rFonts w:ascii="Arial" w:hAnsi="Arial" w:cs="Arial"/>
          <w:sz w:val="24"/>
          <w:szCs w:val="24"/>
        </w:rPr>
        <w:t>, nivel inferior al año anterior (3.1%) e inferior al promedio de los últimos 15 años (4.3%), pesando desfavorablemente la desaceleración mundial, reflejado en mercados internacionales deprimidos y en reducción de exportaciones, la vulnerabilidad fiscal y frente cambiario, disminución en los precios de los commodities y limitantes de la competitividad.</w:t>
      </w:r>
    </w:p>
    <w:p w:rsidR="006513CE" w:rsidRDefault="006513CE" w:rsidP="004E73AA">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El Crecimiento económico fue aportado principalmente por el sector financiero, de construcción </w:t>
      </w:r>
      <w:r w:rsidR="006B5719">
        <w:rPr>
          <w:rFonts w:ascii="Arial" w:hAnsi="Arial" w:cs="Arial"/>
          <w:sz w:val="24"/>
          <w:szCs w:val="24"/>
        </w:rPr>
        <w:t>(principalmente las edificaciones) y la industria; por el contrario el sector minero, agropecuario y de electricidad, gas y agua registraron tasas negativas o estancamiento en el año.</w:t>
      </w:r>
    </w:p>
    <w:p w:rsidR="006B5719" w:rsidRPr="004B2C94" w:rsidRDefault="006B5719" w:rsidP="00080100">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 xml:space="preserve">En 2017 se espera un moderado crecimiento mundial, donde Estados Unidos, posiblemente logre consolidar la recuperación que empezó desde el último trimestre de </w:t>
      </w:r>
      <w:r w:rsidR="001434CC">
        <w:rPr>
          <w:rFonts w:ascii="Arial" w:hAnsi="Arial" w:cs="Arial"/>
          <w:sz w:val="24"/>
          <w:szCs w:val="24"/>
        </w:rPr>
        <w:t>2016,</w:t>
      </w:r>
      <w:r>
        <w:rPr>
          <w:rFonts w:ascii="Arial" w:hAnsi="Arial" w:cs="Arial"/>
          <w:sz w:val="24"/>
          <w:szCs w:val="24"/>
        </w:rPr>
        <w:t xml:space="preserve"> Europa continúe</w:t>
      </w:r>
      <w:r w:rsidR="001434CC">
        <w:rPr>
          <w:rFonts w:ascii="Arial" w:hAnsi="Arial" w:cs="Arial"/>
          <w:sz w:val="24"/>
          <w:szCs w:val="24"/>
        </w:rPr>
        <w:t xml:space="preserve"> saliendo de la crisis, China se desacelere y en América Latina las perspectivas mejoren. E</w:t>
      </w:r>
      <w:r w:rsidR="001434CC" w:rsidRPr="001434CC">
        <w:rPr>
          <w:rFonts w:ascii="Arial" w:hAnsi="Arial" w:cs="Arial"/>
          <w:sz w:val="24"/>
          <w:szCs w:val="24"/>
        </w:rPr>
        <w:t>l 2017 también será un año complejo con grandes retos. Será un año preelectoral; también empezará el proceso de implementación del proceso de paz; las empresas y</w:t>
      </w:r>
      <w:r w:rsidR="001434CC">
        <w:rPr>
          <w:rFonts w:ascii="Arial" w:hAnsi="Arial" w:cs="Arial"/>
          <w:sz w:val="24"/>
          <w:szCs w:val="24"/>
        </w:rPr>
        <w:t xml:space="preserve"> </w:t>
      </w:r>
      <w:r w:rsidR="001434CC" w:rsidRPr="001434CC">
        <w:rPr>
          <w:rFonts w:ascii="Arial" w:hAnsi="Arial" w:cs="Arial"/>
          <w:sz w:val="24"/>
          <w:szCs w:val="24"/>
        </w:rPr>
        <w:t>los hogares colombianos sentirán el impacto de la reforma tributaria y resulta fundamental</w:t>
      </w:r>
      <w:r w:rsidR="001434CC">
        <w:rPr>
          <w:rFonts w:ascii="Arial" w:hAnsi="Arial" w:cs="Arial"/>
          <w:sz w:val="24"/>
          <w:szCs w:val="24"/>
        </w:rPr>
        <w:t xml:space="preserve"> </w:t>
      </w:r>
      <w:r w:rsidR="001434CC" w:rsidRPr="001434CC">
        <w:rPr>
          <w:rFonts w:ascii="Arial" w:hAnsi="Arial" w:cs="Arial"/>
          <w:sz w:val="24"/>
          <w:szCs w:val="24"/>
        </w:rPr>
        <w:t>continuar avanzando en medidas que reduzcan la vulnerabilidad en los frentes tributario y</w:t>
      </w:r>
      <w:r w:rsidR="001434CC">
        <w:rPr>
          <w:rFonts w:ascii="Arial" w:hAnsi="Arial" w:cs="Arial"/>
          <w:sz w:val="24"/>
          <w:szCs w:val="24"/>
        </w:rPr>
        <w:t xml:space="preserve"> </w:t>
      </w:r>
      <w:r w:rsidR="001434CC" w:rsidRPr="001434CC">
        <w:rPr>
          <w:rFonts w:ascii="Arial" w:hAnsi="Arial" w:cs="Arial"/>
          <w:sz w:val="24"/>
          <w:szCs w:val="24"/>
        </w:rPr>
        <w:t>cambiario.</w:t>
      </w:r>
    </w:p>
    <w:p w:rsidR="001434CC" w:rsidRDefault="001434CC" w:rsidP="006E45D8">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Por lo anterior se espera que el Crecimiento en Colombia en 2017 posiblemente se sitúe entre 2.5% y 3.0% </w:t>
      </w:r>
    </w:p>
    <w:p w:rsidR="00FC4CDC" w:rsidRDefault="001434CC" w:rsidP="006E45D8">
      <w:pPr>
        <w:spacing w:before="100" w:beforeAutospacing="1" w:after="100" w:afterAutospacing="1" w:line="360" w:lineRule="auto"/>
        <w:jc w:val="both"/>
        <w:rPr>
          <w:rFonts w:ascii="Arial" w:hAnsi="Arial" w:cs="Arial"/>
          <w:b/>
          <w:sz w:val="24"/>
          <w:szCs w:val="24"/>
        </w:rPr>
      </w:pPr>
      <w:r w:rsidRPr="001434CC">
        <w:rPr>
          <w:rFonts w:ascii="Arial" w:hAnsi="Arial" w:cs="Arial"/>
          <w:b/>
          <w:sz w:val="24"/>
          <w:szCs w:val="24"/>
        </w:rPr>
        <w:t xml:space="preserve">Indicadores Sociales (Según la ANDI) </w:t>
      </w:r>
    </w:p>
    <w:p w:rsidR="007F2D1A" w:rsidRDefault="007F2D1A" w:rsidP="006E45D8">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 tasa de pobreza disminuyó alrededor de 22 puntos en la última década, alcanzando valores de 27.8% en 2015. El porcentaje de población debajo de la línea de pobreza para las 13 ciudades, logro por tercer año consecutivo niveles inferiores del 18%, ubicándose </w:t>
      </w:r>
      <w:r w:rsidR="00F071E8">
        <w:rPr>
          <w:rFonts w:ascii="Arial" w:hAnsi="Arial" w:cs="Arial"/>
          <w:sz w:val="24"/>
          <w:szCs w:val="24"/>
        </w:rPr>
        <w:t>en 15.4% y por debajo de la línea de pobreza extrema ubicándose en 7.9% segundo año consecutivo inferior al 10%.</w:t>
      </w:r>
    </w:p>
    <w:p w:rsidR="00F071E8" w:rsidRDefault="00F071E8" w:rsidP="006E45D8">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El Coeficiente de Gini para el 2015, se ubicó en 0.522, aunque mejorando la tendencia, aun permanecemos en niveles altos de </w:t>
      </w:r>
      <w:r w:rsidR="00F837C8">
        <w:rPr>
          <w:rFonts w:ascii="Arial" w:hAnsi="Arial" w:cs="Arial"/>
          <w:sz w:val="24"/>
          <w:szCs w:val="24"/>
        </w:rPr>
        <w:t>desigualdad.</w:t>
      </w:r>
    </w:p>
    <w:p w:rsidR="00F837C8" w:rsidRDefault="00F837C8" w:rsidP="006E45D8">
      <w:pPr>
        <w:spacing w:before="100" w:beforeAutospacing="1" w:after="100" w:afterAutospacing="1" w:line="360" w:lineRule="auto"/>
        <w:jc w:val="both"/>
        <w:rPr>
          <w:rFonts w:ascii="Arial" w:hAnsi="Arial" w:cs="Arial"/>
          <w:b/>
          <w:sz w:val="24"/>
          <w:szCs w:val="24"/>
        </w:rPr>
      </w:pPr>
      <w:r w:rsidRPr="00F837C8">
        <w:rPr>
          <w:rFonts w:ascii="Arial" w:hAnsi="Arial" w:cs="Arial"/>
          <w:b/>
          <w:sz w:val="24"/>
          <w:szCs w:val="24"/>
        </w:rPr>
        <w:t xml:space="preserve">Entorno Macroeconómico (Inflación y Tasas de Interés) </w:t>
      </w:r>
      <w:r>
        <w:rPr>
          <w:rFonts w:ascii="Arial" w:hAnsi="Arial" w:cs="Arial"/>
          <w:b/>
          <w:sz w:val="24"/>
          <w:szCs w:val="24"/>
        </w:rPr>
        <w:t>Según la ANDI</w:t>
      </w:r>
    </w:p>
    <w:p w:rsidR="00F837C8" w:rsidRDefault="00F837C8" w:rsidP="006E45D8">
      <w:pPr>
        <w:spacing w:before="100" w:beforeAutospacing="1" w:after="100" w:afterAutospacing="1" w:line="360" w:lineRule="auto"/>
        <w:jc w:val="both"/>
        <w:rPr>
          <w:rFonts w:ascii="Arial" w:hAnsi="Arial" w:cs="Arial"/>
          <w:sz w:val="24"/>
          <w:szCs w:val="24"/>
        </w:rPr>
      </w:pPr>
      <w:r>
        <w:rPr>
          <w:rFonts w:ascii="Arial" w:hAnsi="Arial" w:cs="Arial"/>
          <w:sz w:val="24"/>
          <w:szCs w:val="24"/>
        </w:rPr>
        <w:t>En 2016 fue un importante reto de la política económica, en los últimos años se había mantenido el r</w:t>
      </w:r>
      <w:r w:rsidR="001D2CF1">
        <w:rPr>
          <w:rFonts w:ascii="Arial" w:hAnsi="Arial" w:cs="Arial"/>
          <w:sz w:val="24"/>
          <w:szCs w:val="24"/>
        </w:rPr>
        <w:t xml:space="preserve">ango meta de inflación (2%-4%) </w:t>
      </w:r>
      <w:r>
        <w:rPr>
          <w:rFonts w:ascii="Arial" w:hAnsi="Arial" w:cs="Arial"/>
          <w:sz w:val="24"/>
          <w:szCs w:val="24"/>
        </w:rPr>
        <w:t>fijado por el Banco de la Republica, meta que no se logró cumplir en 2015, cerrando en 6.8%.</w:t>
      </w:r>
      <w:r w:rsidR="00ED00B6">
        <w:rPr>
          <w:rFonts w:ascii="Arial" w:hAnsi="Arial" w:cs="Arial"/>
          <w:sz w:val="24"/>
          <w:szCs w:val="24"/>
        </w:rPr>
        <w:t xml:space="preserve"> El crecimiento de los precios se explica por el impacto por el mayor ritmo de devaluación, factores climáticos asociados con el fenómeno del niño y el paro camionero. La inflación en Colombia cerró en 2016 a 5.75% según la Revista Dinero.</w:t>
      </w:r>
    </w:p>
    <w:p w:rsidR="00ED00B6" w:rsidRDefault="00ED00B6" w:rsidP="004E73AA">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2017 se mantendrá la tendencia favorable </w:t>
      </w:r>
      <w:r w:rsidR="003C3E3D">
        <w:rPr>
          <w:rFonts w:ascii="Arial" w:hAnsi="Arial" w:cs="Arial"/>
          <w:sz w:val="24"/>
          <w:szCs w:val="24"/>
        </w:rPr>
        <w:t>en el comportamiento de los precios observada en el último semestre de 2016</w:t>
      </w:r>
      <w:r w:rsidR="00DD2FBE">
        <w:rPr>
          <w:rFonts w:ascii="Arial" w:hAnsi="Arial" w:cs="Arial"/>
          <w:sz w:val="24"/>
          <w:szCs w:val="24"/>
        </w:rPr>
        <w:t xml:space="preserve"> de tal forma que la inflación estaría </w:t>
      </w:r>
      <w:r w:rsidR="00DD2FBE">
        <w:rPr>
          <w:rFonts w:ascii="Arial" w:hAnsi="Arial" w:cs="Arial"/>
          <w:sz w:val="24"/>
          <w:szCs w:val="24"/>
        </w:rPr>
        <w:lastRenderedPageBreak/>
        <w:t>convergiendo al techo del rango meta del Banco de la Republica hacia finales de 2017 o principios de 2018.</w:t>
      </w:r>
    </w:p>
    <w:p w:rsidR="009B391B" w:rsidRDefault="009B391B" w:rsidP="006E45D8">
      <w:pPr>
        <w:spacing w:before="100" w:beforeAutospacing="1" w:after="100" w:afterAutospacing="1" w:line="360" w:lineRule="auto"/>
        <w:jc w:val="both"/>
        <w:rPr>
          <w:rFonts w:ascii="Arial" w:hAnsi="Arial" w:cs="Arial"/>
          <w:sz w:val="24"/>
          <w:szCs w:val="24"/>
        </w:rPr>
      </w:pPr>
    </w:p>
    <w:p w:rsidR="0020453F" w:rsidRPr="00DD1336" w:rsidRDefault="001F6A8C" w:rsidP="00585A24">
      <w:pPr>
        <w:pStyle w:val="Ttulo2"/>
        <w:numPr>
          <w:ilvl w:val="1"/>
          <w:numId w:val="19"/>
        </w:numPr>
        <w:spacing w:line="360" w:lineRule="auto"/>
        <w:ind w:left="0" w:firstLine="0"/>
        <w:rPr>
          <w:shd w:val="clear" w:color="auto" w:fill="FFFFFF"/>
        </w:rPr>
      </w:pPr>
      <w:bookmarkStart w:id="4" w:name="_Toc495334889"/>
      <w:r w:rsidRPr="00DD1336">
        <w:rPr>
          <w:shd w:val="clear" w:color="auto" w:fill="FFFFFF"/>
        </w:rPr>
        <w:t>CONTEXTO</w:t>
      </w:r>
      <w:r w:rsidR="0020453F" w:rsidRPr="00DD1336">
        <w:rPr>
          <w:shd w:val="clear" w:color="auto" w:fill="FFFFFF"/>
        </w:rPr>
        <w:t xml:space="preserve"> DEPARTAMENTAL</w:t>
      </w:r>
      <w:bookmarkEnd w:id="4"/>
    </w:p>
    <w:p w:rsidR="00FB1596" w:rsidRPr="00DD1336" w:rsidRDefault="00FB1596" w:rsidP="009B391B">
      <w:pPr>
        <w:spacing w:before="100" w:beforeAutospacing="1" w:after="100" w:afterAutospacing="1" w:line="360" w:lineRule="auto"/>
        <w:jc w:val="both"/>
        <w:rPr>
          <w:rFonts w:ascii="Arial" w:hAnsi="Arial" w:cs="Arial"/>
          <w:sz w:val="24"/>
          <w:szCs w:val="24"/>
        </w:rPr>
      </w:pPr>
      <w:r w:rsidRPr="00DD1336">
        <w:rPr>
          <w:rFonts w:ascii="Arial" w:hAnsi="Arial" w:cs="Arial"/>
          <w:sz w:val="24"/>
          <w:szCs w:val="24"/>
        </w:rPr>
        <w:t>El Departamento del Quindío se encuentra ubicado en el Centro Occidente del País, es el Departamento más pequeño con 1.845 km2, distribuido en 12 Municipios y su Capital es Armenia.</w:t>
      </w:r>
    </w:p>
    <w:p w:rsidR="00FB1596" w:rsidRPr="00DD1336" w:rsidRDefault="00FB1596" w:rsidP="006E45D8">
      <w:pPr>
        <w:spacing w:before="100" w:beforeAutospacing="1" w:after="100" w:afterAutospacing="1" w:line="360" w:lineRule="auto"/>
        <w:jc w:val="both"/>
        <w:rPr>
          <w:rFonts w:ascii="Arial" w:hAnsi="Arial" w:cs="Arial"/>
          <w:sz w:val="24"/>
          <w:szCs w:val="24"/>
        </w:rPr>
      </w:pPr>
      <w:r w:rsidRPr="00DD1336">
        <w:rPr>
          <w:rFonts w:ascii="Arial" w:hAnsi="Arial" w:cs="Arial"/>
          <w:sz w:val="24"/>
          <w:szCs w:val="24"/>
        </w:rPr>
        <w:t xml:space="preserve">De acuerdo con el Banco de la Republica, durante el primer semestre de 2016 la región del Eje Cafetero, conformada por los Departamentos de Quindío, Risaralda y Caldas, presentó una desaceleración de sus actividades económicas que se reflejan en las menores ventas fabriles, la contracción del sector de la Construcción, de las exportaciones diferentes al café y a la menor matricula de </w:t>
      </w:r>
      <w:r w:rsidR="006E7A99" w:rsidRPr="00DD1336">
        <w:rPr>
          <w:rFonts w:ascii="Arial" w:hAnsi="Arial" w:cs="Arial"/>
          <w:sz w:val="24"/>
          <w:szCs w:val="24"/>
        </w:rPr>
        <w:t>Vehículos</w:t>
      </w:r>
      <w:r w:rsidRPr="00DD1336">
        <w:rPr>
          <w:rFonts w:ascii="Arial" w:hAnsi="Arial" w:cs="Arial"/>
          <w:sz w:val="24"/>
          <w:szCs w:val="24"/>
        </w:rPr>
        <w:t xml:space="preserve"> Nuevos, situación a la que se suma la reducción de las remesas, una de las principales fuentes de recursos de la Región.</w:t>
      </w:r>
    </w:p>
    <w:p w:rsidR="00F60468" w:rsidRDefault="008075F6" w:rsidP="006E45D8">
      <w:pPr>
        <w:spacing w:before="100" w:beforeAutospacing="1" w:after="100" w:afterAutospacing="1" w:line="360" w:lineRule="auto"/>
        <w:jc w:val="both"/>
        <w:rPr>
          <w:rFonts w:ascii="Arial" w:hAnsi="Arial" w:cs="Arial"/>
          <w:sz w:val="24"/>
          <w:szCs w:val="24"/>
        </w:rPr>
      </w:pPr>
      <w:r w:rsidRPr="00DD1336">
        <w:rPr>
          <w:rFonts w:ascii="Arial" w:hAnsi="Arial" w:cs="Arial"/>
          <w:sz w:val="24"/>
          <w:szCs w:val="24"/>
        </w:rPr>
        <w:t>De acuerdo con el DANE su población para el 2016 fue estimada en 568.506 habitantes (1.2% del total nacional); de los cuales el 87% es urbana y el 61% se encuentra en el rang</w:t>
      </w:r>
      <w:r w:rsidR="00933E3B">
        <w:rPr>
          <w:rFonts w:ascii="Arial" w:hAnsi="Arial" w:cs="Arial"/>
          <w:sz w:val="24"/>
          <w:szCs w:val="24"/>
        </w:rPr>
        <w:t xml:space="preserve">o de edad económicamente activa; como consecuencia de esto se ha generado un crecimiento de la tasa de desempleo que pasó del 12.8% a 13.9% entre Diciembre </w:t>
      </w:r>
      <w:r w:rsidR="00327EE5">
        <w:rPr>
          <w:rFonts w:ascii="Arial" w:hAnsi="Arial" w:cs="Arial"/>
          <w:sz w:val="24"/>
          <w:szCs w:val="24"/>
        </w:rPr>
        <w:t>de 2014 y el cierre de 2016, tasa que fue superior al promedio nacional (8.2%) comportamiento que mantuvo a Armenia como la segunda ciudad con mayor desempleo del país</w:t>
      </w:r>
      <w:r w:rsidRPr="00DD1336">
        <w:rPr>
          <w:rFonts w:ascii="Arial" w:hAnsi="Arial" w:cs="Arial"/>
          <w:sz w:val="24"/>
          <w:szCs w:val="24"/>
        </w:rPr>
        <w:t xml:space="preserve"> </w:t>
      </w:r>
      <w:r w:rsidRPr="00DD1336">
        <w:rPr>
          <w:rStyle w:val="Refdenotaalpie"/>
          <w:rFonts w:ascii="Arial" w:hAnsi="Arial" w:cs="Arial"/>
          <w:sz w:val="24"/>
          <w:szCs w:val="24"/>
        </w:rPr>
        <w:footnoteReference w:id="5"/>
      </w:r>
    </w:p>
    <w:p w:rsidR="00327EE5" w:rsidRDefault="00646723" w:rsidP="009B391B">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Según el último informe de Vialidad Fiscal de los Departamentos 2016 de la Dirección de Apoyo Fiscal del Ministerio de Hacienda, en Colombia no se calcula la inflación a nivel Departamental pero en Armenia, principal centro económico del </w:t>
      </w:r>
      <w:r>
        <w:rPr>
          <w:rFonts w:ascii="Arial" w:hAnsi="Arial" w:cs="Arial"/>
          <w:sz w:val="24"/>
          <w:szCs w:val="24"/>
        </w:rPr>
        <w:lastRenderedPageBreak/>
        <w:t xml:space="preserve">Departamento, viene presentando un ascenso acelerado, pasando </w:t>
      </w:r>
      <w:r w:rsidR="008623C9">
        <w:rPr>
          <w:rFonts w:ascii="Arial" w:hAnsi="Arial" w:cs="Arial"/>
          <w:sz w:val="24"/>
          <w:szCs w:val="24"/>
        </w:rPr>
        <w:t>del 1.8% en 2013 a 6.8% en 2016</w:t>
      </w:r>
      <w:r>
        <w:rPr>
          <w:rFonts w:ascii="Arial" w:hAnsi="Arial" w:cs="Arial"/>
          <w:sz w:val="24"/>
          <w:szCs w:val="24"/>
        </w:rPr>
        <w:t>.</w:t>
      </w:r>
    </w:p>
    <w:p w:rsidR="00646723" w:rsidRPr="00DD1336" w:rsidRDefault="00646723" w:rsidP="008A5244">
      <w:pPr>
        <w:spacing w:before="100" w:beforeAutospacing="1" w:after="100" w:afterAutospacing="1" w:line="360" w:lineRule="auto"/>
        <w:jc w:val="both"/>
        <w:rPr>
          <w:rFonts w:ascii="Arial" w:hAnsi="Arial" w:cs="Arial"/>
          <w:sz w:val="24"/>
          <w:szCs w:val="24"/>
        </w:rPr>
      </w:pPr>
      <w:r>
        <w:rPr>
          <w:rFonts w:ascii="Arial" w:hAnsi="Arial" w:cs="Arial"/>
          <w:sz w:val="24"/>
          <w:szCs w:val="24"/>
        </w:rPr>
        <w:t>De acuerdo al mismo informe nombrado anteriormente, en los últimos años la pobreza disminuyó y la distribución del ingreso, mejoró. La población en situación de pobreza monetaria bajó de 38% en 2012 a 31% en 2015. Pero se mantuvo superior al nivel nacional (27.8%); mientras el coeficiente de Gini que mide la distribución del ingreso, paso de 0.53 en 2012 a 0.49 en 2015.</w:t>
      </w:r>
    </w:p>
    <w:p w:rsidR="00933E3B" w:rsidRPr="00933E3B" w:rsidRDefault="00933E3B" w:rsidP="006E45D8">
      <w:pPr>
        <w:spacing w:before="100" w:beforeAutospacing="1" w:after="100" w:afterAutospacing="1" w:line="360" w:lineRule="auto"/>
        <w:jc w:val="both"/>
        <w:rPr>
          <w:rFonts w:ascii="Arial" w:hAnsi="Arial" w:cs="Arial"/>
          <w:b/>
          <w:sz w:val="24"/>
          <w:szCs w:val="24"/>
          <w:u w:val="single"/>
        </w:rPr>
      </w:pPr>
      <w:r w:rsidRPr="00933E3B">
        <w:rPr>
          <w:rFonts w:ascii="Arial" w:hAnsi="Arial" w:cs="Arial"/>
          <w:b/>
          <w:sz w:val="24"/>
          <w:szCs w:val="24"/>
          <w:u w:val="single"/>
        </w:rPr>
        <w:t>PIB Departamental:</w:t>
      </w:r>
    </w:p>
    <w:p w:rsidR="00AD1F98" w:rsidRDefault="005933FA" w:rsidP="006E45D8">
      <w:pPr>
        <w:spacing w:before="100" w:beforeAutospacing="1" w:after="100" w:afterAutospacing="1" w:line="360" w:lineRule="auto"/>
        <w:jc w:val="both"/>
        <w:rPr>
          <w:rFonts w:ascii="Arial" w:hAnsi="Arial" w:cs="Arial"/>
          <w:sz w:val="24"/>
          <w:szCs w:val="24"/>
        </w:rPr>
      </w:pPr>
      <w:r w:rsidRPr="00DD1336">
        <w:rPr>
          <w:rFonts w:ascii="Arial" w:hAnsi="Arial" w:cs="Arial"/>
          <w:sz w:val="24"/>
          <w:szCs w:val="24"/>
        </w:rPr>
        <w:t>El PIB departamental mide la actividad productiva de los diferentes departamentos del país, además establece su comportamiento, evolución y estructura económica para el análisis y la toma de decisiones regionales. En total coherencia con los agregados nacionales, se construyen las Cuentas Nacionales Departamentales denominadas “centralizadas” que asignan regionalmente el PIB nacional total y sectorial, mediante el uso de indicadores estadísticos asociados a las actividades productivas</w:t>
      </w:r>
      <w:r w:rsidR="00AD1F98" w:rsidRPr="00DD1336">
        <w:rPr>
          <w:rStyle w:val="Refdenotaalpie"/>
          <w:rFonts w:ascii="Arial" w:hAnsi="Arial" w:cs="Arial"/>
          <w:sz w:val="24"/>
          <w:szCs w:val="24"/>
        </w:rPr>
        <w:footnoteReference w:id="6"/>
      </w:r>
    </w:p>
    <w:p w:rsidR="00A33AAD" w:rsidRPr="00DD1336" w:rsidRDefault="00A33AAD" w:rsidP="006E45D8">
      <w:pPr>
        <w:spacing w:before="100" w:beforeAutospacing="1" w:after="100" w:afterAutospacing="1" w:line="360" w:lineRule="auto"/>
        <w:jc w:val="both"/>
        <w:rPr>
          <w:rFonts w:ascii="Arial" w:hAnsi="Arial" w:cs="Arial"/>
          <w:sz w:val="24"/>
          <w:szCs w:val="24"/>
        </w:rPr>
      </w:pPr>
      <w:r>
        <w:rPr>
          <w:rFonts w:ascii="Arial" w:hAnsi="Arial" w:cs="Arial"/>
          <w:sz w:val="24"/>
          <w:szCs w:val="24"/>
        </w:rPr>
        <w:t>El siguiente cuadro tomado del DANE, muestra el PIB Departamental del Quindío:</w:t>
      </w:r>
    </w:p>
    <w:p w:rsidR="0020453F" w:rsidRPr="00DD1336" w:rsidRDefault="000971DB" w:rsidP="008A5244">
      <w:pPr>
        <w:spacing w:before="100" w:beforeAutospacing="1" w:after="100" w:afterAutospacing="1" w:line="360" w:lineRule="auto"/>
        <w:jc w:val="both"/>
        <w:rPr>
          <w:rFonts w:ascii="Arial" w:hAnsi="Arial" w:cs="Arial"/>
          <w:sz w:val="24"/>
          <w:szCs w:val="24"/>
          <w:lang w:val="es-ES"/>
        </w:rPr>
      </w:pPr>
      <w:r w:rsidRPr="00A33AAD">
        <w:rPr>
          <w:rFonts w:ascii="Arial" w:hAnsi="Arial" w:cs="Arial"/>
          <w:noProof/>
          <w:sz w:val="24"/>
          <w:szCs w:val="24"/>
          <w:lang w:eastAsia="es-CO"/>
        </w:rPr>
        <w:lastRenderedPageBreak/>
        <w:drawing>
          <wp:inline distT="0" distB="0" distL="0" distR="0" wp14:anchorId="0450F19A" wp14:editId="305145A9">
            <wp:extent cx="5599834" cy="3252084"/>
            <wp:effectExtent l="76200" t="76200" r="58420" b="62865"/>
            <wp:docPr id="15"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259225"/>
                    </a:xfrm>
                    <a:prstGeom prst="rect">
                      <a:avLst/>
                    </a:prstGeom>
                    <a:noFill/>
                    <a:effectLst>
                      <a:glow rad="63500">
                        <a:schemeClr val="tx1">
                          <a:alpha val="40000"/>
                        </a:schemeClr>
                      </a:glow>
                    </a:effectLst>
                    <a:extLst/>
                  </pic:spPr>
                </pic:pic>
              </a:graphicData>
            </a:graphic>
          </wp:inline>
        </w:drawing>
      </w:r>
    </w:p>
    <w:p w:rsidR="008075F6" w:rsidRPr="00DD1336" w:rsidRDefault="008075F6" w:rsidP="009B391B">
      <w:pPr>
        <w:spacing w:before="100" w:beforeAutospacing="1" w:after="100" w:afterAutospacing="1" w:line="360" w:lineRule="auto"/>
        <w:jc w:val="both"/>
        <w:rPr>
          <w:rFonts w:ascii="Arial" w:hAnsi="Arial" w:cs="Arial"/>
          <w:color w:val="444444"/>
          <w:sz w:val="24"/>
          <w:szCs w:val="24"/>
          <w:shd w:val="clear" w:color="auto" w:fill="FFFFFF"/>
        </w:rPr>
      </w:pPr>
      <w:r w:rsidRPr="00DD1336">
        <w:rPr>
          <w:rFonts w:ascii="Arial" w:hAnsi="Arial" w:cs="Arial"/>
          <w:color w:val="444444"/>
          <w:sz w:val="24"/>
          <w:szCs w:val="24"/>
          <w:shd w:val="clear" w:color="auto" w:fill="FFFFFF"/>
        </w:rPr>
        <w:t xml:space="preserve">De acuerdo al DANE y el Banco de la Republica, en 2014 el PIB Departamental presentó un crecimiento del 2.8% y fue inferior al Nacional </w:t>
      </w:r>
      <w:r w:rsidR="003224A5" w:rsidRPr="00DD1336">
        <w:rPr>
          <w:rFonts w:ascii="Arial" w:hAnsi="Arial" w:cs="Arial"/>
          <w:color w:val="444444"/>
          <w:sz w:val="24"/>
          <w:szCs w:val="24"/>
          <w:shd w:val="clear" w:color="auto" w:fill="FFFFFF"/>
        </w:rPr>
        <w:t>(4.4%), lo cual hace prever que el crecimiento del PIB continuará siendo menor con respecto al nacional.</w:t>
      </w:r>
      <w:r w:rsidR="003224A5" w:rsidRPr="00DD1336">
        <w:rPr>
          <w:rStyle w:val="Refdenotaalpie"/>
          <w:rFonts w:ascii="Arial" w:hAnsi="Arial" w:cs="Arial"/>
          <w:color w:val="444444"/>
          <w:sz w:val="24"/>
          <w:szCs w:val="24"/>
          <w:shd w:val="clear" w:color="auto" w:fill="FFFFFF"/>
        </w:rPr>
        <w:footnoteReference w:id="7"/>
      </w:r>
    </w:p>
    <w:p w:rsidR="00E111A8" w:rsidRPr="00DD1336" w:rsidRDefault="00E111A8" w:rsidP="006E45D8">
      <w:pPr>
        <w:spacing w:before="100" w:beforeAutospacing="1" w:after="100" w:afterAutospacing="1" w:line="360" w:lineRule="auto"/>
        <w:jc w:val="both"/>
        <w:rPr>
          <w:rFonts w:ascii="Arial" w:hAnsi="Arial" w:cs="Arial"/>
          <w:color w:val="444444"/>
          <w:sz w:val="24"/>
          <w:szCs w:val="24"/>
          <w:shd w:val="clear" w:color="auto" w:fill="FFFFFF"/>
        </w:rPr>
      </w:pPr>
      <w:r w:rsidRPr="00DD1336">
        <w:rPr>
          <w:rFonts w:ascii="Arial" w:hAnsi="Arial" w:cs="Arial"/>
          <w:color w:val="444444"/>
          <w:sz w:val="24"/>
          <w:szCs w:val="24"/>
          <w:shd w:val="clear" w:color="auto" w:fill="FFFFFF"/>
        </w:rPr>
        <w:t xml:space="preserve">Durante el primer trimestre de 2016 se presentó aumento anual en diferentes actividades económicas del Eje Cafetero. La buena dinámica de la industria permitió que la región se ubicara como la segunda con mayor crecimiento en la producción, asimismo, se incrementó la ocupación hotelera, la salida de pasajeros por las terminales terrestres y aéreas, el saldo de captaciones y colocaciones del sistema financiero, las remesas enviadas por trabajadores en el exterior, además del área en proceso de construcción y la cantidad de cemento que ingresó a la región. En contraste, siguieron cayendo las matrículas de vehículos nuevos, las exportaciones de café verde y las diferentes al grano, así como las importaciones. Por su parte, el desempleo fue menor en Pereira y Armenia pero subió en Manizales, y la inflación </w:t>
      </w:r>
      <w:r w:rsidRPr="00DD1336">
        <w:rPr>
          <w:rFonts w:ascii="Arial" w:hAnsi="Arial" w:cs="Arial"/>
          <w:color w:val="444444"/>
          <w:sz w:val="24"/>
          <w:szCs w:val="24"/>
          <w:shd w:val="clear" w:color="auto" w:fill="FFFFFF"/>
        </w:rPr>
        <w:lastRenderedPageBreak/>
        <w:t>fue superior en las tres capitales, con el registro de Manizales como el segundo más alto del país.</w:t>
      </w:r>
      <w:r w:rsidRPr="00DD1336">
        <w:rPr>
          <w:rStyle w:val="Refdenotaalpie"/>
          <w:rFonts w:ascii="Arial" w:hAnsi="Arial" w:cs="Arial"/>
          <w:color w:val="444444"/>
          <w:sz w:val="24"/>
          <w:szCs w:val="24"/>
          <w:shd w:val="clear" w:color="auto" w:fill="FFFFFF"/>
        </w:rPr>
        <w:footnoteReference w:id="8"/>
      </w:r>
    </w:p>
    <w:p w:rsidR="00E111A8" w:rsidRPr="00DD1336" w:rsidRDefault="00E111A8" w:rsidP="008A5244">
      <w:pPr>
        <w:spacing w:before="100" w:beforeAutospacing="1" w:after="100" w:afterAutospacing="1" w:line="360" w:lineRule="auto"/>
        <w:jc w:val="both"/>
        <w:rPr>
          <w:rFonts w:ascii="Arial" w:hAnsi="Arial" w:cs="Arial"/>
          <w:color w:val="444444"/>
          <w:sz w:val="24"/>
          <w:szCs w:val="24"/>
          <w:shd w:val="clear" w:color="auto" w:fill="FFFFFF"/>
        </w:rPr>
      </w:pPr>
      <w:r w:rsidRPr="00DD1336">
        <w:rPr>
          <w:rFonts w:ascii="Arial" w:hAnsi="Arial" w:cs="Arial"/>
          <w:color w:val="444444"/>
          <w:sz w:val="24"/>
          <w:szCs w:val="24"/>
          <w:shd w:val="clear" w:color="auto" w:fill="FFFFFF"/>
        </w:rPr>
        <w:t>Durante el segundo trimestre de 2016 en el Eje Cafetero se aminoró el aumento en algunas de sus actividades económicas. La producción industrial creció, aunque las ventas del sector fabril redujeron su ritmo de avance y las exportaciones diferentes a café cayeron. El área en proceso de construcción menguó su incremento, mientras que las exportaciones fueron mayores por los envíos de café verde. Por el contrario, se presentó disminución en las matrículas de vehículos nuevos, los despachos de cemento gris que ingresaron a la región, el transporte terrestre y aéreo de pasajeros, y las remesas, estas últimas principalmente por el menor monto recibido en Risaralda. De otro lado, la tasa de desempleo se redujo en las capitales del Eje Cafetero, principalmente en Pereira, mientras que la inflación en las tres ciudades creció por la mayor presión del grupo alimentos.</w:t>
      </w:r>
      <w:r w:rsidRPr="00DD1336">
        <w:rPr>
          <w:rStyle w:val="Refdenotaalpie"/>
          <w:rFonts w:ascii="Arial" w:hAnsi="Arial" w:cs="Arial"/>
          <w:color w:val="444444"/>
          <w:sz w:val="24"/>
          <w:szCs w:val="24"/>
          <w:shd w:val="clear" w:color="auto" w:fill="FFFFFF"/>
        </w:rPr>
        <w:footnoteReference w:id="9"/>
      </w:r>
    </w:p>
    <w:p w:rsidR="00E111A8" w:rsidRPr="00DD1336" w:rsidRDefault="00E111A8" w:rsidP="006E45D8">
      <w:pPr>
        <w:spacing w:before="100" w:beforeAutospacing="1" w:after="100" w:afterAutospacing="1" w:line="360" w:lineRule="auto"/>
        <w:jc w:val="both"/>
        <w:rPr>
          <w:rFonts w:ascii="Arial" w:hAnsi="Arial" w:cs="Arial"/>
          <w:color w:val="444444"/>
          <w:sz w:val="24"/>
          <w:szCs w:val="24"/>
          <w:shd w:val="clear" w:color="auto" w:fill="FFFFFF"/>
        </w:rPr>
      </w:pPr>
      <w:r w:rsidRPr="00DD1336">
        <w:rPr>
          <w:rFonts w:ascii="Arial" w:hAnsi="Arial" w:cs="Arial"/>
          <w:color w:val="444444"/>
          <w:sz w:val="24"/>
          <w:szCs w:val="24"/>
          <w:shd w:val="clear" w:color="auto" w:fill="FFFFFF"/>
        </w:rPr>
        <w:t>El Eje Cafetero presentó disminución en varias de sus actividades económicas durante el tercer trimestre de 2016. Se observaron resultados negativos en la producción y ventas de la industria, los envíos al exterior de café verde, los despachos de cemento hacia la región y las remesas, además de las importaciones, las matrículas de vehículos nuevos y el transporte de pasajeros vía terrestre y aérea, últimos que se vieron en parte afectados por el paro camionero. Por el contrario, algunas de las actividades que mostraron crecimiento en el trimestre de análisis fueron el área en proceso de construcción, las exportaciones diferentes a café, la ocupación hotelera, las captaciones y préstamos del sistema financiero; mientras que se evidenció incremento en la tasa de desempleo en las tres ciudades capitales y un menor ascenso en la inflación.</w:t>
      </w:r>
      <w:r w:rsidRPr="00DD1336">
        <w:rPr>
          <w:rStyle w:val="Refdenotaalpie"/>
          <w:rFonts w:ascii="Arial" w:hAnsi="Arial" w:cs="Arial"/>
          <w:color w:val="444444"/>
          <w:sz w:val="24"/>
          <w:szCs w:val="24"/>
          <w:shd w:val="clear" w:color="auto" w:fill="FFFFFF"/>
        </w:rPr>
        <w:footnoteReference w:id="10"/>
      </w:r>
    </w:p>
    <w:p w:rsidR="00E111A8" w:rsidRPr="00DD1336" w:rsidRDefault="00E111A8" w:rsidP="008A5244">
      <w:pPr>
        <w:spacing w:before="100" w:beforeAutospacing="1" w:after="100" w:afterAutospacing="1" w:line="360" w:lineRule="auto"/>
        <w:jc w:val="both"/>
        <w:rPr>
          <w:rFonts w:ascii="Arial" w:hAnsi="Arial" w:cs="Arial"/>
          <w:color w:val="444444"/>
          <w:sz w:val="24"/>
          <w:szCs w:val="24"/>
          <w:shd w:val="clear" w:color="auto" w:fill="FFFFFF"/>
        </w:rPr>
      </w:pPr>
      <w:r w:rsidRPr="00DD1336">
        <w:rPr>
          <w:rFonts w:ascii="Arial" w:hAnsi="Arial" w:cs="Arial"/>
          <w:color w:val="444444"/>
          <w:sz w:val="24"/>
          <w:szCs w:val="24"/>
          <w:shd w:val="clear" w:color="auto" w:fill="FFFFFF"/>
        </w:rPr>
        <w:t xml:space="preserve">En el cuarto trimestre de 2016 el Eje Cafetero presentó crecimiento en varias actividades económicas y mejoró el resultado del periodo previo. Aumentó la </w:t>
      </w:r>
      <w:r w:rsidRPr="00DD1336">
        <w:rPr>
          <w:rFonts w:ascii="Arial" w:hAnsi="Arial" w:cs="Arial"/>
          <w:color w:val="444444"/>
          <w:sz w:val="24"/>
          <w:szCs w:val="24"/>
          <w:shd w:val="clear" w:color="auto" w:fill="FFFFFF"/>
        </w:rPr>
        <w:lastRenderedPageBreak/>
        <w:t>producción y ventas industriales, las exportaciones de café verde y diferentes al grano, el área en proceso de construcción, las matrículas de vehículos nuevos, la ocupación hotelera, las captaciones y colocaciones del sistema financiero, y las remesas en Caldas y Risaralda. Por el contrario, fue menor el sacrificio de ganado bovino, se redujo el ingreso de cemento, las importaciones y el transporte aéreo de pasajeros. A su vez, aumentó la tasa de desempleo en las tres ciudades capitales, siendo la de Armenia la segunda más alta del territorio nacional, mientras que el cambio en el nivel de precios prosiguió con un menor ascenso en la capital del Quindío, pero en Manizales y Pereira hubo una pausa en la tendencia de desaceleración en la inflación.</w:t>
      </w:r>
      <w:r w:rsidRPr="00DD1336">
        <w:rPr>
          <w:rStyle w:val="Refdenotaalpie"/>
          <w:rFonts w:ascii="Arial" w:hAnsi="Arial" w:cs="Arial"/>
          <w:color w:val="444444"/>
          <w:sz w:val="24"/>
          <w:szCs w:val="24"/>
          <w:shd w:val="clear" w:color="auto" w:fill="FFFFFF"/>
        </w:rPr>
        <w:footnoteReference w:id="11"/>
      </w:r>
    </w:p>
    <w:p w:rsidR="00F82388" w:rsidRPr="00DD1336" w:rsidRDefault="00F82388" w:rsidP="006E45D8">
      <w:pPr>
        <w:spacing w:before="100" w:beforeAutospacing="1" w:after="100" w:afterAutospacing="1" w:line="360" w:lineRule="auto"/>
        <w:jc w:val="both"/>
        <w:rPr>
          <w:rFonts w:ascii="Arial" w:hAnsi="Arial" w:cs="Arial"/>
          <w:color w:val="444444"/>
          <w:sz w:val="24"/>
          <w:szCs w:val="24"/>
          <w:shd w:val="clear" w:color="auto" w:fill="FFFFFF"/>
        </w:rPr>
      </w:pPr>
      <w:r w:rsidRPr="00DD1336">
        <w:rPr>
          <w:rFonts w:ascii="Arial" w:hAnsi="Arial" w:cs="Arial"/>
          <w:color w:val="444444"/>
          <w:sz w:val="24"/>
          <w:szCs w:val="24"/>
          <w:shd w:val="clear" w:color="auto" w:fill="FFFFFF"/>
        </w:rPr>
        <w:t>En el primer trimestre de 2017 la economía del Eje Cafetero presentó signos de desaceleración en su crecimiento, situación que se observó en la producción y ventas industriales, las ventas externas diferentes a café, el área en proceso de construcción, las captaciones del sistema financiero, las matrículas de vehículos nuevos, el balance del volumen de ventas, el sacrificio de ganado porcino y la producción de pollo. Por su parte, hubo disminución en la ocupación hotelera, el transporte de pasajeros y el ingreso de remesas; así como en la tasa de desempleo de Pereira y Armenia, aunque la de Manizales se incrementó, y la inflación mostró el registro más bajo desde agosto de 2015 para las tres ciudades capitales.</w:t>
      </w:r>
      <w:r w:rsidRPr="00DD1336">
        <w:rPr>
          <w:rStyle w:val="Refdenotaalpie"/>
          <w:rFonts w:ascii="Arial" w:hAnsi="Arial" w:cs="Arial"/>
          <w:color w:val="444444"/>
          <w:sz w:val="24"/>
          <w:szCs w:val="24"/>
          <w:shd w:val="clear" w:color="auto" w:fill="FFFFFF"/>
        </w:rPr>
        <w:footnoteReference w:id="12"/>
      </w:r>
    </w:p>
    <w:p w:rsidR="00BB01D4" w:rsidRDefault="00BB01D4" w:rsidP="006E45D8">
      <w:pPr>
        <w:spacing w:line="360" w:lineRule="auto"/>
        <w:rPr>
          <w:rFonts w:cs="Arial"/>
        </w:rPr>
      </w:pPr>
      <w:bookmarkStart w:id="5" w:name="_Toc464053762"/>
    </w:p>
    <w:p w:rsidR="002477C2" w:rsidRPr="000A1B73" w:rsidRDefault="00DA3891" w:rsidP="006E45D8">
      <w:pPr>
        <w:pStyle w:val="Ttulo2"/>
        <w:numPr>
          <w:ilvl w:val="0"/>
          <w:numId w:val="19"/>
        </w:numPr>
        <w:tabs>
          <w:tab w:val="left" w:pos="284"/>
        </w:tabs>
        <w:spacing w:before="0" w:line="360" w:lineRule="auto"/>
        <w:ind w:left="0" w:firstLine="0"/>
      </w:pPr>
      <w:bookmarkStart w:id="6" w:name="_Toc495334890"/>
      <w:bookmarkEnd w:id="5"/>
      <w:r>
        <w:t>DIAGNÓSTICO DE LA SITUACIÓ</w:t>
      </w:r>
      <w:r w:rsidR="002477C2" w:rsidRPr="000A1B73">
        <w:t>N FINANCIERA DE LA ENTIDAD TERRITORIAL</w:t>
      </w:r>
      <w:bookmarkEnd w:id="6"/>
    </w:p>
    <w:p w:rsidR="009261D1" w:rsidRPr="000A1B73" w:rsidRDefault="009261D1" w:rsidP="00585A24">
      <w:pPr>
        <w:pStyle w:val="Ttulo2"/>
        <w:numPr>
          <w:ilvl w:val="1"/>
          <w:numId w:val="19"/>
        </w:numPr>
        <w:spacing w:line="360" w:lineRule="auto"/>
        <w:ind w:left="0" w:firstLine="0"/>
      </w:pPr>
      <w:bookmarkStart w:id="7" w:name="_Toc495334891"/>
      <w:r w:rsidRPr="000A1B73">
        <w:t>MARCO CONCEPTUAL</w:t>
      </w:r>
      <w:bookmarkEnd w:id="7"/>
    </w:p>
    <w:p w:rsidR="00DA3891" w:rsidRDefault="00DA3891" w:rsidP="006E45D8">
      <w:pPr>
        <w:pStyle w:val="Prrafodelista"/>
        <w:spacing w:line="360" w:lineRule="auto"/>
        <w:ind w:left="0"/>
        <w:jc w:val="both"/>
        <w:rPr>
          <w:rFonts w:ascii="Arial" w:hAnsi="Arial" w:cs="Arial"/>
          <w:b/>
          <w:sz w:val="24"/>
          <w:szCs w:val="24"/>
        </w:rPr>
      </w:pPr>
    </w:p>
    <w:p w:rsidR="009261D1" w:rsidRPr="009261D1" w:rsidRDefault="009261D1" w:rsidP="006E45D8">
      <w:pPr>
        <w:pStyle w:val="Prrafodelista"/>
        <w:spacing w:line="360" w:lineRule="auto"/>
        <w:ind w:left="0"/>
        <w:jc w:val="both"/>
        <w:rPr>
          <w:rFonts w:ascii="Arial" w:hAnsi="Arial" w:cs="Arial"/>
          <w:sz w:val="24"/>
          <w:szCs w:val="24"/>
        </w:rPr>
      </w:pPr>
      <w:r w:rsidRPr="00A96B84">
        <w:rPr>
          <w:rFonts w:ascii="Arial" w:hAnsi="Arial" w:cs="Arial"/>
          <w:b/>
          <w:sz w:val="24"/>
          <w:szCs w:val="24"/>
        </w:rPr>
        <w:t xml:space="preserve">Ingresos Corrientes: </w:t>
      </w:r>
      <w:r w:rsidRPr="00A96B84">
        <w:rPr>
          <w:rFonts w:ascii="Arial" w:hAnsi="Arial" w:cs="Arial"/>
          <w:sz w:val="24"/>
          <w:szCs w:val="24"/>
        </w:rPr>
        <w:t xml:space="preserve">Son los recursos que recauda el departamento en forma regular y permanente por autorización de la ley, por concepto de impuestos, tasas, </w:t>
      </w:r>
      <w:r w:rsidRPr="00A96B84">
        <w:rPr>
          <w:rFonts w:ascii="Arial" w:hAnsi="Arial" w:cs="Arial"/>
          <w:sz w:val="24"/>
          <w:szCs w:val="24"/>
        </w:rPr>
        <w:lastRenderedPageBreak/>
        <w:t>multas y contribuciones y también a los que corresponden a las transferencias que perciben en relación a las funciones y competencias de la entidad territorial; son aquellos percibidos con relativa estabilidad, esto es, que tiene vocación de permanencia y que pueden predecirse con suficiente certeza para limitar los gastos ordinarios del estado, éstos se clasifican en Tributarios y No Tributarios</w:t>
      </w:r>
      <w:r w:rsidRPr="00A96B84">
        <w:rPr>
          <w:rStyle w:val="Refdenotaalpie"/>
          <w:rFonts w:ascii="Arial" w:hAnsi="Arial" w:cs="Arial"/>
          <w:sz w:val="24"/>
          <w:szCs w:val="24"/>
        </w:rPr>
        <w:footnoteReference w:id="13"/>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Ingresos Corrientes Tributarios:</w:t>
      </w:r>
      <w:r w:rsidRPr="009261D1">
        <w:rPr>
          <w:rFonts w:ascii="Arial" w:hAnsi="Arial" w:cs="Arial"/>
          <w:sz w:val="24"/>
          <w:szCs w:val="24"/>
        </w:rPr>
        <w:t xml:space="preserve"> Corresponden a los ingresos que tiene el carácter de impuesto, creados por Ley y son ingresos del tesoro departamental  que cumplen con las siguientes características: Son de propiedad de la entidad territorial o han sido cedidos al ente territorial, tienen carácter obligatorio, son generales, según su base gravable, es decir se cobran indiscriminadamente a quienes se encuentren dentro del hecho generador, no generan contraprestación alguna, son exigidos coactivamente, si es el caso.  Los Ingresos Corrientes Tributarios se clasifican en impuestos directos e indirectos.</w:t>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Impuestos Directos:</w:t>
      </w:r>
      <w:r w:rsidRPr="009261D1">
        <w:rPr>
          <w:rFonts w:ascii="Arial" w:hAnsi="Arial" w:cs="Arial"/>
          <w:sz w:val="24"/>
          <w:szCs w:val="24"/>
        </w:rPr>
        <w:t xml:space="preserve"> Son gravámenes establecidos por ley que consultan la capacidad de pago y recaen sobre la renta, el ingreso y la riqueza de las personas naturales y jurídicas por lo tanto no son trasladables a otros sectores. (Impuesto sobre vehículos automotores – Impuesto al Registro)</w:t>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 xml:space="preserve">Impuesto sobre Vehículos Automotores: </w:t>
      </w:r>
      <w:r w:rsidRPr="009261D1">
        <w:rPr>
          <w:rFonts w:ascii="Arial" w:hAnsi="Arial" w:cs="Arial"/>
          <w:sz w:val="24"/>
          <w:szCs w:val="24"/>
        </w:rPr>
        <w:t>Es un gravamen creado mediante la Ley 488 de 1998, sobre la propiedad o la posesión de los vehículos que circulan en el territorio nacional. Cabe agregar que constituye el hecho generador del impuesto, la propiedad o la posesión de los vehículos gravados que está constituido por el valor comercial de los mismos, el cual es establecido anualmente mediante resolución expedida en el mes de Noviembre del año inmediatamente anterior al gravable, por el Ministerio de Transporte.</w:t>
      </w:r>
      <w:r w:rsidRPr="009261D1">
        <w:rPr>
          <w:rStyle w:val="Refdenotaalpie"/>
          <w:rFonts w:ascii="Arial" w:hAnsi="Arial" w:cs="Arial"/>
          <w:sz w:val="24"/>
          <w:szCs w:val="24"/>
        </w:rPr>
        <w:footnoteReference w:id="14"/>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 xml:space="preserve">Impuesto al Registro: </w:t>
      </w:r>
      <w:r w:rsidRPr="009261D1">
        <w:rPr>
          <w:rFonts w:ascii="Arial" w:hAnsi="Arial" w:cs="Arial"/>
          <w:color w:val="222222"/>
          <w:sz w:val="24"/>
          <w:szCs w:val="24"/>
          <w:shd w:val="clear" w:color="auto" w:fill="FFFFFF"/>
        </w:rPr>
        <w:t xml:space="preserve">Es un gravamen creado por el Congreso de la República mediante la Ley 223 de 1995, que afecta todos los actos, documentos o contratos que deben registrarse ante la cámara de comercio y en las oficinas de instrumentos </w:t>
      </w:r>
      <w:r w:rsidRPr="009261D1">
        <w:rPr>
          <w:rFonts w:ascii="Arial" w:hAnsi="Arial" w:cs="Arial"/>
          <w:color w:val="222222"/>
          <w:sz w:val="24"/>
          <w:szCs w:val="24"/>
          <w:shd w:val="clear" w:color="auto" w:fill="FFFFFF"/>
        </w:rPr>
        <w:lastRenderedPageBreak/>
        <w:t>públicos; e</w:t>
      </w:r>
      <w:r w:rsidRPr="009261D1">
        <w:rPr>
          <w:rFonts w:ascii="Arial" w:hAnsi="Arial" w:cs="Arial"/>
          <w:sz w:val="24"/>
          <w:szCs w:val="24"/>
        </w:rPr>
        <w:t xml:space="preserve">stá constituido por la inscripción de actos, contratos o negocios jurídicos documentales en los cuales sean parte o beneficiarios los particulares y que, de conformidad con las disposiciones legales, deban registrarse en las Oficinas de Registro de Instrumentos Públicos o en las Cámaras de comercio. </w:t>
      </w:r>
      <w:r w:rsidRPr="009261D1">
        <w:rPr>
          <w:rStyle w:val="Refdenotaalpie"/>
          <w:rFonts w:ascii="Arial" w:hAnsi="Arial" w:cs="Arial"/>
          <w:sz w:val="24"/>
          <w:szCs w:val="24"/>
        </w:rPr>
        <w:footnoteReference w:id="15"/>
      </w:r>
    </w:p>
    <w:p w:rsidR="009261D1" w:rsidRPr="00A6658B" w:rsidRDefault="009261D1" w:rsidP="006E45D8">
      <w:pPr>
        <w:pStyle w:val="Prrafodelista"/>
        <w:spacing w:line="360" w:lineRule="auto"/>
        <w:ind w:left="0"/>
        <w:jc w:val="both"/>
        <w:rPr>
          <w:rFonts w:ascii="Arial" w:hAnsi="Arial" w:cs="Arial"/>
          <w:sz w:val="24"/>
          <w:szCs w:val="24"/>
          <w:u w:val="single"/>
        </w:rPr>
      </w:pPr>
      <w:r w:rsidRPr="009261D1">
        <w:rPr>
          <w:rFonts w:ascii="Arial" w:hAnsi="Arial" w:cs="Arial"/>
          <w:b/>
          <w:sz w:val="24"/>
          <w:szCs w:val="24"/>
        </w:rPr>
        <w:t>Impuestos Indirectos:</w:t>
      </w:r>
      <w:r w:rsidRPr="009261D1">
        <w:rPr>
          <w:rFonts w:ascii="Arial" w:hAnsi="Arial" w:cs="Arial"/>
          <w:sz w:val="24"/>
          <w:szCs w:val="24"/>
        </w:rPr>
        <w:t xml:space="preserve"> Son gravámenes establecidos por Ley no relacionados con la riqueza de las personas naturales y o jurídicas, sino con el tipo de actividades </w:t>
      </w:r>
      <w:r w:rsidRPr="00A6658B">
        <w:rPr>
          <w:rFonts w:ascii="Arial" w:hAnsi="Arial" w:cs="Arial"/>
          <w:sz w:val="24"/>
          <w:szCs w:val="24"/>
        </w:rPr>
        <w:t>realizadas y por lo tanto pueden ser trasladadas a otros sectores económicos.</w:t>
      </w:r>
    </w:p>
    <w:p w:rsidR="009261D1" w:rsidRPr="009261D1" w:rsidRDefault="009261D1" w:rsidP="006E45D8">
      <w:pPr>
        <w:pStyle w:val="Prrafodelista"/>
        <w:spacing w:line="360" w:lineRule="auto"/>
        <w:ind w:left="0"/>
        <w:jc w:val="both"/>
        <w:rPr>
          <w:rFonts w:ascii="Arial" w:hAnsi="Arial" w:cs="Arial"/>
          <w:sz w:val="24"/>
          <w:szCs w:val="24"/>
        </w:rPr>
      </w:pPr>
      <w:r w:rsidRPr="00A6658B">
        <w:rPr>
          <w:rFonts w:ascii="Arial" w:hAnsi="Arial" w:cs="Arial"/>
          <w:b/>
          <w:sz w:val="24"/>
          <w:szCs w:val="24"/>
        </w:rPr>
        <w:t>Impuesto al Consumo:</w:t>
      </w:r>
      <w:r w:rsidRPr="00A6658B">
        <w:rPr>
          <w:rFonts w:ascii="Arial" w:hAnsi="Arial" w:cs="Arial"/>
          <w:sz w:val="24"/>
          <w:szCs w:val="24"/>
        </w:rPr>
        <w:t xml:space="preserve"> Está constituido por el consumo de licores, vinos, aperitivos y similares, Cervezas y Sifones, Refajos y Mezclas, Cigarrillos y Tabaco elaborado; los cuales son sujetos pasivos, los productores, los importadores, y solidariamente con ellos, los distribuidores, además son responsables directos los transportadores y expendedores al detal, cuando no puedan justificar debidamente, la procedencia de los productos que transportan o expenden</w:t>
      </w:r>
      <w:r w:rsidRPr="00A6658B">
        <w:rPr>
          <w:rStyle w:val="Refdenotaalpie"/>
          <w:rFonts w:ascii="Arial" w:hAnsi="Arial" w:cs="Arial"/>
          <w:sz w:val="24"/>
          <w:szCs w:val="24"/>
        </w:rPr>
        <w:footnoteReference w:id="16"/>
      </w:r>
      <w:r w:rsidRPr="00A6658B">
        <w:rPr>
          <w:rFonts w:ascii="Arial" w:hAnsi="Arial" w:cs="Arial"/>
          <w:sz w:val="24"/>
          <w:szCs w:val="24"/>
        </w:rPr>
        <w:t>. Se encuentra regulado por la Ley 223</w:t>
      </w:r>
      <w:r w:rsidR="009A6ECC" w:rsidRPr="00A6658B">
        <w:rPr>
          <w:rFonts w:ascii="Arial" w:hAnsi="Arial" w:cs="Arial"/>
          <w:sz w:val="24"/>
          <w:szCs w:val="24"/>
        </w:rPr>
        <w:t xml:space="preserve"> de 1995 del Capítulo VII al XI, modificada parcialmente por la ley 1816 del 19 de Diciembre de 2016.</w:t>
      </w:r>
    </w:p>
    <w:p w:rsidR="009261D1" w:rsidRPr="009261D1" w:rsidRDefault="009261D1" w:rsidP="006E45D8">
      <w:pPr>
        <w:pStyle w:val="Prrafodelista"/>
        <w:spacing w:line="360" w:lineRule="auto"/>
        <w:ind w:left="0"/>
        <w:jc w:val="both"/>
        <w:rPr>
          <w:rFonts w:ascii="Arial" w:hAnsi="Arial" w:cs="Arial"/>
          <w:sz w:val="24"/>
          <w:szCs w:val="24"/>
          <w:u w:val="single"/>
        </w:rPr>
      </w:pPr>
      <w:r w:rsidRPr="009261D1">
        <w:rPr>
          <w:rFonts w:ascii="Arial" w:hAnsi="Arial" w:cs="Arial"/>
          <w:b/>
          <w:sz w:val="24"/>
          <w:szCs w:val="24"/>
        </w:rPr>
        <w:t xml:space="preserve">Impuesto de Degüello de Ganado Mayor: </w:t>
      </w:r>
      <w:r w:rsidRPr="009261D1">
        <w:rPr>
          <w:rFonts w:ascii="Arial" w:hAnsi="Arial" w:cs="Arial"/>
          <w:sz w:val="24"/>
          <w:szCs w:val="24"/>
        </w:rPr>
        <w:t>El denominado impuesto grava la actividad del sacrificio del ganado (no el consumo de la carne), el cual se causa a partir del sacrificio del ejemplar. Los Departamentos pueden fijar tarifas libremente la cuota al impuesto sobre el degüello al ganado mayor. Regulado por el Decreto 1222 de 1986.</w:t>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Sobretasa a la Gasolina</w:t>
      </w:r>
      <w:r w:rsidRPr="009261D1">
        <w:rPr>
          <w:rFonts w:ascii="Arial" w:hAnsi="Arial" w:cs="Arial"/>
          <w:sz w:val="24"/>
          <w:szCs w:val="24"/>
        </w:rPr>
        <w:t>: Es una contribución de carácter municipal y departamental, que se genera en el consumo de gasolina motor extra y corriente, nacional o importado. Son responsables de la sobretasa, los distribuidores mayoristas, los productores e importadores además son responsables directos, los transportadores y expendedores al detal, que se rige por la Ley 488 de 1998.</w:t>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 xml:space="preserve">Estampilla Pro-desarrollo: </w:t>
      </w:r>
      <w:r w:rsidRPr="009261D1">
        <w:rPr>
          <w:rFonts w:ascii="Arial" w:hAnsi="Arial" w:cs="Arial"/>
          <w:bCs/>
          <w:sz w:val="24"/>
          <w:szCs w:val="24"/>
        </w:rPr>
        <w:t>Autorizada mediante Decreto 1222 de 19</w:t>
      </w:r>
      <w:r w:rsidR="00D754D0">
        <w:rPr>
          <w:rFonts w:ascii="Arial" w:hAnsi="Arial" w:cs="Arial"/>
          <w:bCs/>
          <w:sz w:val="24"/>
          <w:szCs w:val="24"/>
        </w:rPr>
        <w:t>86</w:t>
      </w:r>
      <w:r w:rsidRPr="009261D1">
        <w:rPr>
          <w:rFonts w:ascii="Arial" w:hAnsi="Arial" w:cs="Arial"/>
          <w:bCs/>
          <w:sz w:val="24"/>
          <w:szCs w:val="24"/>
        </w:rPr>
        <w:t xml:space="preserve"> </w:t>
      </w:r>
      <w:r w:rsidRPr="009261D1">
        <w:rPr>
          <w:rFonts w:ascii="Arial" w:hAnsi="Arial" w:cs="Arial"/>
          <w:sz w:val="24"/>
          <w:szCs w:val="24"/>
        </w:rPr>
        <w:t xml:space="preserve">"Por el cual se expide el Código de Régimen Departamental”, en el Departamento del Quindío </w:t>
      </w:r>
      <w:r w:rsidRPr="009261D1">
        <w:rPr>
          <w:rFonts w:ascii="Arial" w:hAnsi="Arial" w:cs="Arial"/>
          <w:sz w:val="24"/>
          <w:szCs w:val="24"/>
        </w:rPr>
        <w:lastRenderedPageBreak/>
        <w:t>se Reglamentó mediante la Ordenanza 031 del 2004.</w:t>
      </w:r>
      <w:r w:rsidRPr="009261D1">
        <w:rPr>
          <w:rFonts w:ascii="Arial" w:hAnsi="Arial" w:cs="Arial"/>
          <w:bCs/>
          <w:sz w:val="24"/>
          <w:szCs w:val="24"/>
        </w:rPr>
        <w:t>El producido por el recaudo de esta estampilla debe destinarse a la construcción de infraestructura educativa, sanitaria y deportiva</w:t>
      </w:r>
      <w:r w:rsidRPr="009261D1">
        <w:rPr>
          <w:rFonts w:ascii="Arial" w:hAnsi="Arial" w:cs="Arial"/>
          <w:sz w:val="24"/>
          <w:szCs w:val="24"/>
        </w:rPr>
        <w:t xml:space="preserve"> de conformidad a lo establecido en el Plan de Desarrollo y el Plan Operativo Anual de Inversiones del Departamento.</w:t>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 xml:space="preserve">Estampilla Pro Adulto Mayor: </w:t>
      </w:r>
      <w:r w:rsidRPr="009261D1">
        <w:rPr>
          <w:rFonts w:ascii="Arial" w:hAnsi="Arial" w:cs="Arial"/>
          <w:sz w:val="24"/>
          <w:szCs w:val="24"/>
        </w:rPr>
        <w:t xml:space="preserve">Se encuentra regulada por la Ley 1276 del 05 de Enero del 2009, la define como un recurso de obligatorio recaudo para contribuir a la construcción, instalación, adecuación, dotación, funcionamiento y desarrollo de programas de prevención y promoción de los Centros de Bienestar del Anciano y Centros de Vida para la Tercera Edad, en cada una de sus respectivas entidades territoriales. El producto de dichos recursos se destinará, como mínimo, en un 70% para la financiación de los Centros Vida, de acuerdo con las definiciones de la presente ley; y el 30% restante, a la dotación y funcionamiento de los Centros de Bienestar del Anciano. Fue adoptada en el Departamento del Quindío por medio de la Ordenanza 011 del 2012 y reglamentada por la Ordenanza 03 del 2014. </w:t>
      </w:r>
    </w:p>
    <w:p w:rsidR="009261D1" w:rsidRPr="009261D1" w:rsidRDefault="009261D1" w:rsidP="006E45D8">
      <w:pPr>
        <w:pStyle w:val="Prrafodelista"/>
        <w:tabs>
          <w:tab w:val="left" w:pos="284"/>
        </w:tabs>
        <w:spacing w:line="360" w:lineRule="auto"/>
        <w:ind w:left="0"/>
        <w:jc w:val="both"/>
        <w:rPr>
          <w:rFonts w:ascii="Arial" w:hAnsi="Arial" w:cs="Arial"/>
          <w:b/>
          <w:sz w:val="24"/>
          <w:szCs w:val="24"/>
        </w:rPr>
      </w:pPr>
      <w:r w:rsidRPr="009261D1">
        <w:rPr>
          <w:rFonts w:ascii="Arial" w:hAnsi="Arial" w:cs="Arial"/>
          <w:b/>
          <w:sz w:val="24"/>
          <w:szCs w:val="24"/>
        </w:rPr>
        <w:t>Estampilla Pro-Cultura</w:t>
      </w:r>
      <w:r w:rsidRPr="009261D1">
        <w:rPr>
          <w:rFonts w:ascii="Arial" w:hAnsi="Arial" w:cs="Arial"/>
          <w:sz w:val="24"/>
          <w:szCs w:val="24"/>
        </w:rPr>
        <w:t xml:space="preserve">: Se crea para financiar las actividades culturales del ente territorial, entre ellas la promoción, creación de toda actividad artística y cultural; la investigación y el fortalecimiento de las expresiones culturales como artesanías, grupos folklóricos, investigación de las tradiciones y origen del municipio, entre otras; el funcionamiento y mejoramiento de espacios públicos, aptos para la realización de actividades y/o eventos culturales; dotación los diferentes centros y casas culturales de instrumentos musicales, entre otros; formar y la capacitar al creador y gestores culturales del municipio y garantizar la seguridad social del creador y del gestor cultural con un 10% del producido de la Estampilla. Reglamentada mediante la </w:t>
      </w:r>
      <w:r w:rsidRPr="009261D1">
        <w:rPr>
          <w:rFonts w:ascii="Arial" w:hAnsi="Arial" w:cs="Arial"/>
          <w:bCs/>
          <w:sz w:val="24"/>
          <w:szCs w:val="24"/>
        </w:rPr>
        <w:t>Ley 397 de 1997 artículo 38 (Modificado por el artículo 1 de la Ley 666 de 2001, en el Departamento del Quindío fue adoptada por la Ordenanza 010 del 2012, y se crean nuevos programas departamentales relacionados en las</w:t>
      </w:r>
      <w:r w:rsidR="00D754D0">
        <w:rPr>
          <w:rFonts w:ascii="Arial" w:hAnsi="Arial" w:cs="Arial"/>
          <w:bCs/>
          <w:sz w:val="24"/>
          <w:szCs w:val="24"/>
        </w:rPr>
        <w:t xml:space="preserve"> Ordenanzas 013 y 014 del 2015.</w:t>
      </w:r>
    </w:p>
    <w:p w:rsidR="009261D1" w:rsidRPr="009261D1" w:rsidRDefault="009261D1" w:rsidP="006E45D8">
      <w:pPr>
        <w:pStyle w:val="Prrafodelista"/>
        <w:spacing w:line="360" w:lineRule="auto"/>
        <w:ind w:left="0"/>
        <w:jc w:val="both"/>
        <w:rPr>
          <w:rFonts w:ascii="Arial" w:hAnsi="Arial" w:cs="Arial"/>
          <w:b/>
          <w:sz w:val="24"/>
          <w:szCs w:val="24"/>
        </w:rPr>
      </w:pPr>
      <w:r w:rsidRPr="009261D1">
        <w:rPr>
          <w:rFonts w:ascii="Arial" w:hAnsi="Arial" w:cs="Arial"/>
          <w:b/>
          <w:sz w:val="24"/>
          <w:szCs w:val="24"/>
        </w:rPr>
        <w:t xml:space="preserve">Ingresos Corrientes de Libre Destinación: </w:t>
      </w:r>
      <w:r w:rsidRPr="009261D1">
        <w:rPr>
          <w:rFonts w:ascii="Arial" w:hAnsi="Arial" w:cs="Arial"/>
          <w:color w:val="000000"/>
          <w:sz w:val="24"/>
          <w:szCs w:val="24"/>
          <w:shd w:val="clear" w:color="auto" w:fill="FFFFFF"/>
        </w:rPr>
        <w:t xml:space="preserve">Son los ingresos tributarios y no tributarios, excluidas las rentas de destinación específica, es decir, aquellas destinadas por Ley a un fin determinado, de conformidad a lo dispuesto en el artículo </w:t>
      </w:r>
      <w:r w:rsidRPr="009261D1">
        <w:rPr>
          <w:rFonts w:ascii="Arial" w:hAnsi="Arial" w:cs="Arial"/>
          <w:color w:val="000000"/>
          <w:sz w:val="24"/>
          <w:szCs w:val="24"/>
          <w:shd w:val="clear" w:color="auto" w:fill="FFFFFF"/>
        </w:rPr>
        <w:lastRenderedPageBreak/>
        <w:t>3 de Ley 617 de 2000.</w:t>
      </w:r>
      <w:r w:rsidRPr="009261D1">
        <w:rPr>
          <w:rFonts w:ascii="Arial" w:hAnsi="Arial" w:cs="Arial"/>
          <w:sz w:val="24"/>
          <w:szCs w:val="24"/>
        </w:rPr>
        <w:t>Se pueden utilizar para financiar el gasto de funcionamiento en los porcentajes establecidos en la ley 617 de 2000, los que no se empleen para estos gastos pueden ser utilizados para financiar cancelación del servicio a la deuda y/o gastos de inversión.</w:t>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 xml:space="preserve">Rentas </w:t>
      </w:r>
      <w:r w:rsidR="00D754D0">
        <w:rPr>
          <w:rFonts w:ascii="Arial" w:hAnsi="Arial" w:cs="Arial"/>
          <w:b/>
          <w:sz w:val="24"/>
          <w:szCs w:val="24"/>
        </w:rPr>
        <w:t>d</w:t>
      </w:r>
      <w:r w:rsidRPr="009261D1">
        <w:rPr>
          <w:rFonts w:ascii="Arial" w:hAnsi="Arial" w:cs="Arial"/>
          <w:b/>
          <w:sz w:val="24"/>
          <w:szCs w:val="24"/>
        </w:rPr>
        <w:t xml:space="preserve">e Destinación Específica: </w:t>
      </w:r>
      <w:r w:rsidRPr="009261D1">
        <w:rPr>
          <w:rFonts w:ascii="Arial" w:hAnsi="Arial" w:cs="Arial"/>
          <w:sz w:val="24"/>
          <w:szCs w:val="24"/>
        </w:rPr>
        <w:t>Son los destinados por la Ley hacia un fin específico, por lo general, inversión, en el caso de los recursos del</w:t>
      </w:r>
      <w:r w:rsidR="00D754D0">
        <w:rPr>
          <w:rFonts w:ascii="Arial" w:hAnsi="Arial" w:cs="Arial"/>
          <w:sz w:val="24"/>
          <w:szCs w:val="24"/>
        </w:rPr>
        <w:t xml:space="preserve"> sistema general de participacio</w:t>
      </w:r>
      <w:r w:rsidRPr="009261D1">
        <w:rPr>
          <w:rFonts w:ascii="Arial" w:hAnsi="Arial" w:cs="Arial"/>
          <w:sz w:val="24"/>
          <w:szCs w:val="24"/>
        </w:rPr>
        <w:t>n</w:t>
      </w:r>
      <w:r w:rsidR="00D754D0">
        <w:rPr>
          <w:rFonts w:ascii="Arial" w:hAnsi="Arial" w:cs="Arial"/>
          <w:sz w:val="24"/>
          <w:szCs w:val="24"/>
        </w:rPr>
        <w:t>es,</w:t>
      </w:r>
      <w:r w:rsidRPr="009261D1">
        <w:rPr>
          <w:rFonts w:ascii="Arial" w:hAnsi="Arial" w:cs="Arial"/>
          <w:sz w:val="24"/>
          <w:szCs w:val="24"/>
        </w:rPr>
        <w:t xml:space="preserve"> han sido orientados exclusivamente a sufragar gastos sociales en educación, salud, agu</w:t>
      </w:r>
      <w:r w:rsidR="00D754D0">
        <w:rPr>
          <w:rFonts w:ascii="Arial" w:hAnsi="Arial" w:cs="Arial"/>
          <w:sz w:val="24"/>
          <w:szCs w:val="24"/>
        </w:rPr>
        <w:t xml:space="preserve">a potable y saneamiento básico, de otra parte están las </w:t>
      </w:r>
      <w:r w:rsidRPr="009261D1">
        <w:rPr>
          <w:rFonts w:ascii="Arial" w:hAnsi="Arial" w:cs="Arial"/>
          <w:sz w:val="24"/>
          <w:szCs w:val="24"/>
        </w:rPr>
        <w:t xml:space="preserve">regalías, </w:t>
      </w:r>
      <w:r w:rsidR="00D754D0">
        <w:rPr>
          <w:rFonts w:ascii="Arial" w:hAnsi="Arial" w:cs="Arial"/>
          <w:sz w:val="24"/>
          <w:szCs w:val="24"/>
        </w:rPr>
        <w:t xml:space="preserve">y las rentas obtenidas de los </w:t>
      </w:r>
      <w:r w:rsidRPr="009261D1">
        <w:rPr>
          <w:rFonts w:ascii="Arial" w:hAnsi="Arial" w:cs="Arial"/>
          <w:sz w:val="24"/>
          <w:szCs w:val="24"/>
        </w:rPr>
        <w:t>monopolios</w:t>
      </w:r>
      <w:r w:rsidR="00D754D0">
        <w:rPr>
          <w:rFonts w:ascii="Arial" w:hAnsi="Arial" w:cs="Arial"/>
          <w:sz w:val="24"/>
          <w:szCs w:val="24"/>
        </w:rPr>
        <w:t xml:space="preserve"> rentísticos.</w:t>
      </w:r>
    </w:p>
    <w:p w:rsidR="009261D1" w:rsidRPr="009261D1" w:rsidRDefault="009261D1" w:rsidP="006E45D8">
      <w:pPr>
        <w:pStyle w:val="Prrafodelista"/>
        <w:spacing w:line="360" w:lineRule="auto"/>
        <w:ind w:left="0"/>
        <w:jc w:val="both"/>
        <w:rPr>
          <w:rFonts w:ascii="Arial" w:hAnsi="Arial" w:cs="Arial"/>
          <w:sz w:val="24"/>
          <w:szCs w:val="24"/>
          <w:u w:val="single"/>
        </w:rPr>
      </w:pPr>
      <w:r w:rsidRPr="009261D1">
        <w:rPr>
          <w:rFonts w:ascii="Arial" w:hAnsi="Arial" w:cs="Arial"/>
          <w:b/>
          <w:sz w:val="24"/>
          <w:szCs w:val="24"/>
        </w:rPr>
        <w:t xml:space="preserve">Ingresos Corrientes No tributarios: </w:t>
      </w:r>
      <w:r w:rsidRPr="009261D1">
        <w:rPr>
          <w:rFonts w:ascii="Arial" w:hAnsi="Arial" w:cs="Arial"/>
          <w:sz w:val="24"/>
          <w:szCs w:val="24"/>
        </w:rPr>
        <w:t>Son aquellos ingresos recibidos de forma regular, que se originan por la prestación de un servicio público, la explotación de bienes o la participación en los beneficios de bienes o servicios, transferencias y demás recursos que ingresen periódicamente al presupuesto territorial, pero no corresponden a i</w:t>
      </w:r>
      <w:r w:rsidR="00D754D0">
        <w:rPr>
          <w:rFonts w:ascii="Arial" w:hAnsi="Arial" w:cs="Arial"/>
          <w:sz w:val="24"/>
          <w:szCs w:val="24"/>
        </w:rPr>
        <w:t>mpuestos, corresponden a ingres</w:t>
      </w:r>
      <w:r w:rsidRPr="009261D1">
        <w:rPr>
          <w:rFonts w:ascii="Arial" w:hAnsi="Arial" w:cs="Arial"/>
          <w:sz w:val="24"/>
          <w:szCs w:val="24"/>
        </w:rPr>
        <w:t>os no tributarios, tales como tasas o tarifas, mul</w:t>
      </w:r>
      <w:r w:rsidR="003A4E60">
        <w:rPr>
          <w:rFonts w:ascii="Arial" w:hAnsi="Arial" w:cs="Arial"/>
          <w:sz w:val="24"/>
          <w:szCs w:val="24"/>
        </w:rPr>
        <w:t>tas, y venta de bienes y servicios.</w:t>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 xml:space="preserve">Sistema General de Participaciones: </w:t>
      </w:r>
      <w:r w:rsidRPr="009261D1">
        <w:rPr>
          <w:rFonts w:ascii="Arial" w:hAnsi="Arial" w:cs="Arial"/>
          <w:color w:val="333333"/>
          <w:sz w:val="24"/>
          <w:szCs w:val="24"/>
          <w:shd w:val="clear" w:color="auto" w:fill="FFFFFF"/>
        </w:rPr>
        <w:t>El Sistema General de Participaciones SGP está constituido por los recursos que la Nación transfiere por mandato de los artículos 356 y 357 de la Constitución Política de Colombia a las entidades territoriales – departamentos, distritos y municipios, para la financiación de los servicios a su cargo, en salud, educación y los definidos en el Artículo 76 de la Ley 715 de 2001.</w:t>
      </w:r>
      <w:r w:rsidRPr="009261D1">
        <w:rPr>
          <w:rFonts w:ascii="Arial" w:hAnsi="Arial" w:cs="Arial"/>
          <w:sz w:val="24"/>
          <w:szCs w:val="24"/>
        </w:rPr>
        <w:t xml:space="preserve"> Se distribuye y ejecuta de acuerdo a los criterios definidos en los Actos legislativos Nº 1 de 2001 y 4 de 2007, la Ley 715 de 2001, Ley 1176 de 2007, y Ley 1122 de 2007.</w:t>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Cofinanciación Nacional Departamental o Municipal:</w:t>
      </w:r>
      <w:r w:rsidRPr="009261D1">
        <w:rPr>
          <w:rFonts w:ascii="Arial" w:hAnsi="Arial" w:cs="Arial"/>
          <w:sz w:val="24"/>
          <w:szCs w:val="24"/>
        </w:rPr>
        <w:t xml:space="preserve"> Son recursos que financian parte de un proyecto, para el cual deberá aportar una contrapartida, según convenios debidamente perfeccionados.</w:t>
      </w:r>
    </w:p>
    <w:p w:rsidR="009261D1" w:rsidRPr="009261D1" w:rsidRDefault="009261D1" w:rsidP="006E45D8">
      <w:pPr>
        <w:pStyle w:val="Prrafodelista"/>
        <w:spacing w:line="360" w:lineRule="auto"/>
        <w:ind w:left="0"/>
        <w:jc w:val="both"/>
        <w:rPr>
          <w:rFonts w:ascii="Arial" w:hAnsi="Arial" w:cs="Arial"/>
          <w:b/>
          <w:sz w:val="24"/>
          <w:szCs w:val="24"/>
        </w:rPr>
      </w:pPr>
      <w:r w:rsidRPr="009261D1">
        <w:rPr>
          <w:rFonts w:ascii="Arial" w:hAnsi="Arial" w:cs="Arial"/>
          <w:b/>
          <w:sz w:val="24"/>
          <w:szCs w:val="24"/>
        </w:rPr>
        <w:lastRenderedPageBreak/>
        <w:t xml:space="preserve">Transferencias para la ejecución de programas Especiales de la Nación: </w:t>
      </w:r>
      <w:r w:rsidRPr="009261D1">
        <w:rPr>
          <w:rFonts w:ascii="Arial" w:hAnsi="Arial" w:cs="Arial"/>
          <w:sz w:val="24"/>
          <w:szCs w:val="24"/>
        </w:rPr>
        <w:t>Surgen de programas de la nación con destinación específica.</w:t>
      </w:r>
      <w:r w:rsidRPr="009261D1">
        <w:rPr>
          <w:rStyle w:val="Refdenotaalpie"/>
          <w:rFonts w:ascii="Arial" w:hAnsi="Arial" w:cs="Arial"/>
          <w:sz w:val="24"/>
          <w:szCs w:val="24"/>
        </w:rPr>
        <w:footnoteReference w:id="17"/>
      </w:r>
    </w:p>
    <w:p w:rsidR="009261D1" w:rsidRPr="009261D1"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 xml:space="preserve">Recursos de Capital: </w:t>
      </w:r>
      <w:r w:rsidRPr="009261D1">
        <w:rPr>
          <w:rFonts w:ascii="Arial" w:hAnsi="Arial" w:cs="Arial"/>
          <w:sz w:val="24"/>
          <w:szCs w:val="24"/>
        </w:rPr>
        <w:t>Constituyen aquellos fondos que entran a las arcas públicas de manera esporádica, no porque hagan parte de un recurso esporádico sino porque su cuantía es muy variable y en consecuencia indeterminada, lo cual difícilmente asegura su continuidad durante amplios períodos presupuestales. Se encuentra conformado por los recursos del balance del tesoro, los recursos del crédito, los rendimientos de operaciones financieras, las donaciones; y por los excedentes financieros de establecimientos públicos, empresas industriales y comerciales del Estado y Empresas de Economía Mixta.</w:t>
      </w:r>
    </w:p>
    <w:p w:rsidR="009261D1" w:rsidRPr="009261D1" w:rsidRDefault="009261D1" w:rsidP="006E45D8">
      <w:pPr>
        <w:pStyle w:val="Prrafodelista"/>
        <w:spacing w:line="360" w:lineRule="auto"/>
        <w:ind w:left="0"/>
        <w:jc w:val="both"/>
        <w:rPr>
          <w:rFonts w:ascii="Arial" w:hAnsi="Arial" w:cs="Arial"/>
          <w:b/>
          <w:sz w:val="24"/>
          <w:szCs w:val="24"/>
        </w:rPr>
      </w:pPr>
      <w:r w:rsidRPr="009261D1">
        <w:rPr>
          <w:rFonts w:ascii="Arial" w:hAnsi="Arial" w:cs="Arial"/>
          <w:b/>
          <w:sz w:val="24"/>
          <w:szCs w:val="24"/>
        </w:rPr>
        <w:t xml:space="preserve">Presupuesto de Gastos: </w:t>
      </w:r>
      <w:r w:rsidRPr="009261D1">
        <w:rPr>
          <w:rFonts w:ascii="Arial" w:hAnsi="Arial" w:cs="Arial"/>
          <w:sz w:val="24"/>
          <w:szCs w:val="24"/>
        </w:rPr>
        <w:t>El presupuesto de gastos se compondrá, por los gastos de funcionamiento, servicio de la deuda pública y gastos de inversión. En la parte correspondiente a inversión se indicarán los programas establecidos en el Pla</w:t>
      </w:r>
      <w:r w:rsidR="003A4E60">
        <w:rPr>
          <w:rFonts w:ascii="Arial" w:hAnsi="Arial" w:cs="Arial"/>
          <w:sz w:val="24"/>
          <w:szCs w:val="24"/>
        </w:rPr>
        <w:t>n Operativo Anual de Inversión del Plan de Inversiones del Plan de Desarrollo.</w:t>
      </w:r>
    </w:p>
    <w:p w:rsidR="009261D1" w:rsidRPr="009261D1" w:rsidRDefault="009261D1" w:rsidP="006E45D8">
      <w:pPr>
        <w:pStyle w:val="Prrafodelista"/>
        <w:spacing w:line="360" w:lineRule="auto"/>
        <w:ind w:left="0"/>
        <w:jc w:val="both"/>
        <w:rPr>
          <w:rFonts w:ascii="Arial" w:hAnsi="Arial" w:cs="Arial"/>
          <w:sz w:val="24"/>
          <w:szCs w:val="24"/>
          <w:u w:val="single"/>
        </w:rPr>
      </w:pPr>
      <w:r w:rsidRPr="009261D1">
        <w:rPr>
          <w:rFonts w:ascii="Arial" w:hAnsi="Arial" w:cs="Arial"/>
          <w:b/>
          <w:sz w:val="24"/>
          <w:szCs w:val="24"/>
        </w:rPr>
        <w:t xml:space="preserve">Gastos de Funcionamiento: </w:t>
      </w:r>
      <w:r w:rsidRPr="009261D1">
        <w:rPr>
          <w:rFonts w:ascii="Arial" w:hAnsi="Arial" w:cs="Arial"/>
          <w:sz w:val="24"/>
          <w:szCs w:val="24"/>
        </w:rPr>
        <w:t>Corresponde a todas las erogaciones necesarias para el normal funcionamiento de los órganos y entidades que forman parte del Presupuesto general del Departamento, para el desempeño de sus competencias, clasificados en gastos de personal, gastos generales, transferencias y lo que las normas vigentes determinen. Para el cálculo de este gasto se tienen en cuenta la suma de los gastos de personal, gastos generales y tra</w:t>
      </w:r>
      <w:r w:rsidR="003A4E60">
        <w:rPr>
          <w:rFonts w:ascii="Arial" w:hAnsi="Arial" w:cs="Arial"/>
          <w:sz w:val="24"/>
          <w:szCs w:val="24"/>
        </w:rPr>
        <w:t>n</w:t>
      </w:r>
      <w:r w:rsidRPr="009261D1">
        <w:rPr>
          <w:rFonts w:ascii="Arial" w:hAnsi="Arial" w:cs="Arial"/>
          <w:sz w:val="24"/>
          <w:szCs w:val="24"/>
        </w:rPr>
        <w:t>sferencias de capital</w:t>
      </w:r>
      <w:r w:rsidRPr="009261D1">
        <w:rPr>
          <w:rStyle w:val="Refdenotaalpie"/>
          <w:rFonts w:ascii="Arial" w:hAnsi="Arial" w:cs="Arial"/>
          <w:sz w:val="24"/>
          <w:szCs w:val="24"/>
        </w:rPr>
        <w:footnoteReference w:id="18"/>
      </w:r>
    </w:p>
    <w:p w:rsidR="003A4E60" w:rsidRDefault="009261D1" w:rsidP="006E45D8">
      <w:pPr>
        <w:pStyle w:val="Prrafodelista"/>
        <w:spacing w:line="360" w:lineRule="auto"/>
        <w:ind w:left="0"/>
        <w:jc w:val="both"/>
        <w:rPr>
          <w:rFonts w:ascii="Arial" w:hAnsi="Arial" w:cs="Arial"/>
          <w:sz w:val="24"/>
          <w:szCs w:val="24"/>
        </w:rPr>
      </w:pPr>
      <w:r w:rsidRPr="009261D1">
        <w:rPr>
          <w:rFonts w:ascii="Arial" w:hAnsi="Arial" w:cs="Arial"/>
          <w:b/>
          <w:sz w:val="24"/>
          <w:szCs w:val="24"/>
        </w:rPr>
        <w:t xml:space="preserve">Servicio a la Deuda: </w:t>
      </w:r>
      <w:r w:rsidRPr="009261D1">
        <w:rPr>
          <w:rFonts w:ascii="Arial" w:hAnsi="Arial" w:cs="Arial"/>
          <w:sz w:val="24"/>
          <w:szCs w:val="24"/>
        </w:rPr>
        <w:t xml:space="preserve">comprende las estimaciones por concepto de amortización de capital, intereses, </w:t>
      </w:r>
      <w:r w:rsidR="003A4E60">
        <w:rPr>
          <w:rFonts w:ascii="Arial" w:hAnsi="Arial" w:cs="Arial"/>
          <w:sz w:val="24"/>
          <w:szCs w:val="24"/>
        </w:rPr>
        <w:t xml:space="preserve">que se contraen en moneda extranjera y/o </w:t>
      </w:r>
      <w:r w:rsidRPr="009261D1">
        <w:rPr>
          <w:rFonts w:ascii="Arial" w:hAnsi="Arial" w:cs="Arial"/>
          <w:sz w:val="24"/>
          <w:szCs w:val="24"/>
        </w:rPr>
        <w:t xml:space="preserve">nacional, </w:t>
      </w:r>
      <w:r w:rsidR="003A4E60">
        <w:rPr>
          <w:rFonts w:ascii="Arial" w:hAnsi="Arial" w:cs="Arial"/>
          <w:sz w:val="24"/>
          <w:szCs w:val="24"/>
        </w:rPr>
        <w:t>representadas en contratos de empréstito.</w:t>
      </w:r>
    </w:p>
    <w:p w:rsidR="009261D1" w:rsidRPr="009261D1" w:rsidRDefault="009261D1" w:rsidP="006E45D8">
      <w:pPr>
        <w:pStyle w:val="Prrafodelista"/>
        <w:spacing w:line="360" w:lineRule="auto"/>
        <w:ind w:left="0"/>
        <w:jc w:val="both"/>
        <w:rPr>
          <w:rFonts w:ascii="Arial" w:eastAsia="Times New Roman" w:hAnsi="Arial" w:cs="Arial"/>
          <w:bCs/>
          <w:sz w:val="24"/>
          <w:szCs w:val="24"/>
          <w:u w:val="single"/>
        </w:rPr>
      </w:pPr>
      <w:r w:rsidRPr="009261D1">
        <w:rPr>
          <w:rFonts w:ascii="Arial" w:hAnsi="Arial" w:cs="Arial"/>
          <w:b/>
          <w:sz w:val="24"/>
          <w:szCs w:val="24"/>
        </w:rPr>
        <w:t xml:space="preserve">Gastos de Inversión: </w:t>
      </w:r>
      <w:r w:rsidRPr="009261D1">
        <w:rPr>
          <w:rFonts w:ascii="Arial" w:hAnsi="Arial" w:cs="Arial"/>
          <w:sz w:val="24"/>
          <w:szCs w:val="24"/>
        </w:rPr>
        <w:t xml:space="preserve">Se define como el conjunto de recursos públicos orientados al mejoramiento del bienestar general y de la satisfacción de las necesidades de la población, mediante la producción del bienes y prestación de servicios a cargo del Departamento, transferencias de recursos o prestación de servicios públicos por </w:t>
      </w:r>
      <w:r w:rsidRPr="009261D1">
        <w:rPr>
          <w:rFonts w:ascii="Arial" w:hAnsi="Arial" w:cs="Arial"/>
          <w:sz w:val="24"/>
          <w:szCs w:val="24"/>
        </w:rPr>
        <w:lastRenderedPageBreak/>
        <w:t>particulares, siempre que se determine claramente un cambio favorable para mejorar la calidad de vida de la comunidad en un tiempo determinado, así como aquellos gastos destinados a crear infraestructura social. Se debe incluir los proyectos de inversión, contenidos en Plan Operativo Anual de Inversiones de acuerdo a la estructura definida en el Plan de Desarrollo.</w:t>
      </w:r>
      <w:r w:rsidRPr="009261D1">
        <w:rPr>
          <w:rStyle w:val="Refdenotaalpie"/>
          <w:rFonts w:ascii="Arial" w:hAnsi="Arial" w:cs="Arial"/>
          <w:sz w:val="24"/>
          <w:szCs w:val="24"/>
        </w:rPr>
        <w:footnoteReference w:id="19"/>
      </w:r>
    </w:p>
    <w:p w:rsidR="009261D1" w:rsidRDefault="009261D1" w:rsidP="006E45D8">
      <w:pPr>
        <w:pStyle w:val="Prrafodelista"/>
        <w:spacing w:line="360" w:lineRule="auto"/>
        <w:ind w:left="0"/>
        <w:jc w:val="both"/>
        <w:rPr>
          <w:rFonts w:ascii="Arial" w:eastAsia="Times New Roman" w:hAnsi="Arial" w:cs="Arial"/>
          <w:bCs/>
          <w:sz w:val="24"/>
          <w:szCs w:val="24"/>
        </w:rPr>
      </w:pPr>
      <w:r w:rsidRPr="009261D1">
        <w:rPr>
          <w:rFonts w:ascii="Arial" w:eastAsia="Times New Roman" w:hAnsi="Arial" w:cs="Arial"/>
          <w:b/>
          <w:bCs/>
          <w:sz w:val="24"/>
          <w:szCs w:val="24"/>
        </w:rPr>
        <w:t>Plan operativo anual de inversiones (POAI):</w:t>
      </w:r>
      <w:r w:rsidRPr="009261D1">
        <w:rPr>
          <w:rFonts w:ascii="Arial" w:eastAsia="Times New Roman" w:hAnsi="Arial" w:cs="Arial"/>
          <w:bCs/>
          <w:sz w:val="24"/>
          <w:szCs w:val="24"/>
        </w:rPr>
        <w:t xml:space="preserve"> Es un instrumento de gestión que permite que se operen los objetivos y metas establecidas en el Plan de Desarrollo Departamental para la vigencia fiscal determinando los programas, subprogramas y proyectos de inversión. Este instrumento debe ser programado con todos los recursos que van a ser destinados a inversión y debe precisar cada una de las fuentes de financiación del plan, en especial, las de destinación específica para la inversión como los asignados por cada componente del Sistema General de Participaciones</w:t>
      </w:r>
      <w:r w:rsidRPr="009261D1">
        <w:rPr>
          <w:rStyle w:val="Refdenotaalpie"/>
          <w:rFonts w:ascii="Arial" w:eastAsia="Times New Roman" w:hAnsi="Arial" w:cs="Arial"/>
          <w:bCs/>
          <w:sz w:val="24"/>
          <w:szCs w:val="24"/>
        </w:rPr>
        <w:footnoteReference w:id="20"/>
      </w:r>
    </w:p>
    <w:p w:rsidR="003A4E60" w:rsidRPr="009261D1" w:rsidRDefault="003A4E60" w:rsidP="006E45D8">
      <w:pPr>
        <w:pStyle w:val="Prrafodelista"/>
        <w:spacing w:line="360" w:lineRule="auto"/>
        <w:ind w:left="0"/>
        <w:jc w:val="both"/>
        <w:rPr>
          <w:rFonts w:ascii="Arial" w:hAnsi="Arial" w:cs="Arial"/>
          <w:sz w:val="24"/>
          <w:szCs w:val="24"/>
        </w:rPr>
      </w:pPr>
    </w:p>
    <w:p w:rsidR="004D1BD5" w:rsidRPr="001A2B9B" w:rsidRDefault="00D5276B" w:rsidP="00C3529C">
      <w:pPr>
        <w:pStyle w:val="Ttulo2"/>
        <w:numPr>
          <w:ilvl w:val="0"/>
          <w:numId w:val="0"/>
        </w:numPr>
        <w:jc w:val="both"/>
      </w:pPr>
      <w:bookmarkStart w:id="8" w:name="_Toc495334892"/>
      <w:r>
        <w:t xml:space="preserve">2.2 </w:t>
      </w:r>
      <w:r w:rsidR="002477C2" w:rsidRPr="00D5276B">
        <w:t xml:space="preserve">DEPARTAMENTO DEL QUINDÍO </w:t>
      </w:r>
      <w:r w:rsidR="002477C2" w:rsidRPr="001A2B9B">
        <w:t>(SECTOR CENTRAL) CUATRIENIO 2013-2016</w:t>
      </w:r>
      <w:bookmarkEnd w:id="8"/>
    </w:p>
    <w:p w:rsidR="003A4E60" w:rsidRDefault="003A4E60" w:rsidP="00D5276B">
      <w:pPr>
        <w:pStyle w:val="Ttulo3"/>
        <w:rPr>
          <w:lang w:val="es-ES"/>
        </w:rPr>
      </w:pPr>
    </w:p>
    <w:p w:rsidR="00053CE0" w:rsidRDefault="00D5276B" w:rsidP="00D5276B">
      <w:pPr>
        <w:pStyle w:val="Ttulo3"/>
        <w:rPr>
          <w:lang w:val="es-ES"/>
        </w:rPr>
      </w:pPr>
      <w:bookmarkStart w:id="9" w:name="_Toc495334893"/>
      <w:r>
        <w:rPr>
          <w:lang w:val="es-ES"/>
        </w:rPr>
        <w:t xml:space="preserve">2.2.1 </w:t>
      </w:r>
      <w:r w:rsidR="005F7E0B" w:rsidRPr="004423DB">
        <w:rPr>
          <w:lang w:val="es-ES"/>
        </w:rPr>
        <w:t>Ingresos</w:t>
      </w:r>
      <w:bookmarkEnd w:id="9"/>
    </w:p>
    <w:p w:rsidR="00C24B03" w:rsidRPr="002A2EE2" w:rsidRDefault="00C24B03" w:rsidP="008A5244">
      <w:pPr>
        <w:spacing w:before="100" w:beforeAutospacing="1" w:after="100" w:afterAutospacing="1" w:line="360" w:lineRule="auto"/>
        <w:jc w:val="both"/>
        <w:rPr>
          <w:rFonts w:ascii="Arial" w:hAnsi="Arial" w:cs="Arial"/>
          <w:color w:val="000000"/>
          <w:sz w:val="24"/>
          <w:lang w:val="es-ES" w:eastAsia="es-ES"/>
        </w:rPr>
      </w:pPr>
      <w:r>
        <w:rPr>
          <w:rFonts w:ascii="Arial" w:hAnsi="Arial" w:cs="Arial"/>
          <w:color w:val="000000"/>
          <w:sz w:val="24"/>
          <w:lang w:val="es-ES" w:eastAsia="es-ES"/>
        </w:rPr>
        <w:t>Según el I</w:t>
      </w:r>
      <w:r w:rsidRPr="002A2EE2">
        <w:rPr>
          <w:rFonts w:ascii="Arial" w:hAnsi="Arial" w:cs="Arial"/>
          <w:color w:val="000000"/>
          <w:sz w:val="24"/>
          <w:lang w:val="es-ES" w:eastAsia="es-ES"/>
        </w:rPr>
        <w:t xml:space="preserve">nforme de Viabilidad Fiscal de </w:t>
      </w:r>
      <w:r>
        <w:rPr>
          <w:rFonts w:ascii="Arial" w:hAnsi="Arial" w:cs="Arial"/>
          <w:color w:val="000000"/>
          <w:sz w:val="24"/>
          <w:lang w:val="es-ES" w:eastAsia="es-ES"/>
        </w:rPr>
        <w:t xml:space="preserve">los Departamentos para la vigencia 2016 elaborado por </w:t>
      </w:r>
      <w:r w:rsidRPr="002A2EE2">
        <w:rPr>
          <w:rFonts w:ascii="Arial" w:hAnsi="Arial" w:cs="Arial"/>
          <w:color w:val="000000"/>
          <w:sz w:val="24"/>
          <w:lang w:val="es-ES" w:eastAsia="es-ES"/>
        </w:rPr>
        <w:t>la Dirección de Apoyo Fisc</w:t>
      </w:r>
      <w:r>
        <w:rPr>
          <w:rFonts w:ascii="Arial" w:hAnsi="Arial" w:cs="Arial"/>
          <w:color w:val="000000"/>
          <w:sz w:val="24"/>
          <w:lang w:val="es-ES" w:eastAsia="es-ES"/>
        </w:rPr>
        <w:t xml:space="preserve">al del Ministerio de Hacienda establece que los menores ingresos de la vigencia 2016 respecto al 2015 fue consecuencia principalmente del </w:t>
      </w:r>
      <w:r w:rsidRPr="002A2EE2">
        <w:rPr>
          <w:rFonts w:ascii="Arial" w:hAnsi="Arial" w:cs="Arial"/>
          <w:color w:val="000000"/>
          <w:sz w:val="24"/>
          <w:lang w:val="es-ES" w:eastAsia="es-ES"/>
        </w:rPr>
        <w:t>crecimiento coyuntural de los ingresos de capital, producto del desembolso de los Recursos</w:t>
      </w:r>
      <w:r>
        <w:rPr>
          <w:rFonts w:ascii="Arial" w:hAnsi="Arial" w:cs="Arial"/>
          <w:color w:val="000000"/>
          <w:sz w:val="24"/>
          <w:lang w:val="es-ES" w:eastAsia="es-ES"/>
        </w:rPr>
        <w:t xml:space="preserve"> del Crédito, Cofinanciación y </w:t>
      </w:r>
      <w:r w:rsidR="003A4E60">
        <w:rPr>
          <w:rFonts w:ascii="Arial" w:hAnsi="Arial" w:cs="Arial"/>
          <w:color w:val="000000"/>
          <w:sz w:val="24"/>
          <w:lang w:val="es-ES" w:eastAsia="es-ES"/>
        </w:rPr>
        <w:t>D</w:t>
      </w:r>
      <w:r w:rsidR="003A4E60" w:rsidRPr="002A2EE2">
        <w:rPr>
          <w:rFonts w:ascii="Arial" w:hAnsi="Arial" w:cs="Arial"/>
          <w:color w:val="000000"/>
          <w:sz w:val="24"/>
          <w:lang w:val="es-ES" w:eastAsia="es-ES"/>
        </w:rPr>
        <w:t xml:space="preserve">esahorro </w:t>
      </w:r>
      <w:r w:rsidRPr="002A2EE2">
        <w:rPr>
          <w:rFonts w:ascii="Arial" w:hAnsi="Arial" w:cs="Arial"/>
          <w:color w:val="000000"/>
          <w:sz w:val="24"/>
          <w:lang w:val="es-ES" w:eastAsia="es-ES"/>
        </w:rPr>
        <w:t xml:space="preserve">del Fondo de Pensiones Territoriales </w:t>
      </w:r>
      <w:r w:rsidRPr="003A4E60">
        <w:rPr>
          <w:rFonts w:ascii="Arial" w:hAnsi="Arial" w:cs="Arial"/>
          <w:color w:val="000000"/>
          <w:sz w:val="24"/>
          <w:lang w:val="es-ES" w:eastAsia="es-ES"/>
        </w:rPr>
        <w:t>FONPET</w:t>
      </w:r>
      <w:r w:rsidR="003A4E60">
        <w:rPr>
          <w:rFonts w:ascii="Arial" w:hAnsi="Arial" w:cs="Arial"/>
          <w:color w:val="000000"/>
          <w:sz w:val="24"/>
          <w:lang w:val="es-ES" w:eastAsia="es-ES"/>
        </w:rPr>
        <w:t>, así:</w:t>
      </w:r>
    </w:p>
    <w:p w:rsidR="00C24B03" w:rsidRPr="003A4E60" w:rsidRDefault="003A4E60" w:rsidP="003A4E60">
      <w:pPr>
        <w:pStyle w:val="Prrafodelista"/>
        <w:numPr>
          <w:ilvl w:val="0"/>
          <w:numId w:val="23"/>
        </w:numPr>
        <w:spacing w:before="100" w:beforeAutospacing="1" w:after="100" w:afterAutospacing="1" w:line="360" w:lineRule="auto"/>
        <w:jc w:val="both"/>
        <w:rPr>
          <w:rFonts w:ascii="Arial" w:hAnsi="Arial" w:cs="Arial"/>
          <w:color w:val="000000"/>
          <w:sz w:val="24"/>
          <w:lang w:eastAsia="es-ES"/>
        </w:rPr>
      </w:pPr>
      <w:r w:rsidRPr="003A4E60">
        <w:rPr>
          <w:rFonts w:ascii="Arial" w:hAnsi="Arial" w:cs="Arial"/>
          <w:b/>
          <w:color w:val="000000"/>
          <w:sz w:val="24"/>
          <w:lang w:eastAsia="es-ES"/>
        </w:rPr>
        <w:lastRenderedPageBreak/>
        <w:t>Ingresos Corrientes</w:t>
      </w:r>
      <w:r w:rsidR="00CE509B" w:rsidRPr="003A4E60">
        <w:rPr>
          <w:rFonts w:ascii="Arial" w:hAnsi="Arial" w:cs="Arial"/>
          <w:color w:val="000000"/>
          <w:sz w:val="24"/>
          <w:lang w:eastAsia="es-ES"/>
        </w:rPr>
        <w:t>: Representan</w:t>
      </w:r>
      <w:r w:rsidR="00C24B03" w:rsidRPr="003A4E60">
        <w:rPr>
          <w:rFonts w:ascii="Arial" w:hAnsi="Arial" w:cs="Arial"/>
          <w:color w:val="000000"/>
          <w:sz w:val="24"/>
          <w:lang w:eastAsia="es-ES"/>
        </w:rPr>
        <w:t xml:space="preserve"> el 36% del total de los Ingresos. El comportamiento negativo 2016 vs 2015 es consecuencia del ingreso de recursos de Desahorro FONPET y los recursos de Cofinanciación.</w:t>
      </w:r>
    </w:p>
    <w:p w:rsidR="00C24B03" w:rsidRPr="003A4E60" w:rsidRDefault="003A4E60" w:rsidP="003A4E60">
      <w:pPr>
        <w:pStyle w:val="Prrafodelista"/>
        <w:numPr>
          <w:ilvl w:val="0"/>
          <w:numId w:val="23"/>
        </w:numPr>
        <w:spacing w:before="100" w:beforeAutospacing="1" w:after="100" w:afterAutospacing="1" w:line="360" w:lineRule="auto"/>
        <w:jc w:val="both"/>
        <w:rPr>
          <w:rFonts w:ascii="Arial" w:hAnsi="Arial" w:cs="Arial"/>
          <w:color w:val="000000"/>
          <w:sz w:val="24"/>
          <w:lang w:eastAsia="es-ES"/>
        </w:rPr>
      </w:pPr>
      <w:r w:rsidRPr="003A4E60">
        <w:rPr>
          <w:rFonts w:ascii="Arial" w:hAnsi="Arial" w:cs="Arial"/>
          <w:b/>
          <w:color w:val="000000"/>
          <w:sz w:val="24"/>
          <w:lang w:eastAsia="es-ES"/>
        </w:rPr>
        <w:t>Fondos Especiales</w:t>
      </w:r>
      <w:r w:rsidR="00C24B03" w:rsidRPr="003A4E60">
        <w:rPr>
          <w:rFonts w:ascii="Arial" w:hAnsi="Arial" w:cs="Arial"/>
          <w:color w:val="000000"/>
          <w:sz w:val="24"/>
          <w:lang w:eastAsia="es-ES"/>
        </w:rPr>
        <w:t xml:space="preserve">: Presentaron un crecimiento </w:t>
      </w:r>
      <w:r w:rsidR="001362D4" w:rsidRPr="003A4E60">
        <w:rPr>
          <w:rFonts w:ascii="Arial" w:hAnsi="Arial" w:cs="Arial"/>
          <w:color w:val="000000"/>
          <w:sz w:val="24"/>
          <w:lang w:eastAsia="es-ES"/>
        </w:rPr>
        <w:t>del 4</w:t>
      </w:r>
      <w:r w:rsidR="00C24B03" w:rsidRPr="003A4E60">
        <w:rPr>
          <w:rFonts w:ascii="Arial" w:hAnsi="Arial" w:cs="Arial"/>
          <w:color w:val="000000"/>
          <w:sz w:val="24"/>
          <w:lang w:eastAsia="es-ES"/>
        </w:rPr>
        <w:t>% en 2016 frente a la vigencia 2015 y representan un 59% del total de los ingresos en 2016.</w:t>
      </w:r>
    </w:p>
    <w:p w:rsidR="00C24B03" w:rsidRPr="003A4E60" w:rsidRDefault="003A4E60" w:rsidP="003A4E60">
      <w:pPr>
        <w:pStyle w:val="Prrafodelista"/>
        <w:numPr>
          <w:ilvl w:val="0"/>
          <w:numId w:val="23"/>
        </w:numPr>
        <w:spacing w:before="100" w:beforeAutospacing="1" w:after="100" w:afterAutospacing="1" w:line="360" w:lineRule="auto"/>
        <w:jc w:val="both"/>
        <w:rPr>
          <w:rFonts w:ascii="Arial" w:hAnsi="Arial" w:cs="Arial"/>
          <w:color w:val="000000"/>
          <w:sz w:val="24"/>
          <w:lang w:eastAsia="es-ES"/>
        </w:rPr>
      </w:pPr>
      <w:r w:rsidRPr="003A4E60">
        <w:rPr>
          <w:rFonts w:ascii="Arial" w:hAnsi="Arial" w:cs="Arial"/>
          <w:b/>
          <w:color w:val="000000"/>
          <w:sz w:val="24"/>
          <w:lang w:eastAsia="es-ES"/>
        </w:rPr>
        <w:t>Recursos de Capital</w:t>
      </w:r>
      <w:r w:rsidRPr="003A4E60">
        <w:rPr>
          <w:rFonts w:ascii="Arial" w:hAnsi="Arial" w:cs="Arial"/>
          <w:color w:val="000000"/>
          <w:sz w:val="24"/>
          <w:lang w:eastAsia="es-ES"/>
        </w:rPr>
        <w:t xml:space="preserve"> </w:t>
      </w:r>
      <w:r w:rsidR="00C24B03" w:rsidRPr="003A4E60">
        <w:rPr>
          <w:rFonts w:ascii="Arial" w:hAnsi="Arial" w:cs="Arial"/>
          <w:color w:val="000000"/>
          <w:sz w:val="24"/>
          <w:lang w:eastAsia="es-ES"/>
        </w:rPr>
        <w:t xml:space="preserve">Con un valor para el 2016 de $15.512 millones participa con el 5% del total de ingresos, en esta vigencia se puede ver una disminución del </w:t>
      </w:r>
      <w:r w:rsidR="001362D4" w:rsidRPr="003A4E60">
        <w:rPr>
          <w:rFonts w:ascii="Arial" w:hAnsi="Arial" w:cs="Arial"/>
          <w:color w:val="000000"/>
          <w:sz w:val="24"/>
          <w:lang w:eastAsia="es-ES"/>
        </w:rPr>
        <w:t>310</w:t>
      </w:r>
      <w:r w:rsidR="00C24B03" w:rsidRPr="003A4E60">
        <w:rPr>
          <w:rFonts w:ascii="Arial" w:hAnsi="Arial" w:cs="Arial"/>
          <w:color w:val="000000"/>
          <w:sz w:val="24"/>
          <w:lang w:eastAsia="es-ES"/>
        </w:rPr>
        <w:t>% respecto al 201</w:t>
      </w:r>
      <w:r w:rsidR="001362D4" w:rsidRPr="003A4E60">
        <w:rPr>
          <w:rFonts w:ascii="Arial" w:hAnsi="Arial" w:cs="Arial"/>
          <w:color w:val="000000"/>
          <w:sz w:val="24"/>
          <w:lang w:eastAsia="es-ES"/>
        </w:rPr>
        <w:t>5</w:t>
      </w:r>
      <w:r w:rsidR="00C24B03" w:rsidRPr="003A4E60">
        <w:rPr>
          <w:rFonts w:ascii="Arial" w:hAnsi="Arial" w:cs="Arial"/>
          <w:color w:val="000000"/>
          <w:sz w:val="24"/>
          <w:lang w:eastAsia="es-ES"/>
        </w:rPr>
        <w:t xml:space="preserve"> debido al desembolso de recursos del crédito por $24.000 millones y mayor va</w:t>
      </w:r>
      <w:r w:rsidR="00BB1632">
        <w:rPr>
          <w:rFonts w:ascii="Arial" w:hAnsi="Arial" w:cs="Arial"/>
          <w:color w:val="000000"/>
          <w:sz w:val="24"/>
          <w:lang w:eastAsia="es-ES"/>
        </w:rPr>
        <w:t>lor en los recursos del balance de la vigencia 2015.</w:t>
      </w:r>
    </w:p>
    <w:p w:rsidR="00287742" w:rsidRDefault="0010324F" w:rsidP="0010324F">
      <w:pPr>
        <w:pStyle w:val="Ttulo4"/>
        <w:rPr>
          <w:lang w:val="es-ES" w:eastAsia="es-ES"/>
        </w:rPr>
      </w:pPr>
      <w:r>
        <w:rPr>
          <w:lang w:val="es-ES" w:eastAsia="es-ES"/>
        </w:rPr>
        <w:t xml:space="preserve">2.2.1.1 </w:t>
      </w:r>
      <w:r w:rsidR="00F433A0" w:rsidRPr="00287742">
        <w:rPr>
          <w:lang w:val="es-ES" w:eastAsia="es-ES"/>
        </w:rPr>
        <w:t>Ingresos Corrientes</w:t>
      </w:r>
    </w:p>
    <w:p w:rsidR="00522E38" w:rsidRDefault="00522E38" w:rsidP="006E45D8">
      <w:pPr>
        <w:spacing w:before="100" w:beforeAutospacing="1" w:after="100" w:afterAutospacing="1" w:line="360" w:lineRule="auto"/>
        <w:jc w:val="both"/>
        <w:rPr>
          <w:rFonts w:ascii="Arial" w:hAnsi="Arial" w:cs="Arial"/>
          <w:color w:val="000000"/>
          <w:sz w:val="24"/>
          <w:lang w:val="es-ES" w:eastAsia="es-ES"/>
        </w:rPr>
      </w:pPr>
      <w:r>
        <w:rPr>
          <w:rFonts w:ascii="Arial" w:hAnsi="Arial" w:cs="Arial"/>
          <w:color w:val="000000"/>
          <w:sz w:val="24"/>
          <w:lang w:val="es-ES" w:eastAsia="es-ES"/>
        </w:rPr>
        <w:t>Los ingresos corrientes son los recursos que recauda el Departamento en forma regular y permanente por autorización de la ley, por concepto de impuestos, tasas, multas y contribuciones, y también los que corresponden a las transferencias que perciben en razón a las funciones y competencias de la entidad territorial.</w:t>
      </w:r>
    </w:p>
    <w:p w:rsidR="007C7A1C" w:rsidRDefault="00165DF0" w:rsidP="006E45D8">
      <w:pPr>
        <w:spacing w:before="100" w:beforeAutospacing="1" w:after="100" w:afterAutospacing="1" w:line="360" w:lineRule="auto"/>
        <w:jc w:val="both"/>
        <w:rPr>
          <w:rFonts w:ascii="Arial" w:hAnsi="Arial" w:cs="Arial"/>
          <w:color w:val="000000"/>
          <w:sz w:val="24"/>
          <w:lang w:val="es-ES" w:eastAsia="es-ES"/>
        </w:rPr>
      </w:pPr>
      <w:r w:rsidRPr="00165DF0">
        <w:rPr>
          <w:rFonts w:ascii="Arial" w:hAnsi="Arial" w:cs="Arial"/>
          <w:color w:val="000000"/>
          <w:sz w:val="24"/>
          <w:lang w:val="es-ES" w:eastAsia="es-ES"/>
        </w:rPr>
        <w:t>Los ingresos corrientes están compuestos por los ingresos</w:t>
      </w:r>
      <w:r>
        <w:rPr>
          <w:rFonts w:ascii="Arial" w:hAnsi="Arial" w:cs="Arial"/>
          <w:color w:val="000000"/>
          <w:sz w:val="24"/>
          <w:lang w:val="es-ES" w:eastAsia="es-ES"/>
        </w:rPr>
        <w:t xml:space="preserve"> Tr</w:t>
      </w:r>
      <w:r w:rsidR="007C7A1C">
        <w:rPr>
          <w:rFonts w:ascii="Arial" w:hAnsi="Arial" w:cs="Arial"/>
          <w:color w:val="000000"/>
          <w:sz w:val="24"/>
          <w:lang w:val="es-ES" w:eastAsia="es-ES"/>
        </w:rPr>
        <w:t>ibutarios y los No Tributarios.</w:t>
      </w:r>
    </w:p>
    <w:p w:rsidR="00CC4D21" w:rsidRDefault="007C7A1C" w:rsidP="006E45D8">
      <w:pPr>
        <w:spacing w:before="100" w:beforeAutospacing="1" w:after="100" w:afterAutospacing="1" w:line="360" w:lineRule="auto"/>
        <w:jc w:val="both"/>
        <w:rPr>
          <w:rFonts w:ascii="Arial" w:hAnsi="Arial" w:cs="Arial"/>
          <w:color w:val="000000"/>
          <w:sz w:val="24"/>
          <w:lang w:val="es-ES" w:eastAsia="es-ES"/>
        </w:rPr>
      </w:pPr>
      <w:r>
        <w:rPr>
          <w:rFonts w:ascii="Arial" w:hAnsi="Arial" w:cs="Arial"/>
          <w:color w:val="000000"/>
          <w:sz w:val="24"/>
          <w:lang w:val="es-ES" w:eastAsia="es-ES"/>
        </w:rPr>
        <w:t>En la siguiente Tabla mostramos el comportamiento de los ingresos corrientes para las vigencias 2013 al 2016:</w:t>
      </w:r>
    </w:p>
    <w:p w:rsidR="00E62A56" w:rsidRDefault="006F7DC8" w:rsidP="006E45D8">
      <w:pPr>
        <w:spacing w:before="100" w:beforeAutospacing="1" w:after="100" w:afterAutospacing="1" w:line="360" w:lineRule="auto"/>
        <w:jc w:val="both"/>
        <w:rPr>
          <w:rFonts w:ascii="Arial" w:hAnsi="Arial" w:cs="Arial"/>
          <w:color w:val="000000"/>
          <w:sz w:val="24"/>
          <w:lang w:val="es-ES" w:eastAsia="es-ES"/>
        </w:rPr>
      </w:pPr>
      <w:r w:rsidRPr="006F7DC8">
        <w:rPr>
          <w:noProof/>
          <w:lang w:eastAsia="es-CO"/>
        </w:rPr>
        <w:drawing>
          <wp:inline distT="0" distB="0" distL="0" distR="0" wp14:anchorId="38EA3E62" wp14:editId="0D681537">
            <wp:extent cx="5607170" cy="14923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1494028"/>
                    </a:xfrm>
                    <a:prstGeom prst="rect">
                      <a:avLst/>
                    </a:prstGeom>
                    <a:noFill/>
                    <a:ln>
                      <a:noFill/>
                    </a:ln>
                  </pic:spPr>
                </pic:pic>
              </a:graphicData>
            </a:graphic>
          </wp:inline>
        </w:drawing>
      </w:r>
    </w:p>
    <w:p w:rsidR="007F6DA5" w:rsidRDefault="007C7A1C" w:rsidP="006E45D8">
      <w:pPr>
        <w:spacing w:before="100" w:beforeAutospacing="1" w:after="100" w:afterAutospacing="1" w:line="360" w:lineRule="auto"/>
        <w:jc w:val="both"/>
        <w:rPr>
          <w:rFonts w:ascii="Arial" w:hAnsi="Arial" w:cs="Arial"/>
          <w:sz w:val="24"/>
          <w:szCs w:val="24"/>
          <w:lang w:val="es-ES"/>
        </w:rPr>
      </w:pPr>
      <w:r w:rsidRPr="00EE35B7">
        <w:rPr>
          <w:rFonts w:ascii="Arial" w:hAnsi="Arial" w:cs="Arial"/>
          <w:sz w:val="24"/>
          <w:szCs w:val="24"/>
          <w:lang w:val="es-ES"/>
        </w:rPr>
        <w:t>En la vigencia</w:t>
      </w:r>
      <w:r w:rsidR="00F55BB6" w:rsidRPr="00EE35B7">
        <w:rPr>
          <w:rFonts w:ascii="Arial" w:hAnsi="Arial" w:cs="Arial"/>
          <w:sz w:val="24"/>
          <w:szCs w:val="24"/>
          <w:lang w:val="es-ES"/>
        </w:rPr>
        <w:t xml:space="preserve"> 2013 los ingresos corrientes participaron </w:t>
      </w:r>
      <w:r w:rsidRPr="00EE35B7">
        <w:rPr>
          <w:rFonts w:ascii="Arial" w:hAnsi="Arial" w:cs="Arial"/>
          <w:sz w:val="24"/>
          <w:szCs w:val="24"/>
          <w:lang w:val="es-ES"/>
        </w:rPr>
        <w:t>con</w:t>
      </w:r>
      <w:r w:rsidR="00F55BB6" w:rsidRPr="00EE35B7">
        <w:rPr>
          <w:rFonts w:ascii="Arial" w:hAnsi="Arial" w:cs="Arial"/>
          <w:sz w:val="24"/>
          <w:szCs w:val="24"/>
          <w:lang w:val="es-ES"/>
        </w:rPr>
        <w:t xml:space="preserve"> un 32% </w:t>
      </w:r>
      <w:r w:rsidRPr="00EE35B7">
        <w:rPr>
          <w:rFonts w:ascii="Arial" w:hAnsi="Arial" w:cs="Arial"/>
          <w:sz w:val="24"/>
          <w:szCs w:val="24"/>
          <w:lang w:val="es-ES"/>
        </w:rPr>
        <w:t>dentro de los ingresos totales, en los que</w:t>
      </w:r>
      <w:r w:rsidR="00F55BB6" w:rsidRPr="00EE35B7">
        <w:rPr>
          <w:rFonts w:ascii="Arial" w:hAnsi="Arial" w:cs="Arial"/>
          <w:sz w:val="24"/>
          <w:szCs w:val="24"/>
          <w:lang w:val="es-ES"/>
        </w:rPr>
        <w:t xml:space="preserve"> los ingresos tributarios participaron en un 59% y los </w:t>
      </w:r>
      <w:r w:rsidR="00F55BB6" w:rsidRPr="00EE35B7">
        <w:rPr>
          <w:rFonts w:ascii="Arial" w:hAnsi="Arial" w:cs="Arial"/>
          <w:sz w:val="24"/>
          <w:szCs w:val="24"/>
          <w:lang w:val="es-ES"/>
        </w:rPr>
        <w:lastRenderedPageBreak/>
        <w:t>in</w:t>
      </w:r>
      <w:r w:rsidRPr="00EE35B7">
        <w:rPr>
          <w:rFonts w:ascii="Arial" w:hAnsi="Arial" w:cs="Arial"/>
          <w:sz w:val="24"/>
          <w:szCs w:val="24"/>
          <w:lang w:val="es-ES"/>
        </w:rPr>
        <w:t xml:space="preserve">gresos no tributarios en un 41%; durante el </w:t>
      </w:r>
      <w:r w:rsidR="00F55BB6" w:rsidRPr="00EE35B7">
        <w:rPr>
          <w:rFonts w:ascii="Arial" w:hAnsi="Arial" w:cs="Arial"/>
          <w:sz w:val="24"/>
          <w:szCs w:val="24"/>
          <w:lang w:val="es-ES"/>
        </w:rPr>
        <w:t>2014 los ingresos corrientes participaron en u</w:t>
      </w:r>
      <w:r w:rsidRPr="00EE35B7">
        <w:rPr>
          <w:rFonts w:ascii="Arial" w:hAnsi="Arial" w:cs="Arial"/>
          <w:sz w:val="24"/>
          <w:szCs w:val="24"/>
          <w:lang w:val="es-ES"/>
        </w:rPr>
        <w:t>n 34% de los ingresos totales</w:t>
      </w:r>
      <w:r w:rsidR="007F6DA5" w:rsidRPr="00EE35B7">
        <w:rPr>
          <w:rFonts w:ascii="Arial" w:hAnsi="Arial" w:cs="Arial"/>
          <w:sz w:val="24"/>
          <w:szCs w:val="24"/>
          <w:lang w:val="es-ES"/>
        </w:rPr>
        <w:t xml:space="preserve"> de los cuales a </w:t>
      </w:r>
      <w:r w:rsidR="00F55BB6" w:rsidRPr="00EE35B7">
        <w:rPr>
          <w:rFonts w:ascii="Arial" w:hAnsi="Arial" w:cs="Arial"/>
          <w:sz w:val="24"/>
          <w:szCs w:val="24"/>
          <w:lang w:val="es-ES"/>
        </w:rPr>
        <w:t xml:space="preserve">los tributarios </w:t>
      </w:r>
      <w:r w:rsidR="007F6DA5" w:rsidRPr="00EE35B7">
        <w:rPr>
          <w:rFonts w:ascii="Arial" w:hAnsi="Arial" w:cs="Arial"/>
          <w:sz w:val="24"/>
          <w:szCs w:val="24"/>
          <w:lang w:val="es-ES"/>
        </w:rPr>
        <w:t>les corresponde un 74% y a los</w:t>
      </w:r>
      <w:r w:rsidR="00F55BB6" w:rsidRPr="00EE35B7">
        <w:rPr>
          <w:rFonts w:ascii="Arial" w:hAnsi="Arial" w:cs="Arial"/>
          <w:sz w:val="24"/>
          <w:szCs w:val="24"/>
          <w:lang w:val="es-ES"/>
        </w:rPr>
        <w:t xml:space="preserve"> no tributarios</w:t>
      </w:r>
      <w:r w:rsidR="007F6DA5" w:rsidRPr="00EE35B7">
        <w:rPr>
          <w:rFonts w:ascii="Arial" w:hAnsi="Arial" w:cs="Arial"/>
          <w:sz w:val="24"/>
          <w:szCs w:val="24"/>
          <w:lang w:val="es-ES"/>
        </w:rPr>
        <w:t xml:space="preserve"> un</w:t>
      </w:r>
      <w:r w:rsidR="00F55BB6" w:rsidRPr="00EE35B7">
        <w:rPr>
          <w:rFonts w:ascii="Arial" w:hAnsi="Arial" w:cs="Arial"/>
          <w:sz w:val="24"/>
          <w:szCs w:val="24"/>
          <w:lang w:val="es-ES"/>
        </w:rPr>
        <w:t xml:space="preserve"> 26%</w:t>
      </w:r>
      <w:r w:rsidR="007F6DA5" w:rsidRPr="00EE35B7">
        <w:rPr>
          <w:rFonts w:ascii="Arial" w:hAnsi="Arial" w:cs="Arial"/>
          <w:sz w:val="24"/>
          <w:szCs w:val="24"/>
          <w:lang w:val="es-ES"/>
        </w:rPr>
        <w:t xml:space="preserve">. Por su parte los ingresos corrientes del </w:t>
      </w:r>
      <w:r w:rsidR="00F55BB6" w:rsidRPr="00EE35B7">
        <w:rPr>
          <w:rFonts w:ascii="Arial" w:hAnsi="Arial" w:cs="Arial"/>
          <w:sz w:val="24"/>
          <w:szCs w:val="24"/>
          <w:lang w:val="es-ES"/>
        </w:rPr>
        <w:t>2015</w:t>
      </w:r>
      <w:r w:rsidR="007F6DA5" w:rsidRPr="00EE35B7">
        <w:rPr>
          <w:rFonts w:ascii="Arial" w:hAnsi="Arial" w:cs="Arial"/>
          <w:sz w:val="24"/>
          <w:szCs w:val="24"/>
          <w:lang w:val="es-ES"/>
        </w:rPr>
        <w:t xml:space="preserve"> participan con</w:t>
      </w:r>
      <w:r w:rsidR="00F55BB6" w:rsidRPr="00EE35B7">
        <w:rPr>
          <w:rFonts w:ascii="Arial" w:hAnsi="Arial" w:cs="Arial"/>
          <w:sz w:val="24"/>
          <w:szCs w:val="24"/>
          <w:lang w:val="es-ES"/>
        </w:rPr>
        <w:t xml:space="preserve"> un 3</w:t>
      </w:r>
      <w:r w:rsidR="007F6DA5" w:rsidRPr="00EE35B7">
        <w:rPr>
          <w:rFonts w:ascii="Arial" w:hAnsi="Arial" w:cs="Arial"/>
          <w:sz w:val="24"/>
          <w:szCs w:val="24"/>
          <w:lang w:val="es-ES"/>
        </w:rPr>
        <w:t xml:space="preserve">5% </w:t>
      </w:r>
      <w:r w:rsidR="00F55BB6" w:rsidRPr="00EE35B7">
        <w:rPr>
          <w:rFonts w:ascii="Arial" w:hAnsi="Arial" w:cs="Arial"/>
          <w:sz w:val="24"/>
          <w:szCs w:val="24"/>
          <w:lang w:val="es-ES"/>
        </w:rPr>
        <w:t xml:space="preserve">de </w:t>
      </w:r>
      <w:r w:rsidR="00144ECC" w:rsidRPr="00EE35B7">
        <w:rPr>
          <w:rFonts w:ascii="Arial" w:hAnsi="Arial" w:cs="Arial"/>
          <w:sz w:val="24"/>
          <w:szCs w:val="24"/>
          <w:lang w:val="es-ES"/>
        </w:rPr>
        <w:t>los ingresos totales</w:t>
      </w:r>
      <w:r w:rsidR="007F6DA5" w:rsidRPr="00EE35B7">
        <w:rPr>
          <w:rFonts w:ascii="Arial" w:hAnsi="Arial" w:cs="Arial"/>
          <w:sz w:val="24"/>
          <w:szCs w:val="24"/>
          <w:lang w:val="es-ES"/>
        </w:rPr>
        <w:t>, donde los</w:t>
      </w:r>
      <w:r w:rsidR="00144ECC" w:rsidRPr="00EE35B7">
        <w:rPr>
          <w:rFonts w:ascii="Arial" w:hAnsi="Arial" w:cs="Arial"/>
          <w:sz w:val="24"/>
          <w:szCs w:val="24"/>
          <w:lang w:val="es-ES"/>
        </w:rPr>
        <w:t xml:space="preserve"> tributarios</w:t>
      </w:r>
      <w:r w:rsidR="007F6DA5" w:rsidRPr="00EE35B7">
        <w:rPr>
          <w:rFonts w:ascii="Arial" w:hAnsi="Arial" w:cs="Arial"/>
          <w:sz w:val="24"/>
          <w:szCs w:val="24"/>
          <w:lang w:val="es-ES"/>
        </w:rPr>
        <w:t xml:space="preserve"> alcanzan un 69%</w:t>
      </w:r>
      <w:r w:rsidR="00144ECC" w:rsidRPr="00EE35B7">
        <w:rPr>
          <w:rFonts w:ascii="Arial" w:hAnsi="Arial" w:cs="Arial"/>
          <w:sz w:val="24"/>
          <w:szCs w:val="24"/>
          <w:lang w:val="es-ES"/>
        </w:rPr>
        <w:t xml:space="preserve"> y </w:t>
      </w:r>
      <w:r w:rsidR="007F6DA5" w:rsidRPr="00EE35B7">
        <w:rPr>
          <w:rFonts w:ascii="Arial" w:hAnsi="Arial" w:cs="Arial"/>
          <w:sz w:val="24"/>
          <w:szCs w:val="24"/>
          <w:lang w:val="es-ES"/>
        </w:rPr>
        <w:t xml:space="preserve">los </w:t>
      </w:r>
      <w:r w:rsidR="00144ECC" w:rsidRPr="00EE35B7">
        <w:rPr>
          <w:rFonts w:ascii="Arial" w:hAnsi="Arial" w:cs="Arial"/>
          <w:sz w:val="24"/>
          <w:szCs w:val="24"/>
          <w:lang w:val="es-ES"/>
        </w:rPr>
        <w:t>no tributarios un 31%</w:t>
      </w:r>
      <w:r w:rsidR="007F6DA5" w:rsidRPr="00EE35B7">
        <w:rPr>
          <w:rFonts w:ascii="Arial" w:hAnsi="Arial" w:cs="Arial"/>
          <w:sz w:val="24"/>
          <w:szCs w:val="24"/>
          <w:lang w:val="es-ES"/>
        </w:rPr>
        <w:t xml:space="preserve">, finalmente para la vigencia 2016 encontramos que </w:t>
      </w:r>
      <w:r w:rsidR="00144ECC" w:rsidRPr="00EE35B7">
        <w:rPr>
          <w:rFonts w:ascii="Arial" w:hAnsi="Arial" w:cs="Arial"/>
          <w:sz w:val="24"/>
          <w:szCs w:val="24"/>
          <w:lang w:val="es-ES"/>
        </w:rPr>
        <w:t>la participación d</w:t>
      </w:r>
      <w:r w:rsidR="007F6DA5" w:rsidRPr="00EE35B7">
        <w:rPr>
          <w:rFonts w:ascii="Arial" w:hAnsi="Arial" w:cs="Arial"/>
          <w:sz w:val="24"/>
          <w:szCs w:val="24"/>
          <w:lang w:val="es-ES"/>
        </w:rPr>
        <w:t xml:space="preserve">e los ingresos corrientes respecto a los </w:t>
      </w:r>
      <w:r w:rsidR="00905AA2">
        <w:rPr>
          <w:rFonts w:ascii="Arial" w:hAnsi="Arial" w:cs="Arial"/>
          <w:sz w:val="24"/>
          <w:szCs w:val="24"/>
          <w:lang w:val="es-ES"/>
        </w:rPr>
        <w:t xml:space="preserve">ingresos totales, fue del 36% </w:t>
      </w:r>
      <w:r w:rsidR="007F6DA5" w:rsidRPr="00EE35B7">
        <w:rPr>
          <w:rFonts w:ascii="Arial" w:hAnsi="Arial" w:cs="Arial"/>
          <w:sz w:val="24"/>
          <w:szCs w:val="24"/>
          <w:lang w:val="es-ES"/>
        </w:rPr>
        <w:t xml:space="preserve">de los cuales </w:t>
      </w:r>
      <w:r w:rsidR="00144ECC" w:rsidRPr="00EE35B7">
        <w:rPr>
          <w:rFonts w:ascii="Arial" w:hAnsi="Arial" w:cs="Arial"/>
          <w:sz w:val="24"/>
          <w:szCs w:val="24"/>
          <w:lang w:val="es-ES"/>
        </w:rPr>
        <w:t xml:space="preserve">los tributarios </w:t>
      </w:r>
      <w:r w:rsidR="007F6DA5" w:rsidRPr="00EE35B7">
        <w:rPr>
          <w:rFonts w:ascii="Arial" w:hAnsi="Arial" w:cs="Arial"/>
          <w:sz w:val="24"/>
          <w:szCs w:val="24"/>
          <w:lang w:val="es-ES"/>
        </w:rPr>
        <w:t xml:space="preserve">participan con un 82% </w:t>
      </w:r>
      <w:r w:rsidR="00144ECC" w:rsidRPr="00EE35B7">
        <w:rPr>
          <w:rFonts w:ascii="Arial" w:hAnsi="Arial" w:cs="Arial"/>
          <w:sz w:val="24"/>
          <w:szCs w:val="24"/>
          <w:lang w:val="es-ES"/>
        </w:rPr>
        <w:t xml:space="preserve">y </w:t>
      </w:r>
      <w:r w:rsidR="007F6DA5" w:rsidRPr="00EE35B7">
        <w:rPr>
          <w:rFonts w:ascii="Arial" w:hAnsi="Arial" w:cs="Arial"/>
          <w:sz w:val="24"/>
          <w:szCs w:val="24"/>
          <w:lang w:val="es-ES"/>
        </w:rPr>
        <w:t>los no tributarios en un</w:t>
      </w:r>
      <w:r w:rsidR="00144ECC" w:rsidRPr="00EE35B7">
        <w:rPr>
          <w:rFonts w:ascii="Arial" w:hAnsi="Arial" w:cs="Arial"/>
          <w:sz w:val="24"/>
          <w:szCs w:val="24"/>
          <w:lang w:val="es-ES"/>
        </w:rPr>
        <w:t xml:space="preserve"> 18%</w:t>
      </w:r>
      <w:r w:rsidR="00144ECC" w:rsidRPr="00AD7E23">
        <w:rPr>
          <w:rFonts w:ascii="Arial" w:hAnsi="Arial" w:cs="Arial"/>
          <w:sz w:val="24"/>
          <w:szCs w:val="24"/>
          <w:lang w:val="es-ES"/>
        </w:rPr>
        <w:t xml:space="preserve"> </w:t>
      </w:r>
    </w:p>
    <w:p w:rsidR="00AD389C" w:rsidRDefault="00144ECC" w:rsidP="006E45D8">
      <w:pPr>
        <w:spacing w:before="100" w:beforeAutospacing="1" w:after="100" w:afterAutospacing="1" w:line="360" w:lineRule="auto"/>
        <w:jc w:val="both"/>
        <w:rPr>
          <w:rFonts w:ascii="Arial" w:hAnsi="Arial" w:cs="Arial"/>
          <w:b/>
          <w:sz w:val="28"/>
          <w:szCs w:val="24"/>
          <w:lang w:val="es-ES"/>
        </w:rPr>
      </w:pPr>
      <w:r>
        <w:rPr>
          <w:rFonts w:ascii="Arial" w:hAnsi="Arial" w:cs="Arial"/>
          <w:sz w:val="24"/>
          <w:szCs w:val="24"/>
          <w:lang w:val="es-ES"/>
        </w:rPr>
        <w:t xml:space="preserve">De </w:t>
      </w:r>
      <w:r w:rsidR="00843E83">
        <w:rPr>
          <w:rFonts w:ascii="Arial" w:hAnsi="Arial" w:cs="Arial"/>
          <w:sz w:val="24"/>
          <w:szCs w:val="24"/>
          <w:lang w:val="es-ES"/>
        </w:rPr>
        <w:t xml:space="preserve">lo anterior, observamos que </w:t>
      </w:r>
      <w:r w:rsidR="00905AA2">
        <w:rPr>
          <w:rFonts w:ascii="Arial" w:hAnsi="Arial" w:cs="Arial"/>
          <w:sz w:val="24"/>
          <w:szCs w:val="24"/>
          <w:lang w:val="es-ES"/>
        </w:rPr>
        <w:t xml:space="preserve">la participación de los </w:t>
      </w:r>
      <w:r>
        <w:rPr>
          <w:rFonts w:ascii="Arial" w:hAnsi="Arial" w:cs="Arial"/>
          <w:sz w:val="24"/>
          <w:szCs w:val="24"/>
          <w:lang w:val="es-ES"/>
        </w:rPr>
        <w:t xml:space="preserve">ingresos corrientes </w:t>
      </w:r>
      <w:r w:rsidR="00843E83">
        <w:rPr>
          <w:rFonts w:ascii="Arial" w:hAnsi="Arial" w:cs="Arial"/>
          <w:sz w:val="24"/>
          <w:szCs w:val="24"/>
          <w:lang w:val="es-ES"/>
        </w:rPr>
        <w:t xml:space="preserve">frente a los </w:t>
      </w:r>
      <w:r>
        <w:rPr>
          <w:rFonts w:ascii="Arial" w:hAnsi="Arial" w:cs="Arial"/>
          <w:sz w:val="24"/>
          <w:szCs w:val="24"/>
          <w:lang w:val="es-ES"/>
        </w:rPr>
        <w:t>ingresos totales se mantuvo constante en este cuatrienio</w:t>
      </w:r>
      <w:r w:rsidR="00045B1F">
        <w:rPr>
          <w:rFonts w:ascii="Arial" w:hAnsi="Arial" w:cs="Arial"/>
          <w:sz w:val="24"/>
          <w:szCs w:val="24"/>
          <w:lang w:val="es-ES"/>
        </w:rPr>
        <w:t>,</w:t>
      </w:r>
      <w:r w:rsidR="00905AA2">
        <w:rPr>
          <w:rFonts w:ascii="Arial" w:hAnsi="Arial" w:cs="Arial"/>
          <w:sz w:val="24"/>
          <w:szCs w:val="24"/>
          <w:lang w:val="es-ES"/>
        </w:rPr>
        <w:t xml:space="preserve"> mostrando un crecimiento </w:t>
      </w:r>
      <w:r>
        <w:rPr>
          <w:rFonts w:ascii="Arial" w:hAnsi="Arial" w:cs="Arial"/>
          <w:sz w:val="24"/>
          <w:szCs w:val="24"/>
          <w:lang w:val="es-ES"/>
        </w:rPr>
        <w:t>promedio del 1</w:t>
      </w:r>
      <w:r w:rsidR="00843E83">
        <w:rPr>
          <w:rFonts w:ascii="Arial" w:hAnsi="Arial" w:cs="Arial"/>
          <w:sz w:val="24"/>
          <w:szCs w:val="24"/>
          <w:lang w:val="es-ES"/>
        </w:rPr>
        <w:t>%. Sin embargo</w:t>
      </w:r>
      <w:r w:rsidR="009378D8">
        <w:rPr>
          <w:rFonts w:ascii="Arial" w:hAnsi="Arial" w:cs="Arial"/>
          <w:sz w:val="24"/>
          <w:szCs w:val="24"/>
          <w:lang w:val="es-ES"/>
        </w:rPr>
        <w:t>,</w:t>
      </w:r>
      <w:r w:rsidR="00843E83">
        <w:rPr>
          <w:rFonts w:ascii="Arial" w:hAnsi="Arial" w:cs="Arial"/>
          <w:sz w:val="24"/>
          <w:szCs w:val="24"/>
          <w:lang w:val="es-ES"/>
        </w:rPr>
        <w:t xml:space="preserve"> la participación de los ingresos tributarios y no tributarios</w:t>
      </w:r>
      <w:r w:rsidR="009378D8">
        <w:rPr>
          <w:rFonts w:ascii="Arial" w:hAnsi="Arial" w:cs="Arial"/>
          <w:sz w:val="24"/>
          <w:szCs w:val="24"/>
          <w:lang w:val="es-ES"/>
        </w:rPr>
        <w:t xml:space="preserve"> frente a los ingresos corrientes</w:t>
      </w:r>
      <w:r w:rsidR="00843E83">
        <w:rPr>
          <w:rFonts w:ascii="Arial" w:hAnsi="Arial" w:cs="Arial"/>
          <w:sz w:val="24"/>
          <w:szCs w:val="24"/>
          <w:lang w:val="es-ES"/>
        </w:rPr>
        <w:t xml:space="preserve"> en el cuatrienio no es constante, </w:t>
      </w:r>
      <w:r w:rsidR="009378D8">
        <w:rPr>
          <w:rFonts w:ascii="Arial" w:hAnsi="Arial" w:cs="Arial"/>
          <w:sz w:val="24"/>
          <w:szCs w:val="24"/>
          <w:lang w:val="es-ES"/>
        </w:rPr>
        <w:t>alcanzando la mayor participación de los ingresos tributarios en la vigencia 2016.</w:t>
      </w:r>
      <w:r w:rsidR="008E4944">
        <w:rPr>
          <w:rFonts w:ascii="Arial" w:hAnsi="Arial" w:cs="Arial"/>
          <w:b/>
          <w:sz w:val="28"/>
          <w:szCs w:val="24"/>
          <w:lang w:val="es-ES"/>
        </w:rPr>
        <w:t xml:space="preserve"> </w:t>
      </w:r>
    </w:p>
    <w:p w:rsidR="00910DC5" w:rsidRDefault="00F43CA1" w:rsidP="006E45D8">
      <w:pPr>
        <w:spacing w:before="100" w:beforeAutospacing="1" w:after="100" w:afterAutospacing="1" w:line="360" w:lineRule="auto"/>
        <w:jc w:val="both"/>
        <w:rPr>
          <w:rFonts w:ascii="Arial" w:hAnsi="Arial" w:cs="Arial"/>
          <w:sz w:val="24"/>
          <w:lang w:val="es-ES"/>
        </w:rPr>
      </w:pPr>
      <w:r w:rsidRPr="00F43CA1">
        <w:rPr>
          <w:rFonts w:ascii="Arial" w:hAnsi="Arial" w:cs="Arial"/>
          <w:b/>
          <w:sz w:val="24"/>
          <w:u w:val="single"/>
          <w:lang w:val="es-ES"/>
        </w:rPr>
        <w:t>Ingresos Tributarios</w:t>
      </w:r>
      <w:r w:rsidRPr="00F43CA1">
        <w:rPr>
          <w:rFonts w:ascii="Arial" w:hAnsi="Arial" w:cs="Arial"/>
          <w:sz w:val="24"/>
          <w:u w:val="single"/>
          <w:lang w:val="es-ES"/>
        </w:rPr>
        <w:t xml:space="preserve"> </w:t>
      </w:r>
      <w:r w:rsidR="00910DC5" w:rsidRPr="00910DC5">
        <w:rPr>
          <w:rFonts w:ascii="Arial" w:hAnsi="Arial" w:cs="Arial"/>
          <w:sz w:val="24"/>
          <w:lang w:val="es-ES"/>
        </w:rPr>
        <w:t xml:space="preserve">están compuestos por los impuestos </w:t>
      </w:r>
      <w:r w:rsidR="00DF0BA9">
        <w:rPr>
          <w:rFonts w:ascii="Arial" w:hAnsi="Arial" w:cs="Arial"/>
          <w:sz w:val="24"/>
          <w:lang w:val="es-ES"/>
        </w:rPr>
        <w:t>directos e impuestos indirectos:</w:t>
      </w:r>
    </w:p>
    <w:p w:rsidR="00032FC7" w:rsidRDefault="006F7DC8" w:rsidP="006E45D8">
      <w:pPr>
        <w:spacing w:before="100" w:beforeAutospacing="1" w:after="100" w:afterAutospacing="1" w:line="360" w:lineRule="auto"/>
        <w:jc w:val="both"/>
        <w:rPr>
          <w:rFonts w:ascii="Arial" w:hAnsi="Arial" w:cs="Arial"/>
          <w:sz w:val="24"/>
          <w:lang w:val="es-ES"/>
        </w:rPr>
      </w:pPr>
      <w:r w:rsidRPr="006F7DC8">
        <w:rPr>
          <w:noProof/>
          <w:lang w:eastAsia="es-CO"/>
        </w:rPr>
        <w:drawing>
          <wp:inline distT="0" distB="0" distL="0" distR="0" wp14:anchorId="6D0289C3" wp14:editId="156BF32E">
            <wp:extent cx="5601778" cy="14001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616" cy="1404634"/>
                    </a:xfrm>
                    <a:prstGeom prst="rect">
                      <a:avLst/>
                    </a:prstGeom>
                    <a:noFill/>
                    <a:ln>
                      <a:noFill/>
                    </a:ln>
                  </pic:spPr>
                </pic:pic>
              </a:graphicData>
            </a:graphic>
          </wp:inline>
        </w:drawing>
      </w:r>
    </w:p>
    <w:p w:rsidR="00517538" w:rsidRDefault="00517538" w:rsidP="006E45D8">
      <w:pPr>
        <w:spacing w:before="100" w:beforeAutospacing="1" w:after="100" w:afterAutospacing="1" w:line="360" w:lineRule="auto"/>
        <w:jc w:val="both"/>
        <w:rPr>
          <w:rFonts w:ascii="Arial" w:hAnsi="Arial" w:cs="Arial"/>
          <w:sz w:val="24"/>
          <w:lang w:val="es-ES"/>
        </w:rPr>
      </w:pPr>
      <w:r>
        <w:rPr>
          <w:rFonts w:ascii="Arial" w:hAnsi="Arial" w:cs="Arial"/>
          <w:sz w:val="24"/>
          <w:lang w:val="es-ES"/>
        </w:rPr>
        <w:t xml:space="preserve">Los impuestos Directos participan en 2013 en un 30% y los </w:t>
      </w:r>
      <w:r w:rsidR="000E59CC">
        <w:rPr>
          <w:rFonts w:ascii="Arial" w:hAnsi="Arial" w:cs="Arial"/>
          <w:sz w:val="24"/>
          <w:lang w:val="es-ES"/>
        </w:rPr>
        <w:t>indirectos en un 70% dentro de los Tributarios en 2014 los directos en un 23% y los indirectos en un 77%, en 2015 los directos en un 22% y los indirectos en un 78%, por su parte en 2016 los directos participaron en un 25% y los indirectos en un 75%, siendo en promedio una participación constante dentro de los Tributarios.</w:t>
      </w:r>
    </w:p>
    <w:p w:rsidR="000E59CC" w:rsidRDefault="000E59CC" w:rsidP="006E45D8">
      <w:pPr>
        <w:spacing w:before="100" w:beforeAutospacing="1" w:after="100" w:afterAutospacing="1" w:line="360" w:lineRule="auto"/>
        <w:jc w:val="both"/>
        <w:rPr>
          <w:rFonts w:ascii="Arial" w:hAnsi="Arial" w:cs="Arial"/>
          <w:sz w:val="24"/>
          <w:lang w:val="es-ES"/>
        </w:rPr>
      </w:pPr>
      <w:r w:rsidRPr="0014604A">
        <w:rPr>
          <w:rFonts w:ascii="Arial" w:hAnsi="Arial" w:cs="Arial"/>
          <w:b/>
          <w:sz w:val="24"/>
          <w:lang w:val="es-ES"/>
        </w:rPr>
        <w:lastRenderedPageBreak/>
        <w:t>Impuestos Directos:</w:t>
      </w:r>
      <w:r>
        <w:rPr>
          <w:rFonts w:ascii="Arial" w:hAnsi="Arial" w:cs="Arial"/>
          <w:sz w:val="24"/>
          <w:lang w:val="es-ES"/>
        </w:rPr>
        <w:t xml:space="preserve"> Son gravámenes establecidos por ley que consultan la capacidad de pago y recaen sobre la renta, el ingreso y la riqueza de las personas naturales y/o jurídicas y por tanto, no son trasladables a otros actores económicos.</w:t>
      </w:r>
      <w:r>
        <w:rPr>
          <w:rStyle w:val="Refdenotaalpie"/>
          <w:rFonts w:ascii="Arial" w:hAnsi="Arial" w:cs="Arial"/>
          <w:sz w:val="24"/>
          <w:lang w:val="es-ES"/>
        </w:rPr>
        <w:footnoteReference w:id="21"/>
      </w:r>
    </w:p>
    <w:p w:rsidR="000E59CC" w:rsidRDefault="006F7DC8" w:rsidP="006E45D8">
      <w:pPr>
        <w:spacing w:before="100" w:beforeAutospacing="1" w:after="100" w:afterAutospacing="1" w:line="360" w:lineRule="auto"/>
        <w:jc w:val="both"/>
        <w:rPr>
          <w:rFonts w:ascii="Arial" w:hAnsi="Arial" w:cs="Arial"/>
          <w:sz w:val="24"/>
          <w:lang w:val="es-ES"/>
        </w:rPr>
      </w:pPr>
      <w:r w:rsidRPr="006F7DC8">
        <w:rPr>
          <w:noProof/>
          <w:lang w:eastAsia="es-CO"/>
        </w:rPr>
        <w:drawing>
          <wp:inline distT="0" distB="0" distL="0" distR="0" wp14:anchorId="695CF091" wp14:editId="2D85E81B">
            <wp:extent cx="5581762" cy="13525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660" cy="1360764"/>
                    </a:xfrm>
                    <a:prstGeom prst="rect">
                      <a:avLst/>
                    </a:prstGeom>
                    <a:noFill/>
                    <a:ln>
                      <a:noFill/>
                    </a:ln>
                  </pic:spPr>
                </pic:pic>
              </a:graphicData>
            </a:graphic>
          </wp:inline>
        </w:drawing>
      </w:r>
    </w:p>
    <w:p w:rsidR="00EE35B7" w:rsidRPr="00EE35B7" w:rsidRDefault="008D02EB" w:rsidP="006E45D8">
      <w:pPr>
        <w:spacing w:before="100" w:beforeAutospacing="1" w:after="100" w:afterAutospacing="1" w:line="360" w:lineRule="auto"/>
        <w:jc w:val="both"/>
        <w:rPr>
          <w:rFonts w:ascii="Arial" w:hAnsi="Arial" w:cs="Arial"/>
          <w:sz w:val="24"/>
        </w:rPr>
      </w:pPr>
      <w:r>
        <w:rPr>
          <w:rFonts w:ascii="Arial" w:hAnsi="Arial" w:cs="Arial"/>
          <w:sz w:val="24"/>
        </w:rPr>
        <w:t>En 2013 l</w:t>
      </w:r>
      <w:r w:rsidR="00EE35B7">
        <w:rPr>
          <w:rFonts w:ascii="Arial" w:hAnsi="Arial" w:cs="Arial"/>
          <w:sz w:val="24"/>
        </w:rPr>
        <w:t xml:space="preserve">os impuestos sobre vehículos automotores participan dentro de </w:t>
      </w:r>
      <w:r>
        <w:rPr>
          <w:rFonts w:ascii="Arial" w:hAnsi="Arial" w:cs="Arial"/>
          <w:sz w:val="24"/>
        </w:rPr>
        <w:t>los Directos en un 46% y el</w:t>
      </w:r>
      <w:r w:rsidR="00EE35B7">
        <w:rPr>
          <w:rFonts w:ascii="Arial" w:hAnsi="Arial" w:cs="Arial"/>
          <w:sz w:val="24"/>
        </w:rPr>
        <w:t xml:space="preserve"> Impuesto de Registro en un 54%</w:t>
      </w:r>
      <w:r>
        <w:rPr>
          <w:rFonts w:ascii="Arial" w:hAnsi="Arial" w:cs="Arial"/>
          <w:sz w:val="24"/>
        </w:rPr>
        <w:t xml:space="preserve"> durante 2014 el impuesto sobre vehículos automotores participa en un 50% dentro de los directos y en un 50%, durante el 2015 el impuesto sobre vehículos automotores participa en un 46% y el impuesto de registro en un 54%, durante el 2016 el impuesto sobre vehículos automotores participa en un 47% y el Impuesto de Registro en un 53% </w:t>
      </w:r>
    </w:p>
    <w:p w:rsidR="000E59CC" w:rsidRDefault="000E59CC" w:rsidP="006E45D8">
      <w:pPr>
        <w:spacing w:before="100" w:beforeAutospacing="1" w:after="100" w:afterAutospacing="1" w:line="360" w:lineRule="auto"/>
        <w:jc w:val="both"/>
        <w:rPr>
          <w:rFonts w:ascii="Arial" w:hAnsi="Arial" w:cs="Arial"/>
          <w:sz w:val="24"/>
        </w:rPr>
      </w:pPr>
      <w:r w:rsidRPr="00B347BD">
        <w:rPr>
          <w:rFonts w:ascii="Arial" w:hAnsi="Arial" w:cs="Arial"/>
          <w:b/>
          <w:sz w:val="24"/>
        </w:rPr>
        <w:t xml:space="preserve">Impuestos Indirectos </w:t>
      </w:r>
      <w:r>
        <w:rPr>
          <w:rFonts w:ascii="Arial" w:hAnsi="Arial" w:cs="Arial"/>
          <w:sz w:val="24"/>
        </w:rPr>
        <w:t>Son gravámenes establecidos por ley no relacionados con la riqueza de las personas naturales y/o jurídicas, sino con el tipo de actividades realizadas y, por tanto, pueden ser trasladadas o a otros actores económicos.</w:t>
      </w:r>
    </w:p>
    <w:p w:rsidR="00B347BD" w:rsidRPr="00B347BD" w:rsidRDefault="006F7DC8" w:rsidP="004E73AA">
      <w:pPr>
        <w:spacing w:before="100" w:beforeAutospacing="1" w:after="100" w:afterAutospacing="1" w:line="360" w:lineRule="auto"/>
        <w:jc w:val="both"/>
        <w:rPr>
          <w:rFonts w:ascii="Arial" w:hAnsi="Arial" w:cs="Arial"/>
          <w:sz w:val="24"/>
        </w:rPr>
      </w:pPr>
      <w:r w:rsidRPr="006F7DC8">
        <w:rPr>
          <w:noProof/>
          <w:lang w:eastAsia="es-CO"/>
        </w:rPr>
        <w:lastRenderedPageBreak/>
        <w:drawing>
          <wp:inline distT="0" distB="0" distL="0" distR="0" wp14:anchorId="05263033" wp14:editId="2513C695">
            <wp:extent cx="5607170" cy="282083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0" cy="2823972"/>
                    </a:xfrm>
                    <a:prstGeom prst="rect">
                      <a:avLst/>
                    </a:prstGeom>
                    <a:noFill/>
                    <a:ln>
                      <a:noFill/>
                    </a:ln>
                  </pic:spPr>
                </pic:pic>
              </a:graphicData>
            </a:graphic>
          </wp:inline>
        </w:drawing>
      </w:r>
    </w:p>
    <w:p w:rsidR="008D02EB" w:rsidRPr="00150CEB" w:rsidRDefault="008D02EB" w:rsidP="006E45D8">
      <w:pPr>
        <w:spacing w:before="100" w:beforeAutospacing="1" w:after="100" w:afterAutospacing="1" w:line="360" w:lineRule="auto"/>
        <w:jc w:val="both"/>
        <w:rPr>
          <w:rFonts w:ascii="Arial" w:hAnsi="Arial" w:cs="Arial"/>
          <w:sz w:val="24"/>
        </w:rPr>
      </w:pPr>
      <w:r w:rsidRPr="00150CEB">
        <w:rPr>
          <w:rFonts w:ascii="Arial" w:hAnsi="Arial" w:cs="Arial"/>
          <w:sz w:val="24"/>
        </w:rPr>
        <w:t xml:space="preserve">En la siguiente tabla se puede observar la participación dentro de los indirectos </w:t>
      </w:r>
      <w:r w:rsidR="00150CEB">
        <w:rPr>
          <w:rFonts w:ascii="Arial" w:hAnsi="Arial" w:cs="Arial"/>
          <w:sz w:val="24"/>
        </w:rPr>
        <w:t>en donde se puede analizar que en 2013 el que obtuvo mayor participación es el impuesto al consumo de cerveza con un 33%, en 2014 la Estampilla Pro-Hospital con un 23%, en 2015 al igual que la vigencia anterior la Estampilla Pro-Hospital con un 23% y en 2016 nuevamente con mayor participación dentro de los indirectos con un 24%.</w:t>
      </w:r>
    </w:p>
    <w:p w:rsidR="008D02EB" w:rsidRDefault="00150CEB" w:rsidP="006E45D8">
      <w:pPr>
        <w:spacing w:before="100" w:beforeAutospacing="1" w:after="100" w:afterAutospacing="1" w:line="360" w:lineRule="auto"/>
        <w:jc w:val="both"/>
        <w:rPr>
          <w:rFonts w:ascii="Arial" w:hAnsi="Arial" w:cs="Arial"/>
          <w:b/>
          <w:sz w:val="24"/>
          <w:u w:val="single"/>
        </w:rPr>
      </w:pPr>
      <w:r w:rsidRPr="00150CEB">
        <w:rPr>
          <w:noProof/>
          <w:lang w:eastAsia="es-CO"/>
        </w:rPr>
        <w:drawing>
          <wp:inline distT="0" distB="0" distL="0" distR="0" wp14:anchorId="02B6027F" wp14:editId="1B8A76BD">
            <wp:extent cx="5613400" cy="2361321"/>
            <wp:effectExtent l="0" t="0" r="635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2361321"/>
                    </a:xfrm>
                    <a:prstGeom prst="rect">
                      <a:avLst/>
                    </a:prstGeom>
                    <a:noFill/>
                    <a:ln>
                      <a:noFill/>
                    </a:ln>
                  </pic:spPr>
                </pic:pic>
              </a:graphicData>
            </a:graphic>
          </wp:inline>
        </w:drawing>
      </w:r>
    </w:p>
    <w:p w:rsidR="00101F8C" w:rsidRPr="005950FA" w:rsidRDefault="00F43CA1" w:rsidP="006E45D8">
      <w:pPr>
        <w:spacing w:before="100" w:beforeAutospacing="1" w:after="100" w:afterAutospacing="1" w:line="360" w:lineRule="auto"/>
        <w:jc w:val="both"/>
        <w:rPr>
          <w:rFonts w:ascii="Arial" w:hAnsi="Arial" w:cs="Arial"/>
          <w:sz w:val="24"/>
        </w:rPr>
      </w:pPr>
      <w:r w:rsidRPr="00F43CA1">
        <w:rPr>
          <w:rFonts w:ascii="Arial" w:hAnsi="Arial" w:cs="Arial"/>
          <w:b/>
          <w:sz w:val="24"/>
          <w:u w:val="single"/>
        </w:rPr>
        <w:t>Ingresos No Tributarios</w:t>
      </w:r>
      <w:r>
        <w:rPr>
          <w:rFonts w:ascii="Arial" w:hAnsi="Arial" w:cs="Arial"/>
          <w:b/>
          <w:sz w:val="24"/>
        </w:rPr>
        <w:t xml:space="preserve"> </w:t>
      </w:r>
      <w:r w:rsidR="005950FA">
        <w:rPr>
          <w:rFonts w:ascii="Arial" w:hAnsi="Arial" w:cs="Arial"/>
          <w:sz w:val="24"/>
        </w:rPr>
        <w:t xml:space="preserve">son aquellos ingresos recibidos de forma regular, que se originan por la prestación de un servicio público, la explotación de bienes o la participación en los bienes o servicios, transferencias y demás recursos que </w:t>
      </w:r>
      <w:r w:rsidR="005950FA">
        <w:rPr>
          <w:rFonts w:ascii="Arial" w:hAnsi="Arial" w:cs="Arial"/>
          <w:sz w:val="24"/>
        </w:rPr>
        <w:lastRenderedPageBreak/>
        <w:t>ingresen periódicamente al presupuesto territorial, pero que no corresponden a impuestos.</w:t>
      </w:r>
      <w:r w:rsidR="000703E1">
        <w:rPr>
          <w:rStyle w:val="Refdenotaalpie"/>
          <w:rFonts w:ascii="Arial" w:hAnsi="Arial" w:cs="Arial"/>
          <w:sz w:val="24"/>
        </w:rPr>
        <w:footnoteReference w:id="22"/>
      </w:r>
    </w:p>
    <w:p w:rsidR="00265B28" w:rsidRPr="00101F8C" w:rsidRDefault="006F7DC8" w:rsidP="006E45D8">
      <w:pPr>
        <w:spacing w:before="100" w:beforeAutospacing="1" w:after="100" w:afterAutospacing="1" w:line="360" w:lineRule="auto"/>
        <w:jc w:val="center"/>
        <w:rPr>
          <w:rFonts w:ascii="Arial" w:hAnsi="Arial" w:cs="Arial"/>
          <w:b/>
          <w:sz w:val="24"/>
        </w:rPr>
      </w:pPr>
      <w:r w:rsidRPr="006F7DC8">
        <w:rPr>
          <w:noProof/>
          <w:lang w:eastAsia="es-CO"/>
        </w:rPr>
        <w:drawing>
          <wp:inline distT="0" distB="0" distL="0" distR="0" wp14:anchorId="29F9F7C5" wp14:editId="75A31981">
            <wp:extent cx="5606415" cy="1905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8002" cy="1908937"/>
                    </a:xfrm>
                    <a:prstGeom prst="rect">
                      <a:avLst/>
                    </a:prstGeom>
                    <a:noFill/>
                    <a:ln>
                      <a:noFill/>
                    </a:ln>
                  </pic:spPr>
                </pic:pic>
              </a:graphicData>
            </a:graphic>
          </wp:inline>
        </w:drawing>
      </w:r>
    </w:p>
    <w:p w:rsidR="00024009" w:rsidRDefault="004A4E7A" w:rsidP="006E45D8">
      <w:pPr>
        <w:autoSpaceDE w:val="0"/>
        <w:autoSpaceDN w:val="0"/>
        <w:adjustRightInd w:val="0"/>
        <w:spacing w:after="0" w:line="360" w:lineRule="auto"/>
        <w:jc w:val="both"/>
        <w:rPr>
          <w:rFonts w:ascii="Arial" w:hAnsi="Arial" w:cs="Arial"/>
          <w:color w:val="000000"/>
          <w:sz w:val="24"/>
          <w:szCs w:val="24"/>
        </w:rPr>
      </w:pPr>
      <w:r w:rsidRPr="00CD2A29">
        <w:rPr>
          <w:rFonts w:ascii="Arial" w:hAnsi="Arial" w:cs="Arial"/>
          <w:sz w:val="24"/>
          <w:szCs w:val="24"/>
        </w:rPr>
        <w:t>En este cuadro comparativo de las vigencias del cuatrienio de 2013 a 2016 se puede evidenciar un mayor ingreso en el año 2015, el cual estuvo influenciado principalmente por las tra</w:t>
      </w:r>
      <w:r w:rsidR="00905AA2">
        <w:rPr>
          <w:rFonts w:ascii="Arial" w:hAnsi="Arial" w:cs="Arial"/>
          <w:sz w:val="24"/>
          <w:szCs w:val="24"/>
        </w:rPr>
        <w:t>n</w:t>
      </w:r>
      <w:r w:rsidRPr="00CD2A29">
        <w:rPr>
          <w:rFonts w:ascii="Arial" w:hAnsi="Arial" w:cs="Arial"/>
          <w:sz w:val="24"/>
          <w:szCs w:val="24"/>
        </w:rPr>
        <w:t xml:space="preserve">sferencias </w:t>
      </w:r>
      <w:r w:rsidR="00024009" w:rsidRPr="00CD2A29">
        <w:rPr>
          <w:rFonts w:ascii="Arial" w:hAnsi="Arial" w:cs="Arial"/>
          <w:sz w:val="24"/>
          <w:szCs w:val="24"/>
        </w:rPr>
        <w:t xml:space="preserve">corrientes y </w:t>
      </w:r>
      <w:r w:rsidRPr="00CD2A29">
        <w:rPr>
          <w:rFonts w:ascii="Arial" w:hAnsi="Arial" w:cs="Arial"/>
          <w:sz w:val="24"/>
          <w:szCs w:val="24"/>
        </w:rPr>
        <w:t xml:space="preserve">de capital </w:t>
      </w:r>
      <w:r w:rsidR="008C3C20">
        <w:rPr>
          <w:rFonts w:ascii="Arial" w:hAnsi="Arial" w:cs="Arial"/>
          <w:color w:val="000000"/>
          <w:sz w:val="24"/>
          <w:szCs w:val="24"/>
        </w:rPr>
        <w:t>soportado en los Convenios recibido</w:t>
      </w:r>
      <w:r w:rsidR="00024009">
        <w:rPr>
          <w:rFonts w:ascii="Arial" w:hAnsi="Arial" w:cs="Arial"/>
          <w:color w:val="000000"/>
          <w:sz w:val="24"/>
          <w:szCs w:val="24"/>
        </w:rPr>
        <w:t>s por parte del Gobierno Nacional diferentes a las de Sistemas General de Regalías y Sistema General de Participaciones.</w:t>
      </w:r>
    </w:p>
    <w:p w:rsidR="004A4E7A" w:rsidRDefault="004A4E7A" w:rsidP="006E45D8">
      <w:pPr>
        <w:widowControl w:val="0"/>
        <w:autoSpaceDE w:val="0"/>
        <w:autoSpaceDN w:val="0"/>
        <w:adjustRightInd w:val="0"/>
        <w:spacing w:line="360" w:lineRule="auto"/>
        <w:jc w:val="both"/>
        <w:rPr>
          <w:rFonts w:ascii="Arial" w:hAnsi="Arial" w:cs="Arial"/>
        </w:rPr>
      </w:pPr>
    </w:p>
    <w:p w:rsidR="00F43CA1" w:rsidRDefault="00F433A0" w:rsidP="0010324F">
      <w:pPr>
        <w:pStyle w:val="Ttulo4"/>
      </w:pPr>
      <w:r>
        <w:rPr>
          <w:color w:val="000000"/>
          <w:lang w:val="es-ES" w:eastAsia="es-ES"/>
        </w:rPr>
        <w:t xml:space="preserve">2.2.1.2 </w:t>
      </w:r>
      <w:r w:rsidRPr="00F43CA1">
        <w:t xml:space="preserve">Fondos Especiales </w:t>
      </w:r>
    </w:p>
    <w:p w:rsidR="0010324F" w:rsidRPr="0010324F" w:rsidRDefault="0010324F" w:rsidP="0010324F"/>
    <w:p w:rsidR="008C3C20" w:rsidRDefault="006A7CF6" w:rsidP="006E45D8">
      <w:pPr>
        <w:widowControl w:val="0"/>
        <w:autoSpaceDE w:val="0"/>
        <w:autoSpaceDN w:val="0"/>
        <w:adjustRightInd w:val="0"/>
        <w:spacing w:line="360" w:lineRule="auto"/>
        <w:jc w:val="both"/>
        <w:rPr>
          <w:rFonts w:ascii="Arial" w:hAnsi="Arial" w:cs="Arial"/>
          <w:sz w:val="24"/>
          <w:szCs w:val="24"/>
        </w:rPr>
      </w:pPr>
      <w:r w:rsidRPr="002160F3">
        <w:rPr>
          <w:rFonts w:ascii="Arial" w:hAnsi="Arial" w:cs="Arial"/>
          <w:sz w:val="24"/>
          <w:szCs w:val="24"/>
        </w:rPr>
        <w:t>Constituyen Fondos Especiales, aque</w:t>
      </w:r>
      <w:r w:rsidR="008C3C20">
        <w:rPr>
          <w:rFonts w:ascii="Arial" w:hAnsi="Arial" w:cs="Arial"/>
          <w:sz w:val="24"/>
          <w:szCs w:val="24"/>
        </w:rPr>
        <w:t xml:space="preserve">llos que son creados por la Ley, </w:t>
      </w:r>
      <w:r w:rsidRPr="002160F3">
        <w:rPr>
          <w:rFonts w:ascii="Arial" w:hAnsi="Arial" w:cs="Arial"/>
          <w:sz w:val="24"/>
          <w:szCs w:val="24"/>
        </w:rPr>
        <w:t>para manejar recursos con destinación específica, se alimentan de diferentes rentas del presupuesto</w:t>
      </w:r>
      <w:r w:rsidR="008C3C20">
        <w:rPr>
          <w:rFonts w:ascii="Arial" w:hAnsi="Arial" w:cs="Arial"/>
          <w:sz w:val="24"/>
          <w:szCs w:val="24"/>
        </w:rPr>
        <w:t>.</w:t>
      </w:r>
    </w:p>
    <w:p w:rsidR="00F43CA1" w:rsidRPr="00F43CA1" w:rsidRDefault="006F7DC8" w:rsidP="006E45D8">
      <w:pPr>
        <w:widowControl w:val="0"/>
        <w:autoSpaceDE w:val="0"/>
        <w:autoSpaceDN w:val="0"/>
        <w:adjustRightInd w:val="0"/>
        <w:spacing w:line="360" w:lineRule="auto"/>
        <w:jc w:val="both"/>
        <w:rPr>
          <w:rFonts w:ascii="Arial" w:hAnsi="Arial" w:cs="Arial"/>
          <w:b/>
          <w:sz w:val="24"/>
        </w:rPr>
      </w:pPr>
      <w:r w:rsidRPr="006F7DC8">
        <w:rPr>
          <w:noProof/>
          <w:lang w:eastAsia="es-CO"/>
        </w:rPr>
        <w:drawing>
          <wp:inline distT="0" distB="0" distL="0" distR="0" wp14:anchorId="0D165B02" wp14:editId="2DAE19FE">
            <wp:extent cx="5589268" cy="15240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60" cy="1532314"/>
                    </a:xfrm>
                    <a:prstGeom prst="rect">
                      <a:avLst/>
                    </a:prstGeom>
                    <a:noFill/>
                    <a:ln>
                      <a:noFill/>
                    </a:ln>
                  </pic:spPr>
                </pic:pic>
              </a:graphicData>
            </a:graphic>
          </wp:inline>
        </w:drawing>
      </w:r>
    </w:p>
    <w:p w:rsidR="006A7CF6" w:rsidRDefault="008C3C20" w:rsidP="004E73AA">
      <w:pPr>
        <w:spacing w:before="100" w:beforeAutospacing="1" w:after="100" w:afterAutospacing="1" w:line="360" w:lineRule="auto"/>
        <w:jc w:val="both"/>
        <w:rPr>
          <w:rFonts w:ascii="Arial" w:hAnsi="Arial" w:cs="Arial"/>
          <w:sz w:val="24"/>
          <w:szCs w:val="24"/>
        </w:rPr>
      </w:pPr>
      <w:r>
        <w:rPr>
          <w:rFonts w:ascii="Arial" w:hAnsi="Arial" w:cs="Arial"/>
          <w:sz w:val="24"/>
          <w:szCs w:val="24"/>
          <w:lang w:val="es-ES"/>
        </w:rPr>
        <w:lastRenderedPageBreak/>
        <w:t>Los Fondos E</w:t>
      </w:r>
      <w:r w:rsidR="004D07EA">
        <w:rPr>
          <w:rFonts w:ascii="Arial" w:hAnsi="Arial" w:cs="Arial"/>
          <w:sz w:val="24"/>
          <w:szCs w:val="24"/>
          <w:lang w:val="es-ES"/>
        </w:rPr>
        <w:t>speciales tuvieron un</w:t>
      </w:r>
      <w:r w:rsidR="003D1115">
        <w:rPr>
          <w:rFonts w:ascii="Arial" w:hAnsi="Arial" w:cs="Arial"/>
          <w:sz w:val="24"/>
          <w:szCs w:val="24"/>
          <w:lang w:val="es-ES"/>
        </w:rPr>
        <w:t xml:space="preserve"> crecimiento del 4% en 2016 </w:t>
      </w:r>
      <w:r w:rsidR="004D07EA">
        <w:rPr>
          <w:rFonts w:ascii="Arial" w:hAnsi="Arial" w:cs="Arial"/>
          <w:sz w:val="24"/>
          <w:szCs w:val="24"/>
          <w:lang w:val="es-ES"/>
        </w:rPr>
        <w:t xml:space="preserve">respecto a la vigencia 2015 jalonado principalmente por el aumento de los ingresos del Fondo Educativo Departamental, </w:t>
      </w:r>
      <w:r w:rsidR="004D07EA">
        <w:rPr>
          <w:rFonts w:ascii="Arial" w:hAnsi="Arial" w:cs="Arial"/>
          <w:sz w:val="24"/>
          <w:szCs w:val="24"/>
        </w:rPr>
        <w:t xml:space="preserve">los recursos de este Fondo </w:t>
      </w:r>
      <w:r w:rsidR="004D07EA" w:rsidRPr="002160F3">
        <w:rPr>
          <w:rFonts w:ascii="Arial" w:hAnsi="Arial" w:cs="Arial"/>
          <w:sz w:val="24"/>
          <w:szCs w:val="24"/>
        </w:rPr>
        <w:t>provienen principalmente del Sistema General de Participaciones (S.G.P), valores que son asignados a través de Documentos</w:t>
      </w:r>
      <w:r w:rsidR="002221DA">
        <w:rPr>
          <w:rFonts w:ascii="Arial" w:hAnsi="Arial" w:cs="Arial"/>
          <w:sz w:val="24"/>
          <w:szCs w:val="24"/>
        </w:rPr>
        <w:t xml:space="preserve"> CONPES</w:t>
      </w:r>
      <w:r w:rsidR="004D07EA" w:rsidRPr="002160F3">
        <w:rPr>
          <w:rFonts w:ascii="Arial" w:hAnsi="Arial" w:cs="Arial"/>
          <w:sz w:val="24"/>
          <w:szCs w:val="24"/>
        </w:rPr>
        <w:t xml:space="preserve"> del Ministerio de Hacienda.</w:t>
      </w:r>
    </w:p>
    <w:p w:rsidR="002221DA" w:rsidRDefault="00F433A0" w:rsidP="0010324F">
      <w:pPr>
        <w:pStyle w:val="Ttulo4"/>
      </w:pPr>
      <w:r>
        <w:rPr>
          <w:color w:val="000000"/>
          <w:lang w:val="es-ES" w:eastAsia="es-ES"/>
        </w:rPr>
        <w:t xml:space="preserve">2.2.1.3 </w:t>
      </w:r>
      <w:r w:rsidRPr="002221DA">
        <w:t xml:space="preserve">Recursos </w:t>
      </w:r>
      <w:r w:rsidR="00BB1632">
        <w:t>d</w:t>
      </w:r>
      <w:r w:rsidRPr="002221DA">
        <w:t xml:space="preserve">e Capital </w:t>
      </w:r>
    </w:p>
    <w:p w:rsidR="00774E84" w:rsidRPr="00774E84" w:rsidRDefault="00774E84" w:rsidP="006E45D8">
      <w:pPr>
        <w:spacing w:before="100" w:beforeAutospacing="1" w:after="100" w:afterAutospacing="1" w:line="360" w:lineRule="auto"/>
        <w:jc w:val="both"/>
        <w:rPr>
          <w:rFonts w:ascii="Arial" w:hAnsi="Arial" w:cs="Arial"/>
          <w:sz w:val="24"/>
          <w:szCs w:val="24"/>
        </w:rPr>
      </w:pPr>
      <w:r>
        <w:rPr>
          <w:rFonts w:ascii="Arial" w:hAnsi="Arial" w:cs="Arial"/>
          <w:sz w:val="24"/>
          <w:szCs w:val="24"/>
        </w:rPr>
        <w:t>Con relación a los recursos de capital el artículo 31 del Decreto 111 de 1996, comprenderán los recursos del balance, los recursos del crédito, los rendimientos financieros.</w:t>
      </w:r>
    </w:p>
    <w:p w:rsidR="004A562E" w:rsidRDefault="006F7DC8" w:rsidP="00D34DDB">
      <w:pPr>
        <w:spacing w:before="100" w:beforeAutospacing="1" w:after="100" w:afterAutospacing="1" w:line="360" w:lineRule="auto"/>
        <w:rPr>
          <w:rFonts w:ascii="Arial" w:hAnsi="Arial" w:cs="Arial"/>
          <w:b/>
          <w:sz w:val="28"/>
          <w:szCs w:val="24"/>
          <w:lang w:val="es-ES"/>
        </w:rPr>
      </w:pPr>
      <w:r w:rsidRPr="006F7DC8">
        <w:rPr>
          <w:noProof/>
          <w:lang w:eastAsia="es-CO"/>
        </w:rPr>
        <w:drawing>
          <wp:inline distT="0" distB="0" distL="0" distR="0" wp14:anchorId="0B27FCF1" wp14:editId="181F70F6">
            <wp:extent cx="5607170" cy="168215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3400" cy="1684020"/>
                    </a:xfrm>
                    <a:prstGeom prst="rect">
                      <a:avLst/>
                    </a:prstGeom>
                    <a:noFill/>
                    <a:ln>
                      <a:noFill/>
                    </a:ln>
                  </pic:spPr>
                </pic:pic>
              </a:graphicData>
            </a:graphic>
          </wp:inline>
        </w:drawing>
      </w:r>
    </w:p>
    <w:p w:rsidR="00416245" w:rsidRPr="00416245" w:rsidRDefault="00EB3B8E" w:rsidP="006E45D8">
      <w:pPr>
        <w:spacing w:before="100" w:beforeAutospacing="1" w:after="100" w:afterAutospacing="1" w:line="360" w:lineRule="auto"/>
        <w:jc w:val="both"/>
        <w:rPr>
          <w:rFonts w:ascii="Arial" w:hAnsi="Arial" w:cs="Arial"/>
          <w:sz w:val="24"/>
        </w:rPr>
      </w:pPr>
      <w:r>
        <w:rPr>
          <w:rFonts w:ascii="Arial" w:hAnsi="Arial" w:cs="Arial"/>
          <w:sz w:val="24"/>
          <w:szCs w:val="24"/>
          <w:lang w:val="es-ES"/>
        </w:rPr>
        <w:t xml:space="preserve">En el análisis de este cuatrienio se puede observar que el valor mayor se presenta en 2015, debido principalmente a los recursos del crédito por </w:t>
      </w:r>
      <w:r w:rsidR="00BB1632">
        <w:rPr>
          <w:rFonts w:ascii="Arial" w:hAnsi="Arial" w:cs="Arial"/>
          <w:sz w:val="24"/>
          <w:szCs w:val="24"/>
          <w:lang w:val="es-ES"/>
        </w:rPr>
        <w:t>$24.000</w:t>
      </w:r>
      <w:r>
        <w:rPr>
          <w:rFonts w:ascii="Arial" w:hAnsi="Arial" w:cs="Arial"/>
          <w:sz w:val="24"/>
          <w:szCs w:val="24"/>
          <w:lang w:val="es-ES"/>
        </w:rPr>
        <w:t xml:space="preserve">millones </w:t>
      </w:r>
      <w:r w:rsidR="003D1115">
        <w:rPr>
          <w:rFonts w:ascii="Arial" w:hAnsi="Arial" w:cs="Arial"/>
          <w:sz w:val="24"/>
        </w:rPr>
        <w:t>aprobados mediante Ordenanza N°</w:t>
      </w:r>
      <w:r w:rsidR="00BB1632">
        <w:rPr>
          <w:rFonts w:ascii="Arial" w:hAnsi="Arial" w:cs="Arial"/>
          <w:sz w:val="24"/>
        </w:rPr>
        <w:t xml:space="preserve">028 de </w:t>
      </w:r>
      <w:r w:rsidRPr="00EB3B8E">
        <w:rPr>
          <w:rFonts w:ascii="Arial" w:hAnsi="Arial" w:cs="Arial"/>
          <w:sz w:val="24"/>
        </w:rPr>
        <w:t>Noviembre de 2014 y desembolsado en la vigencia 2015</w:t>
      </w:r>
      <w:r w:rsidR="003D1115">
        <w:rPr>
          <w:rFonts w:ascii="Arial" w:hAnsi="Arial" w:cs="Arial"/>
          <w:sz w:val="24"/>
        </w:rPr>
        <w:t>.</w:t>
      </w:r>
    </w:p>
    <w:p w:rsidR="001A2B9B" w:rsidRPr="00F433A0" w:rsidRDefault="00F433A0" w:rsidP="00F433A0">
      <w:pPr>
        <w:pStyle w:val="Ttulo3"/>
      </w:pPr>
      <w:bookmarkStart w:id="10" w:name="_Toc495334894"/>
      <w:r w:rsidRPr="00F433A0">
        <w:t>2.2.2 Gastos</w:t>
      </w:r>
      <w:bookmarkEnd w:id="10"/>
    </w:p>
    <w:p w:rsidR="001A2B9B" w:rsidRPr="00DD3FA6" w:rsidRDefault="001A2B9B" w:rsidP="006E45D8">
      <w:pPr>
        <w:tabs>
          <w:tab w:val="left" w:pos="3119"/>
        </w:tabs>
        <w:spacing w:before="100" w:beforeAutospacing="1" w:after="100" w:afterAutospacing="1" w:line="360" w:lineRule="auto"/>
        <w:jc w:val="both"/>
        <w:rPr>
          <w:rFonts w:ascii="Arial" w:hAnsi="Arial" w:cs="Arial"/>
          <w:color w:val="000000"/>
          <w:sz w:val="24"/>
          <w:lang w:val="es-ES" w:eastAsia="es-ES"/>
        </w:rPr>
      </w:pPr>
      <w:r w:rsidRPr="00DD3FA6">
        <w:rPr>
          <w:rFonts w:ascii="Arial" w:hAnsi="Arial" w:cs="Arial"/>
          <w:color w:val="000000"/>
          <w:sz w:val="24"/>
          <w:lang w:val="es-ES" w:eastAsia="es-ES"/>
        </w:rPr>
        <w:t>Presupuesto ejecutado en las últimas 4 vigencias (2013-2016)</w:t>
      </w:r>
    </w:p>
    <w:p w:rsidR="004561D2" w:rsidRDefault="00300783" w:rsidP="006E45D8">
      <w:pPr>
        <w:tabs>
          <w:tab w:val="left" w:pos="3119"/>
        </w:tabs>
        <w:spacing w:before="100" w:beforeAutospacing="1" w:after="100" w:afterAutospacing="1" w:line="360" w:lineRule="auto"/>
        <w:jc w:val="both"/>
        <w:rPr>
          <w:rFonts w:ascii="Arial" w:hAnsi="Arial" w:cs="Arial"/>
          <w:color w:val="000000"/>
          <w:lang w:val="es-ES" w:eastAsia="es-ES"/>
        </w:rPr>
      </w:pPr>
      <w:r w:rsidRPr="00300783">
        <w:rPr>
          <w:noProof/>
          <w:lang w:eastAsia="es-CO"/>
        </w:rPr>
        <w:lastRenderedPageBreak/>
        <w:drawing>
          <wp:inline distT="0" distB="0" distL="0" distR="0" wp14:anchorId="093D44D1" wp14:editId="0E85C94A">
            <wp:extent cx="5607170" cy="1526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3400" cy="1528571"/>
                    </a:xfrm>
                    <a:prstGeom prst="rect">
                      <a:avLst/>
                    </a:prstGeom>
                    <a:noFill/>
                    <a:ln>
                      <a:noFill/>
                    </a:ln>
                  </pic:spPr>
                </pic:pic>
              </a:graphicData>
            </a:graphic>
          </wp:inline>
        </w:drawing>
      </w:r>
    </w:p>
    <w:p w:rsidR="001A2B9B" w:rsidRPr="001A2B9B" w:rsidRDefault="001A2B9B" w:rsidP="006E45D8">
      <w:pPr>
        <w:pStyle w:val="Prrafodelista"/>
        <w:spacing w:before="100" w:beforeAutospacing="1" w:after="100" w:afterAutospacing="1" w:line="360" w:lineRule="auto"/>
        <w:ind w:left="0"/>
        <w:jc w:val="both"/>
        <w:rPr>
          <w:rFonts w:ascii="Arial" w:eastAsia="Times New Roman" w:hAnsi="Arial" w:cs="Arial"/>
          <w:color w:val="000000"/>
          <w:sz w:val="24"/>
          <w:szCs w:val="24"/>
          <w:lang w:eastAsia="es-ES"/>
        </w:rPr>
      </w:pPr>
      <w:r w:rsidRPr="001A2B9B">
        <w:rPr>
          <w:rFonts w:ascii="Arial" w:eastAsia="Times New Roman" w:hAnsi="Arial" w:cs="Arial"/>
          <w:color w:val="000000"/>
          <w:sz w:val="24"/>
          <w:szCs w:val="24"/>
          <w:lang w:eastAsia="es-ES"/>
        </w:rPr>
        <w:t>El presupuesto de Gastos en el cuatrienio 2013-2016 alcanzó en promedio la suma de $277.997 millones,</w:t>
      </w:r>
      <w:r w:rsidR="003D1115">
        <w:rPr>
          <w:rFonts w:ascii="Arial" w:eastAsia="Times New Roman" w:hAnsi="Arial" w:cs="Arial"/>
          <w:color w:val="000000"/>
          <w:sz w:val="24"/>
          <w:szCs w:val="24"/>
          <w:lang w:eastAsia="es-ES"/>
        </w:rPr>
        <w:t xml:space="preserve"> teniendo para 2013 la suma de </w:t>
      </w:r>
      <w:r w:rsidRPr="001A2B9B">
        <w:rPr>
          <w:rFonts w:ascii="Arial" w:eastAsia="Times New Roman" w:hAnsi="Arial" w:cs="Arial"/>
          <w:color w:val="000000"/>
          <w:sz w:val="24"/>
          <w:szCs w:val="24"/>
          <w:lang w:eastAsia="es-ES"/>
        </w:rPr>
        <w:t>$</w:t>
      </w:r>
      <w:r w:rsidR="00300783">
        <w:rPr>
          <w:rFonts w:ascii="Arial" w:eastAsia="Times New Roman" w:hAnsi="Arial" w:cs="Arial"/>
          <w:color w:val="000000"/>
          <w:sz w:val="24"/>
          <w:szCs w:val="24"/>
          <w:lang w:eastAsia="es-ES"/>
        </w:rPr>
        <w:t>279.802</w:t>
      </w:r>
      <w:r w:rsidR="00BB1632">
        <w:rPr>
          <w:rFonts w:ascii="Arial" w:eastAsia="Times New Roman" w:hAnsi="Arial" w:cs="Arial"/>
          <w:color w:val="000000"/>
          <w:sz w:val="24"/>
          <w:szCs w:val="24"/>
          <w:lang w:eastAsia="es-ES"/>
        </w:rPr>
        <w:t>millones</w:t>
      </w:r>
      <w:r w:rsidRPr="001A2B9B">
        <w:rPr>
          <w:rFonts w:ascii="Arial" w:eastAsia="Times New Roman" w:hAnsi="Arial" w:cs="Arial"/>
          <w:color w:val="000000"/>
          <w:sz w:val="24"/>
          <w:szCs w:val="24"/>
          <w:lang w:eastAsia="es-ES"/>
        </w:rPr>
        <w:t>, en 2014 $</w:t>
      </w:r>
      <w:r w:rsidR="00300783">
        <w:rPr>
          <w:rFonts w:ascii="Arial" w:eastAsia="Times New Roman" w:hAnsi="Arial" w:cs="Arial"/>
          <w:color w:val="000000"/>
          <w:sz w:val="24"/>
          <w:szCs w:val="24"/>
          <w:lang w:eastAsia="es-ES"/>
        </w:rPr>
        <w:t>303.558</w:t>
      </w:r>
      <w:r w:rsidR="001459F2">
        <w:rPr>
          <w:rFonts w:ascii="Arial" w:eastAsia="Times New Roman" w:hAnsi="Arial" w:cs="Arial"/>
          <w:color w:val="000000"/>
          <w:sz w:val="24"/>
          <w:szCs w:val="24"/>
          <w:lang w:eastAsia="es-ES"/>
        </w:rPr>
        <w:t>millones</w:t>
      </w:r>
      <w:r w:rsidRPr="001A2B9B">
        <w:rPr>
          <w:rFonts w:ascii="Arial" w:eastAsia="Times New Roman" w:hAnsi="Arial" w:cs="Arial"/>
          <w:color w:val="000000"/>
          <w:sz w:val="24"/>
          <w:szCs w:val="24"/>
          <w:lang w:eastAsia="es-ES"/>
        </w:rPr>
        <w:t>, en 2015 $337.755</w:t>
      </w:r>
      <w:r w:rsidR="001459F2">
        <w:rPr>
          <w:rFonts w:ascii="Arial" w:eastAsia="Times New Roman" w:hAnsi="Arial" w:cs="Arial"/>
          <w:color w:val="000000"/>
          <w:sz w:val="24"/>
          <w:szCs w:val="24"/>
          <w:lang w:eastAsia="es-ES"/>
        </w:rPr>
        <w:t>millones</w:t>
      </w:r>
      <w:r w:rsidRPr="001A2B9B">
        <w:rPr>
          <w:rFonts w:ascii="Arial" w:eastAsia="Times New Roman" w:hAnsi="Arial" w:cs="Arial"/>
          <w:color w:val="000000"/>
          <w:sz w:val="24"/>
          <w:szCs w:val="24"/>
          <w:lang w:eastAsia="es-ES"/>
        </w:rPr>
        <w:t xml:space="preserve"> y en 2016 $251.9</w:t>
      </w:r>
      <w:r w:rsidR="00300783">
        <w:rPr>
          <w:rFonts w:ascii="Arial" w:eastAsia="Times New Roman" w:hAnsi="Arial" w:cs="Arial"/>
          <w:color w:val="000000"/>
          <w:sz w:val="24"/>
          <w:szCs w:val="24"/>
          <w:lang w:eastAsia="es-ES"/>
        </w:rPr>
        <w:t>59</w:t>
      </w:r>
      <w:r w:rsidR="001459F2">
        <w:rPr>
          <w:rFonts w:ascii="Arial" w:eastAsia="Times New Roman" w:hAnsi="Arial" w:cs="Arial"/>
          <w:color w:val="000000"/>
          <w:sz w:val="24"/>
          <w:szCs w:val="24"/>
          <w:lang w:eastAsia="es-ES"/>
        </w:rPr>
        <w:t>millones</w:t>
      </w:r>
      <w:r w:rsidRPr="001A2B9B">
        <w:rPr>
          <w:rFonts w:ascii="Arial" w:eastAsia="Times New Roman" w:hAnsi="Arial" w:cs="Arial"/>
          <w:color w:val="000000"/>
          <w:sz w:val="24"/>
          <w:szCs w:val="24"/>
          <w:lang w:eastAsia="es-ES"/>
        </w:rPr>
        <w:t>.</w:t>
      </w:r>
    </w:p>
    <w:p w:rsidR="001A2B9B" w:rsidRPr="001A2B9B" w:rsidRDefault="001A2B9B" w:rsidP="006E45D8">
      <w:pPr>
        <w:spacing w:before="100" w:beforeAutospacing="1" w:after="100" w:afterAutospacing="1" w:line="360" w:lineRule="auto"/>
        <w:jc w:val="both"/>
        <w:rPr>
          <w:rFonts w:ascii="Arial" w:hAnsi="Arial" w:cs="Arial"/>
          <w:color w:val="000000"/>
          <w:sz w:val="24"/>
          <w:szCs w:val="24"/>
          <w:lang w:val="es-ES" w:eastAsia="es-ES"/>
        </w:rPr>
      </w:pPr>
      <w:r w:rsidRPr="001A2B9B">
        <w:rPr>
          <w:rFonts w:ascii="Arial" w:hAnsi="Arial" w:cs="Arial"/>
          <w:color w:val="000000"/>
          <w:sz w:val="24"/>
          <w:szCs w:val="24"/>
          <w:lang w:val="es-ES" w:eastAsia="es-ES"/>
        </w:rPr>
        <w:t xml:space="preserve">Durante la vigencia 2016 los gastos </w:t>
      </w:r>
      <w:r w:rsidR="00F146D5">
        <w:rPr>
          <w:rFonts w:ascii="Arial" w:hAnsi="Arial" w:cs="Arial"/>
          <w:color w:val="000000"/>
          <w:sz w:val="24"/>
          <w:szCs w:val="24"/>
          <w:lang w:val="es-ES" w:eastAsia="es-ES"/>
        </w:rPr>
        <w:t xml:space="preserve">totales, </w:t>
      </w:r>
      <w:r w:rsidR="00300783">
        <w:rPr>
          <w:rFonts w:ascii="Arial" w:hAnsi="Arial" w:cs="Arial"/>
          <w:color w:val="000000"/>
          <w:sz w:val="24"/>
          <w:szCs w:val="24"/>
          <w:lang w:val="es-ES" w:eastAsia="es-ES"/>
        </w:rPr>
        <w:t>alcanzaron la suma de $251.959</w:t>
      </w:r>
      <w:r w:rsidR="00C818F1">
        <w:rPr>
          <w:rFonts w:ascii="Arial" w:hAnsi="Arial" w:cs="Arial"/>
          <w:color w:val="000000"/>
          <w:sz w:val="24"/>
          <w:szCs w:val="24"/>
          <w:lang w:val="es-ES" w:eastAsia="es-ES"/>
        </w:rPr>
        <w:t>millones present</w:t>
      </w:r>
      <w:r w:rsidRPr="001A2B9B">
        <w:rPr>
          <w:rFonts w:ascii="Arial" w:hAnsi="Arial" w:cs="Arial"/>
          <w:color w:val="000000"/>
          <w:sz w:val="24"/>
          <w:szCs w:val="24"/>
          <w:lang w:val="es-ES" w:eastAsia="es-ES"/>
        </w:rPr>
        <w:t xml:space="preserve">ando una reducción </w:t>
      </w:r>
      <w:r w:rsidR="00C818F1">
        <w:rPr>
          <w:rFonts w:ascii="Arial" w:hAnsi="Arial" w:cs="Arial"/>
          <w:color w:val="000000"/>
          <w:sz w:val="24"/>
          <w:szCs w:val="24"/>
          <w:lang w:val="es-ES" w:eastAsia="es-ES"/>
        </w:rPr>
        <w:t xml:space="preserve">del </w:t>
      </w:r>
      <w:r w:rsidR="00F146D5">
        <w:rPr>
          <w:rFonts w:ascii="Arial" w:hAnsi="Arial" w:cs="Arial"/>
          <w:color w:val="000000"/>
          <w:sz w:val="24"/>
          <w:szCs w:val="24"/>
          <w:lang w:val="es-ES" w:eastAsia="es-ES"/>
        </w:rPr>
        <w:t xml:space="preserve">34% </w:t>
      </w:r>
      <w:r w:rsidR="009E19B6">
        <w:rPr>
          <w:rFonts w:ascii="Arial" w:hAnsi="Arial" w:cs="Arial"/>
          <w:color w:val="000000"/>
          <w:sz w:val="24"/>
          <w:szCs w:val="24"/>
          <w:lang w:val="es-ES" w:eastAsia="es-ES"/>
        </w:rPr>
        <w:t>respecto a la vigencia 2015, t</w:t>
      </w:r>
      <w:r w:rsidR="00C818F1">
        <w:rPr>
          <w:rFonts w:ascii="Arial" w:hAnsi="Arial" w:cs="Arial"/>
          <w:color w:val="000000"/>
          <w:sz w:val="24"/>
          <w:szCs w:val="24"/>
          <w:lang w:val="es-ES" w:eastAsia="es-ES"/>
        </w:rPr>
        <w:t xml:space="preserve">al como lo afirma la Dirección de Apoyo Fiscal </w:t>
      </w:r>
      <w:r w:rsidR="00C818F1" w:rsidRPr="001A2B9B">
        <w:rPr>
          <w:rFonts w:ascii="Arial" w:hAnsi="Arial" w:cs="Arial"/>
          <w:color w:val="000000"/>
          <w:sz w:val="24"/>
          <w:szCs w:val="24"/>
          <w:lang w:val="es-ES" w:eastAsia="es-ES"/>
        </w:rPr>
        <w:t>del Ministerio de Hacienda</w:t>
      </w:r>
      <w:r w:rsidR="00C818F1">
        <w:rPr>
          <w:rFonts w:ascii="Arial" w:hAnsi="Arial" w:cs="Arial"/>
          <w:color w:val="000000"/>
          <w:sz w:val="24"/>
          <w:szCs w:val="24"/>
          <w:lang w:val="es-ES" w:eastAsia="es-ES"/>
        </w:rPr>
        <w:t xml:space="preserve"> en el </w:t>
      </w:r>
      <w:r w:rsidRPr="001A2B9B">
        <w:rPr>
          <w:rFonts w:ascii="Arial" w:hAnsi="Arial" w:cs="Arial"/>
          <w:color w:val="000000"/>
          <w:sz w:val="24"/>
          <w:szCs w:val="24"/>
          <w:lang w:val="es-ES" w:eastAsia="es-ES"/>
        </w:rPr>
        <w:t>Informe de Viabilidad Fiscal</w:t>
      </w:r>
      <w:r w:rsidR="00C818F1">
        <w:rPr>
          <w:rFonts w:ascii="Arial" w:hAnsi="Arial" w:cs="Arial"/>
          <w:color w:val="000000"/>
          <w:sz w:val="24"/>
          <w:szCs w:val="24"/>
          <w:lang w:val="es-ES" w:eastAsia="es-ES"/>
        </w:rPr>
        <w:t xml:space="preserve"> de los Departamentos</w:t>
      </w:r>
      <w:r w:rsidR="00BB1632">
        <w:rPr>
          <w:rFonts w:ascii="Arial" w:hAnsi="Arial" w:cs="Arial"/>
          <w:color w:val="000000"/>
          <w:sz w:val="24"/>
          <w:szCs w:val="24"/>
          <w:lang w:val="es-ES" w:eastAsia="es-ES"/>
        </w:rPr>
        <w:t>,</w:t>
      </w:r>
      <w:r w:rsidR="00C818F1">
        <w:rPr>
          <w:rFonts w:ascii="Arial" w:hAnsi="Arial" w:cs="Arial"/>
          <w:color w:val="000000"/>
          <w:sz w:val="24"/>
          <w:szCs w:val="24"/>
          <w:lang w:val="es-ES" w:eastAsia="es-ES"/>
        </w:rPr>
        <w:t xml:space="preserve"> vigencia 2016</w:t>
      </w:r>
      <w:r w:rsidR="009E19B6">
        <w:rPr>
          <w:rFonts w:ascii="Arial" w:hAnsi="Arial" w:cs="Arial"/>
          <w:color w:val="000000"/>
          <w:sz w:val="24"/>
          <w:szCs w:val="24"/>
          <w:lang w:val="es-ES" w:eastAsia="es-ES"/>
        </w:rPr>
        <w:t>,</w:t>
      </w:r>
      <w:r w:rsidRPr="001A2B9B">
        <w:rPr>
          <w:rFonts w:ascii="Arial" w:hAnsi="Arial" w:cs="Arial"/>
          <w:color w:val="000000"/>
          <w:sz w:val="24"/>
          <w:szCs w:val="24"/>
          <w:lang w:val="es-ES" w:eastAsia="es-ES"/>
        </w:rPr>
        <w:t xml:space="preserve"> el comportamiento de los gastos de funcionamiento en 2015, fue el reflejo principalmente del crecimiento de las transferencias, ya que el Departamento recibió recursos del Desahorro Fonpet que le permitieron efectuar el pago de las obligaciones con el Fondo de Prestaciones del Magisterio FOMAG e incrementó las transferencias de recursos a entidades descentralizadas, además de financiar el</w:t>
      </w:r>
      <w:r w:rsidR="00BB1632">
        <w:rPr>
          <w:rFonts w:ascii="Arial" w:hAnsi="Arial" w:cs="Arial"/>
          <w:color w:val="000000"/>
          <w:sz w:val="24"/>
          <w:szCs w:val="24"/>
          <w:lang w:val="es-ES" w:eastAsia="es-ES"/>
        </w:rPr>
        <w:t xml:space="preserve"> 98% de las mesadas pensionales</w:t>
      </w:r>
      <w:r w:rsidRPr="001A2B9B">
        <w:rPr>
          <w:rFonts w:ascii="Arial" w:hAnsi="Arial" w:cs="Arial"/>
          <w:color w:val="000000"/>
          <w:sz w:val="24"/>
          <w:szCs w:val="24"/>
          <w:lang w:val="es-ES" w:eastAsia="es-ES"/>
        </w:rPr>
        <w:t>.</w:t>
      </w:r>
    </w:p>
    <w:p w:rsidR="001A2B9B" w:rsidRPr="001A2B9B" w:rsidRDefault="00C818F1" w:rsidP="006E45D8">
      <w:pPr>
        <w:spacing w:before="100" w:beforeAutospacing="1" w:after="100" w:afterAutospacing="1"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No obstante,</w:t>
      </w:r>
      <w:r w:rsidR="001A2B9B" w:rsidRPr="001A2B9B">
        <w:rPr>
          <w:rFonts w:ascii="Arial" w:hAnsi="Arial" w:cs="Arial"/>
          <w:color w:val="000000"/>
          <w:sz w:val="24"/>
          <w:szCs w:val="24"/>
          <w:lang w:val="es-ES" w:eastAsia="es-ES"/>
        </w:rPr>
        <w:t xml:space="preserve"> por gestión de la Administración se pudo evidenciar el desembolso recursos de Desahorro </w:t>
      </w:r>
      <w:r w:rsidR="00A936F1" w:rsidRPr="001A2B9B">
        <w:rPr>
          <w:rFonts w:ascii="Arial" w:hAnsi="Arial" w:cs="Arial"/>
          <w:color w:val="000000"/>
          <w:sz w:val="24"/>
          <w:szCs w:val="24"/>
          <w:lang w:val="es-ES" w:eastAsia="es-ES"/>
        </w:rPr>
        <w:t>FONPET</w:t>
      </w:r>
      <w:r w:rsidR="001A2B9B" w:rsidRPr="001A2B9B">
        <w:rPr>
          <w:rFonts w:ascii="Arial" w:hAnsi="Arial" w:cs="Arial"/>
          <w:color w:val="000000"/>
          <w:sz w:val="24"/>
          <w:szCs w:val="24"/>
          <w:lang w:val="es-ES" w:eastAsia="es-ES"/>
        </w:rPr>
        <w:t xml:space="preserve"> de los cuales se apropiaron para el presupuesto 2016, </w:t>
      </w:r>
      <w:r>
        <w:rPr>
          <w:rFonts w:ascii="Arial" w:hAnsi="Arial" w:cs="Arial"/>
          <w:color w:val="000000"/>
          <w:sz w:val="24"/>
          <w:szCs w:val="24"/>
          <w:lang w:val="es-ES" w:eastAsia="es-ES"/>
        </w:rPr>
        <w:t>$</w:t>
      </w:r>
      <w:r w:rsidR="001A2B9B" w:rsidRPr="001A2B9B">
        <w:rPr>
          <w:rFonts w:ascii="Arial" w:hAnsi="Arial" w:cs="Arial"/>
          <w:color w:val="000000"/>
          <w:sz w:val="24"/>
          <w:szCs w:val="24"/>
          <w:lang w:val="es-ES" w:eastAsia="es-ES"/>
        </w:rPr>
        <w:t>1.300 millones.</w:t>
      </w:r>
    </w:p>
    <w:p w:rsidR="004B3E86" w:rsidRPr="004B3E86" w:rsidRDefault="00F433A0" w:rsidP="009E5FD1">
      <w:pPr>
        <w:pStyle w:val="Ttulo4"/>
        <w:rPr>
          <w:lang w:val="es-ES" w:eastAsia="es-ES"/>
        </w:rPr>
      </w:pPr>
      <w:r>
        <w:rPr>
          <w:lang w:val="es-ES" w:eastAsia="es-ES"/>
        </w:rPr>
        <w:t xml:space="preserve">2.2.2.1 </w:t>
      </w:r>
      <w:r w:rsidRPr="004B3E86">
        <w:rPr>
          <w:lang w:val="es-ES" w:eastAsia="es-ES"/>
        </w:rPr>
        <w:t>Funcionamiento</w:t>
      </w:r>
    </w:p>
    <w:p w:rsidR="001A2B9B" w:rsidRDefault="001A2B9B" w:rsidP="006E45D8">
      <w:pPr>
        <w:spacing w:before="100" w:beforeAutospacing="1" w:after="100" w:afterAutospacing="1" w:line="360" w:lineRule="auto"/>
        <w:jc w:val="both"/>
        <w:rPr>
          <w:rFonts w:ascii="Arial" w:hAnsi="Arial" w:cs="Arial"/>
          <w:color w:val="000000"/>
          <w:sz w:val="24"/>
          <w:szCs w:val="24"/>
          <w:lang w:val="es-ES" w:eastAsia="es-ES"/>
        </w:rPr>
      </w:pPr>
      <w:r w:rsidRPr="001A2B9B">
        <w:rPr>
          <w:rFonts w:ascii="Arial" w:hAnsi="Arial" w:cs="Arial"/>
          <w:color w:val="000000"/>
          <w:sz w:val="24"/>
          <w:szCs w:val="24"/>
          <w:lang w:val="es-ES" w:eastAsia="es-ES"/>
        </w:rPr>
        <w:t>Los Gastos de Funcionamiento en 201</w:t>
      </w:r>
      <w:r w:rsidR="00F64917">
        <w:rPr>
          <w:rFonts w:ascii="Arial" w:hAnsi="Arial" w:cs="Arial"/>
          <w:color w:val="000000"/>
          <w:sz w:val="24"/>
          <w:szCs w:val="24"/>
          <w:lang w:val="es-ES" w:eastAsia="es-ES"/>
        </w:rPr>
        <w:t>6 tuvieron una disminución del 21.40%</w:t>
      </w:r>
      <w:r w:rsidRPr="001A2B9B">
        <w:rPr>
          <w:rFonts w:ascii="Arial" w:hAnsi="Arial" w:cs="Arial"/>
          <w:color w:val="000000"/>
          <w:sz w:val="24"/>
          <w:szCs w:val="24"/>
          <w:lang w:val="es-ES" w:eastAsia="es-ES"/>
        </w:rPr>
        <w:t xml:space="preserve"> respecto al 2015, lo cual le permitió a la Administración Departamental reducir el indica</w:t>
      </w:r>
      <w:r w:rsidR="00F64917">
        <w:rPr>
          <w:rFonts w:ascii="Arial" w:hAnsi="Arial" w:cs="Arial"/>
          <w:color w:val="000000"/>
          <w:sz w:val="24"/>
          <w:szCs w:val="24"/>
          <w:lang w:val="es-ES" w:eastAsia="es-ES"/>
        </w:rPr>
        <w:t>dor de los límites establecidos</w:t>
      </w:r>
      <w:r w:rsidRPr="001A2B9B">
        <w:rPr>
          <w:rFonts w:ascii="Arial" w:hAnsi="Arial" w:cs="Arial"/>
          <w:color w:val="000000"/>
          <w:sz w:val="24"/>
          <w:szCs w:val="24"/>
          <w:lang w:val="es-ES" w:eastAsia="es-ES"/>
        </w:rPr>
        <w:t xml:space="preserve"> en la ley 617 de 2000.</w:t>
      </w:r>
    </w:p>
    <w:p w:rsidR="004561D2" w:rsidRDefault="00A9538F" w:rsidP="006E45D8">
      <w:pPr>
        <w:spacing w:before="100" w:beforeAutospacing="1" w:after="100" w:afterAutospacing="1" w:line="360" w:lineRule="auto"/>
        <w:jc w:val="both"/>
        <w:rPr>
          <w:rFonts w:ascii="Arial" w:hAnsi="Arial" w:cs="Arial"/>
          <w:color w:val="000000"/>
          <w:sz w:val="24"/>
          <w:szCs w:val="24"/>
          <w:lang w:val="es-ES" w:eastAsia="es-ES"/>
        </w:rPr>
      </w:pPr>
      <w:r w:rsidRPr="00A9538F">
        <w:rPr>
          <w:noProof/>
          <w:lang w:eastAsia="es-CO"/>
        </w:rPr>
        <w:lastRenderedPageBreak/>
        <w:drawing>
          <wp:inline distT="0" distB="0" distL="0" distR="0" wp14:anchorId="3D87DAAC" wp14:editId="1FDCDA91">
            <wp:extent cx="5607170" cy="14923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400" cy="1494028"/>
                    </a:xfrm>
                    <a:prstGeom prst="rect">
                      <a:avLst/>
                    </a:prstGeom>
                    <a:noFill/>
                    <a:ln>
                      <a:noFill/>
                    </a:ln>
                  </pic:spPr>
                </pic:pic>
              </a:graphicData>
            </a:graphic>
          </wp:inline>
        </w:drawing>
      </w:r>
    </w:p>
    <w:p w:rsidR="001A2B9B" w:rsidRPr="001A2B9B" w:rsidRDefault="00F433A0" w:rsidP="009E5FD1">
      <w:pPr>
        <w:pStyle w:val="Ttulo4"/>
        <w:rPr>
          <w:lang w:val="es-ES" w:eastAsia="es-ES"/>
        </w:rPr>
      </w:pPr>
      <w:r>
        <w:rPr>
          <w:lang w:val="es-ES" w:eastAsia="es-ES"/>
        </w:rPr>
        <w:t>2.2.2.2 Servicio a la Deuda</w:t>
      </w:r>
    </w:p>
    <w:p w:rsidR="00F64917" w:rsidRDefault="00F64917" w:rsidP="006E45D8">
      <w:pPr>
        <w:spacing w:before="100" w:beforeAutospacing="1" w:after="100" w:afterAutospacing="1" w:line="360" w:lineRule="auto"/>
        <w:jc w:val="both"/>
        <w:rPr>
          <w:rFonts w:ascii="Arial" w:hAnsi="Arial" w:cs="Arial"/>
          <w:color w:val="000000"/>
          <w:sz w:val="24"/>
          <w:szCs w:val="24"/>
          <w:lang w:val="es-ES" w:eastAsia="es-ES"/>
        </w:rPr>
      </w:pPr>
      <w:r w:rsidRPr="001A2B9B">
        <w:rPr>
          <w:rFonts w:ascii="Arial" w:hAnsi="Arial" w:cs="Arial"/>
          <w:color w:val="000000"/>
          <w:sz w:val="24"/>
          <w:szCs w:val="24"/>
          <w:lang w:val="es-ES" w:eastAsia="es-ES"/>
        </w:rPr>
        <w:t xml:space="preserve">El Servicio a la Deuda </w:t>
      </w:r>
      <w:r>
        <w:rPr>
          <w:rFonts w:ascii="Arial" w:hAnsi="Arial" w:cs="Arial"/>
          <w:color w:val="000000"/>
          <w:sz w:val="24"/>
          <w:szCs w:val="24"/>
          <w:lang w:val="es-ES" w:eastAsia="es-ES"/>
        </w:rPr>
        <w:t xml:space="preserve">se </w:t>
      </w:r>
      <w:r w:rsidRPr="001A2B9B">
        <w:rPr>
          <w:rFonts w:ascii="Arial" w:hAnsi="Arial" w:cs="Arial"/>
          <w:color w:val="000000"/>
          <w:sz w:val="24"/>
          <w:szCs w:val="24"/>
          <w:lang w:val="es-ES" w:eastAsia="es-ES"/>
        </w:rPr>
        <w:t>i</w:t>
      </w:r>
      <w:r>
        <w:rPr>
          <w:rFonts w:ascii="Arial" w:hAnsi="Arial" w:cs="Arial"/>
          <w:color w:val="000000"/>
          <w:sz w:val="24"/>
          <w:szCs w:val="24"/>
          <w:lang w:val="es-ES" w:eastAsia="es-ES"/>
        </w:rPr>
        <w:t xml:space="preserve">ncrementó en 2016 un 28.79% </w:t>
      </w:r>
      <w:r w:rsidRPr="001A2B9B">
        <w:rPr>
          <w:rFonts w:ascii="Arial" w:hAnsi="Arial" w:cs="Arial"/>
          <w:color w:val="000000"/>
          <w:sz w:val="24"/>
          <w:szCs w:val="24"/>
          <w:lang w:val="es-ES" w:eastAsia="es-ES"/>
        </w:rPr>
        <w:t>respecto al 2015</w:t>
      </w:r>
      <w:r>
        <w:rPr>
          <w:rFonts w:ascii="Arial" w:hAnsi="Arial" w:cs="Arial"/>
          <w:color w:val="000000"/>
          <w:sz w:val="24"/>
          <w:szCs w:val="24"/>
          <w:lang w:val="es-ES" w:eastAsia="es-ES"/>
        </w:rPr>
        <w:t>, debido al desembolso del crédito por valor de $24.000millones durante el 2015.</w:t>
      </w:r>
    </w:p>
    <w:p w:rsidR="000671EA" w:rsidRDefault="001A2B9B" w:rsidP="006E45D8">
      <w:pPr>
        <w:spacing w:before="100" w:beforeAutospacing="1" w:after="100" w:afterAutospacing="1" w:line="360" w:lineRule="auto"/>
        <w:jc w:val="both"/>
        <w:rPr>
          <w:rFonts w:ascii="Arial" w:hAnsi="Arial" w:cs="Arial"/>
          <w:color w:val="000000"/>
          <w:sz w:val="24"/>
          <w:szCs w:val="24"/>
          <w:lang w:val="es-ES" w:eastAsia="es-ES"/>
        </w:rPr>
      </w:pPr>
      <w:r w:rsidRPr="001A2B9B">
        <w:rPr>
          <w:rFonts w:ascii="Arial" w:hAnsi="Arial" w:cs="Arial"/>
          <w:color w:val="000000"/>
          <w:sz w:val="24"/>
          <w:lang w:val="es-ES" w:eastAsia="es-ES"/>
        </w:rPr>
        <w:t>La siguiente tabla nos muestra los pagos realizados por el Departamento del Quindío en el rubro Servicio a la Deuda (intereses y amortización a Capital) durante los últimos 4 años los cuales pasaron de $3.711 millones en la vigencia 2013 a $6.070 millones p</w:t>
      </w:r>
      <w:r w:rsidR="00BB1632">
        <w:rPr>
          <w:rFonts w:ascii="Arial" w:hAnsi="Arial" w:cs="Arial"/>
          <w:color w:val="000000"/>
          <w:sz w:val="24"/>
          <w:lang w:val="es-ES" w:eastAsia="es-ES"/>
        </w:rPr>
        <w:t>ara la vigencia 2016, con</w:t>
      </w:r>
      <w:r w:rsidRPr="001A2B9B">
        <w:rPr>
          <w:rFonts w:ascii="Arial" w:hAnsi="Arial" w:cs="Arial"/>
          <w:color w:val="000000"/>
          <w:sz w:val="24"/>
          <w:lang w:val="es-ES" w:eastAsia="es-ES"/>
        </w:rPr>
        <w:t xml:space="preserve"> un mayor pago de intereses en </w:t>
      </w:r>
      <w:r w:rsidRPr="00BF3862">
        <w:rPr>
          <w:rFonts w:ascii="Arial" w:hAnsi="Arial" w:cs="Arial"/>
          <w:color w:val="000000"/>
          <w:sz w:val="24"/>
          <w:lang w:val="es-ES" w:eastAsia="es-ES"/>
        </w:rPr>
        <w:t xml:space="preserve">2016 del </w:t>
      </w:r>
      <w:r w:rsidR="00BF3862" w:rsidRPr="00BF3862">
        <w:rPr>
          <w:rFonts w:ascii="Arial" w:hAnsi="Arial" w:cs="Arial"/>
          <w:color w:val="000000"/>
          <w:sz w:val="24"/>
          <w:lang w:val="es-ES" w:eastAsia="es-ES"/>
        </w:rPr>
        <w:t>166% con</w:t>
      </w:r>
      <w:r w:rsidR="00BF3862">
        <w:rPr>
          <w:rFonts w:ascii="Arial" w:hAnsi="Arial" w:cs="Arial"/>
          <w:color w:val="000000"/>
          <w:sz w:val="24"/>
          <w:lang w:val="es-ES" w:eastAsia="es-ES"/>
        </w:rPr>
        <w:t xml:space="preserve"> respecto a la vigencia 2013.</w:t>
      </w:r>
      <w:r w:rsidRPr="001A2B9B">
        <w:rPr>
          <w:rFonts w:ascii="Arial" w:hAnsi="Arial" w:cs="Arial"/>
          <w:color w:val="000000"/>
          <w:sz w:val="24"/>
          <w:lang w:val="es-ES" w:eastAsia="es-ES"/>
        </w:rPr>
        <w:t xml:space="preserve"> </w:t>
      </w:r>
    </w:p>
    <w:p w:rsidR="001A2B9B" w:rsidRDefault="00A9538F" w:rsidP="0098721B">
      <w:pPr>
        <w:spacing w:before="100" w:beforeAutospacing="1" w:after="0" w:line="360" w:lineRule="auto"/>
        <w:jc w:val="center"/>
        <w:rPr>
          <w:rFonts w:ascii="Arial" w:hAnsi="Arial" w:cs="Arial"/>
          <w:color w:val="000000"/>
          <w:sz w:val="24"/>
          <w:szCs w:val="24"/>
          <w:lang w:val="es-ES" w:eastAsia="es-ES"/>
        </w:rPr>
      </w:pPr>
      <w:r w:rsidRPr="00A9538F">
        <w:rPr>
          <w:noProof/>
          <w:lang w:eastAsia="es-CO"/>
        </w:rPr>
        <w:drawing>
          <wp:inline distT="0" distB="0" distL="0" distR="0" wp14:anchorId="76B9BD98" wp14:editId="4EAB7704">
            <wp:extent cx="5603875" cy="1371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5024" cy="1379224"/>
                    </a:xfrm>
                    <a:prstGeom prst="rect">
                      <a:avLst/>
                    </a:prstGeom>
                    <a:noFill/>
                    <a:ln>
                      <a:noFill/>
                    </a:ln>
                  </pic:spPr>
                </pic:pic>
              </a:graphicData>
            </a:graphic>
          </wp:inline>
        </w:drawing>
      </w:r>
    </w:p>
    <w:p w:rsidR="009F738F" w:rsidRPr="009F738F" w:rsidRDefault="009F738F" w:rsidP="009F738F">
      <w:pPr>
        <w:rPr>
          <w:lang w:val="es-ES" w:eastAsia="es-ES"/>
        </w:rPr>
      </w:pPr>
    </w:p>
    <w:p w:rsidR="00F64917" w:rsidRDefault="00F433A0" w:rsidP="009E5FD1">
      <w:pPr>
        <w:pStyle w:val="Ttulo4"/>
        <w:rPr>
          <w:lang w:val="es-ES" w:eastAsia="es-ES"/>
        </w:rPr>
      </w:pPr>
      <w:r>
        <w:rPr>
          <w:lang w:val="es-ES" w:eastAsia="es-ES"/>
        </w:rPr>
        <w:t xml:space="preserve">2.2.2.3 </w:t>
      </w:r>
      <w:r w:rsidRPr="007476BA">
        <w:rPr>
          <w:lang w:val="es-ES" w:eastAsia="es-ES"/>
        </w:rPr>
        <w:t>Inversión</w:t>
      </w:r>
    </w:p>
    <w:p w:rsidR="00BB1632" w:rsidRPr="00BB1632" w:rsidRDefault="00BB1632" w:rsidP="00BB1632">
      <w:pPr>
        <w:rPr>
          <w:lang w:val="es-ES" w:eastAsia="es-ES"/>
        </w:rPr>
      </w:pPr>
    </w:p>
    <w:p w:rsidR="00BB1632" w:rsidRPr="00A9538F" w:rsidRDefault="009F738F" w:rsidP="009F738F">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 xml:space="preserve">La </w:t>
      </w:r>
      <w:r w:rsidR="00BB1632" w:rsidRPr="00A9538F">
        <w:rPr>
          <w:rFonts w:ascii="Arial" w:hAnsi="Arial" w:cs="Arial"/>
          <w:color w:val="000000"/>
          <w:sz w:val="24"/>
          <w:szCs w:val="24"/>
          <w:lang w:val="es-ES" w:eastAsia="es-ES"/>
        </w:rPr>
        <w:t>inversión tuvo una participación dentro del total de los gastos</w:t>
      </w:r>
      <w:r>
        <w:rPr>
          <w:rFonts w:ascii="Arial" w:hAnsi="Arial" w:cs="Arial"/>
          <w:color w:val="000000"/>
          <w:sz w:val="24"/>
          <w:szCs w:val="24"/>
          <w:lang w:val="es-ES" w:eastAsia="es-ES"/>
        </w:rPr>
        <w:t xml:space="preserve"> en la vigencia 2013 del 84%, en 2014 bajó al </w:t>
      </w:r>
      <w:r w:rsidR="00BB1632" w:rsidRPr="00A9538F">
        <w:rPr>
          <w:rFonts w:ascii="Arial" w:hAnsi="Arial" w:cs="Arial"/>
          <w:color w:val="000000"/>
          <w:sz w:val="24"/>
          <w:szCs w:val="24"/>
          <w:lang w:val="es-ES" w:eastAsia="es-ES"/>
        </w:rPr>
        <w:t>78</w:t>
      </w:r>
      <w:r>
        <w:rPr>
          <w:rFonts w:ascii="Arial" w:hAnsi="Arial" w:cs="Arial"/>
          <w:color w:val="000000"/>
          <w:sz w:val="24"/>
          <w:szCs w:val="24"/>
          <w:lang w:val="es-ES" w:eastAsia="es-ES"/>
        </w:rPr>
        <w:t xml:space="preserve">% y al 74% en el 2015. Durante la vigencia 2016, no obstante, los recursos fueron menores, la participación de los gastos de Inversión sobre el total de gastos, se incrementó al </w:t>
      </w:r>
      <w:r w:rsidR="00BB1632">
        <w:rPr>
          <w:rFonts w:ascii="Arial" w:hAnsi="Arial" w:cs="Arial"/>
          <w:color w:val="000000"/>
          <w:sz w:val="24"/>
          <w:szCs w:val="24"/>
          <w:lang w:val="es-ES" w:eastAsia="es-ES"/>
        </w:rPr>
        <w:t>86</w:t>
      </w:r>
      <w:r w:rsidR="00BB1632" w:rsidRPr="00A9538F">
        <w:rPr>
          <w:rFonts w:ascii="Arial" w:hAnsi="Arial" w:cs="Arial"/>
          <w:color w:val="000000"/>
          <w:sz w:val="24"/>
          <w:szCs w:val="24"/>
          <w:lang w:val="es-ES" w:eastAsia="es-ES"/>
        </w:rPr>
        <w:t xml:space="preserve">% </w:t>
      </w:r>
    </w:p>
    <w:p w:rsidR="00F64917" w:rsidRDefault="001C5C88" w:rsidP="006E45D8">
      <w:pPr>
        <w:spacing w:before="100" w:beforeAutospacing="1" w:after="0" w:line="360" w:lineRule="auto"/>
        <w:jc w:val="both"/>
        <w:rPr>
          <w:rFonts w:ascii="Arial" w:hAnsi="Arial" w:cs="Arial"/>
          <w:b/>
          <w:color w:val="000000"/>
          <w:sz w:val="32"/>
          <w:szCs w:val="24"/>
          <w:highlight w:val="green"/>
          <w:lang w:val="es-ES" w:eastAsia="es-ES"/>
        </w:rPr>
      </w:pPr>
      <w:r w:rsidRPr="001C5C88">
        <w:rPr>
          <w:noProof/>
          <w:lang w:eastAsia="es-CO"/>
        </w:rPr>
        <w:lastRenderedPageBreak/>
        <w:drawing>
          <wp:inline distT="0" distB="0" distL="0" distR="0" wp14:anchorId="2301A59A" wp14:editId="113AD3EC">
            <wp:extent cx="5608818" cy="1212112"/>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6363" cy="1218065"/>
                    </a:xfrm>
                    <a:prstGeom prst="rect">
                      <a:avLst/>
                    </a:prstGeom>
                    <a:noFill/>
                    <a:ln>
                      <a:noFill/>
                    </a:ln>
                  </pic:spPr>
                </pic:pic>
              </a:graphicData>
            </a:graphic>
          </wp:inline>
        </w:drawing>
      </w:r>
    </w:p>
    <w:p w:rsidR="00080154" w:rsidRDefault="00BB1632" w:rsidP="006E45D8">
      <w:pPr>
        <w:spacing w:before="100" w:beforeAutospacing="1" w:after="0"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Según el informe de la Dirección de Apoyo Fiscal l</w:t>
      </w:r>
      <w:r w:rsidR="005828BB">
        <w:rPr>
          <w:rFonts w:ascii="Arial" w:hAnsi="Arial" w:cs="Arial"/>
          <w:color w:val="000000"/>
          <w:sz w:val="24"/>
          <w:szCs w:val="24"/>
          <w:lang w:val="es-ES" w:eastAsia="es-ES"/>
        </w:rPr>
        <w:t>os compromisos de inversión en 2016 financiados con recursos diferentes al SGR se redujeron 33% en términos reales respecto al 2015</w:t>
      </w:r>
      <w:r>
        <w:rPr>
          <w:rFonts w:ascii="Arial" w:hAnsi="Arial" w:cs="Arial"/>
          <w:color w:val="000000"/>
          <w:sz w:val="24"/>
          <w:szCs w:val="24"/>
          <w:lang w:val="es-ES" w:eastAsia="es-ES"/>
        </w:rPr>
        <w:t>,</w:t>
      </w:r>
      <w:r w:rsidR="005828BB">
        <w:rPr>
          <w:rFonts w:ascii="Arial" w:hAnsi="Arial" w:cs="Arial"/>
          <w:color w:val="000000"/>
          <w:sz w:val="24"/>
          <w:szCs w:val="24"/>
          <w:lang w:val="es-ES" w:eastAsia="es-ES"/>
        </w:rPr>
        <w:t xml:space="preserve"> como consecuencia de la reducción de los desembolsos del crédito, el inicio de un nuevo periodo de gobierno y los retrasos presentados en la aprobación del nuevo Plan de Desarrollo Departamental.</w:t>
      </w:r>
      <w:r w:rsidR="005828BB">
        <w:rPr>
          <w:rStyle w:val="Refdenotaalpie"/>
          <w:rFonts w:ascii="Arial" w:hAnsi="Arial" w:cs="Arial"/>
          <w:color w:val="000000"/>
          <w:sz w:val="24"/>
          <w:szCs w:val="24"/>
          <w:lang w:val="es-ES" w:eastAsia="es-ES"/>
        </w:rPr>
        <w:footnoteReference w:id="23"/>
      </w:r>
    </w:p>
    <w:p w:rsidR="002A4568" w:rsidRDefault="002A4568" w:rsidP="00AC7B64">
      <w:pPr>
        <w:pStyle w:val="Ttulo2"/>
        <w:numPr>
          <w:ilvl w:val="0"/>
          <w:numId w:val="0"/>
        </w:numPr>
        <w:jc w:val="both"/>
      </w:pPr>
    </w:p>
    <w:p w:rsidR="000671EA" w:rsidRDefault="00DA3891" w:rsidP="00122A15">
      <w:pPr>
        <w:pStyle w:val="Ttulo2"/>
        <w:numPr>
          <w:ilvl w:val="0"/>
          <w:numId w:val="0"/>
        </w:numPr>
        <w:jc w:val="both"/>
      </w:pPr>
      <w:bookmarkStart w:id="11" w:name="_Toc495334895"/>
      <w:r>
        <w:t xml:space="preserve">2.3 </w:t>
      </w:r>
      <w:r w:rsidR="005017C8">
        <w:tab/>
      </w:r>
      <w:r w:rsidR="00502449">
        <w:t>DEPARTAMENTO DEL QUINDÍO</w:t>
      </w:r>
      <w:r w:rsidR="00502449" w:rsidRPr="002D6F81">
        <w:t xml:space="preserve"> </w:t>
      </w:r>
      <w:r w:rsidR="005017C8">
        <w:t xml:space="preserve">SECTOR CENTRAL  </w:t>
      </w:r>
      <w:r w:rsidR="00502449" w:rsidRPr="002D6F81">
        <w:t>VIGENCIA ACTUAL 2017</w:t>
      </w:r>
      <w:bookmarkEnd w:id="11"/>
    </w:p>
    <w:p w:rsidR="005017C8" w:rsidRPr="005017C8" w:rsidRDefault="005017C8" w:rsidP="005017C8"/>
    <w:p w:rsidR="00287676" w:rsidRPr="00502449" w:rsidRDefault="00287676" w:rsidP="00287676">
      <w:pPr>
        <w:pStyle w:val="Ttulo3"/>
        <w:rPr>
          <w:lang w:val="es-ES" w:eastAsia="es-ES"/>
        </w:rPr>
      </w:pPr>
      <w:bookmarkStart w:id="12" w:name="_Toc495133539"/>
      <w:bookmarkStart w:id="13" w:name="_Toc495334896"/>
      <w:r w:rsidRPr="00502449">
        <w:rPr>
          <w:lang w:val="es-ES" w:eastAsia="es-ES"/>
        </w:rPr>
        <w:t xml:space="preserve">2.3.1 </w:t>
      </w:r>
      <w:r>
        <w:rPr>
          <w:lang w:val="es-ES" w:eastAsia="es-ES"/>
        </w:rPr>
        <w:tab/>
        <w:t>Ejecución Presupuestal</w:t>
      </w:r>
      <w:bookmarkEnd w:id="12"/>
      <w:bookmarkEnd w:id="13"/>
      <w:r>
        <w:rPr>
          <w:lang w:val="es-ES" w:eastAsia="es-ES"/>
        </w:rPr>
        <w:t xml:space="preserve"> </w:t>
      </w:r>
    </w:p>
    <w:p w:rsidR="00287676" w:rsidRDefault="00287676" w:rsidP="00287676">
      <w:pPr>
        <w:pStyle w:val="Ttulo4"/>
        <w:rPr>
          <w:lang w:val="es-ES" w:eastAsia="es-ES"/>
        </w:rPr>
      </w:pPr>
      <w:r>
        <w:rPr>
          <w:lang w:val="es-ES" w:eastAsia="es-ES"/>
        </w:rPr>
        <w:t>2.3.1.1 Ingresos corte 30 de Septiembre de 2017</w:t>
      </w:r>
    </w:p>
    <w:p w:rsidR="00287676" w:rsidRPr="00287676" w:rsidRDefault="00287676" w:rsidP="004E73AA">
      <w:pPr>
        <w:spacing w:before="100" w:beforeAutospacing="1" w:after="100" w:afterAutospacing="1" w:line="360" w:lineRule="auto"/>
        <w:jc w:val="both"/>
        <w:rPr>
          <w:rFonts w:ascii="Arial" w:hAnsi="Arial" w:cs="Arial"/>
          <w:b/>
          <w:color w:val="000000"/>
          <w:sz w:val="26"/>
          <w:szCs w:val="26"/>
          <w:u w:val="single"/>
          <w:lang w:val="es-ES" w:eastAsia="es-ES"/>
        </w:rPr>
      </w:pPr>
      <w:r w:rsidRPr="00287676">
        <w:rPr>
          <w:noProof/>
          <w:lang w:eastAsia="es-CO"/>
        </w:rPr>
        <w:drawing>
          <wp:inline distT="0" distB="0" distL="0" distR="0" wp14:anchorId="18E0C972" wp14:editId="029CE38C">
            <wp:extent cx="5612599" cy="1998921"/>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2199" cy="2002340"/>
                    </a:xfrm>
                    <a:prstGeom prst="rect">
                      <a:avLst/>
                    </a:prstGeom>
                    <a:noFill/>
                    <a:ln>
                      <a:noFill/>
                    </a:ln>
                  </pic:spPr>
                </pic:pic>
              </a:graphicData>
            </a:graphic>
          </wp:inline>
        </w:drawing>
      </w:r>
    </w:p>
    <w:p w:rsidR="00287676" w:rsidRPr="00287676" w:rsidRDefault="00287676" w:rsidP="00454725">
      <w:pPr>
        <w:spacing w:before="100" w:beforeAutospacing="1" w:after="100" w:afterAutospacing="1" w:line="360" w:lineRule="auto"/>
        <w:jc w:val="both"/>
        <w:rPr>
          <w:rFonts w:ascii="Arial" w:hAnsi="Arial" w:cs="Arial"/>
          <w:color w:val="000000"/>
          <w:sz w:val="24"/>
          <w:szCs w:val="24"/>
          <w:lang w:val="es-ES" w:eastAsia="es-ES"/>
        </w:rPr>
      </w:pPr>
      <w:r w:rsidRPr="00287676">
        <w:rPr>
          <w:rFonts w:ascii="Arial" w:hAnsi="Arial" w:cs="Arial"/>
          <w:color w:val="000000"/>
          <w:sz w:val="24"/>
          <w:szCs w:val="24"/>
          <w:lang w:val="es-ES" w:eastAsia="es-ES"/>
        </w:rPr>
        <w:t xml:space="preserve">El presupuesto de Ingresos definitivo para la vigencia fiscal en curso alcanza la suma de $333.837, de los cuales, a Septiembre 30, se han recaudado </w:t>
      </w:r>
      <w:r w:rsidRPr="00287676">
        <w:rPr>
          <w:rFonts w:ascii="Arial" w:hAnsi="Arial" w:cs="Arial"/>
          <w:color w:val="000000"/>
          <w:sz w:val="24"/>
          <w:szCs w:val="24"/>
          <w:lang w:val="es-ES" w:eastAsia="es-ES"/>
        </w:rPr>
        <w:lastRenderedPageBreak/>
        <w:t>$258.548millones, lo cual representa el 77% porcentaje que nos indica un buen comportamiento en el recaudo, en donde se destacan los ingresos Tributarios con una ejecución del 85% de los cuales los Impuestos Directos se destaca el cumplimiento de la meta de la vigencia, con un recaudo de 104%</w:t>
      </w:r>
    </w:p>
    <w:p w:rsidR="00287676" w:rsidRPr="00287676" w:rsidRDefault="00287676" w:rsidP="00454725">
      <w:pPr>
        <w:spacing w:before="100" w:beforeAutospacing="1" w:after="100" w:afterAutospacing="1" w:line="360" w:lineRule="auto"/>
        <w:jc w:val="both"/>
        <w:rPr>
          <w:rFonts w:ascii="Arial" w:hAnsi="Arial" w:cs="Arial"/>
          <w:color w:val="000000"/>
          <w:sz w:val="24"/>
          <w:szCs w:val="24"/>
          <w:lang w:val="es-ES" w:eastAsia="es-ES"/>
        </w:rPr>
      </w:pPr>
      <w:r w:rsidRPr="00287676">
        <w:rPr>
          <w:rFonts w:ascii="Arial" w:hAnsi="Arial" w:cs="Arial"/>
          <w:color w:val="000000"/>
          <w:sz w:val="24"/>
          <w:szCs w:val="24"/>
          <w:lang w:val="es-ES" w:eastAsia="es-ES"/>
        </w:rPr>
        <w:t>Del 77% de ejecución, el 35% corresponde a ingresos corrientes, el 53% de Fondos Especiales y el 12% a Recursos de Capital.</w:t>
      </w:r>
    </w:p>
    <w:p w:rsidR="00287676" w:rsidRPr="00287676" w:rsidRDefault="00287676" w:rsidP="00287676">
      <w:pPr>
        <w:pStyle w:val="Ttulo3"/>
        <w:rPr>
          <w:lang w:val="es-ES" w:eastAsia="es-ES"/>
        </w:rPr>
      </w:pPr>
      <w:bookmarkStart w:id="14" w:name="_Toc495133540"/>
      <w:bookmarkStart w:id="15" w:name="_Toc495334897"/>
      <w:r w:rsidRPr="00287676">
        <w:rPr>
          <w:lang w:val="es-ES" w:eastAsia="es-ES"/>
        </w:rPr>
        <w:t>2.3.1.2 Gastos corte 30 de Septiembre de 2017</w:t>
      </w:r>
      <w:bookmarkEnd w:id="14"/>
      <w:bookmarkEnd w:id="15"/>
      <w:r w:rsidRPr="00287676">
        <w:rPr>
          <w:lang w:val="es-ES" w:eastAsia="es-ES"/>
        </w:rPr>
        <w:t xml:space="preserve"> </w:t>
      </w:r>
    </w:p>
    <w:p w:rsidR="00287676" w:rsidRPr="00287676" w:rsidRDefault="00287676" w:rsidP="00287676">
      <w:pPr>
        <w:spacing w:before="100" w:beforeAutospacing="1" w:after="100" w:afterAutospacing="1" w:line="360" w:lineRule="auto"/>
        <w:jc w:val="both"/>
        <w:rPr>
          <w:rFonts w:ascii="Arial" w:hAnsi="Arial" w:cs="Arial"/>
          <w:color w:val="000000"/>
          <w:szCs w:val="24"/>
          <w:lang w:val="es-ES" w:eastAsia="es-ES"/>
        </w:rPr>
      </w:pPr>
      <w:r w:rsidRPr="00287676">
        <w:rPr>
          <w:noProof/>
          <w:lang w:eastAsia="es-CO"/>
        </w:rPr>
        <w:drawing>
          <wp:inline distT="0" distB="0" distL="0" distR="0" wp14:anchorId="57D23020" wp14:editId="358D134B">
            <wp:extent cx="5611687" cy="2254102"/>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6580" cy="2264101"/>
                    </a:xfrm>
                    <a:prstGeom prst="rect">
                      <a:avLst/>
                    </a:prstGeom>
                    <a:noFill/>
                    <a:ln>
                      <a:noFill/>
                    </a:ln>
                  </pic:spPr>
                </pic:pic>
              </a:graphicData>
            </a:graphic>
          </wp:inline>
        </w:drawing>
      </w:r>
    </w:p>
    <w:p w:rsidR="00287676" w:rsidRDefault="00287676" w:rsidP="001E5DEA">
      <w:pPr>
        <w:spacing w:before="100" w:beforeAutospacing="1" w:after="100" w:afterAutospacing="1" w:line="360" w:lineRule="auto"/>
        <w:jc w:val="both"/>
        <w:rPr>
          <w:rFonts w:ascii="Arial" w:hAnsi="Arial" w:cs="Arial"/>
          <w:color w:val="000000"/>
          <w:sz w:val="24"/>
          <w:szCs w:val="24"/>
          <w:lang w:val="es-ES" w:eastAsia="es-ES"/>
        </w:rPr>
      </w:pPr>
      <w:r w:rsidRPr="00287676">
        <w:rPr>
          <w:rFonts w:ascii="Arial" w:hAnsi="Arial" w:cs="Arial"/>
          <w:color w:val="000000"/>
          <w:sz w:val="24"/>
          <w:szCs w:val="24"/>
          <w:lang w:val="es-ES" w:eastAsia="es-ES"/>
        </w:rPr>
        <w:t>El presupuesto de gastos para la vigencia 2017 fue de $333.839millones de los cuales se han ejecutado $227.596, lo cual representa un 68% sobre lo presupuestado en donde la ejecución de la Inversión presenta una mayor participación dentro del total de los Gastos con un 75%, seguido por los gastos de funcionamiento que representan el 23% y el Servicio a la deuda 2%.</w:t>
      </w:r>
    </w:p>
    <w:p w:rsidR="008D4A10" w:rsidRPr="00287676" w:rsidRDefault="00F433A0" w:rsidP="00477796">
      <w:pPr>
        <w:pStyle w:val="Ttulo3"/>
        <w:rPr>
          <w:lang w:val="es-ES" w:eastAsia="es-ES"/>
        </w:rPr>
      </w:pPr>
      <w:bookmarkStart w:id="16" w:name="_Toc495334898"/>
      <w:r w:rsidRPr="00287676">
        <w:rPr>
          <w:lang w:val="es-ES" w:eastAsia="es-ES"/>
        </w:rPr>
        <w:t xml:space="preserve">2.3.2 Balance General Comparativo a Junio 30 </w:t>
      </w:r>
      <w:r w:rsidR="009F738F" w:rsidRPr="00287676">
        <w:rPr>
          <w:lang w:val="es-ES" w:eastAsia="es-ES"/>
        </w:rPr>
        <w:t>d</w:t>
      </w:r>
      <w:r w:rsidRPr="00287676">
        <w:rPr>
          <w:lang w:val="es-ES" w:eastAsia="es-ES"/>
        </w:rPr>
        <w:t>e 2017vs2016</w:t>
      </w:r>
      <w:bookmarkEnd w:id="16"/>
    </w:p>
    <w:p w:rsidR="005017C8" w:rsidRPr="00287676" w:rsidRDefault="005017C8" w:rsidP="005017C8">
      <w:pPr>
        <w:rPr>
          <w:lang w:val="es-ES" w:eastAsia="es-ES"/>
        </w:rPr>
      </w:pPr>
    </w:p>
    <w:p w:rsidR="00E2486F" w:rsidRPr="00287676" w:rsidRDefault="005017C8" w:rsidP="00454725">
      <w:pPr>
        <w:spacing w:before="100" w:beforeAutospacing="1" w:after="0" w:line="360" w:lineRule="auto"/>
        <w:rPr>
          <w:rFonts w:ascii="Arial" w:hAnsi="Arial" w:cs="Arial"/>
          <w:color w:val="000000"/>
          <w:sz w:val="24"/>
          <w:szCs w:val="24"/>
          <w:lang w:val="es-ES" w:eastAsia="es-ES"/>
        </w:rPr>
      </w:pPr>
      <w:r w:rsidRPr="00287676">
        <w:rPr>
          <w:rFonts w:ascii="Arial" w:hAnsi="Arial" w:cs="Arial"/>
          <w:color w:val="000000"/>
          <w:sz w:val="24"/>
          <w:szCs w:val="24"/>
          <w:lang w:val="es-ES" w:eastAsia="es-ES"/>
        </w:rPr>
        <w:t xml:space="preserve">En el siguiente tabla observamos </w:t>
      </w:r>
      <w:r w:rsidR="00E2486F" w:rsidRPr="00287676">
        <w:rPr>
          <w:rFonts w:ascii="Arial" w:hAnsi="Arial" w:cs="Arial"/>
          <w:color w:val="000000"/>
          <w:sz w:val="24"/>
          <w:szCs w:val="24"/>
          <w:lang w:val="es-ES" w:eastAsia="es-ES"/>
        </w:rPr>
        <w:t>las cifras del Balance General</w:t>
      </w:r>
      <w:r w:rsidRPr="00287676">
        <w:rPr>
          <w:rFonts w:ascii="Arial" w:hAnsi="Arial" w:cs="Arial"/>
          <w:color w:val="000000"/>
          <w:sz w:val="24"/>
          <w:szCs w:val="24"/>
          <w:lang w:val="es-ES" w:eastAsia="es-ES"/>
        </w:rPr>
        <w:t xml:space="preserve"> del Departamento del Quindío a Junio 30 de 2016 com</w:t>
      </w:r>
      <w:r w:rsidR="00E2486F" w:rsidRPr="00287676">
        <w:rPr>
          <w:rFonts w:ascii="Arial" w:hAnsi="Arial" w:cs="Arial"/>
          <w:color w:val="000000"/>
          <w:sz w:val="24"/>
          <w:szCs w:val="24"/>
          <w:lang w:val="es-ES" w:eastAsia="es-ES"/>
        </w:rPr>
        <w:t>parada con la vigencia anterior.</w:t>
      </w:r>
    </w:p>
    <w:p w:rsidR="001C5C88" w:rsidRDefault="005017C8" w:rsidP="001E5DEA">
      <w:pPr>
        <w:spacing w:before="100" w:beforeAutospacing="1" w:after="0" w:line="360" w:lineRule="auto"/>
        <w:rPr>
          <w:b/>
        </w:rPr>
        <w:sectPr w:rsidR="001C5C88" w:rsidSect="004E73AA">
          <w:pgSz w:w="12240" w:h="15840" w:code="1"/>
          <w:pgMar w:top="1418" w:right="1701" w:bottom="1418" w:left="1701" w:header="709" w:footer="709" w:gutter="0"/>
          <w:paperSrc w:first="7"/>
          <w:pgNumType w:start="1"/>
          <w:cols w:space="708"/>
          <w:docGrid w:linePitch="360"/>
        </w:sectPr>
      </w:pPr>
      <w:r w:rsidRPr="007214CE">
        <w:rPr>
          <w:rFonts w:ascii="Arial" w:hAnsi="Arial" w:cs="Arial"/>
          <w:color w:val="000000"/>
          <w:sz w:val="24"/>
          <w:szCs w:val="24"/>
          <w:highlight w:val="green"/>
          <w:lang w:val="es-ES" w:eastAsia="es-ES"/>
        </w:rPr>
        <w:lastRenderedPageBreak/>
        <w:t xml:space="preserve"> </w:t>
      </w:r>
      <w:r w:rsidR="007214CE" w:rsidRPr="00287676">
        <w:rPr>
          <w:noProof/>
          <w:lang w:eastAsia="es-CO"/>
        </w:rPr>
        <w:drawing>
          <wp:inline distT="0" distB="0" distL="0" distR="0" wp14:anchorId="002A02A9" wp14:editId="66B4BBC6">
            <wp:extent cx="5613400" cy="250067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3400" cy="2500674"/>
                    </a:xfrm>
                    <a:prstGeom prst="rect">
                      <a:avLst/>
                    </a:prstGeom>
                    <a:noFill/>
                    <a:ln>
                      <a:noFill/>
                    </a:ln>
                  </pic:spPr>
                </pic:pic>
              </a:graphicData>
            </a:graphic>
          </wp:inline>
        </w:drawing>
      </w:r>
      <w:r w:rsidR="001C5C88" w:rsidRPr="007214CE">
        <w:rPr>
          <w:b/>
        </w:rPr>
        <w:br w:type="page"/>
      </w:r>
    </w:p>
    <w:p w:rsidR="001C5C88" w:rsidRDefault="001C5C88" w:rsidP="00454725">
      <w:pPr>
        <w:jc w:val="center"/>
        <w:rPr>
          <w:b/>
        </w:rPr>
      </w:pPr>
      <w:r>
        <w:rPr>
          <w:b/>
          <w:noProof/>
          <w:lang w:eastAsia="es-CO"/>
        </w:rPr>
        <w:lastRenderedPageBreak/>
        <w:drawing>
          <wp:inline distT="0" distB="0" distL="0" distR="0" wp14:anchorId="3E94857B" wp14:editId="62D18CC8">
            <wp:extent cx="8193974" cy="530476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18866" cy="5320883"/>
                    </a:xfrm>
                    <a:prstGeom prst="rect">
                      <a:avLst/>
                    </a:prstGeom>
                    <a:noFill/>
                  </pic:spPr>
                </pic:pic>
              </a:graphicData>
            </a:graphic>
          </wp:inline>
        </w:drawing>
      </w:r>
    </w:p>
    <w:p w:rsidR="001C5C88" w:rsidRDefault="001C5C88" w:rsidP="00477796">
      <w:pPr>
        <w:rPr>
          <w:b/>
        </w:rPr>
        <w:sectPr w:rsidR="001C5C88" w:rsidSect="00454725">
          <w:footerReference w:type="default" r:id="rId31"/>
          <w:pgSz w:w="15842" w:h="12242" w:orient="landscape" w:code="1"/>
          <w:pgMar w:top="1701" w:right="1418" w:bottom="1701" w:left="1418" w:header="709" w:footer="709" w:gutter="0"/>
          <w:cols w:space="708"/>
          <w:docGrid w:linePitch="360"/>
        </w:sectPr>
      </w:pPr>
    </w:p>
    <w:p w:rsidR="005B2E2D" w:rsidRDefault="005B2E2D" w:rsidP="005B2E2D">
      <w:pPr>
        <w:pStyle w:val="Ttulo4"/>
      </w:pPr>
      <w:r>
        <w:lastRenderedPageBreak/>
        <w:t xml:space="preserve">2.3.2.1 </w:t>
      </w:r>
      <w:r w:rsidRPr="00DF3C8B">
        <w:t xml:space="preserve">Análisis del Balance General (Cifras en Millones de </w:t>
      </w:r>
      <w:r w:rsidRPr="000D73EE">
        <w:t xml:space="preserve">Pesos) </w:t>
      </w:r>
    </w:p>
    <w:p w:rsidR="00AC7B64" w:rsidRPr="00AC7B64" w:rsidRDefault="00AC7B64" w:rsidP="00477796">
      <w:pPr>
        <w:rPr>
          <w:b/>
        </w:rPr>
      </w:pPr>
    </w:p>
    <w:p w:rsidR="004D1BC9" w:rsidRPr="00DF3C8B" w:rsidRDefault="004D1BC9" w:rsidP="006E45D8">
      <w:pPr>
        <w:spacing w:line="360" w:lineRule="auto"/>
        <w:jc w:val="both"/>
        <w:rPr>
          <w:rFonts w:ascii="Arial" w:hAnsi="Arial" w:cs="Arial"/>
          <w:sz w:val="24"/>
        </w:rPr>
      </w:pPr>
      <w:r w:rsidRPr="00DF3C8B">
        <w:rPr>
          <w:rFonts w:ascii="Arial" w:hAnsi="Arial" w:cs="Arial"/>
          <w:sz w:val="24"/>
        </w:rPr>
        <w:t xml:space="preserve">De los informes financieros del Departamento del Quindío hacen parte los resultados financieros de la Gobernación del Quindío con, de 54 Instituciones Educativas y la Contraloría General del Departamento, los cuales están consolidados en el presente informe. Las cifras se presentan en millones de pesos las partidas se presentan con clasificación sugerida por la Contaduría General de la Nación en su Sistema </w:t>
      </w:r>
      <w:r w:rsidR="00AA1B96" w:rsidRPr="00DF3C8B">
        <w:rPr>
          <w:rFonts w:ascii="Arial" w:hAnsi="Arial" w:cs="Arial"/>
          <w:sz w:val="24"/>
        </w:rPr>
        <w:t>Consolidado</w:t>
      </w:r>
      <w:r w:rsidRPr="00DF3C8B">
        <w:rPr>
          <w:rFonts w:ascii="Arial" w:hAnsi="Arial" w:cs="Arial"/>
          <w:sz w:val="24"/>
        </w:rPr>
        <w:t xml:space="preserve"> de Hacienda Publica CHIP</w:t>
      </w:r>
    </w:p>
    <w:p w:rsidR="004D1BC9" w:rsidRPr="00DF3C8B" w:rsidRDefault="004D1BC9" w:rsidP="006E45D8">
      <w:pPr>
        <w:spacing w:line="360" w:lineRule="auto"/>
        <w:rPr>
          <w:rFonts w:ascii="Arial" w:hAnsi="Arial" w:cs="Arial"/>
          <w:b/>
          <w:sz w:val="24"/>
          <w:szCs w:val="24"/>
        </w:rPr>
      </w:pPr>
      <w:r w:rsidRPr="00DF3C8B">
        <w:rPr>
          <w:rFonts w:ascii="Arial" w:hAnsi="Arial" w:cs="Arial"/>
          <w:b/>
          <w:sz w:val="24"/>
          <w:szCs w:val="24"/>
        </w:rPr>
        <w:t>ACTIVO</w:t>
      </w:r>
    </w:p>
    <w:p w:rsidR="004D1BC9" w:rsidRPr="00DF3C8B" w:rsidRDefault="004D1BC9" w:rsidP="006E45D8">
      <w:pPr>
        <w:spacing w:line="360" w:lineRule="auto"/>
        <w:jc w:val="both"/>
        <w:rPr>
          <w:rFonts w:ascii="Arial" w:hAnsi="Arial" w:cs="Arial"/>
          <w:b/>
          <w:sz w:val="24"/>
          <w:szCs w:val="24"/>
        </w:rPr>
      </w:pPr>
      <w:r w:rsidRPr="00DF3C8B">
        <w:rPr>
          <w:rFonts w:ascii="Arial" w:hAnsi="Arial" w:cs="Arial"/>
          <w:sz w:val="24"/>
          <w:szCs w:val="24"/>
        </w:rPr>
        <w:t>Representa los bienes y derechos que posee el Departamento del Quindío, los cuales pueden generarle un flujo futuro de recursos.</w:t>
      </w:r>
    </w:p>
    <w:p w:rsidR="004D1BC9" w:rsidRPr="00DF3C8B" w:rsidRDefault="004D1BC9" w:rsidP="006E45D8">
      <w:pPr>
        <w:spacing w:line="360" w:lineRule="auto"/>
        <w:jc w:val="both"/>
        <w:rPr>
          <w:rFonts w:ascii="Arial" w:hAnsi="Arial" w:cs="Arial"/>
          <w:sz w:val="24"/>
          <w:szCs w:val="24"/>
        </w:rPr>
      </w:pPr>
      <w:r w:rsidRPr="00DF3C8B">
        <w:rPr>
          <w:rFonts w:ascii="Arial" w:hAnsi="Arial" w:cs="Arial"/>
          <w:sz w:val="24"/>
          <w:szCs w:val="24"/>
        </w:rPr>
        <w:t>Al corte del 30 de Junio de 2017 los activos cerraron el periodo con un total de $</w:t>
      </w:r>
      <w:r w:rsidR="00DF3C8B">
        <w:rPr>
          <w:rFonts w:ascii="Arial" w:hAnsi="Arial" w:cs="Arial"/>
          <w:sz w:val="24"/>
          <w:szCs w:val="24"/>
        </w:rPr>
        <w:t>754.657</w:t>
      </w:r>
      <w:r w:rsidR="00B54B71">
        <w:rPr>
          <w:rFonts w:ascii="Arial" w:hAnsi="Arial" w:cs="Arial"/>
          <w:sz w:val="24"/>
          <w:szCs w:val="24"/>
        </w:rPr>
        <w:t>millones,</w:t>
      </w:r>
      <w:r w:rsidR="00DF3C8B">
        <w:rPr>
          <w:rFonts w:ascii="Arial" w:hAnsi="Arial" w:cs="Arial"/>
          <w:sz w:val="24"/>
          <w:szCs w:val="24"/>
        </w:rPr>
        <w:t xml:space="preserve"> </w:t>
      </w:r>
      <w:r w:rsidRPr="00DF3C8B">
        <w:rPr>
          <w:rFonts w:ascii="Arial" w:hAnsi="Arial" w:cs="Arial"/>
          <w:sz w:val="24"/>
          <w:szCs w:val="24"/>
        </w:rPr>
        <w:t xml:space="preserve">presentando un aumento del 2.31%. </w:t>
      </w:r>
      <w:r w:rsidR="00E2486F">
        <w:rPr>
          <w:rFonts w:ascii="Arial" w:hAnsi="Arial" w:cs="Arial"/>
          <w:sz w:val="24"/>
          <w:szCs w:val="24"/>
        </w:rPr>
        <w:t>respecto a la vigencia anterior,</w:t>
      </w:r>
    </w:p>
    <w:p w:rsidR="004D1BC9" w:rsidRPr="001E5DEA" w:rsidRDefault="001E5DEA" w:rsidP="006E45D8">
      <w:pPr>
        <w:spacing w:line="360" w:lineRule="auto"/>
        <w:jc w:val="both"/>
        <w:rPr>
          <w:rFonts w:ascii="Arial" w:hAnsi="Arial" w:cs="Arial"/>
          <w:b/>
          <w:sz w:val="24"/>
          <w:u w:val="single"/>
        </w:rPr>
      </w:pPr>
      <w:r>
        <w:rPr>
          <w:rFonts w:ascii="Arial" w:hAnsi="Arial" w:cs="Arial"/>
          <w:b/>
          <w:sz w:val="24"/>
          <w:u w:val="single"/>
        </w:rPr>
        <w:t xml:space="preserve">Activos Corrientes   </w:t>
      </w:r>
      <w:r w:rsidR="004D1BC9" w:rsidRPr="00DF3C8B">
        <w:rPr>
          <w:rFonts w:ascii="Arial" w:hAnsi="Arial" w:cs="Arial"/>
          <w:sz w:val="24"/>
        </w:rPr>
        <w:t>Las partidas del activo disponibles a corto plazo para respaldar las obligaciones de corto plazo cerraron con un total de $</w:t>
      </w:r>
      <w:r w:rsidR="005A3F06">
        <w:rPr>
          <w:rFonts w:ascii="Arial" w:hAnsi="Arial" w:cs="Arial"/>
          <w:sz w:val="24"/>
        </w:rPr>
        <w:t>127.604</w:t>
      </w:r>
      <w:r w:rsidR="00B54B71">
        <w:rPr>
          <w:rFonts w:ascii="Arial" w:hAnsi="Arial" w:cs="Arial"/>
          <w:sz w:val="24"/>
        </w:rPr>
        <w:t>millones,</w:t>
      </w:r>
      <w:r w:rsidR="004D1BC9" w:rsidRPr="00DF3C8B">
        <w:rPr>
          <w:rFonts w:ascii="Arial" w:hAnsi="Arial" w:cs="Arial"/>
          <w:sz w:val="24"/>
        </w:rPr>
        <w:t xml:space="preserve"> representando el efectivo $</w:t>
      </w:r>
      <w:r w:rsidR="005A3F06">
        <w:rPr>
          <w:rFonts w:ascii="Arial" w:hAnsi="Arial" w:cs="Arial"/>
          <w:sz w:val="24"/>
        </w:rPr>
        <w:t>79.491</w:t>
      </w:r>
      <w:r w:rsidR="00B54B71">
        <w:rPr>
          <w:rFonts w:ascii="Arial" w:hAnsi="Arial" w:cs="Arial"/>
          <w:sz w:val="24"/>
        </w:rPr>
        <w:t>millones,</w:t>
      </w:r>
      <w:r w:rsidR="00E2486F">
        <w:rPr>
          <w:rFonts w:ascii="Arial" w:hAnsi="Arial" w:cs="Arial"/>
          <w:sz w:val="24"/>
        </w:rPr>
        <w:t xml:space="preserve"> </w:t>
      </w:r>
      <w:r w:rsidR="004D1BC9" w:rsidRPr="00C31720">
        <w:rPr>
          <w:rFonts w:ascii="Arial" w:hAnsi="Arial" w:cs="Arial"/>
          <w:sz w:val="24"/>
        </w:rPr>
        <w:t>Re</w:t>
      </w:r>
      <w:r w:rsidR="00E2486F" w:rsidRPr="00C31720">
        <w:rPr>
          <w:rFonts w:ascii="Arial" w:hAnsi="Arial" w:cs="Arial"/>
          <w:sz w:val="24"/>
        </w:rPr>
        <w:t>ntas por Cobrar $663</w:t>
      </w:r>
      <w:r w:rsidR="00B54B71" w:rsidRPr="00C31720">
        <w:rPr>
          <w:rFonts w:ascii="Arial" w:hAnsi="Arial" w:cs="Arial"/>
          <w:sz w:val="24"/>
        </w:rPr>
        <w:t>millones</w:t>
      </w:r>
      <w:r w:rsidR="004D1BC9" w:rsidRPr="00C31720">
        <w:rPr>
          <w:rFonts w:ascii="Arial" w:hAnsi="Arial" w:cs="Arial"/>
          <w:sz w:val="24"/>
        </w:rPr>
        <w:t xml:space="preserve">, </w:t>
      </w:r>
      <w:r w:rsidR="004D1BC9" w:rsidRPr="00DF3C8B">
        <w:rPr>
          <w:rFonts w:ascii="Arial" w:hAnsi="Arial" w:cs="Arial"/>
          <w:sz w:val="24"/>
        </w:rPr>
        <w:t>Deudores $</w:t>
      </w:r>
      <w:r w:rsidR="005A3F06">
        <w:rPr>
          <w:rFonts w:ascii="Arial" w:hAnsi="Arial" w:cs="Arial"/>
          <w:sz w:val="24"/>
        </w:rPr>
        <w:t>14.294</w:t>
      </w:r>
      <w:r w:rsidR="00B54B71">
        <w:rPr>
          <w:rFonts w:ascii="Arial" w:hAnsi="Arial" w:cs="Arial"/>
          <w:sz w:val="24"/>
        </w:rPr>
        <w:t>millones, I</w:t>
      </w:r>
      <w:r w:rsidR="004D1BC9" w:rsidRPr="00DF3C8B">
        <w:rPr>
          <w:rFonts w:ascii="Arial" w:hAnsi="Arial" w:cs="Arial"/>
          <w:sz w:val="24"/>
        </w:rPr>
        <w:t>nventarios $115.196</w:t>
      </w:r>
      <w:r w:rsidR="00B54B71">
        <w:rPr>
          <w:rFonts w:ascii="Arial" w:hAnsi="Arial" w:cs="Arial"/>
          <w:sz w:val="24"/>
        </w:rPr>
        <w:t>millones</w:t>
      </w:r>
      <w:r w:rsidR="004D1BC9" w:rsidRPr="00DF3C8B">
        <w:rPr>
          <w:rFonts w:ascii="Arial" w:hAnsi="Arial" w:cs="Arial"/>
          <w:sz w:val="24"/>
        </w:rPr>
        <w:t xml:space="preserve"> y Otros Activos con $</w:t>
      </w:r>
      <w:r w:rsidR="005A3F06">
        <w:rPr>
          <w:rFonts w:ascii="Arial" w:hAnsi="Arial" w:cs="Arial"/>
          <w:sz w:val="24"/>
        </w:rPr>
        <w:t>33.039</w:t>
      </w:r>
      <w:r w:rsidR="00B54B71">
        <w:rPr>
          <w:rFonts w:ascii="Arial" w:hAnsi="Arial" w:cs="Arial"/>
          <w:sz w:val="24"/>
        </w:rPr>
        <w:t>millones.</w:t>
      </w:r>
    </w:p>
    <w:p w:rsidR="004D1BC9" w:rsidRDefault="004D1BC9" w:rsidP="006E45D8">
      <w:pPr>
        <w:spacing w:line="360" w:lineRule="auto"/>
        <w:jc w:val="both"/>
        <w:rPr>
          <w:rFonts w:ascii="Arial" w:hAnsi="Arial" w:cs="Arial"/>
          <w:sz w:val="24"/>
        </w:rPr>
      </w:pPr>
      <w:r w:rsidRPr="00DF3C8B">
        <w:rPr>
          <w:rFonts w:ascii="Arial" w:hAnsi="Arial" w:cs="Arial"/>
          <w:b/>
          <w:sz w:val="24"/>
          <w:u w:val="single"/>
        </w:rPr>
        <w:t>Activos No Corrientes</w:t>
      </w:r>
      <w:r w:rsidR="001E5DEA">
        <w:rPr>
          <w:rFonts w:ascii="Arial" w:hAnsi="Arial" w:cs="Arial"/>
          <w:b/>
          <w:sz w:val="24"/>
          <w:u w:val="single"/>
        </w:rPr>
        <w:t xml:space="preserve">  </w:t>
      </w:r>
      <w:r w:rsidRPr="00DF3C8B">
        <w:rPr>
          <w:rFonts w:ascii="Arial" w:hAnsi="Arial" w:cs="Arial"/>
          <w:sz w:val="24"/>
        </w:rPr>
        <w:t>Estos activos al cierre del primer</w:t>
      </w:r>
      <w:r w:rsidR="008063DC">
        <w:rPr>
          <w:rFonts w:ascii="Arial" w:hAnsi="Arial" w:cs="Arial"/>
          <w:sz w:val="24"/>
        </w:rPr>
        <w:t xml:space="preserve"> semestre de 2017</w:t>
      </w:r>
      <w:r w:rsidRPr="00DF3C8B">
        <w:rPr>
          <w:rFonts w:ascii="Arial" w:hAnsi="Arial" w:cs="Arial"/>
          <w:sz w:val="24"/>
        </w:rPr>
        <w:t xml:space="preserve"> arrojaron un total de $</w:t>
      </w:r>
      <w:r w:rsidR="0091028D">
        <w:rPr>
          <w:rFonts w:ascii="Arial" w:hAnsi="Arial" w:cs="Arial"/>
          <w:sz w:val="24"/>
        </w:rPr>
        <w:t>627.053</w:t>
      </w:r>
      <w:r w:rsidR="00B54B71">
        <w:rPr>
          <w:rFonts w:ascii="Arial" w:hAnsi="Arial" w:cs="Arial"/>
          <w:sz w:val="24"/>
        </w:rPr>
        <w:t>millones</w:t>
      </w:r>
      <w:r w:rsidRPr="00DF3C8B">
        <w:rPr>
          <w:rFonts w:ascii="Arial" w:hAnsi="Arial" w:cs="Arial"/>
          <w:sz w:val="24"/>
        </w:rPr>
        <w:t>, representado por inversiones patrimoniales $14.</w:t>
      </w:r>
      <w:r w:rsidR="0091028D">
        <w:rPr>
          <w:rFonts w:ascii="Arial" w:hAnsi="Arial" w:cs="Arial"/>
          <w:sz w:val="24"/>
        </w:rPr>
        <w:t>507</w:t>
      </w:r>
      <w:r w:rsidR="00B54B71">
        <w:rPr>
          <w:rFonts w:ascii="Arial" w:hAnsi="Arial" w:cs="Arial"/>
          <w:sz w:val="24"/>
        </w:rPr>
        <w:t>millones</w:t>
      </w:r>
      <w:r w:rsidRPr="00DF3C8B">
        <w:rPr>
          <w:rFonts w:ascii="Arial" w:hAnsi="Arial" w:cs="Arial"/>
          <w:sz w:val="24"/>
        </w:rPr>
        <w:t xml:space="preserve"> Rentas por cobrar de vigencias anteriores $</w:t>
      </w:r>
      <w:r w:rsidR="0091028D">
        <w:rPr>
          <w:rFonts w:ascii="Arial" w:hAnsi="Arial" w:cs="Arial"/>
          <w:sz w:val="24"/>
        </w:rPr>
        <w:t>6.201</w:t>
      </w:r>
      <w:r w:rsidR="00B54B71">
        <w:rPr>
          <w:rFonts w:ascii="Arial" w:hAnsi="Arial" w:cs="Arial"/>
          <w:sz w:val="24"/>
        </w:rPr>
        <w:t>millones,</w:t>
      </w:r>
      <w:r w:rsidRPr="00DF3C8B">
        <w:rPr>
          <w:rFonts w:ascii="Arial" w:hAnsi="Arial" w:cs="Arial"/>
          <w:sz w:val="24"/>
        </w:rPr>
        <w:t xml:space="preserve"> Deudores $</w:t>
      </w:r>
      <w:r w:rsidR="0091028D">
        <w:rPr>
          <w:rFonts w:ascii="Arial" w:hAnsi="Arial" w:cs="Arial"/>
          <w:sz w:val="24"/>
        </w:rPr>
        <w:t>30.250</w:t>
      </w:r>
      <w:r w:rsidR="00B54B71">
        <w:rPr>
          <w:rFonts w:ascii="Arial" w:hAnsi="Arial" w:cs="Arial"/>
          <w:sz w:val="24"/>
        </w:rPr>
        <w:t>millones</w:t>
      </w:r>
      <w:r w:rsidRPr="00DF3C8B">
        <w:rPr>
          <w:rFonts w:ascii="Arial" w:hAnsi="Arial" w:cs="Arial"/>
          <w:sz w:val="24"/>
        </w:rPr>
        <w:t>, Propiedad Planta y Equipo $65.</w:t>
      </w:r>
      <w:r w:rsidR="0091028D">
        <w:rPr>
          <w:rFonts w:ascii="Arial" w:hAnsi="Arial" w:cs="Arial"/>
          <w:sz w:val="24"/>
        </w:rPr>
        <w:t>314</w:t>
      </w:r>
      <w:r w:rsidR="00B54B71">
        <w:rPr>
          <w:rFonts w:ascii="Arial" w:hAnsi="Arial" w:cs="Arial"/>
          <w:sz w:val="24"/>
        </w:rPr>
        <w:t>millones</w:t>
      </w:r>
      <w:r w:rsidRPr="00DF3C8B">
        <w:rPr>
          <w:rFonts w:ascii="Arial" w:hAnsi="Arial" w:cs="Arial"/>
          <w:sz w:val="24"/>
        </w:rPr>
        <w:t>, Bienes d</w:t>
      </w:r>
      <w:r w:rsidR="00B54B71">
        <w:rPr>
          <w:rFonts w:ascii="Arial" w:hAnsi="Arial" w:cs="Arial"/>
          <w:sz w:val="24"/>
        </w:rPr>
        <w:t>e Beneficio y Uso P</w:t>
      </w:r>
      <w:r w:rsidR="0091028D">
        <w:rPr>
          <w:rFonts w:ascii="Arial" w:hAnsi="Arial" w:cs="Arial"/>
          <w:sz w:val="24"/>
        </w:rPr>
        <w:t>úblico, $42.490</w:t>
      </w:r>
      <w:r w:rsidR="00B54B71">
        <w:rPr>
          <w:rFonts w:ascii="Arial" w:hAnsi="Arial" w:cs="Arial"/>
          <w:sz w:val="24"/>
        </w:rPr>
        <w:t>millones</w:t>
      </w:r>
      <w:r w:rsidRPr="00DF3C8B">
        <w:rPr>
          <w:rFonts w:ascii="Arial" w:hAnsi="Arial" w:cs="Arial"/>
          <w:sz w:val="24"/>
        </w:rPr>
        <w:t xml:space="preserve"> y otros activos con $</w:t>
      </w:r>
      <w:r w:rsidR="0091028D">
        <w:rPr>
          <w:rFonts w:ascii="Arial" w:hAnsi="Arial" w:cs="Arial"/>
          <w:sz w:val="24"/>
        </w:rPr>
        <w:t>470.288</w:t>
      </w:r>
      <w:r w:rsidR="00B54B71">
        <w:rPr>
          <w:rFonts w:ascii="Arial" w:hAnsi="Arial" w:cs="Arial"/>
          <w:sz w:val="24"/>
        </w:rPr>
        <w:t>millones</w:t>
      </w:r>
      <w:r w:rsidRPr="00DF3C8B">
        <w:rPr>
          <w:rFonts w:ascii="Arial" w:hAnsi="Arial" w:cs="Arial"/>
          <w:sz w:val="24"/>
        </w:rPr>
        <w:t xml:space="preserve">. </w:t>
      </w:r>
    </w:p>
    <w:p w:rsidR="003316AD" w:rsidRPr="007A6FA4" w:rsidRDefault="003316AD" w:rsidP="006E45D8">
      <w:pPr>
        <w:tabs>
          <w:tab w:val="left" w:pos="1114"/>
        </w:tabs>
        <w:spacing w:line="360" w:lineRule="auto"/>
        <w:jc w:val="both"/>
        <w:rPr>
          <w:rFonts w:ascii="Arial" w:hAnsi="Arial" w:cs="Arial"/>
          <w:b/>
        </w:rPr>
      </w:pPr>
      <w:r w:rsidRPr="007A6FA4">
        <w:rPr>
          <w:rFonts w:ascii="Arial" w:hAnsi="Arial" w:cs="Arial"/>
          <w:b/>
        </w:rPr>
        <w:t>PASIVOS</w:t>
      </w:r>
    </w:p>
    <w:p w:rsidR="004D1BC9" w:rsidRPr="0091028D" w:rsidRDefault="004D1BC9" w:rsidP="006E45D8">
      <w:pPr>
        <w:spacing w:line="360" w:lineRule="auto"/>
        <w:jc w:val="both"/>
        <w:rPr>
          <w:rFonts w:ascii="Arial" w:hAnsi="Arial" w:cs="Arial"/>
          <w:sz w:val="24"/>
        </w:rPr>
      </w:pPr>
      <w:r w:rsidRPr="0091028D">
        <w:rPr>
          <w:rFonts w:ascii="Arial" w:hAnsi="Arial" w:cs="Arial"/>
          <w:sz w:val="24"/>
        </w:rPr>
        <w:t>Las Obligaciones a corto y largo plazo que se revelan en el informe</w:t>
      </w:r>
      <w:r w:rsidR="003316AD" w:rsidRPr="0091028D">
        <w:rPr>
          <w:rFonts w:ascii="Arial" w:hAnsi="Arial" w:cs="Arial"/>
          <w:sz w:val="24"/>
        </w:rPr>
        <w:t xml:space="preserve"> con corte a 30 de Junio de 2017</w:t>
      </w:r>
      <w:r w:rsidRPr="0091028D">
        <w:rPr>
          <w:rFonts w:ascii="Arial" w:hAnsi="Arial" w:cs="Arial"/>
          <w:sz w:val="24"/>
        </w:rPr>
        <w:t xml:space="preserve"> </w:t>
      </w:r>
      <w:r w:rsidR="0091028D" w:rsidRPr="0091028D">
        <w:rPr>
          <w:rFonts w:ascii="Arial" w:hAnsi="Arial" w:cs="Arial"/>
          <w:sz w:val="24"/>
        </w:rPr>
        <w:t>suman</w:t>
      </w:r>
      <w:r w:rsidRPr="0091028D">
        <w:rPr>
          <w:rFonts w:ascii="Arial" w:hAnsi="Arial" w:cs="Arial"/>
          <w:sz w:val="24"/>
        </w:rPr>
        <w:t xml:space="preserve"> un total de $</w:t>
      </w:r>
      <w:r w:rsidR="00F414A8">
        <w:rPr>
          <w:rFonts w:ascii="Arial" w:hAnsi="Arial" w:cs="Arial"/>
          <w:sz w:val="24"/>
        </w:rPr>
        <w:t>244.206</w:t>
      </w:r>
      <w:r w:rsidR="00B54B71">
        <w:rPr>
          <w:rFonts w:ascii="Arial" w:hAnsi="Arial" w:cs="Arial"/>
          <w:sz w:val="24"/>
        </w:rPr>
        <w:t>millones</w:t>
      </w:r>
      <w:r w:rsidRPr="0091028D">
        <w:rPr>
          <w:rFonts w:ascii="Arial" w:hAnsi="Arial" w:cs="Arial"/>
          <w:sz w:val="24"/>
        </w:rPr>
        <w:t xml:space="preserve">; este </w:t>
      </w:r>
      <w:r w:rsidR="008430F0" w:rsidRPr="0091028D">
        <w:rPr>
          <w:rFonts w:ascii="Arial" w:hAnsi="Arial" w:cs="Arial"/>
          <w:sz w:val="24"/>
        </w:rPr>
        <w:t>de</w:t>
      </w:r>
      <w:r w:rsidRPr="0091028D">
        <w:rPr>
          <w:rFonts w:ascii="Arial" w:hAnsi="Arial" w:cs="Arial"/>
          <w:sz w:val="24"/>
        </w:rPr>
        <w:t>creció con relación al primer semestre de 201</w:t>
      </w:r>
      <w:r w:rsidR="003316AD" w:rsidRPr="0091028D">
        <w:rPr>
          <w:rFonts w:ascii="Arial" w:hAnsi="Arial" w:cs="Arial"/>
          <w:sz w:val="24"/>
        </w:rPr>
        <w:t>6</w:t>
      </w:r>
      <w:r w:rsidR="008430F0" w:rsidRPr="0091028D">
        <w:rPr>
          <w:rFonts w:ascii="Arial" w:hAnsi="Arial" w:cs="Arial"/>
          <w:sz w:val="24"/>
        </w:rPr>
        <w:t xml:space="preserve"> en </w:t>
      </w:r>
      <w:r w:rsidR="008430F0" w:rsidRPr="00DC6DEA">
        <w:rPr>
          <w:rFonts w:ascii="Arial" w:hAnsi="Arial" w:cs="Arial"/>
          <w:sz w:val="24"/>
        </w:rPr>
        <w:t>-11.39</w:t>
      </w:r>
      <w:r w:rsidR="00DC6DEA">
        <w:rPr>
          <w:rFonts w:ascii="Arial" w:hAnsi="Arial" w:cs="Arial"/>
          <w:sz w:val="24"/>
        </w:rPr>
        <w:t>%</w:t>
      </w:r>
      <w:r w:rsidR="008430F0" w:rsidRPr="00DC6DEA">
        <w:rPr>
          <w:rFonts w:ascii="Arial" w:hAnsi="Arial" w:cs="Arial"/>
          <w:sz w:val="24"/>
        </w:rPr>
        <w:t>.</w:t>
      </w:r>
      <w:r w:rsidRPr="00DC6DEA">
        <w:rPr>
          <w:rFonts w:ascii="Arial" w:hAnsi="Arial" w:cs="Arial"/>
          <w:sz w:val="24"/>
        </w:rPr>
        <w:t xml:space="preserve"> </w:t>
      </w:r>
      <w:r w:rsidRPr="0091028D">
        <w:rPr>
          <w:rFonts w:ascii="Arial" w:hAnsi="Arial" w:cs="Arial"/>
          <w:sz w:val="24"/>
        </w:rPr>
        <w:t>Su distribución y participación,</w:t>
      </w:r>
      <w:r w:rsidR="008430F0" w:rsidRPr="0091028D">
        <w:rPr>
          <w:rFonts w:ascii="Arial" w:hAnsi="Arial" w:cs="Arial"/>
          <w:sz w:val="24"/>
        </w:rPr>
        <w:t xml:space="preserve"> es: </w:t>
      </w:r>
      <w:r w:rsidRPr="0091028D">
        <w:rPr>
          <w:rFonts w:ascii="Arial" w:hAnsi="Arial" w:cs="Arial"/>
          <w:sz w:val="24"/>
        </w:rPr>
        <w:t>deuda pública</w:t>
      </w:r>
      <w:r w:rsidR="008430F0" w:rsidRPr="0091028D">
        <w:rPr>
          <w:rFonts w:ascii="Arial" w:hAnsi="Arial" w:cs="Arial"/>
          <w:sz w:val="24"/>
        </w:rPr>
        <w:t xml:space="preserve"> con el 1% Cuentas por pagar con el 23</w:t>
      </w:r>
      <w:r w:rsidRPr="0091028D">
        <w:rPr>
          <w:rFonts w:ascii="Arial" w:hAnsi="Arial" w:cs="Arial"/>
          <w:sz w:val="24"/>
        </w:rPr>
        <w:t>%</w:t>
      </w:r>
      <w:r w:rsidR="008430F0" w:rsidRPr="0091028D">
        <w:rPr>
          <w:rFonts w:ascii="Arial" w:hAnsi="Arial" w:cs="Arial"/>
          <w:sz w:val="24"/>
        </w:rPr>
        <w:t xml:space="preserve"> Obligaciones Laborales con el </w:t>
      </w:r>
      <w:r w:rsidR="008430F0" w:rsidRPr="0091028D">
        <w:rPr>
          <w:rFonts w:ascii="Arial" w:hAnsi="Arial" w:cs="Arial"/>
          <w:sz w:val="24"/>
        </w:rPr>
        <w:lastRenderedPageBreak/>
        <w:t>0.18</w:t>
      </w:r>
      <w:r w:rsidRPr="0091028D">
        <w:rPr>
          <w:rFonts w:ascii="Arial" w:hAnsi="Arial" w:cs="Arial"/>
          <w:sz w:val="24"/>
        </w:rPr>
        <w:t xml:space="preserve">% y </w:t>
      </w:r>
      <w:r w:rsidRPr="0004104B">
        <w:rPr>
          <w:rFonts w:ascii="Arial" w:hAnsi="Arial" w:cs="Arial"/>
          <w:sz w:val="24"/>
        </w:rPr>
        <w:t xml:space="preserve">pasivos estimados con el </w:t>
      </w:r>
      <w:r w:rsidR="00F414A8" w:rsidRPr="0004104B">
        <w:rPr>
          <w:rFonts w:ascii="Arial" w:hAnsi="Arial" w:cs="Arial"/>
          <w:sz w:val="24"/>
        </w:rPr>
        <w:t>0.85</w:t>
      </w:r>
      <w:r w:rsidRPr="0004104B">
        <w:rPr>
          <w:rFonts w:ascii="Arial" w:hAnsi="Arial" w:cs="Arial"/>
          <w:sz w:val="24"/>
        </w:rPr>
        <w:t>%</w:t>
      </w:r>
      <w:r w:rsidR="00B54B71">
        <w:rPr>
          <w:rFonts w:ascii="Arial" w:hAnsi="Arial" w:cs="Arial"/>
          <w:sz w:val="24"/>
        </w:rPr>
        <w:t xml:space="preserve"> </w:t>
      </w:r>
      <w:r w:rsidR="00F414A8" w:rsidRPr="0004104B">
        <w:rPr>
          <w:rFonts w:ascii="Arial" w:hAnsi="Arial" w:cs="Arial"/>
          <w:sz w:val="24"/>
        </w:rPr>
        <w:t>y otros pasivos 0.28%</w:t>
      </w:r>
      <w:r w:rsidRPr="0004104B">
        <w:rPr>
          <w:rFonts w:ascii="Arial" w:hAnsi="Arial" w:cs="Arial"/>
          <w:sz w:val="24"/>
        </w:rPr>
        <w:t xml:space="preserve"> dentro de este último rubro se halla la part</w:t>
      </w:r>
      <w:r w:rsidR="008430F0" w:rsidRPr="0004104B">
        <w:rPr>
          <w:rFonts w:ascii="Arial" w:hAnsi="Arial" w:cs="Arial"/>
          <w:sz w:val="24"/>
        </w:rPr>
        <w:t>ida de provisión para pensiones.</w:t>
      </w:r>
    </w:p>
    <w:p w:rsidR="004D1BC9" w:rsidRPr="0091028D" w:rsidRDefault="00AD7E23" w:rsidP="006E45D8">
      <w:pPr>
        <w:spacing w:line="360" w:lineRule="auto"/>
        <w:jc w:val="both"/>
        <w:rPr>
          <w:rFonts w:ascii="Arial" w:hAnsi="Arial" w:cs="Arial"/>
          <w:sz w:val="24"/>
        </w:rPr>
      </w:pPr>
      <w:r w:rsidRPr="0091028D">
        <w:rPr>
          <w:rFonts w:ascii="Arial" w:hAnsi="Arial" w:cs="Arial"/>
          <w:b/>
          <w:sz w:val="24"/>
          <w:u w:val="single"/>
        </w:rPr>
        <w:t>Pasivo Corriente</w:t>
      </w:r>
      <w:r w:rsidR="001E5DEA">
        <w:rPr>
          <w:rFonts w:ascii="Arial" w:hAnsi="Arial" w:cs="Arial"/>
          <w:b/>
          <w:sz w:val="24"/>
          <w:u w:val="single"/>
        </w:rPr>
        <w:t xml:space="preserve">:  </w:t>
      </w:r>
      <w:r w:rsidR="004D1BC9" w:rsidRPr="0091028D">
        <w:rPr>
          <w:rFonts w:ascii="Arial" w:hAnsi="Arial" w:cs="Arial"/>
          <w:sz w:val="24"/>
        </w:rPr>
        <w:t>Aquellas obligaciones que deben atenderse en el plazo de un año suman $</w:t>
      </w:r>
      <w:r w:rsidR="00AA1B96" w:rsidRPr="0091028D">
        <w:rPr>
          <w:rFonts w:ascii="Arial" w:hAnsi="Arial" w:cs="Arial"/>
          <w:sz w:val="24"/>
        </w:rPr>
        <w:t>62.360</w:t>
      </w:r>
      <w:r w:rsidR="004D1BC9" w:rsidRPr="0091028D">
        <w:rPr>
          <w:rFonts w:ascii="Arial" w:hAnsi="Arial" w:cs="Arial"/>
          <w:sz w:val="24"/>
        </w:rPr>
        <w:t>, representado en deuda publica en su porción corriente $</w:t>
      </w:r>
      <w:r w:rsidR="000213B0">
        <w:rPr>
          <w:rFonts w:ascii="Arial" w:hAnsi="Arial" w:cs="Arial"/>
          <w:sz w:val="24"/>
        </w:rPr>
        <w:t>2.662</w:t>
      </w:r>
      <w:r w:rsidR="00B54B71">
        <w:rPr>
          <w:rFonts w:ascii="Arial" w:hAnsi="Arial" w:cs="Arial"/>
          <w:sz w:val="24"/>
        </w:rPr>
        <w:t>millones</w:t>
      </w:r>
      <w:r w:rsidR="004D1BC9" w:rsidRPr="0091028D">
        <w:rPr>
          <w:rFonts w:ascii="Arial" w:hAnsi="Arial" w:cs="Arial"/>
          <w:sz w:val="24"/>
        </w:rPr>
        <w:t xml:space="preserve"> cuentas por pagar $</w:t>
      </w:r>
      <w:r w:rsidR="000213B0">
        <w:rPr>
          <w:rFonts w:ascii="Arial" w:hAnsi="Arial" w:cs="Arial"/>
          <w:sz w:val="24"/>
        </w:rPr>
        <w:t>56.492</w:t>
      </w:r>
      <w:r w:rsidR="00B54B71">
        <w:rPr>
          <w:rFonts w:ascii="Arial" w:hAnsi="Arial" w:cs="Arial"/>
          <w:sz w:val="24"/>
        </w:rPr>
        <w:t>millones,</w:t>
      </w:r>
      <w:r w:rsidR="004D1BC9" w:rsidRPr="0091028D">
        <w:rPr>
          <w:rFonts w:ascii="Arial" w:hAnsi="Arial" w:cs="Arial"/>
          <w:sz w:val="24"/>
        </w:rPr>
        <w:t xml:space="preserve"> Obligaciones Laborales $</w:t>
      </w:r>
      <w:r w:rsidR="000213B0">
        <w:rPr>
          <w:rFonts w:ascii="Arial" w:hAnsi="Arial" w:cs="Arial"/>
          <w:sz w:val="24"/>
        </w:rPr>
        <w:t>445</w:t>
      </w:r>
      <w:r w:rsidR="00B54B71">
        <w:rPr>
          <w:rFonts w:ascii="Arial" w:hAnsi="Arial" w:cs="Arial"/>
          <w:sz w:val="24"/>
        </w:rPr>
        <w:t>millones</w:t>
      </w:r>
      <w:r w:rsidR="000213B0">
        <w:rPr>
          <w:rFonts w:ascii="Arial" w:hAnsi="Arial" w:cs="Arial"/>
          <w:sz w:val="24"/>
        </w:rPr>
        <w:t>, pasivos estimados $2.070</w:t>
      </w:r>
      <w:r w:rsidR="00B54B71">
        <w:rPr>
          <w:rFonts w:ascii="Arial" w:hAnsi="Arial" w:cs="Arial"/>
          <w:sz w:val="24"/>
        </w:rPr>
        <w:t>millones</w:t>
      </w:r>
      <w:r w:rsidR="000213B0">
        <w:rPr>
          <w:rFonts w:ascii="Arial" w:hAnsi="Arial" w:cs="Arial"/>
          <w:sz w:val="24"/>
        </w:rPr>
        <w:t xml:space="preserve"> </w:t>
      </w:r>
      <w:r w:rsidR="00AA1B96" w:rsidRPr="0091028D">
        <w:rPr>
          <w:rFonts w:ascii="Arial" w:hAnsi="Arial" w:cs="Arial"/>
          <w:sz w:val="24"/>
        </w:rPr>
        <w:t>y otros pasivos $690</w:t>
      </w:r>
      <w:r w:rsidR="00B54B71">
        <w:rPr>
          <w:rFonts w:ascii="Arial" w:hAnsi="Arial" w:cs="Arial"/>
          <w:sz w:val="24"/>
        </w:rPr>
        <w:t>millones</w:t>
      </w:r>
      <w:r w:rsidR="00E86AC8">
        <w:rPr>
          <w:rFonts w:ascii="Arial" w:hAnsi="Arial" w:cs="Arial"/>
          <w:sz w:val="24"/>
        </w:rPr>
        <w:t>.</w:t>
      </w:r>
    </w:p>
    <w:p w:rsidR="00E86AC8" w:rsidRDefault="00AD7E23" w:rsidP="006E45D8">
      <w:pPr>
        <w:spacing w:line="360" w:lineRule="auto"/>
        <w:jc w:val="both"/>
        <w:rPr>
          <w:rFonts w:ascii="Arial" w:hAnsi="Arial" w:cs="Arial"/>
          <w:sz w:val="24"/>
        </w:rPr>
      </w:pPr>
      <w:r w:rsidRPr="0091028D">
        <w:rPr>
          <w:rFonts w:ascii="Arial" w:hAnsi="Arial" w:cs="Arial"/>
          <w:b/>
          <w:sz w:val="24"/>
          <w:u w:val="single"/>
        </w:rPr>
        <w:t>Pasivo no Corriente</w:t>
      </w:r>
      <w:r w:rsidR="001E5DEA">
        <w:rPr>
          <w:rFonts w:ascii="Arial" w:hAnsi="Arial" w:cs="Arial"/>
          <w:b/>
          <w:sz w:val="24"/>
          <w:u w:val="single"/>
        </w:rPr>
        <w:t xml:space="preserve">: </w:t>
      </w:r>
      <w:r w:rsidR="004D1BC9" w:rsidRPr="0091028D">
        <w:rPr>
          <w:rFonts w:ascii="Arial" w:hAnsi="Arial" w:cs="Arial"/>
          <w:sz w:val="24"/>
        </w:rPr>
        <w:t>Aquellas obligaciones con plazo mayor a</w:t>
      </w:r>
      <w:r w:rsidR="00AA1B96" w:rsidRPr="0091028D">
        <w:rPr>
          <w:rFonts w:ascii="Arial" w:hAnsi="Arial" w:cs="Arial"/>
          <w:sz w:val="24"/>
        </w:rPr>
        <w:t xml:space="preserve"> un año cerraron a junio de 2017</w:t>
      </w:r>
      <w:r w:rsidR="004D1BC9" w:rsidRPr="0091028D">
        <w:rPr>
          <w:rFonts w:ascii="Arial" w:hAnsi="Arial" w:cs="Arial"/>
          <w:sz w:val="24"/>
        </w:rPr>
        <w:t xml:space="preserve"> en la suma de $</w:t>
      </w:r>
      <w:r w:rsidR="00E86AC8">
        <w:rPr>
          <w:rFonts w:ascii="Arial" w:hAnsi="Arial" w:cs="Arial"/>
          <w:sz w:val="24"/>
        </w:rPr>
        <w:t>181.846</w:t>
      </w:r>
      <w:r w:rsidR="00B54B71">
        <w:rPr>
          <w:rFonts w:ascii="Arial" w:hAnsi="Arial" w:cs="Arial"/>
          <w:sz w:val="24"/>
        </w:rPr>
        <w:t>millones</w:t>
      </w:r>
      <w:r w:rsidR="004D1BC9" w:rsidRPr="0091028D">
        <w:rPr>
          <w:rFonts w:ascii="Arial" w:hAnsi="Arial" w:cs="Arial"/>
          <w:sz w:val="24"/>
        </w:rPr>
        <w:t xml:space="preserve"> y lo conforman: Deuda </w:t>
      </w:r>
      <w:r w:rsidR="0091028D" w:rsidRPr="0091028D">
        <w:rPr>
          <w:rFonts w:ascii="Arial" w:hAnsi="Arial" w:cs="Arial"/>
          <w:sz w:val="24"/>
        </w:rPr>
        <w:t>Pública</w:t>
      </w:r>
      <w:r w:rsidR="004D1BC9" w:rsidRPr="0091028D">
        <w:rPr>
          <w:rFonts w:ascii="Arial" w:hAnsi="Arial" w:cs="Arial"/>
          <w:sz w:val="24"/>
        </w:rPr>
        <w:t xml:space="preserve"> en su porción no corriente $</w:t>
      </w:r>
      <w:r w:rsidR="00E86AC8">
        <w:rPr>
          <w:rFonts w:ascii="Arial" w:hAnsi="Arial" w:cs="Arial"/>
          <w:sz w:val="24"/>
        </w:rPr>
        <w:t>36.287</w:t>
      </w:r>
      <w:r w:rsidR="00B54B71">
        <w:rPr>
          <w:rFonts w:ascii="Arial" w:hAnsi="Arial" w:cs="Arial"/>
          <w:sz w:val="24"/>
        </w:rPr>
        <w:t>millones,</w:t>
      </w:r>
      <w:r w:rsidR="00AA1B96" w:rsidRPr="0091028D">
        <w:rPr>
          <w:rFonts w:ascii="Arial" w:hAnsi="Arial" w:cs="Arial"/>
          <w:sz w:val="24"/>
        </w:rPr>
        <w:t xml:space="preserve"> Obligaciones Financieras, $32.320</w:t>
      </w:r>
      <w:r w:rsidR="00B54B71">
        <w:rPr>
          <w:rFonts w:ascii="Arial" w:hAnsi="Arial" w:cs="Arial"/>
          <w:sz w:val="24"/>
        </w:rPr>
        <w:t>millones,</w:t>
      </w:r>
      <w:r w:rsidR="004D1BC9" w:rsidRPr="0091028D">
        <w:rPr>
          <w:rFonts w:ascii="Arial" w:hAnsi="Arial" w:cs="Arial"/>
          <w:sz w:val="24"/>
        </w:rPr>
        <w:t xml:space="preserve"> Cuentas por Pagar $</w:t>
      </w:r>
      <w:r w:rsidR="00E86AC8">
        <w:rPr>
          <w:rFonts w:ascii="Arial" w:hAnsi="Arial" w:cs="Arial"/>
          <w:sz w:val="24"/>
        </w:rPr>
        <w:t>579</w:t>
      </w:r>
      <w:r w:rsidR="00B54B71">
        <w:rPr>
          <w:rFonts w:ascii="Arial" w:hAnsi="Arial" w:cs="Arial"/>
          <w:sz w:val="24"/>
        </w:rPr>
        <w:t>millones,</w:t>
      </w:r>
      <w:r w:rsidR="00E86AC8">
        <w:rPr>
          <w:rFonts w:ascii="Arial" w:hAnsi="Arial" w:cs="Arial"/>
          <w:sz w:val="24"/>
        </w:rPr>
        <w:t xml:space="preserve"> </w:t>
      </w:r>
      <w:r w:rsidR="004D1BC9" w:rsidRPr="0091028D">
        <w:rPr>
          <w:rFonts w:ascii="Arial" w:hAnsi="Arial" w:cs="Arial"/>
          <w:sz w:val="24"/>
        </w:rPr>
        <w:t>Obligaciones Laborales $</w:t>
      </w:r>
      <w:r w:rsidR="00E86AC8">
        <w:rPr>
          <w:rFonts w:ascii="Arial" w:hAnsi="Arial" w:cs="Arial"/>
          <w:sz w:val="24"/>
        </w:rPr>
        <w:t>492</w:t>
      </w:r>
      <w:r w:rsidR="00B54B71">
        <w:rPr>
          <w:rFonts w:ascii="Arial" w:hAnsi="Arial" w:cs="Arial"/>
          <w:sz w:val="24"/>
        </w:rPr>
        <w:t>millones</w:t>
      </w:r>
      <w:r w:rsidR="00E86AC8">
        <w:rPr>
          <w:rFonts w:ascii="Arial" w:hAnsi="Arial" w:cs="Arial"/>
          <w:sz w:val="24"/>
        </w:rPr>
        <w:t xml:space="preserve"> </w:t>
      </w:r>
      <w:r w:rsidR="004D1BC9" w:rsidRPr="0091028D">
        <w:rPr>
          <w:rFonts w:ascii="Arial" w:hAnsi="Arial" w:cs="Arial"/>
          <w:sz w:val="24"/>
        </w:rPr>
        <w:t>y Pasivos estimados $</w:t>
      </w:r>
      <w:r w:rsidR="00E86AC8">
        <w:rPr>
          <w:rFonts w:ascii="Arial" w:hAnsi="Arial" w:cs="Arial"/>
          <w:sz w:val="24"/>
        </w:rPr>
        <w:t>144.447</w:t>
      </w:r>
      <w:r w:rsidR="00B54B71">
        <w:rPr>
          <w:rFonts w:ascii="Arial" w:hAnsi="Arial" w:cs="Arial"/>
          <w:sz w:val="24"/>
        </w:rPr>
        <w:t>millones</w:t>
      </w:r>
      <w:r w:rsidR="00E86AC8">
        <w:rPr>
          <w:rFonts w:ascii="Arial" w:hAnsi="Arial" w:cs="Arial"/>
          <w:sz w:val="24"/>
        </w:rPr>
        <w:t xml:space="preserve"> y otros pasivos $7</w:t>
      </w:r>
      <w:r w:rsidR="00B54B71">
        <w:rPr>
          <w:rFonts w:ascii="Arial" w:hAnsi="Arial" w:cs="Arial"/>
          <w:sz w:val="24"/>
        </w:rPr>
        <w:t>millones</w:t>
      </w:r>
      <w:r w:rsidR="00E86AC8">
        <w:rPr>
          <w:rFonts w:ascii="Arial" w:hAnsi="Arial" w:cs="Arial"/>
          <w:sz w:val="24"/>
        </w:rPr>
        <w:t>.</w:t>
      </w:r>
    </w:p>
    <w:p w:rsidR="004D1BC9" w:rsidRPr="009270CC" w:rsidRDefault="00AA1B96" w:rsidP="006E45D8">
      <w:pPr>
        <w:pStyle w:val="Ttulo5"/>
        <w:spacing w:line="360" w:lineRule="auto"/>
        <w:rPr>
          <w:rStyle w:val="Ttulo5Car"/>
          <w:rFonts w:ascii="Arial" w:hAnsi="Arial" w:cs="Arial"/>
          <w:b/>
          <w:color w:val="auto"/>
          <w:sz w:val="24"/>
        </w:rPr>
      </w:pPr>
      <w:r w:rsidRPr="009270CC">
        <w:rPr>
          <w:rStyle w:val="Ttulo5Car"/>
          <w:rFonts w:ascii="Arial" w:hAnsi="Arial" w:cs="Arial"/>
          <w:b/>
          <w:color w:val="auto"/>
          <w:sz w:val="24"/>
        </w:rPr>
        <w:t xml:space="preserve">PATRIMONIO </w:t>
      </w:r>
    </w:p>
    <w:p w:rsidR="004D1BC9" w:rsidRDefault="004D1BC9" w:rsidP="006E45D8">
      <w:pPr>
        <w:spacing w:line="360" w:lineRule="auto"/>
        <w:jc w:val="both"/>
        <w:rPr>
          <w:rFonts w:ascii="Arial" w:hAnsi="Arial" w:cs="Arial"/>
          <w:sz w:val="24"/>
        </w:rPr>
      </w:pPr>
      <w:r w:rsidRPr="009270CC">
        <w:rPr>
          <w:rFonts w:ascii="Arial" w:hAnsi="Arial" w:cs="Arial"/>
          <w:sz w:val="24"/>
        </w:rPr>
        <w:t>El valor residual entre activos y pasivos, al ci</w:t>
      </w:r>
      <w:r w:rsidR="00AA1B96" w:rsidRPr="009270CC">
        <w:rPr>
          <w:rFonts w:ascii="Arial" w:hAnsi="Arial" w:cs="Arial"/>
          <w:sz w:val="24"/>
        </w:rPr>
        <w:t>erre del primer semestre de 2017</w:t>
      </w:r>
      <w:r w:rsidRPr="009270CC">
        <w:rPr>
          <w:rFonts w:ascii="Arial" w:hAnsi="Arial" w:cs="Arial"/>
          <w:sz w:val="24"/>
        </w:rPr>
        <w:t xml:space="preserve"> en $</w:t>
      </w:r>
      <w:r w:rsidR="009270CC">
        <w:rPr>
          <w:rFonts w:ascii="Arial" w:hAnsi="Arial" w:cs="Arial"/>
          <w:sz w:val="24"/>
        </w:rPr>
        <w:t>510.451</w:t>
      </w:r>
      <w:r w:rsidR="00B54B71">
        <w:rPr>
          <w:rFonts w:ascii="Arial" w:hAnsi="Arial" w:cs="Arial"/>
          <w:sz w:val="24"/>
        </w:rPr>
        <w:t>millones</w:t>
      </w:r>
      <w:r w:rsidR="009270CC">
        <w:rPr>
          <w:rFonts w:ascii="Arial" w:hAnsi="Arial" w:cs="Arial"/>
          <w:sz w:val="24"/>
        </w:rPr>
        <w:t xml:space="preserve"> </w:t>
      </w:r>
      <w:r w:rsidRPr="009270CC">
        <w:rPr>
          <w:rFonts w:ascii="Arial" w:hAnsi="Arial" w:cs="Arial"/>
          <w:sz w:val="24"/>
        </w:rPr>
        <w:t>que con respecto a junio de 201</w:t>
      </w:r>
      <w:r w:rsidR="00AA1B96" w:rsidRPr="009270CC">
        <w:rPr>
          <w:rFonts w:ascii="Arial" w:hAnsi="Arial" w:cs="Arial"/>
          <w:sz w:val="24"/>
        </w:rPr>
        <w:t>6</w:t>
      </w:r>
      <w:r w:rsidRPr="009270CC">
        <w:rPr>
          <w:rFonts w:ascii="Arial" w:hAnsi="Arial" w:cs="Arial"/>
          <w:sz w:val="24"/>
        </w:rPr>
        <w:t xml:space="preserve"> tiene </w:t>
      </w:r>
      <w:r w:rsidR="00AA1B96" w:rsidRPr="009270CC">
        <w:rPr>
          <w:rFonts w:ascii="Arial" w:hAnsi="Arial" w:cs="Arial"/>
          <w:sz w:val="24"/>
        </w:rPr>
        <w:t>aumento</w:t>
      </w:r>
      <w:r w:rsidR="009270CC">
        <w:rPr>
          <w:rFonts w:ascii="Arial" w:hAnsi="Arial" w:cs="Arial"/>
          <w:sz w:val="24"/>
        </w:rPr>
        <w:t xml:space="preserve"> del 10.49</w:t>
      </w:r>
      <w:r w:rsidRPr="009270CC">
        <w:rPr>
          <w:rFonts w:ascii="Arial" w:hAnsi="Arial" w:cs="Arial"/>
          <w:sz w:val="24"/>
        </w:rPr>
        <w:t>%.</w:t>
      </w:r>
      <w:r w:rsidRPr="009270CC">
        <w:rPr>
          <w:rStyle w:val="Refdenotaalpie"/>
          <w:rFonts w:ascii="Arial" w:hAnsi="Arial" w:cs="Arial"/>
          <w:sz w:val="24"/>
        </w:rPr>
        <w:footnoteReference w:id="24"/>
      </w:r>
    </w:p>
    <w:p w:rsidR="00733959" w:rsidRDefault="00F433A0" w:rsidP="006C7EEE">
      <w:pPr>
        <w:tabs>
          <w:tab w:val="left" w:pos="1827"/>
        </w:tabs>
        <w:spacing w:line="360" w:lineRule="auto"/>
        <w:rPr>
          <w:rFonts w:ascii="Arial" w:hAnsi="Arial" w:cs="Arial"/>
          <w:b/>
          <w:color w:val="000000"/>
          <w:sz w:val="24"/>
        </w:rPr>
      </w:pPr>
      <w:bookmarkStart w:id="17" w:name="_Toc495334899"/>
      <w:r w:rsidRPr="00477796">
        <w:rPr>
          <w:rStyle w:val="Ttulo3Car"/>
        </w:rPr>
        <w:t xml:space="preserve">2.3.3 </w:t>
      </w:r>
      <w:r w:rsidR="00C31720">
        <w:rPr>
          <w:rStyle w:val="Ttulo3Car"/>
        </w:rPr>
        <w:t xml:space="preserve">  </w:t>
      </w:r>
      <w:r w:rsidRPr="00477796">
        <w:rPr>
          <w:rStyle w:val="Ttulo3Car"/>
        </w:rPr>
        <w:t>Estado De A</w:t>
      </w:r>
      <w:r w:rsidR="00C31720">
        <w:rPr>
          <w:rStyle w:val="Ttulo3Car"/>
        </w:rPr>
        <w:t xml:space="preserve">ctividad Financiera, Económica y Social </w:t>
      </w:r>
      <w:r w:rsidR="006C7EEE">
        <w:rPr>
          <w:rStyle w:val="Ttulo3Car"/>
        </w:rPr>
        <w:t>A</w:t>
      </w:r>
      <w:r w:rsidRPr="00477796">
        <w:rPr>
          <w:rStyle w:val="Ttulo3Car"/>
        </w:rPr>
        <w:t xml:space="preserve"> </w:t>
      </w:r>
      <w:r w:rsidR="00C31720">
        <w:rPr>
          <w:rStyle w:val="Ttulo3Car"/>
        </w:rPr>
        <w:t>Junio 30 d</w:t>
      </w:r>
      <w:r w:rsidRPr="00477796">
        <w:rPr>
          <w:rStyle w:val="Ttulo3Car"/>
        </w:rPr>
        <w:t>e 2017</w:t>
      </w:r>
      <w:r w:rsidR="00C31720">
        <w:rPr>
          <w:rStyle w:val="Ttulo3Car"/>
        </w:rPr>
        <w:t xml:space="preserve"> comparativo junio 30 de 2016</w:t>
      </w:r>
      <w:bookmarkEnd w:id="17"/>
      <w:r w:rsidR="00733959" w:rsidRPr="00733959">
        <w:rPr>
          <w:noProof/>
          <w:lang w:eastAsia="es-CO"/>
        </w:rPr>
        <w:drawing>
          <wp:inline distT="0" distB="0" distL="0" distR="0" wp14:anchorId="1C12D157" wp14:editId="18F5B3AD">
            <wp:extent cx="5542204" cy="2660073"/>
            <wp:effectExtent l="0" t="0" r="1905" b="698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8292" cy="2682194"/>
                    </a:xfrm>
                    <a:prstGeom prst="rect">
                      <a:avLst/>
                    </a:prstGeom>
                    <a:noFill/>
                    <a:ln>
                      <a:noFill/>
                    </a:ln>
                  </pic:spPr>
                </pic:pic>
              </a:graphicData>
            </a:graphic>
          </wp:inline>
        </w:drawing>
      </w:r>
    </w:p>
    <w:p w:rsidR="00477796" w:rsidRDefault="00477796" w:rsidP="006E45D8">
      <w:pPr>
        <w:spacing w:line="360" w:lineRule="auto"/>
        <w:jc w:val="both"/>
        <w:rPr>
          <w:rFonts w:ascii="Arial" w:hAnsi="Arial" w:cs="Arial"/>
          <w:sz w:val="24"/>
        </w:rPr>
      </w:pPr>
    </w:p>
    <w:p w:rsidR="00C31720" w:rsidRDefault="00C31720" w:rsidP="006E45D8">
      <w:pPr>
        <w:spacing w:line="360" w:lineRule="auto"/>
        <w:jc w:val="both"/>
        <w:rPr>
          <w:rFonts w:ascii="Arial" w:hAnsi="Arial" w:cs="Arial"/>
          <w:sz w:val="24"/>
        </w:rPr>
        <w:sectPr w:rsidR="00C31720" w:rsidSect="001E5DEA">
          <w:footerReference w:type="default" r:id="rId33"/>
          <w:pgSz w:w="12242" w:h="15842" w:code="1"/>
          <w:pgMar w:top="1418" w:right="1701" w:bottom="1418" w:left="1701" w:header="709" w:footer="709" w:gutter="0"/>
          <w:paperSrc w:first="15"/>
          <w:cols w:space="708"/>
          <w:titlePg/>
          <w:docGrid w:linePitch="360"/>
        </w:sectPr>
      </w:pPr>
    </w:p>
    <w:p w:rsidR="00E30CB5" w:rsidRDefault="001C5C88" w:rsidP="00C31720">
      <w:pPr>
        <w:spacing w:line="360" w:lineRule="auto"/>
        <w:jc w:val="both"/>
        <w:rPr>
          <w:rFonts w:ascii="Arial" w:hAnsi="Arial" w:cs="Arial"/>
          <w:b/>
          <w:color w:val="000000"/>
          <w:sz w:val="24"/>
        </w:rPr>
      </w:pPr>
      <w:r>
        <w:rPr>
          <w:noProof/>
          <w:lang w:eastAsia="es-CO"/>
        </w:rPr>
        <w:lastRenderedPageBreak/>
        <w:drawing>
          <wp:inline distT="0" distB="0" distL="0" distR="0" wp14:anchorId="24FAA8C0" wp14:editId="3F288A5E">
            <wp:extent cx="7884159" cy="5414645"/>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10714" t="11480" r="51021" b="8091"/>
                    <a:stretch/>
                  </pic:blipFill>
                  <pic:spPr bwMode="auto">
                    <a:xfrm>
                      <a:off x="0" y="0"/>
                      <a:ext cx="7987925" cy="5485909"/>
                    </a:xfrm>
                    <a:prstGeom prst="rect">
                      <a:avLst/>
                    </a:prstGeom>
                    <a:ln>
                      <a:noFill/>
                    </a:ln>
                    <a:extLst>
                      <a:ext uri="{53640926-AAD7-44D8-BBD7-CCE9431645EC}">
                        <a14:shadowObscured xmlns:a14="http://schemas.microsoft.com/office/drawing/2010/main"/>
                      </a:ext>
                    </a:extLst>
                  </pic:spPr>
                </pic:pic>
              </a:graphicData>
            </a:graphic>
          </wp:inline>
        </w:drawing>
      </w:r>
      <w:r w:rsidR="00E30CB5">
        <w:rPr>
          <w:rFonts w:ascii="Arial" w:hAnsi="Arial" w:cs="Arial"/>
          <w:b/>
          <w:color w:val="000000"/>
          <w:sz w:val="24"/>
        </w:rPr>
        <w:br w:type="page"/>
      </w:r>
    </w:p>
    <w:p w:rsidR="00C31720" w:rsidRDefault="00C31720" w:rsidP="00C31720">
      <w:pPr>
        <w:spacing w:before="100" w:beforeAutospacing="1" w:after="0" w:line="360" w:lineRule="auto"/>
        <w:jc w:val="both"/>
        <w:rPr>
          <w:rFonts w:ascii="Arial" w:hAnsi="Arial" w:cs="Arial"/>
          <w:b/>
          <w:color w:val="000000"/>
          <w:sz w:val="24"/>
        </w:rPr>
        <w:sectPr w:rsidR="00C31720" w:rsidSect="00E53E76">
          <w:pgSz w:w="15842" w:h="12242" w:orient="landscape" w:code="1"/>
          <w:pgMar w:top="1701" w:right="3050" w:bottom="1701" w:left="1418" w:header="709" w:footer="709" w:gutter="0"/>
          <w:cols w:space="708"/>
          <w:titlePg/>
          <w:docGrid w:linePitch="360"/>
        </w:sectPr>
      </w:pPr>
    </w:p>
    <w:p w:rsidR="001C5C88" w:rsidRDefault="006C7EEE" w:rsidP="005C7707">
      <w:pPr>
        <w:spacing w:before="100" w:beforeAutospacing="1" w:after="0" w:line="360" w:lineRule="auto"/>
        <w:jc w:val="both"/>
        <w:rPr>
          <w:rFonts w:ascii="Arial" w:hAnsi="Arial" w:cs="Arial"/>
          <w:b/>
          <w:color w:val="000000"/>
          <w:sz w:val="24"/>
        </w:rPr>
      </w:pPr>
      <w:r w:rsidRPr="0076738F">
        <w:rPr>
          <w:rFonts w:ascii="Arial" w:hAnsi="Arial" w:cs="Arial"/>
          <w:b/>
          <w:color w:val="000000"/>
          <w:sz w:val="24"/>
        </w:rPr>
        <w:lastRenderedPageBreak/>
        <w:t>ANÁLISIS DEL ESTADO DE ACTIVIDAD FINANCIERA, ECONÓMICA, PATRIMONIAL Y SOCIAL (CIFRAS EN MILLONES DE PESOS)</w:t>
      </w:r>
      <w:r>
        <w:rPr>
          <w:rFonts w:ascii="Arial" w:hAnsi="Arial" w:cs="Arial"/>
          <w:b/>
          <w:color w:val="000000"/>
          <w:sz w:val="24"/>
        </w:rPr>
        <w:t xml:space="preserve"> </w:t>
      </w:r>
    </w:p>
    <w:p w:rsidR="001C5C88" w:rsidRDefault="001C5C88" w:rsidP="006E45D8">
      <w:pPr>
        <w:spacing w:line="360" w:lineRule="auto"/>
        <w:jc w:val="both"/>
        <w:rPr>
          <w:rFonts w:ascii="Arial" w:hAnsi="Arial" w:cs="Arial"/>
          <w:sz w:val="24"/>
        </w:rPr>
      </w:pPr>
    </w:p>
    <w:p w:rsidR="00BB214C" w:rsidRPr="0076738F" w:rsidRDefault="00BB214C" w:rsidP="006E45D8">
      <w:pPr>
        <w:spacing w:line="360" w:lineRule="auto"/>
        <w:jc w:val="both"/>
        <w:rPr>
          <w:rFonts w:ascii="Arial" w:hAnsi="Arial" w:cs="Arial"/>
          <w:sz w:val="24"/>
        </w:rPr>
      </w:pPr>
      <w:r w:rsidRPr="0076738F">
        <w:rPr>
          <w:rFonts w:ascii="Arial" w:hAnsi="Arial" w:cs="Arial"/>
          <w:sz w:val="24"/>
        </w:rPr>
        <w:t>Revela los recursos obtenidos de diversas fuentes y la aplicación de los mismos en los diferentes frentes para garantizar la prestación de los servicios misionales</w:t>
      </w:r>
    </w:p>
    <w:p w:rsidR="00BB214C" w:rsidRPr="00C76512" w:rsidRDefault="006C7EEE" w:rsidP="006E45D8">
      <w:pPr>
        <w:spacing w:line="360" w:lineRule="auto"/>
        <w:jc w:val="both"/>
        <w:rPr>
          <w:rFonts w:ascii="Arial" w:hAnsi="Arial" w:cs="Arial"/>
          <w:b/>
          <w:sz w:val="24"/>
          <w:szCs w:val="24"/>
        </w:rPr>
      </w:pPr>
      <w:r w:rsidRPr="00C76512">
        <w:rPr>
          <w:rStyle w:val="Ttulo5Car"/>
          <w:rFonts w:ascii="Arial" w:eastAsia="Calibri" w:hAnsi="Arial" w:cs="Arial"/>
          <w:b/>
          <w:color w:val="auto"/>
          <w:sz w:val="24"/>
          <w:szCs w:val="24"/>
        </w:rPr>
        <w:t>Ingresos Operacionales</w:t>
      </w:r>
      <w:r w:rsidRPr="00C76512">
        <w:rPr>
          <w:rFonts w:ascii="Arial" w:hAnsi="Arial" w:cs="Arial"/>
          <w:b/>
          <w:sz w:val="24"/>
          <w:szCs w:val="24"/>
        </w:rPr>
        <w:t xml:space="preserve"> </w:t>
      </w:r>
    </w:p>
    <w:p w:rsidR="00BB214C" w:rsidRPr="00C76512" w:rsidRDefault="00BB214C" w:rsidP="006E45D8">
      <w:pPr>
        <w:spacing w:line="360" w:lineRule="auto"/>
        <w:jc w:val="both"/>
        <w:rPr>
          <w:rFonts w:ascii="Arial" w:hAnsi="Arial" w:cs="Arial"/>
          <w:sz w:val="24"/>
          <w:szCs w:val="24"/>
        </w:rPr>
      </w:pPr>
      <w:r w:rsidRPr="00C76512">
        <w:rPr>
          <w:rFonts w:ascii="Arial" w:hAnsi="Arial" w:cs="Arial"/>
          <w:sz w:val="24"/>
          <w:szCs w:val="24"/>
        </w:rPr>
        <w:t>Cerró el semestre con un total de $141.238</w:t>
      </w:r>
      <w:r w:rsidR="00B54B71" w:rsidRPr="00C76512">
        <w:rPr>
          <w:rFonts w:ascii="Arial" w:hAnsi="Arial" w:cs="Arial"/>
          <w:sz w:val="24"/>
          <w:szCs w:val="24"/>
        </w:rPr>
        <w:t>millones</w:t>
      </w:r>
      <w:r w:rsidRPr="00C76512">
        <w:rPr>
          <w:rFonts w:ascii="Arial" w:hAnsi="Arial" w:cs="Arial"/>
          <w:sz w:val="24"/>
          <w:szCs w:val="24"/>
        </w:rPr>
        <w:t xml:space="preserve"> cifra mayor con respecto a junio de 2016 en un 5%, </w:t>
      </w:r>
      <w:r w:rsidR="003845F7" w:rsidRPr="00C76512">
        <w:rPr>
          <w:rFonts w:ascii="Arial" w:hAnsi="Arial" w:cs="Arial"/>
          <w:sz w:val="24"/>
          <w:szCs w:val="24"/>
        </w:rPr>
        <w:t>distribuidos</w:t>
      </w:r>
      <w:r w:rsidRPr="00C76512">
        <w:rPr>
          <w:rFonts w:ascii="Arial" w:hAnsi="Arial" w:cs="Arial"/>
          <w:sz w:val="24"/>
          <w:szCs w:val="24"/>
        </w:rPr>
        <w:t>: Ingresos Fiscales $</w:t>
      </w:r>
      <w:r w:rsidR="006723E5" w:rsidRPr="00C76512">
        <w:rPr>
          <w:rFonts w:ascii="Arial" w:hAnsi="Arial" w:cs="Arial"/>
          <w:sz w:val="24"/>
          <w:szCs w:val="24"/>
        </w:rPr>
        <w:t>59.341</w:t>
      </w:r>
      <w:r w:rsidR="00B54B71" w:rsidRPr="00C76512">
        <w:rPr>
          <w:rFonts w:ascii="Arial" w:hAnsi="Arial" w:cs="Arial"/>
          <w:sz w:val="24"/>
          <w:szCs w:val="24"/>
        </w:rPr>
        <w:t>millones</w:t>
      </w:r>
      <w:r w:rsidR="006723E5" w:rsidRPr="00C76512">
        <w:rPr>
          <w:rFonts w:ascii="Arial" w:hAnsi="Arial" w:cs="Arial"/>
          <w:sz w:val="24"/>
          <w:szCs w:val="24"/>
        </w:rPr>
        <w:t>,</w:t>
      </w:r>
      <w:r w:rsidRPr="00C76512">
        <w:rPr>
          <w:rFonts w:ascii="Arial" w:hAnsi="Arial" w:cs="Arial"/>
          <w:sz w:val="24"/>
          <w:szCs w:val="24"/>
        </w:rPr>
        <w:t xml:space="preserve"> Venta de Bienes $</w:t>
      </w:r>
      <w:r w:rsidR="006723E5" w:rsidRPr="00C76512">
        <w:rPr>
          <w:rFonts w:ascii="Arial" w:hAnsi="Arial" w:cs="Arial"/>
          <w:sz w:val="24"/>
          <w:szCs w:val="24"/>
        </w:rPr>
        <w:t>354</w:t>
      </w:r>
      <w:r w:rsidR="00B54B71" w:rsidRPr="00C76512">
        <w:rPr>
          <w:rFonts w:ascii="Arial" w:hAnsi="Arial" w:cs="Arial"/>
          <w:sz w:val="24"/>
          <w:szCs w:val="24"/>
        </w:rPr>
        <w:t>millones,</w:t>
      </w:r>
      <w:r w:rsidRPr="00C76512">
        <w:rPr>
          <w:rFonts w:ascii="Arial" w:hAnsi="Arial" w:cs="Arial"/>
          <w:sz w:val="24"/>
          <w:szCs w:val="24"/>
        </w:rPr>
        <w:t xml:space="preserve"> Venta de Servicios $</w:t>
      </w:r>
      <w:r w:rsidR="006723E5" w:rsidRPr="00C76512">
        <w:rPr>
          <w:rFonts w:ascii="Arial" w:hAnsi="Arial" w:cs="Arial"/>
          <w:sz w:val="24"/>
          <w:szCs w:val="24"/>
        </w:rPr>
        <w:t>69</w:t>
      </w:r>
      <w:r w:rsidR="00B54B71" w:rsidRPr="00C76512">
        <w:rPr>
          <w:rFonts w:ascii="Arial" w:hAnsi="Arial" w:cs="Arial"/>
          <w:sz w:val="24"/>
          <w:szCs w:val="24"/>
        </w:rPr>
        <w:t>millones</w:t>
      </w:r>
      <w:r w:rsidRPr="00C76512">
        <w:rPr>
          <w:rFonts w:ascii="Arial" w:hAnsi="Arial" w:cs="Arial"/>
          <w:sz w:val="24"/>
          <w:szCs w:val="24"/>
        </w:rPr>
        <w:t>, Transferencias $</w:t>
      </w:r>
      <w:r w:rsidR="006723E5" w:rsidRPr="00C76512">
        <w:rPr>
          <w:rFonts w:ascii="Arial" w:hAnsi="Arial" w:cs="Arial"/>
          <w:sz w:val="24"/>
          <w:szCs w:val="24"/>
        </w:rPr>
        <w:t>81.472</w:t>
      </w:r>
      <w:r w:rsidR="00B54B71" w:rsidRPr="00C76512">
        <w:rPr>
          <w:rFonts w:ascii="Arial" w:hAnsi="Arial" w:cs="Arial"/>
          <w:sz w:val="24"/>
          <w:szCs w:val="24"/>
        </w:rPr>
        <w:t>millones.</w:t>
      </w:r>
    </w:p>
    <w:p w:rsidR="00BB214C" w:rsidRPr="00C76512" w:rsidRDefault="006C7EEE" w:rsidP="006E45D8">
      <w:pPr>
        <w:spacing w:line="360" w:lineRule="auto"/>
        <w:jc w:val="both"/>
        <w:rPr>
          <w:rFonts w:ascii="Arial" w:hAnsi="Arial" w:cs="Arial"/>
          <w:b/>
          <w:sz w:val="24"/>
          <w:szCs w:val="24"/>
        </w:rPr>
      </w:pPr>
      <w:r w:rsidRPr="00C76512">
        <w:rPr>
          <w:rFonts w:ascii="Arial" w:hAnsi="Arial" w:cs="Arial"/>
          <w:b/>
          <w:sz w:val="24"/>
          <w:szCs w:val="24"/>
        </w:rPr>
        <w:t>Gastos Operacionales</w:t>
      </w:r>
    </w:p>
    <w:p w:rsidR="00BB214C" w:rsidRPr="00C76512" w:rsidRDefault="00BB214C" w:rsidP="006E45D8">
      <w:pPr>
        <w:spacing w:line="360" w:lineRule="auto"/>
        <w:jc w:val="both"/>
        <w:rPr>
          <w:rFonts w:ascii="Arial" w:hAnsi="Arial" w:cs="Arial"/>
          <w:sz w:val="24"/>
          <w:szCs w:val="24"/>
        </w:rPr>
      </w:pPr>
      <w:r w:rsidRPr="00C76512">
        <w:rPr>
          <w:rFonts w:ascii="Arial" w:hAnsi="Arial" w:cs="Arial"/>
          <w:sz w:val="24"/>
          <w:szCs w:val="24"/>
        </w:rPr>
        <w:t>Estos gastos sumaron en total $</w:t>
      </w:r>
      <w:r w:rsidR="003375E4" w:rsidRPr="00C76512">
        <w:rPr>
          <w:rFonts w:ascii="Arial" w:hAnsi="Arial" w:cs="Arial"/>
          <w:sz w:val="24"/>
          <w:szCs w:val="24"/>
        </w:rPr>
        <w:t>130.648</w:t>
      </w:r>
      <w:r w:rsidR="00B54B71" w:rsidRPr="00C76512">
        <w:rPr>
          <w:rFonts w:ascii="Arial" w:hAnsi="Arial" w:cs="Arial"/>
          <w:sz w:val="24"/>
          <w:szCs w:val="24"/>
        </w:rPr>
        <w:t>millones</w:t>
      </w:r>
      <w:r w:rsidRPr="00C76512">
        <w:rPr>
          <w:rFonts w:ascii="Arial" w:hAnsi="Arial" w:cs="Arial"/>
          <w:sz w:val="24"/>
          <w:szCs w:val="24"/>
        </w:rPr>
        <w:t xml:space="preserve"> y estuvieron representados por: Administración $</w:t>
      </w:r>
      <w:r w:rsidR="003375E4" w:rsidRPr="00C76512">
        <w:rPr>
          <w:rFonts w:ascii="Arial" w:hAnsi="Arial" w:cs="Arial"/>
          <w:sz w:val="24"/>
          <w:szCs w:val="24"/>
        </w:rPr>
        <w:t>31.141</w:t>
      </w:r>
      <w:r w:rsidR="00B54B71" w:rsidRPr="00C76512">
        <w:rPr>
          <w:rFonts w:ascii="Arial" w:hAnsi="Arial" w:cs="Arial"/>
          <w:sz w:val="24"/>
          <w:szCs w:val="24"/>
        </w:rPr>
        <w:t>millones</w:t>
      </w:r>
      <w:r w:rsidR="003375E4" w:rsidRPr="00C76512">
        <w:rPr>
          <w:rFonts w:ascii="Arial" w:hAnsi="Arial" w:cs="Arial"/>
          <w:sz w:val="24"/>
          <w:szCs w:val="24"/>
        </w:rPr>
        <w:t xml:space="preserve"> Operación $4.046</w:t>
      </w:r>
      <w:r w:rsidR="00B54B71" w:rsidRPr="00C76512">
        <w:rPr>
          <w:rFonts w:ascii="Arial" w:hAnsi="Arial" w:cs="Arial"/>
          <w:sz w:val="24"/>
          <w:szCs w:val="24"/>
        </w:rPr>
        <w:t>millones</w:t>
      </w:r>
      <w:r w:rsidR="003375E4" w:rsidRPr="00C76512">
        <w:rPr>
          <w:rFonts w:ascii="Arial" w:hAnsi="Arial" w:cs="Arial"/>
          <w:sz w:val="24"/>
          <w:szCs w:val="24"/>
        </w:rPr>
        <w:t xml:space="preserve"> </w:t>
      </w:r>
      <w:r w:rsidRPr="00C76512">
        <w:rPr>
          <w:rFonts w:ascii="Arial" w:hAnsi="Arial" w:cs="Arial"/>
          <w:sz w:val="24"/>
          <w:szCs w:val="24"/>
        </w:rPr>
        <w:t>Provisiones $</w:t>
      </w:r>
      <w:r w:rsidR="0054499E" w:rsidRPr="00C76512">
        <w:rPr>
          <w:rFonts w:ascii="Arial" w:hAnsi="Arial" w:cs="Arial"/>
          <w:sz w:val="24"/>
          <w:szCs w:val="24"/>
        </w:rPr>
        <w:t>315</w:t>
      </w:r>
      <w:r w:rsidR="00B54B71" w:rsidRPr="00C76512">
        <w:rPr>
          <w:rFonts w:ascii="Arial" w:hAnsi="Arial" w:cs="Arial"/>
          <w:sz w:val="24"/>
          <w:szCs w:val="24"/>
        </w:rPr>
        <w:t>millones,</w:t>
      </w:r>
      <w:r w:rsidRPr="00C76512">
        <w:rPr>
          <w:rFonts w:ascii="Arial" w:hAnsi="Arial" w:cs="Arial"/>
          <w:sz w:val="24"/>
          <w:szCs w:val="24"/>
        </w:rPr>
        <w:t xml:space="preserve"> Transferencias $</w:t>
      </w:r>
      <w:r w:rsidR="00B54B71" w:rsidRPr="00C76512">
        <w:rPr>
          <w:rFonts w:ascii="Arial" w:hAnsi="Arial" w:cs="Arial"/>
          <w:sz w:val="24"/>
          <w:szCs w:val="24"/>
        </w:rPr>
        <w:t xml:space="preserve">29.394millones </w:t>
      </w:r>
      <w:r w:rsidRPr="00C76512">
        <w:rPr>
          <w:rFonts w:ascii="Arial" w:hAnsi="Arial" w:cs="Arial"/>
          <w:sz w:val="24"/>
          <w:szCs w:val="24"/>
        </w:rPr>
        <w:t>y Gasto</w:t>
      </w:r>
      <w:r w:rsidR="00562EEB" w:rsidRPr="00C76512">
        <w:rPr>
          <w:rFonts w:ascii="Arial" w:hAnsi="Arial" w:cs="Arial"/>
          <w:sz w:val="24"/>
          <w:szCs w:val="24"/>
        </w:rPr>
        <w:t>s de Inversión</w:t>
      </w:r>
      <w:r w:rsidRPr="00C76512">
        <w:rPr>
          <w:rFonts w:ascii="Arial" w:hAnsi="Arial" w:cs="Arial"/>
          <w:sz w:val="24"/>
          <w:szCs w:val="24"/>
        </w:rPr>
        <w:t xml:space="preserve"> Social $</w:t>
      </w:r>
      <w:r w:rsidR="00B54B71" w:rsidRPr="00C76512">
        <w:rPr>
          <w:rFonts w:ascii="Arial" w:hAnsi="Arial" w:cs="Arial"/>
          <w:sz w:val="24"/>
          <w:szCs w:val="24"/>
        </w:rPr>
        <w:t>65.750millones</w:t>
      </w:r>
      <w:r w:rsidRPr="00C76512">
        <w:rPr>
          <w:rFonts w:ascii="Arial" w:hAnsi="Arial" w:cs="Arial"/>
          <w:sz w:val="24"/>
          <w:szCs w:val="24"/>
        </w:rPr>
        <w:t>, este rubro representa el 50% del total de gastos de operación. Los gastos operacionales crecieron con respecto a junio de 2016 en un 12%.</w:t>
      </w:r>
    </w:p>
    <w:p w:rsidR="00BB214C" w:rsidRPr="00C76512" w:rsidRDefault="006C7EEE" w:rsidP="006E45D8">
      <w:pPr>
        <w:spacing w:line="360" w:lineRule="auto"/>
        <w:jc w:val="both"/>
        <w:rPr>
          <w:rFonts w:ascii="Arial" w:hAnsi="Arial" w:cs="Arial"/>
          <w:b/>
          <w:sz w:val="24"/>
          <w:szCs w:val="24"/>
        </w:rPr>
      </w:pPr>
      <w:r>
        <w:rPr>
          <w:rStyle w:val="Ttulo5Car"/>
          <w:rFonts w:ascii="Arial" w:eastAsia="Calibri" w:hAnsi="Arial" w:cs="Arial"/>
          <w:b/>
          <w:color w:val="auto"/>
          <w:sz w:val="24"/>
          <w:szCs w:val="24"/>
        </w:rPr>
        <w:t xml:space="preserve">Otros Ingresos y Egresos </w:t>
      </w:r>
    </w:p>
    <w:p w:rsidR="00BB214C" w:rsidRPr="00C76512" w:rsidRDefault="00BB214C" w:rsidP="006E45D8">
      <w:pPr>
        <w:spacing w:line="360" w:lineRule="auto"/>
        <w:jc w:val="both"/>
        <w:rPr>
          <w:rFonts w:ascii="Arial" w:hAnsi="Arial" w:cs="Arial"/>
          <w:sz w:val="24"/>
          <w:szCs w:val="24"/>
        </w:rPr>
      </w:pPr>
      <w:r w:rsidRPr="00C76512">
        <w:rPr>
          <w:rFonts w:ascii="Arial" w:hAnsi="Arial" w:cs="Arial"/>
          <w:sz w:val="24"/>
          <w:szCs w:val="24"/>
        </w:rPr>
        <w:t>Comprenden por el lado de ingresos, rendimientos, ingresos extraordinarios y ajustes de ejercicios anteriores que sumaron $</w:t>
      </w:r>
      <w:r w:rsidR="00562EEB" w:rsidRPr="00C76512">
        <w:rPr>
          <w:rFonts w:ascii="Arial" w:hAnsi="Arial" w:cs="Arial"/>
          <w:sz w:val="24"/>
          <w:szCs w:val="24"/>
        </w:rPr>
        <w:t>31.186</w:t>
      </w:r>
      <w:r w:rsidR="00E63183" w:rsidRPr="00C76512">
        <w:rPr>
          <w:rFonts w:ascii="Arial" w:hAnsi="Arial" w:cs="Arial"/>
          <w:sz w:val="24"/>
          <w:szCs w:val="24"/>
        </w:rPr>
        <w:t>millones</w:t>
      </w:r>
      <w:r w:rsidRPr="00C76512">
        <w:rPr>
          <w:rFonts w:ascii="Arial" w:hAnsi="Arial" w:cs="Arial"/>
          <w:sz w:val="24"/>
          <w:szCs w:val="24"/>
        </w:rPr>
        <w:t xml:space="preserve"> y con respecto a los otros gastos comprende pagos por intereses de deuda, gastos bancarios, extraordinarios y ajustes de ejercicios anteriores que ascendieron a ($</w:t>
      </w:r>
      <w:r w:rsidR="00F74F6B" w:rsidRPr="00C76512">
        <w:rPr>
          <w:rFonts w:ascii="Arial" w:hAnsi="Arial" w:cs="Arial"/>
          <w:sz w:val="24"/>
          <w:szCs w:val="24"/>
        </w:rPr>
        <w:t>10.974</w:t>
      </w:r>
      <w:r w:rsidR="00AD0EC4" w:rsidRPr="00C76512">
        <w:rPr>
          <w:rFonts w:ascii="Arial" w:hAnsi="Arial" w:cs="Arial"/>
          <w:sz w:val="24"/>
          <w:szCs w:val="24"/>
        </w:rPr>
        <w:t>) millones</w:t>
      </w:r>
    </w:p>
    <w:p w:rsidR="00F9045B" w:rsidRDefault="00F9045B">
      <w:pPr>
        <w:rPr>
          <w:rFonts w:ascii="Arial" w:eastAsia="Times New Roman" w:hAnsi="Arial" w:cs="Times New Roman"/>
          <w:b/>
          <w:bCs/>
          <w:sz w:val="28"/>
          <w:szCs w:val="26"/>
        </w:rPr>
      </w:pPr>
      <w:r>
        <w:br w:type="page"/>
      </w:r>
    </w:p>
    <w:p w:rsidR="00D34DDB" w:rsidRDefault="00C3529C" w:rsidP="00C3529C">
      <w:pPr>
        <w:pStyle w:val="Ttulo2"/>
        <w:numPr>
          <w:ilvl w:val="0"/>
          <w:numId w:val="0"/>
        </w:numPr>
        <w:jc w:val="both"/>
      </w:pPr>
      <w:bookmarkStart w:id="18" w:name="_Toc495334900"/>
      <w:r>
        <w:lastRenderedPageBreak/>
        <w:t xml:space="preserve">2.4 </w:t>
      </w:r>
      <w:r w:rsidR="00D34DDB">
        <w:tab/>
      </w:r>
      <w:r>
        <w:t>DEPARTAMENTO DEL QUINDÍO</w:t>
      </w:r>
      <w:bookmarkEnd w:id="18"/>
      <w:r>
        <w:t xml:space="preserve"> </w:t>
      </w:r>
      <w:r w:rsidRPr="007A3348">
        <w:t xml:space="preserve"> </w:t>
      </w:r>
    </w:p>
    <w:p w:rsidR="00903552" w:rsidRDefault="00C3529C" w:rsidP="00D34DDB">
      <w:pPr>
        <w:pStyle w:val="Ttulo2"/>
        <w:numPr>
          <w:ilvl w:val="0"/>
          <w:numId w:val="0"/>
        </w:numPr>
        <w:ind w:firstLine="708"/>
        <w:jc w:val="both"/>
      </w:pPr>
      <w:bookmarkStart w:id="19" w:name="_Toc495334901"/>
      <w:r w:rsidRPr="007A3348">
        <w:t xml:space="preserve">(SECTOR </w:t>
      </w:r>
      <w:r>
        <w:t>DESCENTRALIZADO) VIGENCIA ACTUAL 2017</w:t>
      </w:r>
      <w:bookmarkEnd w:id="19"/>
    </w:p>
    <w:p w:rsidR="00D34DDB" w:rsidRDefault="00D34DDB" w:rsidP="000237B9">
      <w:pPr>
        <w:pStyle w:val="Ttulo3"/>
        <w:rPr>
          <w:lang w:eastAsia="es-ES"/>
        </w:rPr>
      </w:pPr>
    </w:p>
    <w:p w:rsidR="00C31720" w:rsidRDefault="00E60157" w:rsidP="000237B9">
      <w:pPr>
        <w:pStyle w:val="Ttulo3"/>
        <w:rPr>
          <w:lang w:val="es-ES" w:eastAsia="es-ES"/>
        </w:rPr>
      </w:pPr>
      <w:bookmarkStart w:id="20" w:name="_Toc495334902"/>
      <w:r>
        <w:rPr>
          <w:lang w:eastAsia="es-ES"/>
        </w:rPr>
        <w:t xml:space="preserve">2.4.1 </w:t>
      </w:r>
      <w:r w:rsidR="00D34DDB">
        <w:rPr>
          <w:lang w:eastAsia="es-ES"/>
        </w:rPr>
        <w:tab/>
      </w:r>
      <w:r>
        <w:rPr>
          <w:lang w:val="es-ES" w:eastAsia="es-ES"/>
        </w:rPr>
        <w:t>Instituto Departamental De Trá</w:t>
      </w:r>
      <w:r w:rsidRPr="009F6A95">
        <w:rPr>
          <w:lang w:val="es-ES" w:eastAsia="es-ES"/>
        </w:rPr>
        <w:t>nsito Del Quind</w:t>
      </w:r>
      <w:r>
        <w:rPr>
          <w:lang w:val="es-ES" w:eastAsia="es-ES"/>
        </w:rPr>
        <w:t>í</w:t>
      </w:r>
      <w:r w:rsidRPr="009F6A95">
        <w:rPr>
          <w:lang w:val="es-ES" w:eastAsia="es-ES"/>
        </w:rPr>
        <w:t>o</w:t>
      </w:r>
      <w:bookmarkEnd w:id="20"/>
    </w:p>
    <w:p w:rsidR="000237B9" w:rsidRPr="000237B9" w:rsidRDefault="000237B9" w:rsidP="000237B9">
      <w:pPr>
        <w:rPr>
          <w:lang w:val="es-ES" w:eastAsia="es-ES"/>
        </w:rPr>
      </w:pPr>
    </w:p>
    <w:p w:rsidR="000237B9" w:rsidRPr="00287676" w:rsidRDefault="000237B9" w:rsidP="000237B9">
      <w:pPr>
        <w:pStyle w:val="Ttulo4"/>
        <w:rPr>
          <w:lang w:val="es-ES" w:eastAsia="es-ES"/>
        </w:rPr>
      </w:pPr>
      <w:r>
        <w:rPr>
          <w:lang w:val="es-ES" w:eastAsia="es-ES"/>
        </w:rPr>
        <w:t xml:space="preserve">2.4.1.1 </w:t>
      </w:r>
      <w:r w:rsidRPr="00287676">
        <w:rPr>
          <w:lang w:val="es-ES" w:eastAsia="es-ES"/>
        </w:rPr>
        <w:t xml:space="preserve">Balance General </w:t>
      </w:r>
    </w:p>
    <w:p w:rsidR="00D34DDB" w:rsidRDefault="00D34DDB" w:rsidP="000237B9">
      <w:pPr>
        <w:rPr>
          <w:lang w:val="es-ES" w:eastAsia="es-ES"/>
        </w:rPr>
      </w:pPr>
      <w:r w:rsidRPr="00287676">
        <w:rPr>
          <w:noProof/>
          <w:lang w:eastAsia="es-CO"/>
        </w:rPr>
        <w:drawing>
          <wp:anchor distT="0" distB="0" distL="114300" distR="114300" simplePos="0" relativeHeight="251696640" behindDoc="0" locked="0" layoutInCell="1" allowOverlap="1" wp14:anchorId="11510FF8" wp14:editId="6DDE4C12">
            <wp:simplePos x="0" y="0"/>
            <wp:positionH relativeFrom="margin">
              <wp:align>left</wp:align>
            </wp:positionH>
            <wp:positionV relativeFrom="paragraph">
              <wp:posOffset>290830</wp:posOffset>
            </wp:positionV>
            <wp:extent cx="5389880" cy="1757045"/>
            <wp:effectExtent l="0" t="0" r="127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988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DDB" w:rsidRDefault="00D34DDB" w:rsidP="00D34DDB"/>
    <w:p w:rsidR="00D34DDB" w:rsidRDefault="00D34DDB" w:rsidP="00D34DDB">
      <w:pPr>
        <w:pStyle w:val="Ttulo4"/>
      </w:pPr>
      <w:r w:rsidRPr="00287676">
        <w:t xml:space="preserve">2.4.1.2 Estado De Actividad Financiera, Económica Y Social  </w:t>
      </w:r>
    </w:p>
    <w:p w:rsidR="00D34DDB" w:rsidRDefault="00D34DDB" w:rsidP="00D34DDB"/>
    <w:p w:rsidR="00D34DDB" w:rsidRPr="00D34DDB" w:rsidRDefault="00D34DDB" w:rsidP="00D34DDB">
      <w:r w:rsidRPr="00D34DDB">
        <w:rPr>
          <w:noProof/>
          <w:lang w:eastAsia="es-CO"/>
        </w:rPr>
        <w:drawing>
          <wp:inline distT="0" distB="0" distL="0" distR="0" wp14:anchorId="04194A79" wp14:editId="594AC837">
            <wp:extent cx="5473275" cy="22919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5775" cy="2309734"/>
                    </a:xfrm>
                    <a:prstGeom prst="rect">
                      <a:avLst/>
                    </a:prstGeom>
                    <a:noFill/>
                    <a:ln>
                      <a:noFill/>
                    </a:ln>
                  </pic:spPr>
                </pic:pic>
              </a:graphicData>
            </a:graphic>
          </wp:inline>
        </w:drawing>
      </w:r>
    </w:p>
    <w:p w:rsidR="00A06B82" w:rsidRPr="00287676" w:rsidRDefault="00585A24" w:rsidP="00A06B82">
      <w:pPr>
        <w:pStyle w:val="Ttulo4"/>
        <w:rPr>
          <w:lang w:val="es-ES" w:eastAsia="es-ES"/>
        </w:rPr>
      </w:pPr>
      <w:r w:rsidRPr="00287676">
        <w:rPr>
          <w:lang w:val="es-ES" w:eastAsia="es-ES"/>
        </w:rPr>
        <w:lastRenderedPageBreak/>
        <w:t xml:space="preserve">2.4.1.3 Ejecución Presupuestal </w:t>
      </w:r>
    </w:p>
    <w:p w:rsidR="00D34DDB" w:rsidRDefault="00F9045B" w:rsidP="00A06B82">
      <w:pPr>
        <w:tabs>
          <w:tab w:val="left" w:pos="2115"/>
        </w:tabs>
        <w:rPr>
          <w:lang w:eastAsia="es-ES"/>
        </w:rPr>
      </w:pPr>
      <w:r w:rsidRPr="00287676">
        <w:rPr>
          <w:noProof/>
          <w:lang w:eastAsia="es-CO"/>
        </w:rPr>
        <w:drawing>
          <wp:anchor distT="0" distB="0" distL="114300" distR="114300" simplePos="0" relativeHeight="251676160" behindDoc="1" locked="0" layoutInCell="1" allowOverlap="1" wp14:anchorId="24EFD207" wp14:editId="1F592D89">
            <wp:simplePos x="0" y="0"/>
            <wp:positionH relativeFrom="column">
              <wp:posOffset>-6985</wp:posOffset>
            </wp:positionH>
            <wp:positionV relativeFrom="paragraph">
              <wp:posOffset>185420</wp:posOffset>
            </wp:positionV>
            <wp:extent cx="5612130" cy="3053080"/>
            <wp:effectExtent l="0" t="0" r="7620" b="0"/>
            <wp:wrapTight wrapText="bothSides">
              <wp:wrapPolygon edited="0">
                <wp:start x="0" y="0"/>
                <wp:lineTo x="0" y="21429"/>
                <wp:lineTo x="21556" y="21429"/>
                <wp:lineTo x="2155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3053080"/>
                    </a:xfrm>
                    <a:prstGeom prst="rect">
                      <a:avLst/>
                    </a:prstGeom>
                    <a:noFill/>
                    <a:ln>
                      <a:noFill/>
                    </a:ln>
                  </pic:spPr>
                </pic:pic>
              </a:graphicData>
            </a:graphic>
          </wp:anchor>
        </w:drawing>
      </w:r>
    </w:p>
    <w:p w:rsidR="00C76203" w:rsidRDefault="00C76203" w:rsidP="00C3529C">
      <w:pPr>
        <w:pStyle w:val="Ttulo3"/>
        <w:rPr>
          <w:lang w:val="es-ES" w:eastAsia="es-ES"/>
        </w:rPr>
      </w:pPr>
    </w:p>
    <w:p w:rsidR="00D34DDB" w:rsidRPr="00287676" w:rsidRDefault="00D34DDB" w:rsidP="00D34DDB">
      <w:pPr>
        <w:pStyle w:val="Ttulo3"/>
        <w:rPr>
          <w:rFonts w:cs="Arial"/>
          <w:lang w:val="es-ES" w:eastAsia="es-ES"/>
        </w:rPr>
      </w:pPr>
      <w:bookmarkStart w:id="21" w:name="_Toc495334903"/>
      <w:r>
        <w:rPr>
          <w:lang w:val="es-ES" w:eastAsia="es-ES"/>
        </w:rPr>
        <w:t>Análisis Presupuestal :</w:t>
      </w:r>
      <w:bookmarkEnd w:id="21"/>
    </w:p>
    <w:p w:rsidR="00D34DDB" w:rsidRPr="00287676" w:rsidRDefault="00D34DDB" w:rsidP="00D34DDB">
      <w:pPr>
        <w:pStyle w:val="Ttulo3"/>
        <w:spacing w:line="360" w:lineRule="auto"/>
        <w:rPr>
          <w:b w:val="0"/>
          <w:lang w:val="es-ES" w:eastAsia="es-ES"/>
        </w:rPr>
      </w:pPr>
      <w:bookmarkStart w:id="22" w:name="_Toc495334904"/>
      <w:r w:rsidRPr="00287676">
        <w:rPr>
          <w:b w:val="0"/>
          <w:lang w:val="es-ES" w:eastAsia="es-ES"/>
        </w:rPr>
        <w:t>El Instituto Departamental de Tránsito del Quindío en su ejecución de ingresos a 30 de Junio de 2017 nos muestra una ejecución del 49% en donde el 99% de estos ingresos corresponden a ingresos no tributarios, y el 1% a Otros Recursos de Capital, de otra parte la ejecución de gastos a la misma fecha nos muestra una ejecución del 54% en donde la mayor participación de esta ejecución la tiene los recursos humanos con un 34%, seguido por los gastos de personal con una participación en la ejecución del 28%, Gastos de Comercialización con un 21% con un Gastos Generales con el 13%, Gastos de Inversión con un 3% y Transferencias Corrientes con un 1.1%.</w:t>
      </w:r>
      <w:bookmarkEnd w:id="22"/>
    </w:p>
    <w:p w:rsidR="00D34DDB" w:rsidRPr="00D34DDB" w:rsidRDefault="00D34DDB" w:rsidP="00D34DDB">
      <w:pPr>
        <w:rPr>
          <w:lang w:val="es-ES" w:eastAsia="es-ES"/>
        </w:rPr>
      </w:pPr>
    </w:p>
    <w:p w:rsidR="003845F7" w:rsidRPr="00287676" w:rsidRDefault="00E60157" w:rsidP="00C3529C">
      <w:pPr>
        <w:pStyle w:val="Ttulo3"/>
        <w:rPr>
          <w:lang w:val="es-ES" w:eastAsia="es-ES"/>
        </w:rPr>
      </w:pPr>
      <w:bookmarkStart w:id="23" w:name="_Toc495334905"/>
      <w:r w:rsidRPr="00287676">
        <w:rPr>
          <w:lang w:val="es-ES" w:eastAsia="es-ES"/>
        </w:rPr>
        <w:lastRenderedPageBreak/>
        <w:t>2.4.2 Instituto Departamental de Deporte y Recreación Del Quindío</w:t>
      </w:r>
      <w:bookmarkEnd w:id="23"/>
    </w:p>
    <w:p w:rsidR="00585A24" w:rsidRPr="00287676" w:rsidRDefault="00D64D05" w:rsidP="00585A24">
      <w:pPr>
        <w:pStyle w:val="Ttulo4"/>
        <w:rPr>
          <w:lang w:val="es-ES" w:eastAsia="es-ES"/>
        </w:rPr>
      </w:pPr>
      <w:r w:rsidRPr="00287676">
        <w:rPr>
          <w:noProof/>
          <w:lang w:eastAsia="es-CO"/>
        </w:rPr>
        <w:drawing>
          <wp:anchor distT="0" distB="0" distL="114300" distR="114300" simplePos="0" relativeHeight="251674112" behindDoc="0" locked="0" layoutInCell="1" allowOverlap="1" wp14:anchorId="3B34B630" wp14:editId="703E2BF9">
            <wp:simplePos x="0" y="0"/>
            <wp:positionH relativeFrom="column">
              <wp:posOffset>62230</wp:posOffset>
            </wp:positionH>
            <wp:positionV relativeFrom="paragraph">
              <wp:posOffset>598170</wp:posOffset>
            </wp:positionV>
            <wp:extent cx="5476875" cy="1847850"/>
            <wp:effectExtent l="0" t="0" r="952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6875" cy="1847850"/>
                    </a:xfrm>
                    <a:prstGeom prst="rect">
                      <a:avLst/>
                    </a:prstGeom>
                    <a:noFill/>
                    <a:ln>
                      <a:noFill/>
                    </a:ln>
                  </pic:spPr>
                </pic:pic>
              </a:graphicData>
            </a:graphic>
          </wp:anchor>
        </w:drawing>
      </w:r>
      <w:r w:rsidR="00585A24" w:rsidRPr="00287676">
        <w:rPr>
          <w:lang w:val="es-ES" w:eastAsia="es-ES"/>
        </w:rPr>
        <w:t xml:space="preserve">2.4.2.1 Balance General </w:t>
      </w:r>
    </w:p>
    <w:p w:rsidR="00585A24" w:rsidRPr="00287676" w:rsidRDefault="00585A24" w:rsidP="00585A24">
      <w:pPr>
        <w:rPr>
          <w:lang w:val="es-ES" w:eastAsia="es-ES"/>
        </w:rPr>
      </w:pPr>
    </w:p>
    <w:p w:rsidR="00585A24" w:rsidRPr="00287676" w:rsidRDefault="00585A24" w:rsidP="00585A24">
      <w:pPr>
        <w:tabs>
          <w:tab w:val="left" w:pos="1365"/>
        </w:tabs>
        <w:jc w:val="both"/>
        <w:rPr>
          <w:rFonts w:ascii="Arial" w:hAnsi="Arial" w:cs="Arial"/>
          <w:sz w:val="32"/>
          <w:szCs w:val="24"/>
          <w:lang w:val="es-ES" w:eastAsia="es-ES"/>
        </w:rPr>
      </w:pPr>
      <w:r w:rsidRPr="00287676">
        <w:rPr>
          <w:rStyle w:val="Ttulo4Car"/>
        </w:rPr>
        <w:t xml:space="preserve">2.4.2.2 </w:t>
      </w:r>
      <w:r w:rsidR="00C3529C" w:rsidRPr="00287676">
        <w:rPr>
          <w:rStyle w:val="Ttulo4Car"/>
        </w:rPr>
        <w:t>Estado De Actividad Financiera, Económica Y Social</w:t>
      </w:r>
    </w:p>
    <w:p w:rsidR="00343361" w:rsidRPr="00287676" w:rsidRDefault="00F20C14" w:rsidP="00585A24">
      <w:pPr>
        <w:tabs>
          <w:tab w:val="left" w:pos="1365"/>
        </w:tabs>
        <w:jc w:val="both"/>
        <w:rPr>
          <w:rFonts w:ascii="Arial" w:hAnsi="Arial" w:cs="Arial"/>
          <w:b/>
          <w:color w:val="000000"/>
          <w:sz w:val="32"/>
          <w:szCs w:val="24"/>
          <w:lang w:eastAsia="es-ES"/>
        </w:rPr>
      </w:pPr>
      <w:r w:rsidRPr="00287676">
        <w:t xml:space="preserve"> </w:t>
      </w:r>
      <w:r w:rsidRPr="00287676">
        <w:rPr>
          <w:noProof/>
          <w:lang w:eastAsia="es-CO"/>
        </w:rPr>
        <w:drawing>
          <wp:inline distT="0" distB="0" distL="0" distR="0" wp14:anchorId="1C29D5D0" wp14:editId="0BFC44D6">
            <wp:extent cx="5613400" cy="2978349"/>
            <wp:effectExtent l="0" t="0" r="635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3400" cy="2978349"/>
                    </a:xfrm>
                    <a:prstGeom prst="rect">
                      <a:avLst/>
                    </a:prstGeom>
                    <a:noFill/>
                    <a:ln>
                      <a:noFill/>
                    </a:ln>
                  </pic:spPr>
                </pic:pic>
              </a:graphicData>
            </a:graphic>
          </wp:inline>
        </w:drawing>
      </w:r>
    </w:p>
    <w:p w:rsidR="001459F2" w:rsidRPr="00287676" w:rsidRDefault="00AC685E" w:rsidP="00AC685E">
      <w:pPr>
        <w:pStyle w:val="Ttulo4"/>
        <w:rPr>
          <w:lang w:val="es-ES" w:eastAsia="es-ES"/>
        </w:rPr>
      </w:pPr>
      <w:r w:rsidRPr="00287676">
        <w:rPr>
          <w:lang w:val="es-ES" w:eastAsia="es-ES"/>
        </w:rPr>
        <w:lastRenderedPageBreak/>
        <w:t xml:space="preserve">2.4.2.3 Ejecución Presupuestal </w:t>
      </w:r>
    </w:p>
    <w:p w:rsidR="001608C2" w:rsidRPr="00287676" w:rsidRDefault="00A06B82" w:rsidP="001608C2">
      <w:pPr>
        <w:tabs>
          <w:tab w:val="left" w:pos="1903"/>
        </w:tabs>
        <w:rPr>
          <w:rFonts w:ascii="Arial" w:hAnsi="Arial" w:cs="Arial"/>
          <w:b/>
          <w:color w:val="000000"/>
          <w:sz w:val="32"/>
          <w:szCs w:val="24"/>
          <w:lang w:val="es-ES" w:eastAsia="es-ES"/>
        </w:rPr>
      </w:pPr>
      <w:r w:rsidRPr="00287676">
        <w:rPr>
          <w:noProof/>
          <w:lang w:eastAsia="es-CO"/>
        </w:rPr>
        <w:drawing>
          <wp:inline distT="0" distB="0" distL="0" distR="0" wp14:anchorId="67E98907" wp14:editId="053AAFBB">
            <wp:extent cx="5610225" cy="32956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3400" cy="3297515"/>
                    </a:xfrm>
                    <a:prstGeom prst="rect">
                      <a:avLst/>
                    </a:prstGeom>
                    <a:noFill/>
                    <a:ln>
                      <a:noFill/>
                    </a:ln>
                  </pic:spPr>
                </pic:pic>
              </a:graphicData>
            </a:graphic>
          </wp:inline>
        </w:drawing>
      </w:r>
    </w:p>
    <w:p w:rsidR="001608C2" w:rsidRPr="00287676" w:rsidRDefault="001608C2" w:rsidP="001608C2">
      <w:pPr>
        <w:tabs>
          <w:tab w:val="left" w:pos="1903"/>
        </w:tabs>
        <w:rPr>
          <w:rFonts w:ascii="Arial" w:hAnsi="Arial" w:cs="Arial"/>
          <w:b/>
          <w:color w:val="000000"/>
          <w:sz w:val="24"/>
          <w:szCs w:val="24"/>
          <w:lang w:val="es-ES" w:eastAsia="es-ES"/>
        </w:rPr>
      </w:pPr>
      <w:r w:rsidRPr="00287676">
        <w:rPr>
          <w:rFonts w:ascii="Arial" w:hAnsi="Arial" w:cs="Arial"/>
          <w:b/>
          <w:color w:val="000000"/>
          <w:sz w:val="24"/>
          <w:szCs w:val="24"/>
          <w:lang w:val="es-ES" w:eastAsia="es-ES"/>
        </w:rPr>
        <w:t>Análisis Presupuestal:</w:t>
      </w:r>
    </w:p>
    <w:p w:rsidR="001608C2" w:rsidRPr="003634ED" w:rsidRDefault="006D200E" w:rsidP="00287676">
      <w:pPr>
        <w:tabs>
          <w:tab w:val="left" w:pos="1903"/>
        </w:tabs>
        <w:spacing w:line="360" w:lineRule="auto"/>
        <w:jc w:val="both"/>
        <w:rPr>
          <w:rFonts w:ascii="Arial" w:hAnsi="Arial" w:cs="Arial"/>
          <w:color w:val="000000"/>
          <w:szCs w:val="24"/>
          <w:lang w:val="es-ES" w:eastAsia="es-ES"/>
        </w:rPr>
      </w:pPr>
      <w:r w:rsidRPr="00287676">
        <w:rPr>
          <w:rFonts w:ascii="Arial" w:hAnsi="Arial" w:cs="Arial"/>
          <w:color w:val="000000"/>
          <w:sz w:val="24"/>
          <w:szCs w:val="24"/>
          <w:lang w:val="es-ES" w:eastAsia="es-ES"/>
        </w:rPr>
        <w:t xml:space="preserve">El Instituto Departamental de Deporte y Recreación del Quindío INDEPORTES presenta una ejecución del 76% en los ingresos a corte 30 de Junio de 2017 en el cual las Transferencias de Capital </w:t>
      </w:r>
      <w:r w:rsidR="00287676" w:rsidRPr="00287676">
        <w:rPr>
          <w:rFonts w:ascii="Arial" w:hAnsi="Arial" w:cs="Arial"/>
          <w:color w:val="000000"/>
          <w:sz w:val="24"/>
          <w:szCs w:val="24"/>
          <w:lang w:val="es-ES" w:eastAsia="es-ES"/>
        </w:rPr>
        <w:t>presentan</w:t>
      </w:r>
      <w:r w:rsidRPr="00287676">
        <w:rPr>
          <w:rFonts w:ascii="Arial" w:hAnsi="Arial" w:cs="Arial"/>
          <w:color w:val="000000"/>
          <w:sz w:val="24"/>
          <w:szCs w:val="24"/>
          <w:lang w:val="es-ES" w:eastAsia="es-ES"/>
        </w:rPr>
        <w:t xml:space="preserve"> mayor participación en estos ingresos con un 66%.</w:t>
      </w:r>
      <w:r w:rsidR="00287676">
        <w:rPr>
          <w:rFonts w:ascii="Arial" w:hAnsi="Arial" w:cs="Arial"/>
          <w:color w:val="000000"/>
          <w:sz w:val="24"/>
          <w:szCs w:val="24"/>
          <w:lang w:val="es-ES" w:eastAsia="es-ES"/>
        </w:rPr>
        <w:t xml:space="preserve"> </w:t>
      </w:r>
      <w:r w:rsidR="003634ED" w:rsidRPr="00287676">
        <w:rPr>
          <w:rFonts w:ascii="Arial" w:hAnsi="Arial" w:cs="Arial"/>
          <w:color w:val="000000"/>
          <w:szCs w:val="24"/>
          <w:lang w:val="es-ES" w:eastAsia="es-ES"/>
        </w:rPr>
        <w:t>Por su parte INDEPORTES a corte 30 de Junio de 2017 presenta una ejecución del 42% en donde la inversión presenta mayor participación con el</w:t>
      </w:r>
      <w:r w:rsidR="003634ED">
        <w:rPr>
          <w:rFonts w:ascii="Arial" w:hAnsi="Arial" w:cs="Arial"/>
          <w:color w:val="000000"/>
          <w:szCs w:val="24"/>
          <w:lang w:val="es-ES" w:eastAsia="es-ES"/>
        </w:rPr>
        <w:t xml:space="preserve"> 76</w:t>
      </w:r>
      <w:r w:rsidR="00287676">
        <w:rPr>
          <w:rFonts w:ascii="Arial" w:hAnsi="Arial" w:cs="Arial"/>
          <w:color w:val="000000"/>
          <w:szCs w:val="24"/>
          <w:lang w:val="es-ES" w:eastAsia="es-ES"/>
        </w:rPr>
        <w:t>%.</w:t>
      </w:r>
    </w:p>
    <w:p w:rsidR="00D34DDB" w:rsidRDefault="00D34DDB">
      <w:pPr>
        <w:rPr>
          <w:rFonts w:ascii="Arial" w:hAnsi="Arial" w:cs="Arial"/>
          <w:b/>
          <w:color w:val="000000"/>
          <w:sz w:val="32"/>
          <w:szCs w:val="24"/>
          <w:lang w:val="es-ES" w:eastAsia="es-ES"/>
        </w:rPr>
      </w:pPr>
      <w:r>
        <w:rPr>
          <w:rFonts w:ascii="Arial" w:hAnsi="Arial" w:cs="Arial"/>
          <w:b/>
          <w:color w:val="000000"/>
          <w:sz w:val="32"/>
          <w:szCs w:val="24"/>
          <w:lang w:val="es-ES" w:eastAsia="es-ES"/>
        </w:rPr>
        <w:br w:type="page"/>
      </w:r>
    </w:p>
    <w:p w:rsidR="003634ED" w:rsidRPr="001608C2" w:rsidRDefault="003634ED" w:rsidP="001608C2">
      <w:pPr>
        <w:tabs>
          <w:tab w:val="left" w:pos="1903"/>
        </w:tabs>
        <w:rPr>
          <w:rFonts w:ascii="Arial" w:hAnsi="Arial" w:cs="Arial"/>
          <w:b/>
          <w:color w:val="000000"/>
          <w:sz w:val="32"/>
          <w:szCs w:val="24"/>
          <w:lang w:val="es-ES" w:eastAsia="es-ES"/>
        </w:rPr>
      </w:pPr>
    </w:p>
    <w:p w:rsidR="00A30A8A" w:rsidRDefault="00650B1E" w:rsidP="00AC7B64">
      <w:pPr>
        <w:pStyle w:val="Ttulo2"/>
        <w:ind w:left="0" w:firstLine="0"/>
        <w:jc w:val="both"/>
      </w:pPr>
      <w:bookmarkStart w:id="24" w:name="_Toc495334906"/>
      <w:r w:rsidRPr="004B6AF7">
        <w:t>INFORME</w:t>
      </w:r>
      <w:r w:rsidR="00A6656A" w:rsidRPr="004B6AF7">
        <w:t xml:space="preserve"> DE LOS RESULTADOS FISCALES DE LA VIGENCIA FISCAL ANTERIOR </w:t>
      </w:r>
      <w:r w:rsidR="00FD686B">
        <w:t>(</w:t>
      </w:r>
      <w:r w:rsidR="00FD686B" w:rsidRPr="004B6AF7">
        <w:t>VIGENCIA 2016</w:t>
      </w:r>
      <w:r w:rsidR="00FD686B">
        <w:t>)</w:t>
      </w:r>
      <w:bookmarkEnd w:id="24"/>
    </w:p>
    <w:p w:rsidR="009C729C" w:rsidRDefault="009C729C" w:rsidP="003065B8">
      <w:pPr>
        <w:pStyle w:val="Ttulo2"/>
        <w:numPr>
          <w:ilvl w:val="0"/>
          <w:numId w:val="0"/>
        </w:numPr>
      </w:pPr>
    </w:p>
    <w:p w:rsidR="00A6656A" w:rsidRPr="004B6AF7" w:rsidRDefault="00A30A8A" w:rsidP="003065B8">
      <w:pPr>
        <w:pStyle w:val="Ttulo2"/>
        <w:numPr>
          <w:ilvl w:val="0"/>
          <w:numId w:val="0"/>
        </w:numPr>
      </w:pPr>
      <w:bookmarkStart w:id="25" w:name="_Toc495334907"/>
      <w:r>
        <w:t xml:space="preserve">3.1 </w:t>
      </w:r>
      <w:r w:rsidR="003065B8">
        <w:t>DEPARTAMENTO DEL QUINDIO</w:t>
      </w:r>
      <w:r w:rsidR="00FD686B">
        <w:t xml:space="preserve"> - </w:t>
      </w:r>
      <w:r w:rsidR="00FB5625">
        <w:t>SECTOR CENTRAL</w:t>
      </w:r>
      <w:bookmarkEnd w:id="25"/>
      <w:r w:rsidR="00FB5625">
        <w:t xml:space="preserve"> </w:t>
      </w:r>
    </w:p>
    <w:p w:rsidR="00A6656A" w:rsidRPr="0039575A" w:rsidRDefault="00A6656A" w:rsidP="006E45D8">
      <w:pPr>
        <w:widowControl w:val="0"/>
        <w:autoSpaceDE w:val="0"/>
        <w:autoSpaceDN w:val="0"/>
        <w:adjustRightInd w:val="0"/>
        <w:spacing w:before="100" w:beforeAutospacing="1" w:after="0" w:line="360" w:lineRule="auto"/>
        <w:jc w:val="both"/>
        <w:rPr>
          <w:rFonts w:ascii="Arial" w:hAnsi="Arial" w:cs="Arial"/>
          <w:sz w:val="24"/>
          <w:szCs w:val="24"/>
        </w:rPr>
      </w:pPr>
      <w:r w:rsidRPr="0039575A">
        <w:rPr>
          <w:rFonts w:ascii="Arial" w:hAnsi="Arial" w:cs="Arial"/>
          <w:sz w:val="24"/>
          <w:szCs w:val="24"/>
        </w:rPr>
        <w:t>A nivel nacional la economía se enfrentó a variables económicas como la inflación que cerró el 2016 con un 5.75% según cifras del DANE; dando lugar a que la tasa de interés se incrementara continuamente, por eso la Asociación Nacional de Indus</w:t>
      </w:r>
      <w:r w:rsidR="009C729C">
        <w:rPr>
          <w:rFonts w:ascii="Arial" w:hAnsi="Arial" w:cs="Arial"/>
          <w:sz w:val="24"/>
          <w:szCs w:val="24"/>
        </w:rPr>
        <w:t xml:space="preserve">triales (ANDI) </w:t>
      </w:r>
      <w:r w:rsidRPr="0039575A">
        <w:rPr>
          <w:rFonts w:ascii="Arial" w:hAnsi="Arial" w:cs="Arial"/>
          <w:sz w:val="24"/>
          <w:szCs w:val="24"/>
        </w:rPr>
        <w:t>solicitaba a las autoridades económicas aplicar políticas de contracción evitando un mayor costo del dinero y por ende mayor costo de crecimiento.</w:t>
      </w:r>
    </w:p>
    <w:p w:rsidR="00A6656A" w:rsidRPr="0039575A" w:rsidRDefault="00A6656A" w:rsidP="004E73AA">
      <w:pPr>
        <w:widowControl w:val="0"/>
        <w:autoSpaceDE w:val="0"/>
        <w:autoSpaceDN w:val="0"/>
        <w:adjustRightInd w:val="0"/>
        <w:spacing w:before="100" w:beforeAutospacing="1" w:after="0" w:line="360" w:lineRule="auto"/>
        <w:jc w:val="both"/>
        <w:rPr>
          <w:rFonts w:ascii="Arial" w:hAnsi="Arial" w:cs="Arial"/>
          <w:sz w:val="24"/>
          <w:szCs w:val="24"/>
        </w:rPr>
      </w:pPr>
      <w:r w:rsidRPr="0039575A">
        <w:rPr>
          <w:rFonts w:ascii="Arial" w:hAnsi="Arial" w:cs="Arial"/>
          <w:sz w:val="24"/>
          <w:szCs w:val="24"/>
        </w:rPr>
        <w:t>También enfrentamos los colombianos el PIB que según un análisis de FEDESARROLLO para</w:t>
      </w:r>
      <w:r w:rsidR="009C729C">
        <w:rPr>
          <w:rFonts w:ascii="Arial" w:hAnsi="Arial" w:cs="Arial"/>
          <w:sz w:val="24"/>
          <w:szCs w:val="24"/>
        </w:rPr>
        <w:t xml:space="preserve"> el </w:t>
      </w:r>
      <w:r w:rsidRPr="0039575A">
        <w:rPr>
          <w:rFonts w:ascii="Arial" w:hAnsi="Arial" w:cs="Arial"/>
          <w:sz w:val="24"/>
          <w:szCs w:val="24"/>
        </w:rPr>
        <w:t>último trimestre creció en 1.6%.  Problemas surgidos evidentemente por la caída de los precios del petróleo, el aumento en la deuda externa de</w:t>
      </w:r>
      <w:r w:rsidR="009C729C">
        <w:rPr>
          <w:rFonts w:ascii="Arial" w:hAnsi="Arial" w:cs="Arial"/>
          <w:sz w:val="24"/>
          <w:szCs w:val="24"/>
        </w:rPr>
        <w:t xml:space="preserve">bido a la revaluación del peso </w:t>
      </w:r>
      <w:r w:rsidRPr="0039575A">
        <w:rPr>
          <w:rFonts w:ascii="Arial" w:hAnsi="Arial" w:cs="Arial"/>
          <w:sz w:val="24"/>
          <w:szCs w:val="24"/>
        </w:rPr>
        <w:t xml:space="preserve">y el aumento de productos y materias primas principalmente desde China tiene en serios problemas la economía colombiana afectando los recaudos fiscales. </w:t>
      </w:r>
    </w:p>
    <w:p w:rsidR="00A6656A" w:rsidRPr="0039575A" w:rsidRDefault="00A6656A" w:rsidP="005C7707">
      <w:pPr>
        <w:widowControl w:val="0"/>
        <w:autoSpaceDE w:val="0"/>
        <w:autoSpaceDN w:val="0"/>
        <w:adjustRightInd w:val="0"/>
        <w:spacing w:before="100" w:beforeAutospacing="1" w:after="0" w:line="360" w:lineRule="auto"/>
        <w:jc w:val="both"/>
        <w:rPr>
          <w:rFonts w:ascii="Arial" w:hAnsi="Arial" w:cs="Arial"/>
          <w:sz w:val="24"/>
          <w:szCs w:val="24"/>
        </w:rPr>
      </w:pPr>
      <w:r w:rsidRPr="0039575A">
        <w:rPr>
          <w:rFonts w:ascii="Arial" w:hAnsi="Arial" w:cs="Arial"/>
          <w:sz w:val="24"/>
          <w:szCs w:val="24"/>
        </w:rPr>
        <w:t>El diagnóstico del presupuesto para el año 2016 que nos compete estuvo enmarcado en el momento de su proyección teniendo en cuenta estas variables macroeconómicas y económicas que nos permitieron calcular lo más realmente posible los ingresos y gastos y nos dieron a conocer a través de su estructura y comportamiento la realidad del Departamento a nivel financiero y que posteriormente permitió proyectar garantizando la estabilidad financiera para los próximos años.</w:t>
      </w:r>
    </w:p>
    <w:p w:rsidR="00A6656A" w:rsidRPr="0039575A" w:rsidRDefault="003065B8" w:rsidP="003065B8">
      <w:pPr>
        <w:pStyle w:val="Ttulo3"/>
      </w:pPr>
      <w:bookmarkStart w:id="26" w:name="_Toc495334908"/>
      <w:r w:rsidRPr="00BD7A49">
        <w:lastRenderedPageBreak/>
        <w:t>3.1.1 Ingresos</w:t>
      </w:r>
      <w:bookmarkEnd w:id="26"/>
    </w:p>
    <w:p w:rsidR="00A6656A" w:rsidRPr="0039575A" w:rsidRDefault="00A6656A" w:rsidP="006E45D8">
      <w:pPr>
        <w:widowControl w:val="0"/>
        <w:autoSpaceDE w:val="0"/>
        <w:autoSpaceDN w:val="0"/>
        <w:adjustRightInd w:val="0"/>
        <w:spacing w:before="100" w:beforeAutospacing="1" w:after="0" w:line="360" w:lineRule="auto"/>
        <w:jc w:val="both"/>
        <w:rPr>
          <w:rFonts w:ascii="Arial" w:hAnsi="Arial" w:cs="Arial"/>
          <w:b/>
          <w:sz w:val="24"/>
          <w:szCs w:val="24"/>
        </w:rPr>
      </w:pPr>
      <w:r w:rsidRPr="00994AF8">
        <w:rPr>
          <w:noProof/>
          <w:lang w:eastAsia="es-CO"/>
        </w:rPr>
        <w:drawing>
          <wp:inline distT="0" distB="0" distL="0" distR="0" wp14:anchorId="377458C6" wp14:editId="057E747B">
            <wp:extent cx="5664200" cy="243444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5942" cy="2448084"/>
                    </a:xfrm>
                    <a:prstGeom prst="rect">
                      <a:avLst/>
                    </a:prstGeom>
                    <a:noFill/>
                    <a:ln>
                      <a:noFill/>
                    </a:ln>
                  </pic:spPr>
                </pic:pic>
              </a:graphicData>
            </a:graphic>
          </wp:inline>
        </w:drawing>
      </w:r>
    </w:p>
    <w:p w:rsidR="00A6656A" w:rsidRPr="0039575A" w:rsidRDefault="009C729C" w:rsidP="009C729C">
      <w:pPr>
        <w:widowControl w:val="0"/>
        <w:autoSpaceDE w:val="0"/>
        <w:autoSpaceDN w:val="0"/>
        <w:adjustRightInd w:val="0"/>
        <w:spacing w:before="100" w:beforeAutospacing="1" w:after="0" w:line="360" w:lineRule="auto"/>
        <w:jc w:val="both"/>
        <w:rPr>
          <w:rFonts w:ascii="Arial" w:hAnsi="Arial" w:cs="Arial"/>
          <w:sz w:val="24"/>
          <w:szCs w:val="24"/>
        </w:rPr>
      </w:pPr>
      <w:r w:rsidRPr="009C729C">
        <w:rPr>
          <w:rFonts w:ascii="Arial" w:hAnsi="Arial" w:cs="Arial"/>
          <w:sz w:val="24"/>
          <w:szCs w:val="24"/>
        </w:rPr>
        <w:t>Para la vigencia 2016, los Ingresos Totales</w:t>
      </w:r>
      <w:r w:rsidRPr="0039575A">
        <w:rPr>
          <w:rFonts w:ascii="Arial" w:hAnsi="Arial" w:cs="Arial"/>
          <w:sz w:val="24"/>
          <w:szCs w:val="24"/>
        </w:rPr>
        <w:t xml:space="preserve"> </w:t>
      </w:r>
      <w:r w:rsidR="00A6656A" w:rsidRPr="0039575A">
        <w:rPr>
          <w:rFonts w:ascii="Arial" w:hAnsi="Arial" w:cs="Arial"/>
          <w:sz w:val="24"/>
          <w:szCs w:val="24"/>
        </w:rPr>
        <w:t xml:space="preserve">del </w:t>
      </w:r>
      <w:r>
        <w:rPr>
          <w:rFonts w:ascii="Arial" w:hAnsi="Arial" w:cs="Arial"/>
          <w:sz w:val="24"/>
          <w:szCs w:val="24"/>
        </w:rPr>
        <w:t xml:space="preserve">Departamento del Quindío, </w:t>
      </w:r>
      <w:r w:rsidR="00A6656A" w:rsidRPr="0039575A">
        <w:rPr>
          <w:rFonts w:ascii="Arial" w:hAnsi="Arial" w:cs="Arial"/>
          <w:sz w:val="24"/>
          <w:szCs w:val="24"/>
        </w:rPr>
        <w:t>conformad</w:t>
      </w:r>
      <w:r>
        <w:rPr>
          <w:rFonts w:ascii="Arial" w:hAnsi="Arial" w:cs="Arial"/>
          <w:sz w:val="24"/>
          <w:szCs w:val="24"/>
        </w:rPr>
        <w:t>os por los Ingresos C</w:t>
      </w:r>
      <w:r w:rsidR="00A6656A">
        <w:rPr>
          <w:rFonts w:ascii="Arial" w:hAnsi="Arial" w:cs="Arial"/>
          <w:sz w:val="24"/>
          <w:szCs w:val="24"/>
        </w:rPr>
        <w:t>orrientes, Fondos especiales y R</w:t>
      </w:r>
      <w:r>
        <w:rPr>
          <w:rFonts w:ascii="Arial" w:hAnsi="Arial" w:cs="Arial"/>
          <w:sz w:val="24"/>
          <w:szCs w:val="24"/>
        </w:rPr>
        <w:t>ecursos de C</w:t>
      </w:r>
      <w:r w:rsidR="00A6656A" w:rsidRPr="0039575A">
        <w:rPr>
          <w:rFonts w:ascii="Arial" w:hAnsi="Arial" w:cs="Arial"/>
          <w:sz w:val="24"/>
          <w:szCs w:val="24"/>
        </w:rPr>
        <w:t xml:space="preserve">apital, alcanzaron una ejecución del </w:t>
      </w:r>
      <w:r w:rsidR="00A6656A" w:rsidRPr="0039575A">
        <w:rPr>
          <w:rFonts w:ascii="Arial" w:hAnsi="Arial" w:cs="Arial"/>
          <w:b/>
          <w:sz w:val="24"/>
          <w:szCs w:val="24"/>
        </w:rPr>
        <w:t>103%</w:t>
      </w:r>
      <w:r w:rsidR="00A6656A" w:rsidRPr="0039575A">
        <w:rPr>
          <w:rFonts w:ascii="Arial" w:hAnsi="Arial" w:cs="Arial"/>
          <w:sz w:val="24"/>
          <w:szCs w:val="24"/>
        </w:rPr>
        <w:t xml:space="preserve">, </w:t>
      </w:r>
      <w:r>
        <w:rPr>
          <w:rFonts w:ascii="Arial" w:hAnsi="Arial" w:cs="Arial"/>
          <w:sz w:val="24"/>
          <w:szCs w:val="24"/>
        </w:rPr>
        <w:t>con una proyección de ingresos de</w:t>
      </w:r>
      <w:r w:rsidR="00A6656A" w:rsidRPr="0039575A">
        <w:rPr>
          <w:rFonts w:ascii="Arial" w:hAnsi="Arial" w:cs="Arial"/>
          <w:sz w:val="24"/>
          <w:szCs w:val="24"/>
        </w:rPr>
        <w:t xml:space="preserve"> $285.370 millones </w:t>
      </w:r>
      <w:r>
        <w:rPr>
          <w:rFonts w:ascii="Arial" w:hAnsi="Arial" w:cs="Arial"/>
          <w:sz w:val="24"/>
          <w:szCs w:val="24"/>
        </w:rPr>
        <w:t>se recaudaron ingresos por valor de</w:t>
      </w:r>
      <w:r w:rsidR="00A6656A" w:rsidRPr="0039575A">
        <w:rPr>
          <w:rFonts w:ascii="Arial" w:hAnsi="Arial" w:cs="Arial"/>
          <w:sz w:val="24"/>
          <w:szCs w:val="24"/>
        </w:rPr>
        <w:t xml:space="preserve"> $294.972 millones. Es</w:t>
      </w:r>
      <w:r>
        <w:rPr>
          <w:rFonts w:ascii="Arial" w:hAnsi="Arial" w:cs="Arial"/>
          <w:sz w:val="24"/>
          <w:szCs w:val="24"/>
        </w:rPr>
        <w:t xml:space="preserve">te comportamiento positivo del </w:t>
      </w:r>
      <w:r w:rsidR="00A6656A" w:rsidRPr="0039575A">
        <w:rPr>
          <w:rFonts w:ascii="Arial" w:hAnsi="Arial" w:cs="Arial"/>
          <w:sz w:val="24"/>
          <w:szCs w:val="24"/>
        </w:rPr>
        <w:t xml:space="preserve">recaudo de los ingresos totales </w:t>
      </w:r>
      <w:r>
        <w:rPr>
          <w:rFonts w:ascii="Arial" w:hAnsi="Arial" w:cs="Arial"/>
          <w:sz w:val="24"/>
          <w:szCs w:val="24"/>
        </w:rPr>
        <w:t xml:space="preserve">ha permitido </w:t>
      </w:r>
      <w:r w:rsidR="00A6656A" w:rsidRPr="0039575A">
        <w:rPr>
          <w:rFonts w:ascii="Arial" w:hAnsi="Arial" w:cs="Arial"/>
          <w:sz w:val="24"/>
          <w:szCs w:val="24"/>
        </w:rPr>
        <w:t>solucionar las necesidades de la comunidad y proyectar</w:t>
      </w:r>
      <w:r>
        <w:rPr>
          <w:rFonts w:ascii="Arial" w:hAnsi="Arial" w:cs="Arial"/>
          <w:sz w:val="24"/>
          <w:szCs w:val="24"/>
        </w:rPr>
        <w:t xml:space="preserve"> el desarrollo del Departamento. </w:t>
      </w:r>
    </w:p>
    <w:p w:rsidR="00A6656A" w:rsidRDefault="003065B8" w:rsidP="003065B8">
      <w:pPr>
        <w:pStyle w:val="Ttulo4"/>
      </w:pPr>
      <w:r w:rsidRPr="00BD7A49">
        <w:t>3.1.1.1</w:t>
      </w:r>
      <w:r w:rsidR="004B6AF7" w:rsidRPr="00BD7A49">
        <w:t xml:space="preserve"> Ingresos Corrientes Tributarios</w:t>
      </w:r>
    </w:p>
    <w:p w:rsidR="00A6656A" w:rsidRDefault="00A6656A" w:rsidP="004E73AA">
      <w:pPr>
        <w:widowControl w:val="0"/>
        <w:autoSpaceDE w:val="0"/>
        <w:autoSpaceDN w:val="0"/>
        <w:adjustRightInd w:val="0"/>
        <w:spacing w:before="100" w:beforeAutospacing="1" w:after="0" w:line="360" w:lineRule="auto"/>
        <w:jc w:val="both"/>
        <w:rPr>
          <w:rFonts w:ascii="Arial" w:hAnsi="Arial" w:cs="Arial"/>
          <w:b/>
          <w:sz w:val="24"/>
          <w:szCs w:val="24"/>
        </w:rPr>
      </w:pPr>
      <w:r w:rsidRPr="00994AF8">
        <w:rPr>
          <w:noProof/>
          <w:lang w:eastAsia="es-CO"/>
        </w:rPr>
        <w:drawing>
          <wp:inline distT="0" distB="0" distL="0" distR="0" wp14:anchorId="5F475046" wp14:editId="4DDF731B">
            <wp:extent cx="5606983" cy="294160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3400" cy="2944974"/>
                    </a:xfrm>
                    <a:prstGeom prst="rect">
                      <a:avLst/>
                    </a:prstGeom>
                    <a:noFill/>
                    <a:ln>
                      <a:noFill/>
                    </a:ln>
                  </pic:spPr>
                </pic:pic>
              </a:graphicData>
            </a:graphic>
          </wp:inline>
        </w:drawing>
      </w:r>
    </w:p>
    <w:p w:rsidR="00A6656A" w:rsidRPr="00A74C1C" w:rsidRDefault="00A6656A" w:rsidP="006E45D8">
      <w:pPr>
        <w:widowControl w:val="0"/>
        <w:autoSpaceDE w:val="0"/>
        <w:autoSpaceDN w:val="0"/>
        <w:adjustRightInd w:val="0"/>
        <w:spacing w:before="100" w:beforeAutospacing="1" w:after="0" w:line="360" w:lineRule="auto"/>
        <w:jc w:val="both"/>
        <w:rPr>
          <w:rFonts w:ascii="Arial" w:hAnsi="Arial" w:cs="Arial"/>
          <w:b/>
          <w:sz w:val="24"/>
          <w:szCs w:val="24"/>
        </w:rPr>
      </w:pPr>
      <w:r w:rsidRPr="0039575A">
        <w:rPr>
          <w:rFonts w:ascii="Arial" w:hAnsi="Arial" w:cs="Arial"/>
          <w:sz w:val="24"/>
          <w:szCs w:val="24"/>
        </w:rPr>
        <w:lastRenderedPageBreak/>
        <w:t xml:space="preserve">Con una </w:t>
      </w:r>
      <w:r w:rsidRPr="006A7EFC">
        <w:rPr>
          <w:rFonts w:ascii="Arial" w:hAnsi="Arial" w:cs="Arial"/>
          <w:sz w:val="24"/>
          <w:szCs w:val="24"/>
        </w:rPr>
        <w:t xml:space="preserve">participación del </w:t>
      </w:r>
      <w:r w:rsidR="007F2A11" w:rsidRPr="006A7EFC">
        <w:rPr>
          <w:rFonts w:ascii="Arial" w:hAnsi="Arial" w:cs="Arial"/>
          <w:b/>
          <w:sz w:val="24"/>
          <w:szCs w:val="24"/>
        </w:rPr>
        <w:t>29</w:t>
      </w:r>
      <w:r w:rsidRPr="006A7EFC">
        <w:rPr>
          <w:rFonts w:ascii="Arial" w:hAnsi="Arial" w:cs="Arial"/>
          <w:b/>
          <w:sz w:val="24"/>
          <w:szCs w:val="24"/>
        </w:rPr>
        <w:t>%</w:t>
      </w:r>
      <w:r w:rsidRPr="006A7EFC">
        <w:rPr>
          <w:rFonts w:ascii="Arial" w:hAnsi="Arial" w:cs="Arial"/>
          <w:sz w:val="24"/>
          <w:szCs w:val="24"/>
        </w:rPr>
        <w:t xml:space="preserve"> de los ingresos totales y del </w:t>
      </w:r>
      <w:r w:rsidRPr="006A7EFC">
        <w:rPr>
          <w:rFonts w:ascii="Arial" w:hAnsi="Arial" w:cs="Arial"/>
          <w:b/>
          <w:sz w:val="24"/>
          <w:szCs w:val="24"/>
        </w:rPr>
        <w:t>82%</w:t>
      </w:r>
      <w:r w:rsidRPr="006A7EFC">
        <w:rPr>
          <w:rFonts w:ascii="Arial" w:hAnsi="Arial" w:cs="Arial"/>
          <w:sz w:val="24"/>
          <w:szCs w:val="24"/>
        </w:rPr>
        <w:t xml:space="preserve"> de los</w:t>
      </w:r>
      <w:r w:rsidRPr="0039575A">
        <w:rPr>
          <w:rFonts w:ascii="Arial" w:hAnsi="Arial" w:cs="Arial"/>
          <w:sz w:val="24"/>
          <w:szCs w:val="24"/>
        </w:rPr>
        <w:t xml:space="preserve"> ingresos corrientes, destacan el </w:t>
      </w:r>
      <w:r w:rsidRPr="0039575A">
        <w:rPr>
          <w:rFonts w:ascii="Arial" w:hAnsi="Arial" w:cs="Arial"/>
          <w:b/>
          <w:sz w:val="24"/>
          <w:szCs w:val="24"/>
        </w:rPr>
        <w:t>impuesto al consumo de la cerveza</w:t>
      </w:r>
      <w:r w:rsidRPr="0039575A">
        <w:rPr>
          <w:rFonts w:ascii="Arial" w:hAnsi="Arial" w:cs="Arial"/>
          <w:sz w:val="24"/>
          <w:szCs w:val="24"/>
        </w:rPr>
        <w:t xml:space="preserve"> llámese nacional o importada -aunque el consumo de cerveza nacional es mayor que la importada-, logramos superar la expectativa proyectada logrando recaudar la suma de $15.955 millones de los $13.900 millones que se habían proyectado.  La participación de los ingresos tributarios con relación a los ingresos corrientes fue del </w:t>
      </w:r>
      <w:r w:rsidRPr="0039575A">
        <w:rPr>
          <w:rFonts w:ascii="Arial" w:hAnsi="Arial" w:cs="Arial"/>
          <w:b/>
          <w:sz w:val="24"/>
          <w:szCs w:val="24"/>
        </w:rPr>
        <w:t>15%.</w:t>
      </w:r>
      <w:r w:rsidRPr="0039575A">
        <w:rPr>
          <w:rFonts w:ascii="Arial" w:hAnsi="Arial" w:cs="Arial"/>
          <w:sz w:val="24"/>
          <w:szCs w:val="24"/>
        </w:rPr>
        <w:t xml:space="preserve"> Y un 6% del </w:t>
      </w:r>
      <w:r w:rsidR="009C729C">
        <w:rPr>
          <w:rFonts w:ascii="Arial" w:hAnsi="Arial" w:cs="Arial"/>
          <w:sz w:val="24"/>
          <w:szCs w:val="24"/>
        </w:rPr>
        <w:t xml:space="preserve">total de los ingresos totales. </w:t>
      </w:r>
    </w:p>
    <w:p w:rsidR="00A6656A" w:rsidRPr="0039575A" w:rsidRDefault="00A6656A" w:rsidP="006E45D8">
      <w:pPr>
        <w:widowControl w:val="0"/>
        <w:autoSpaceDE w:val="0"/>
        <w:autoSpaceDN w:val="0"/>
        <w:adjustRightInd w:val="0"/>
        <w:spacing w:before="100" w:beforeAutospacing="1" w:after="0" w:line="360" w:lineRule="auto"/>
        <w:jc w:val="both"/>
        <w:rPr>
          <w:rFonts w:ascii="Arial" w:hAnsi="Arial" w:cs="Arial"/>
          <w:sz w:val="24"/>
          <w:szCs w:val="24"/>
        </w:rPr>
      </w:pPr>
      <w:r>
        <w:rPr>
          <w:rFonts w:ascii="Arial" w:hAnsi="Arial" w:cs="Arial"/>
          <w:sz w:val="24"/>
          <w:szCs w:val="24"/>
        </w:rPr>
        <w:t>Los impuestos al consumo mantuvieron la mayor representatividad (38%), seguidos por las estampillas (29%), el impuesto de vehículos (12%), el impuesto de registro y anotación (10%) la sobretasa a la gasol</w:t>
      </w:r>
      <w:r w:rsidR="009C729C">
        <w:rPr>
          <w:rFonts w:ascii="Arial" w:hAnsi="Arial" w:cs="Arial"/>
          <w:sz w:val="24"/>
          <w:szCs w:val="24"/>
        </w:rPr>
        <w:t>ina (6%) y otros impuestos (5%).</w:t>
      </w:r>
    </w:p>
    <w:p w:rsidR="004532FA" w:rsidRPr="004532FA" w:rsidRDefault="007E5763" w:rsidP="004532FA">
      <w:pPr>
        <w:pStyle w:val="Prrafodelista"/>
        <w:widowControl w:val="0"/>
        <w:numPr>
          <w:ilvl w:val="0"/>
          <w:numId w:val="25"/>
        </w:numPr>
        <w:tabs>
          <w:tab w:val="left" w:pos="426"/>
        </w:tabs>
        <w:autoSpaceDE w:val="0"/>
        <w:autoSpaceDN w:val="0"/>
        <w:adjustRightInd w:val="0"/>
        <w:spacing w:before="100" w:beforeAutospacing="1" w:after="0" w:line="360" w:lineRule="auto"/>
        <w:ind w:left="0" w:hanging="11"/>
        <w:jc w:val="both"/>
        <w:rPr>
          <w:rFonts w:ascii="Arial" w:hAnsi="Arial" w:cs="Arial"/>
          <w:sz w:val="24"/>
          <w:szCs w:val="24"/>
        </w:rPr>
      </w:pPr>
      <w:r w:rsidRPr="007E5763">
        <w:rPr>
          <w:rFonts w:ascii="Arial" w:hAnsi="Arial" w:cs="Arial"/>
          <w:b/>
          <w:sz w:val="24"/>
          <w:szCs w:val="24"/>
        </w:rPr>
        <w:t>Impuesto</w:t>
      </w:r>
      <w:r w:rsidR="00A6656A" w:rsidRPr="007E5763">
        <w:rPr>
          <w:rFonts w:ascii="Arial" w:hAnsi="Arial" w:cs="Arial"/>
          <w:b/>
          <w:sz w:val="24"/>
          <w:szCs w:val="24"/>
        </w:rPr>
        <w:t xml:space="preserve"> </w:t>
      </w:r>
      <w:r w:rsidR="00F13D9F">
        <w:rPr>
          <w:rFonts w:ascii="Arial" w:hAnsi="Arial" w:cs="Arial"/>
          <w:b/>
          <w:sz w:val="24"/>
          <w:szCs w:val="24"/>
        </w:rPr>
        <w:t>d</w:t>
      </w:r>
      <w:r w:rsidR="00F13D9F" w:rsidRPr="007E5763">
        <w:rPr>
          <w:rFonts w:ascii="Arial" w:hAnsi="Arial" w:cs="Arial"/>
          <w:b/>
          <w:sz w:val="24"/>
          <w:szCs w:val="24"/>
        </w:rPr>
        <w:t>e Consumo De Licores</w:t>
      </w:r>
      <w:r w:rsidR="00F13D9F" w:rsidRPr="007E5763">
        <w:rPr>
          <w:rFonts w:ascii="Arial" w:hAnsi="Arial" w:cs="Arial"/>
          <w:sz w:val="24"/>
          <w:szCs w:val="24"/>
        </w:rPr>
        <w:t xml:space="preserve"> </w:t>
      </w:r>
      <w:r w:rsidR="00A6656A" w:rsidRPr="007E5763">
        <w:rPr>
          <w:rFonts w:ascii="Arial" w:hAnsi="Arial" w:cs="Arial"/>
          <w:sz w:val="24"/>
          <w:szCs w:val="24"/>
        </w:rPr>
        <w:t xml:space="preserve">tiene una baja participación del </w:t>
      </w:r>
      <w:r w:rsidR="007F2A11" w:rsidRPr="007E5763">
        <w:rPr>
          <w:rFonts w:ascii="Arial" w:hAnsi="Arial" w:cs="Arial"/>
          <w:sz w:val="24"/>
          <w:szCs w:val="24"/>
        </w:rPr>
        <w:t>3</w:t>
      </w:r>
      <w:r w:rsidR="00A6656A" w:rsidRPr="007E5763">
        <w:rPr>
          <w:rFonts w:ascii="Arial" w:hAnsi="Arial" w:cs="Arial"/>
          <w:b/>
          <w:sz w:val="24"/>
          <w:szCs w:val="24"/>
        </w:rPr>
        <w:t>%</w:t>
      </w:r>
      <w:r w:rsidR="00A6656A" w:rsidRPr="007E5763">
        <w:rPr>
          <w:rFonts w:ascii="Arial" w:hAnsi="Arial" w:cs="Arial"/>
          <w:sz w:val="24"/>
          <w:szCs w:val="24"/>
        </w:rPr>
        <w:t xml:space="preserve"> de los </w:t>
      </w:r>
      <w:r w:rsidR="00D07027">
        <w:rPr>
          <w:rFonts w:ascii="Arial" w:hAnsi="Arial" w:cs="Arial"/>
          <w:sz w:val="24"/>
          <w:szCs w:val="24"/>
        </w:rPr>
        <w:t>T</w:t>
      </w:r>
      <w:r w:rsidR="00A6656A" w:rsidRPr="007E5763">
        <w:rPr>
          <w:rFonts w:ascii="Arial" w:hAnsi="Arial" w:cs="Arial"/>
          <w:sz w:val="24"/>
          <w:szCs w:val="24"/>
        </w:rPr>
        <w:t xml:space="preserve">ributarios y el </w:t>
      </w:r>
      <w:r w:rsidR="007F2A11" w:rsidRPr="007E5763">
        <w:rPr>
          <w:rFonts w:ascii="Arial" w:hAnsi="Arial" w:cs="Arial"/>
          <w:sz w:val="24"/>
          <w:szCs w:val="24"/>
        </w:rPr>
        <w:t>2</w:t>
      </w:r>
      <w:r w:rsidR="00A6656A" w:rsidRPr="007E5763">
        <w:rPr>
          <w:rFonts w:ascii="Arial" w:hAnsi="Arial" w:cs="Arial"/>
          <w:sz w:val="24"/>
          <w:szCs w:val="24"/>
        </w:rPr>
        <w:t xml:space="preserve">% de los ingresos </w:t>
      </w:r>
      <w:r w:rsidR="007F2A11" w:rsidRPr="007E5763">
        <w:rPr>
          <w:rFonts w:ascii="Arial" w:hAnsi="Arial" w:cs="Arial"/>
          <w:sz w:val="24"/>
          <w:szCs w:val="24"/>
        </w:rPr>
        <w:t>corrientes</w:t>
      </w:r>
      <w:r w:rsidR="00A6656A" w:rsidRPr="007E5763">
        <w:rPr>
          <w:rFonts w:ascii="Arial" w:hAnsi="Arial" w:cs="Arial"/>
          <w:sz w:val="24"/>
          <w:szCs w:val="24"/>
        </w:rPr>
        <w:t>, sin embargo, su comportamiento superó las expectativas, se logró recaudar ingresos por valor de $2.581 millones de los $2.228 millones p</w:t>
      </w:r>
      <w:r w:rsidR="009C729C" w:rsidRPr="007E5763">
        <w:rPr>
          <w:rFonts w:ascii="Arial" w:hAnsi="Arial" w:cs="Arial"/>
          <w:sz w:val="24"/>
          <w:szCs w:val="24"/>
        </w:rPr>
        <w:t>royectados</w:t>
      </w:r>
      <w:r w:rsidR="00A6656A" w:rsidRPr="007E5763">
        <w:rPr>
          <w:rFonts w:ascii="Arial" w:hAnsi="Arial" w:cs="Arial"/>
          <w:sz w:val="24"/>
          <w:szCs w:val="24"/>
        </w:rPr>
        <w:t>.</w:t>
      </w:r>
    </w:p>
    <w:p w:rsidR="00A6656A" w:rsidRPr="007E5763" w:rsidRDefault="007E5763" w:rsidP="007E5763">
      <w:pPr>
        <w:pStyle w:val="Prrafodelista"/>
        <w:widowControl w:val="0"/>
        <w:numPr>
          <w:ilvl w:val="0"/>
          <w:numId w:val="25"/>
        </w:numPr>
        <w:tabs>
          <w:tab w:val="left" w:pos="284"/>
        </w:tabs>
        <w:autoSpaceDE w:val="0"/>
        <w:autoSpaceDN w:val="0"/>
        <w:adjustRightInd w:val="0"/>
        <w:spacing w:before="100" w:beforeAutospacing="1" w:after="0" w:line="360" w:lineRule="auto"/>
        <w:ind w:left="0" w:hanging="11"/>
        <w:jc w:val="both"/>
        <w:rPr>
          <w:rFonts w:ascii="Arial" w:hAnsi="Arial" w:cs="Arial"/>
          <w:sz w:val="24"/>
          <w:szCs w:val="24"/>
        </w:rPr>
      </w:pPr>
      <w:r w:rsidRPr="007E5763">
        <w:rPr>
          <w:rFonts w:ascii="Arial" w:hAnsi="Arial" w:cs="Arial"/>
          <w:b/>
          <w:sz w:val="24"/>
          <w:szCs w:val="24"/>
        </w:rPr>
        <w:t xml:space="preserve">Sobretasa </w:t>
      </w:r>
      <w:r w:rsidR="00F13D9F">
        <w:rPr>
          <w:rFonts w:ascii="Arial" w:hAnsi="Arial" w:cs="Arial"/>
          <w:b/>
          <w:sz w:val="24"/>
          <w:szCs w:val="24"/>
        </w:rPr>
        <w:t>a l</w:t>
      </w:r>
      <w:r w:rsidR="00F13D9F" w:rsidRPr="007E5763">
        <w:rPr>
          <w:rFonts w:ascii="Arial" w:hAnsi="Arial" w:cs="Arial"/>
          <w:b/>
          <w:sz w:val="24"/>
          <w:szCs w:val="24"/>
        </w:rPr>
        <w:t xml:space="preserve">a Gasolina </w:t>
      </w:r>
      <w:r w:rsidR="00A6656A" w:rsidRPr="007E5763">
        <w:rPr>
          <w:rFonts w:ascii="Arial" w:hAnsi="Arial" w:cs="Arial"/>
          <w:sz w:val="24"/>
          <w:szCs w:val="24"/>
        </w:rPr>
        <w:t>Con el recaudo del Impuesto a la rent</w:t>
      </w:r>
      <w:r>
        <w:rPr>
          <w:rFonts w:ascii="Arial" w:hAnsi="Arial" w:cs="Arial"/>
          <w:sz w:val="24"/>
          <w:szCs w:val="24"/>
        </w:rPr>
        <w:t>a de libre destinación para el D</w:t>
      </w:r>
      <w:r w:rsidR="00A6656A" w:rsidRPr="007E5763">
        <w:rPr>
          <w:rFonts w:ascii="Arial" w:hAnsi="Arial" w:cs="Arial"/>
          <w:sz w:val="24"/>
          <w:szCs w:val="24"/>
        </w:rPr>
        <w:t xml:space="preserve">epartamento del </w:t>
      </w:r>
      <w:r>
        <w:rPr>
          <w:rFonts w:ascii="Arial" w:hAnsi="Arial" w:cs="Arial"/>
          <w:sz w:val="24"/>
          <w:szCs w:val="24"/>
        </w:rPr>
        <w:t>Quindío tuvo ingresos de $6.704</w:t>
      </w:r>
      <w:r w:rsidR="00A6656A" w:rsidRPr="007E5763">
        <w:rPr>
          <w:rFonts w:ascii="Arial" w:hAnsi="Arial" w:cs="Arial"/>
          <w:sz w:val="24"/>
          <w:szCs w:val="24"/>
        </w:rPr>
        <w:t>mil</w:t>
      </w:r>
      <w:r>
        <w:rPr>
          <w:rFonts w:ascii="Arial" w:hAnsi="Arial" w:cs="Arial"/>
          <w:sz w:val="24"/>
          <w:szCs w:val="24"/>
        </w:rPr>
        <w:t xml:space="preserve">lones por encima de los $827 </w:t>
      </w:r>
      <w:r w:rsidR="00A30A8A" w:rsidRPr="007E5763">
        <w:rPr>
          <w:rFonts w:ascii="Arial" w:hAnsi="Arial" w:cs="Arial"/>
          <w:sz w:val="24"/>
          <w:szCs w:val="24"/>
        </w:rPr>
        <w:t>millones</w:t>
      </w:r>
      <w:r>
        <w:rPr>
          <w:rFonts w:ascii="Arial" w:hAnsi="Arial" w:cs="Arial"/>
          <w:sz w:val="24"/>
          <w:szCs w:val="24"/>
        </w:rPr>
        <w:t xml:space="preserve"> por encima de los</w:t>
      </w:r>
      <w:r w:rsidR="00A6656A" w:rsidRPr="007E5763">
        <w:rPr>
          <w:rFonts w:ascii="Arial" w:hAnsi="Arial" w:cs="Arial"/>
          <w:sz w:val="24"/>
          <w:szCs w:val="24"/>
        </w:rPr>
        <w:t xml:space="preserve"> que se habían proyectado y su participación respecto a los </w:t>
      </w:r>
      <w:r w:rsidR="00D07027">
        <w:rPr>
          <w:rFonts w:ascii="Arial" w:hAnsi="Arial" w:cs="Arial"/>
          <w:sz w:val="24"/>
          <w:szCs w:val="24"/>
        </w:rPr>
        <w:t>Tr</w:t>
      </w:r>
      <w:r w:rsidR="00A6656A" w:rsidRPr="007E5763">
        <w:rPr>
          <w:rFonts w:ascii="Arial" w:hAnsi="Arial" w:cs="Arial"/>
          <w:sz w:val="24"/>
          <w:szCs w:val="24"/>
        </w:rPr>
        <w:t xml:space="preserve">ibutarios fue del </w:t>
      </w:r>
      <w:r w:rsidRPr="007E5763">
        <w:rPr>
          <w:rFonts w:ascii="Arial" w:hAnsi="Arial" w:cs="Arial"/>
          <w:sz w:val="24"/>
          <w:szCs w:val="24"/>
        </w:rPr>
        <w:t>7</w:t>
      </w:r>
      <w:r w:rsidR="00A6656A" w:rsidRPr="007E5763">
        <w:rPr>
          <w:rFonts w:ascii="Arial" w:hAnsi="Arial" w:cs="Arial"/>
          <w:sz w:val="24"/>
          <w:szCs w:val="24"/>
        </w:rPr>
        <w:t xml:space="preserve">% y del </w:t>
      </w:r>
      <w:r>
        <w:rPr>
          <w:rFonts w:ascii="Arial" w:hAnsi="Arial" w:cs="Arial"/>
          <w:sz w:val="24"/>
          <w:szCs w:val="24"/>
        </w:rPr>
        <w:t>6</w:t>
      </w:r>
      <w:r w:rsidR="00A6656A" w:rsidRPr="007E5763">
        <w:rPr>
          <w:rFonts w:ascii="Arial" w:hAnsi="Arial" w:cs="Arial"/>
          <w:sz w:val="24"/>
          <w:szCs w:val="24"/>
        </w:rPr>
        <w:t xml:space="preserve">% de los ingresos </w:t>
      </w:r>
      <w:r>
        <w:rPr>
          <w:rFonts w:ascii="Arial" w:hAnsi="Arial" w:cs="Arial"/>
          <w:sz w:val="24"/>
          <w:szCs w:val="24"/>
        </w:rPr>
        <w:t>corrientes.</w:t>
      </w:r>
      <w:r w:rsidR="00A6656A" w:rsidRPr="007E5763">
        <w:rPr>
          <w:rFonts w:ascii="Arial" w:hAnsi="Arial" w:cs="Arial"/>
          <w:sz w:val="24"/>
          <w:szCs w:val="24"/>
        </w:rPr>
        <w:t xml:space="preserve"> </w:t>
      </w:r>
    </w:p>
    <w:p w:rsidR="00A6656A" w:rsidRDefault="007E5763" w:rsidP="007E5763">
      <w:pPr>
        <w:pStyle w:val="Prrafodelista"/>
        <w:widowControl w:val="0"/>
        <w:numPr>
          <w:ilvl w:val="0"/>
          <w:numId w:val="25"/>
        </w:numPr>
        <w:tabs>
          <w:tab w:val="left" w:pos="426"/>
        </w:tabs>
        <w:autoSpaceDE w:val="0"/>
        <w:autoSpaceDN w:val="0"/>
        <w:adjustRightInd w:val="0"/>
        <w:spacing w:before="100" w:beforeAutospacing="1" w:after="0" w:line="360" w:lineRule="auto"/>
        <w:ind w:left="0" w:firstLine="0"/>
        <w:jc w:val="both"/>
        <w:rPr>
          <w:rFonts w:ascii="Arial" w:hAnsi="Arial" w:cs="Arial"/>
          <w:sz w:val="24"/>
          <w:szCs w:val="24"/>
        </w:rPr>
      </w:pPr>
      <w:r w:rsidRPr="007E5763">
        <w:rPr>
          <w:rFonts w:ascii="Arial" w:hAnsi="Arial" w:cs="Arial"/>
          <w:b/>
          <w:sz w:val="24"/>
          <w:szCs w:val="24"/>
        </w:rPr>
        <w:t>Estampilla Pro-Hospital</w:t>
      </w:r>
      <w:r w:rsidRPr="007E5763">
        <w:rPr>
          <w:rFonts w:ascii="Arial" w:hAnsi="Arial" w:cs="Arial"/>
          <w:sz w:val="24"/>
          <w:szCs w:val="24"/>
        </w:rPr>
        <w:t xml:space="preserve"> :</w:t>
      </w:r>
      <w:r w:rsidR="00A6656A" w:rsidRPr="007E5763">
        <w:rPr>
          <w:rFonts w:ascii="Arial" w:hAnsi="Arial" w:cs="Arial"/>
          <w:sz w:val="24"/>
          <w:szCs w:val="24"/>
        </w:rPr>
        <w:t>De otro lado, si analizamos el comportamiento que tiene que ver con los ingresos corrientes tributarios obtenidos a través de las estampillas, encontr</w:t>
      </w:r>
      <w:r>
        <w:rPr>
          <w:rFonts w:ascii="Arial" w:hAnsi="Arial" w:cs="Arial"/>
          <w:sz w:val="24"/>
          <w:szCs w:val="24"/>
        </w:rPr>
        <w:t xml:space="preserve">amos que sobresale el recaudo </w:t>
      </w:r>
      <w:r w:rsidR="00A6656A" w:rsidRPr="007E5763">
        <w:rPr>
          <w:rFonts w:ascii="Arial" w:hAnsi="Arial" w:cs="Arial"/>
          <w:sz w:val="24"/>
          <w:szCs w:val="24"/>
        </w:rPr>
        <w:t>de los $13.000millones previstos ingresaron $14.148millones con un porcentaje de</w:t>
      </w:r>
      <w:r>
        <w:rPr>
          <w:rFonts w:ascii="Arial" w:hAnsi="Arial" w:cs="Arial"/>
          <w:sz w:val="24"/>
          <w:szCs w:val="24"/>
        </w:rPr>
        <w:t xml:space="preserve"> ejecución del 109% y una </w:t>
      </w:r>
      <w:r w:rsidR="00A6656A" w:rsidRPr="007E5763">
        <w:rPr>
          <w:rFonts w:ascii="Arial" w:hAnsi="Arial" w:cs="Arial"/>
          <w:sz w:val="24"/>
          <w:szCs w:val="24"/>
        </w:rPr>
        <w:t xml:space="preserve">participación del </w:t>
      </w:r>
      <w:r w:rsidR="00A6656A" w:rsidRPr="007E5763">
        <w:rPr>
          <w:rFonts w:ascii="Arial" w:hAnsi="Arial" w:cs="Arial"/>
          <w:b/>
          <w:sz w:val="24"/>
          <w:szCs w:val="24"/>
        </w:rPr>
        <w:t>1</w:t>
      </w:r>
      <w:r>
        <w:rPr>
          <w:rFonts w:ascii="Arial" w:hAnsi="Arial" w:cs="Arial"/>
          <w:b/>
          <w:sz w:val="24"/>
          <w:szCs w:val="24"/>
        </w:rPr>
        <w:t>6</w:t>
      </w:r>
      <w:r w:rsidR="00A6656A" w:rsidRPr="007E5763">
        <w:rPr>
          <w:rFonts w:ascii="Arial" w:hAnsi="Arial" w:cs="Arial"/>
          <w:b/>
          <w:sz w:val="24"/>
          <w:szCs w:val="24"/>
        </w:rPr>
        <w:t xml:space="preserve">% </w:t>
      </w:r>
      <w:r w:rsidR="00A6656A" w:rsidRPr="007E5763">
        <w:rPr>
          <w:rFonts w:ascii="Arial" w:hAnsi="Arial" w:cs="Arial"/>
          <w:sz w:val="24"/>
          <w:szCs w:val="24"/>
        </w:rPr>
        <w:t xml:space="preserve">sobre los </w:t>
      </w:r>
      <w:r w:rsidR="00D07027">
        <w:rPr>
          <w:rFonts w:ascii="Arial" w:hAnsi="Arial" w:cs="Arial"/>
          <w:sz w:val="24"/>
          <w:szCs w:val="24"/>
        </w:rPr>
        <w:t>T</w:t>
      </w:r>
      <w:r w:rsidR="00A6656A" w:rsidRPr="007E5763">
        <w:rPr>
          <w:rFonts w:ascii="Arial" w:hAnsi="Arial" w:cs="Arial"/>
          <w:sz w:val="24"/>
          <w:szCs w:val="24"/>
        </w:rPr>
        <w:t xml:space="preserve">ributarios y </w:t>
      </w:r>
      <w:r w:rsidRPr="00D07027">
        <w:rPr>
          <w:rFonts w:ascii="Arial" w:hAnsi="Arial" w:cs="Arial"/>
          <w:b/>
          <w:sz w:val="24"/>
          <w:szCs w:val="24"/>
        </w:rPr>
        <w:t>13</w:t>
      </w:r>
      <w:r w:rsidR="00A6656A" w:rsidRPr="00D07027">
        <w:rPr>
          <w:rFonts w:ascii="Arial" w:hAnsi="Arial" w:cs="Arial"/>
          <w:b/>
          <w:sz w:val="24"/>
          <w:szCs w:val="24"/>
        </w:rPr>
        <w:t>%</w:t>
      </w:r>
      <w:r w:rsidR="00A6656A" w:rsidRPr="007E5763">
        <w:rPr>
          <w:rFonts w:ascii="Arial" w:hAnsi="Arial" w:cs="Arial"/>
          <w:sz w:val="24"/>
          <w:szCs w:val="24"/>
        </w:rPr>
        <w:t xml:space="preserve"> de los ingresos </w:t>
      </w:r>
      <w:r>
        <w:rPr>
          <w:rFonts w:ascii="Arial" w:hAnsi="Arial" w:cs="Arial"/>
          <w:sz w:val="24"/>
          <w:szCs w:val="24"/>
        </w:rPr>
        <w:t>corrientes</w:t>
      </w:r>
      <w:r w:rsidR="00A6656A" w:rsidRPr="007E5763">
        <w:rPr>
          <w:rFonts w:ascii="Arial" w:hAnsi="Arial" w:cs="Arial"/>
          <w:sz w:val="24"/>
          <w:szCs w:val="24"/>
        </w:rPr>
        <w:t xml:space="preserve"> y según la Ley 645 de 2001 esos dineros benefician a los ciudadanos a través de las inversiones y mantenimiento de la planta física, dotación, compra y mantenimiento de equipos e inversión de personal especializado del Hospital Universitario San Juan de Dios.</w:t>
      </w:r>
    </w:p>
    <w:p w:rsidR="006A7EFC" w:rsidRPr="006A7EFC" w:rsidRDefault="00F13D9F" w:rsidP="001040A8">
      <w:pPr>
        <w:pStyle w:val="Prrafodelista"/>
        <w:widowControl w:val="0"/>
        <w:numPr>
          <w:ilvl w:val="0"/>
          <w:numId w:val="25"/>
        </w:numPr>
        <w:tabs>
          <w:tab w:val="left" w:pos="142"/>
        </w:tabs>
        <w:autoSpaceDE w:val="0"/>
        <w:autoSpaceDN w:val="0"/>
        <w:adjustRightInd w:val="0"/>
        <w:spacing w:before="100" w:beforeAutospacing="1" w:after="0" w:line="360" w:lineRule="auto"/>
        <w:ind w:left="0" w:hanging="11"/>
        <w:jc w:val="both"/>
        <w:rPr>
          <w:rFonts w:ascii="Arial" w:hAnsi="Arial" w:cs="Arial"/>
          <w:sz w:val="24"/>
          <w:szCs w:val="24"/>
        </w:rPr>
      </w:pPr>
      <w:r w:rsidRPr="00F13D9F">
        <w:rPr>
          <w:rFonts w:ascii="Arial" w:hAnsi="Arial" w:cs="Arial"/>
          <w:b/>
          <w:sz w:val="24"/>
          <w:szCs w:val="24"/>
        </w:rPr>
        <w:t>Estampilla Pro-Desarrollo</w:t>
      </w:r>
      <w:r w:rsidRPr="00F13D9F">
        <w:rPr>
          <w:rFonts w:ascii="Arial" w:hAnsi="Arial" w:cs="Arial"/>
          <w:sz w:val="24"/>
          <w:szCs w:val="24"/>
        </w:rPr>
        <w:t>: S</w:t>
      </w:r>
      <w:r w:rsidR="00A6656A" w:rsidRPr="00F13D9F">
        <w:rPr>
          <w:rFonts w:ascii="Arial" w:hAnsi="Arial" w:cs="Arial"/>
          <w:sz w:val="24"/>
          <w:szCs w:val="24"/>
        </w:rPr>
        <w:t>e logró recaudar la suma de $10.458 millones de los $8.200</w:t>
      </w:r>
      <w:r w:rsidRPr="00F13D9F">
        <w:rPr>
          <w:rFonts w:ascii="Arial" w:hAnsi="Arial" w:cs="Arial"/>
          <w:sz w:val="24"/>
          <w:szCs w:val="24"/>
        </w:rPr>
        <w:t>millones</w:t>
      </w:r>
      <w:r w:rsidR="00A6656A" w:rsidRPr="00F13D9F">
        <w:rPr>
          <w:rFonts w:ascii="Arial" w:hAnsi="Arial" w:cs="Arial"/>
          <w:sz w:val="24"/>
          <w:szCs w:val="24"/>
        </w:rPr>
        <w:t xml:space="preserve"> que se presupuestaron, con un porcentaje de participación del </w:t>
      </w:r>
      <w:r w:rsidR="00A6656A" w:rsidRPr="00F13D9F">
        <w:rPr>
          <w:rFonts w:ascii="Arial" w:hAnsi="Arial" w:cs="Arial"/>
          <w:b/>
          <w:sz w:val="24"/>
          <w:szCs w:val="24"/>
        </w:rPr>
        <w:t>1</w:t>
      </w:r>
      <w:r w:rsidRPr="00F13D9F">
        <w:rPr>
          <w:rFonts w:ascii="Arial" w:hAnsi="Arial" w:cs="Arial"/>
          <w:b/>
          <w:sz w:val="24"/>
          <w:szCs w:val="24"/>
        </w:rPr>
        <w:t>2</w:t>
      </w:r>
      <w:r w:rsidR="00A6656A" w:rsidRPr="00F13D9F">
        <w:rPr>
          <w:rFonts w:ascii="Arial" w:hAnsi="Arial" w:cs="Arial"/>
          <w:b/>
          <w:sz w:val="24"/>
          <w:szCs w:val="24"/>
        </w:rPr>
        <w:t>%</w:t>
      </w:r>
      <w:r w:rsidR="00A6656A" w:rsidRPr="00F13D9F">
        <w:rPr>
          <w:rFonts w:ascii="Arial" w:hAnsi="Arial" w:cs="Arial"/>
          <w:sz w:val="24"/>
          <w:szCs w:val="24"/>
        </w:rPr>
        <w:t xml:space="preserve"> </w:t>
      </w:r>
      <w:r w:rsidR="00A6656A" w:rsidRPr="00F13D9F">
        <w:rPr>
          <w:rFonts w:ascii="Arial" w:hAnsi="Arial" w:cs="Arial"/>
          <w:sz w:val="24"/>
          <w:szCs w:val="24"/>
        </w:rPr>
        <w:lastRenderedPageBreak/>
        <w:t xml:space="preserve">sobre los </w:t>
      </w:r>
      <w:r w:rsidR="00D07027">
        <w:rPr>
          <w:rFonts w:ascii="Arial" w:hAnsi="Arial" w:cs="Arial"/>
          <w:sz w:val="24"/>
          <w:szCs w:val="24"/>
        </w:rPr>
        <w:t>T</w:t>
      </w:r>
      <w:r w:rsidR="00A6656A" w:rsidRPr="00F13D9F">
        <w:rPr>
          <w:rFonts w:ascii="Arial" w:hAnsi="Arial" w:cs="Arial"/>
          <w:sz w:val="24"/>
          <w:szCs w:val="24"/>
        </w:rPr>
        <w:t xml:space="preserve">ributarios y </w:t>
      </w:r>
      <w:r w:rsidR="00D07027" w:rsidRPr="00D07027">
        <w:rPr>
          <w:rFonts w:ascii="Arial" w:hAnsi="Arial" w:cs="Arial"/>
          <w:b/>
          <w:sz w:val="24"/>
          <w:szCs w:val="24"/>
        </w:rPr>
        <w:t>10</w:t>
      </w:r>
      <w:r w:rsidR="00A6656A" w:rsidRPr="00D07027">
        <w:rPr>
          <w:rFonts w:ascii="Arial" w:hAnsi="Arial" w:cs="Arial"/>
          <w:b/>
          <w:sz w:val="24"/>
          <w:szCs w:val="24"/>
        </w:rPr>
        <w:t>%</w:t>
      </w:r>
      <w:r w:rsidR="00D07027">
        <w:rPr>
          <w:rFonts w:ascii="Arial" w:hAnsi="Arial" w:cs="Arial"/>
          <w:sz w:val="24"/>
          <w:szCs w:val="24"/>
        </w:rPr>
        <w:t xml:space="preserve"> de los I</w:t>
      </w:r>
      <w:r w:rsidR="00A6656A" w:rsidRPr="00F13D9F">
        <w:rPr>
          <w:rFonts w:ascii="Arial" w:hAnsi="Arial" w:cs="Arial"/>
          <w:sz w:val="24"/>
          <w:szCs w:val="24"/>
        </w:rPr>
        <w:t xml:space="preserve">ngresos </w:t>
      </w:r>
      <w:r w:rsidR="00D07027">
        <w:rPr>
          <w:rFonts w:ascii="Arial" w:hAnsi="Arial" w:cs="Arial"/>
          <w:sz w:val="24"/>
          <w:szCs w:val="24"/>
        </w:rPr>
        <w:t>Corrientes</w:t>
      </w:r>
      <w:r w:rsidR="00A6656A" w:rsidRPr="00F13D9F">
        <w:rPr>
          <w:rFonts w:ascii="Arial" w:hAnsi="Arial" w:cs="Arial"/>
          <w:sz w:val="24"/>
          <w:szCs w:val="24"/>
        </w:rPr>
        <w:t xml:space="preserve">  Según la ordenanza 0031 del 2 de diciembre de 2004 se reglamenta el uso de la estampilla Pro-desarrollo destinada exclusivamente a la construcción de infraestructura educativa, sanitaria y deportiva, tal como lo establece </w:t>
      </w:r>
      <w:r w:rsidR="009C729C" w:rsidRPr="00F13D9F">
        <w:rPr>
          <w:rFonts w:ascii="Arial" w:hAnsi="Arial" w:cs="Arial"/>
          <w:sz w:val="24"/>
          <w:szCs w:val="24"/>
        </w:rPr>
        <w:t xml:space="preserve">la Ley, plasmado en </w:t>
      </w:r>
      <w:r w:rsidR="00A6656A" w:rsidRPr="00F13D9F">
        <w:rPr>
          <w:rFonts w:ascii="Arial" w:hAnsi="Arial" w:cs="Arial"/>
          <w:sz w:val="24"/>
          <w:szCs w:val="24"/>
        </w:rPr>
        <w:t xml:space="preserve">el Plan de Desarrollo y el Plan Operativo Anual de Inversiones vigencia 2016. </w:t>
      </w:r>
    </w:p>
    <w:p w:rsidR="00DA481D" w:rsidRPr="006A7EFC" w:rsidRDefault="006A7EFC" w:rsidP="001040A8">
      <w:pPr>
        <w:pStyle w:val="Prrafodelista"/>
        <w:widowControl w:val="0"/>
        <w:numPr>
          <w:ilvl w:val="0"/>
          <w:numId w:val="25"/>
        </w:numPr>
        <w:tabs>
          <w:tab w:val="left" w:pos="142"/>
        </w:tabs>
        <w:autoSpaceDE w:val="0"/>
        <w:autoSpaceDN w:val="0"/>
        <w:adjustRightInd w:val="0"/>
        <w:spacing w:before="100" w:beforeAutospacing="1" w:after="0" w:line="360" w:lineRule="auto"/>
        <w:ind w:left="0" w:hanging="11"/>
        <w:jc w:val="both"/>
        <w:rPr>
          <w:rFonts w:ascii="Arial" w:hAnsi="Arial" w:cs="Arial"/>
          <w:sz w:val="24"/>
          <w:szCs w:val="24"/>
        </w:rPr>
      </w:pPr>
      <w:r w:rsidRPr="006A7EFC">
        <w:rPr>
          <w:rFonts w:ascii="Arial" w:hAnsi="Arial" w:cs="Arial"/>
          <w:b/>
          <w:sz w:val="24"/>
          <w:szCs w:val="24"/>
        </w:rPr>
        <w:t xml:space="preserve">Estampilla Pro-Adulto Mayor: </w:t>
      </w:r>
      <w:r w:rsidR="00A6656A" w:rsidRPr="006A7EFC">
        <w:rPr>
          <w:rFonts w:ascii="Arial" w:hAnsi="Arial" w:cs="Arial"/>
          <w:sz w:val="24"/>
          <w:szCs w:val="24"/>
        </w:rPr>
        <w:t>con una participación del</w:t>
      </w:r>
      <w:r>
        <w:rPr>
          <w:rFonts w:ascii="Arial" w:hAnsi="Arial" w:cs="Arial"/>
          <w:b/>
          <w:sz w:val="24"/>
          <w:szCs w:val="24"/>
        </w:rPr>
        <w:t xml:space="preserve"> 5</w:t>
      </w:r>
      <w:r w:rsidR="00A6656A" w:rsidRPr="006A7EFC">
        <w:rPr>
          <w:rFonts w:ascii="Arial" w:hAnsi="Arial" w:cs="Arial"/>
          <w:b/>
          <w:sz w:val="24"/>
          <w:szCs w:val="24"/>
        </w:rPr>
        <w:t xml:space="preserve">% </w:t>
      </w:r>
      <w:r w:rsidR="00A6656A" w:rsidRPr="006A7EFC">
        <w:rPr>
          <w:rFonts w:ascii="Arial" w:hAnsi="Arial" w:cs="Arial"/>
          <w:sz w:val="24"/>
          <w:szCs w:val="24"/>
        </w:rPr>
        <w:t xml:space="preserve">de los </w:t>
      </w:r>
      <w:r w:rsidR="00CD1BE1">
        <w:rPr>
          <w:rFonts w:ascii="Arial" w:hAnsi="Arial" w:cs="Arial"/>
          <w:sz w:val="24"/>
          <w:szCs w:val="24"/>
        </w:rPr>
        <w:t xml:space="preserve">Tributarios y </w:t>
      </w:r>
      <w:r w:rsidR="00CD1BE1" w:rsidRPr="00CD1BE1">
        <w:rPr>
          <w:rFonts w:ascii="Arial" w:hAnsi="Arial" w:cs="Arial"/>
          <w:b/>
          <w:sz w:val="24"/>
          <w:szCs w:val="24"/>
        </w:rPr>
        <w:t>4</w:t>
      </w:r>
      <w:r w:rsidR="00A6656A" w:rsidRPr="00CD1BE1">
        <w:rPr>
          <w:rFonts w:ascii="Arial" w:hAnsi="Arial" w:cs="Arial"/>
          <w:b/>
          <w:sz w:val="24"/>
          <w:szCs w:val="24"/>
        </w:rPr>
        <w:t>%</w:t>
      </w:r>
      <w:r w:rsidR="00A6656A" w:rsidRPr="006A7EFC">
        <w:rPr>
          <w:rFonts w:ascii="Arial" w:hAnsi="Arial" w:cs="Arial"/>
          <w:sz w:val="24"/>
          <w:szCs w:val="24"/>
        </w:rPr>
        <w:t xml:space="preserve"> de los ingresos </w:t>
      </w:r>
      <w:r w:rsidR="00CD1BE1">
        <w:rPr>
          <w:rFonts w:ascii="Arial" w:hAnsi="Arial" w:cs="Arial"/>
          <w:sz w:val="24"/>
          <w:szCs w:val="24"/>
        </w:rPr>
        <w:t>corrientes</w:t>
      </w:r>
      <w:r w:rsidR="00A6656A" w:rsidRPr="006A7EFC">
        <w:rPr>
          <w:rFonts w:ascii="Arial" w:hAnsi="Arial" w:cs="Arial"/>
          <w:sz w:val="24"/>
          <w:szCs w:val="24"/>
        </w:rPr>
        <w:t>, recaudó $3.908millones de los $3.080millones proyectados; este cobro permite contribuir a la construcción, instalación, adecuación, dotación, funcionamiento y desarrollo de programas de prevención y promoción de los Centros de Bienestar del Anciano y Centros de Vida para la tercera edad según la Le</w:t>
      </w:r>
      <w:r w:rsidR="00DA481D" w:rsidRPr="006A7EFC">
        <w:rPr>
          <w:rFonts w:ascii="Arial" w:hAnsi="Arial" w:cs="Arial"/>
          <w:sz w:val="24"/>
          <w:szCs w:val="24"/>
        </w:rPr>
        <w:t>y 1276 de 2009.</w:t>
      </w:r>
    </w:p>
    <w:p w:rsidR="00A6656A" w:rsidRPr="00CD1BE1" w:rsidRDefault="00DA481D" w:rsidP="001040A8">
      <w:pPr>
        <w:pStyle w:val="Prrafodelista"/>
        <w:widowControl w:val="0"/>
        <w:numPr>
          <w:ilvl w:val="0"/>
          <w:numId w:val="25"/>
        </w:numPr>
        <w:tabs>
          <w:tab w:val="left" w:pos="142"/>
        </w:tabs>
        <w:autoSpaceDE w:val="0"/>
        <w:autoSpaceDN w:val="0"/>
        <w:adjustRightInd w:val="0"/>
        <w:spacing w:before="100" w:beforeAutospacing="1" w:after="0" w:line="360" w:lineRule="auto"/>
        <w:ind w:left="0" w:hanging="11"/>
        <w:jc w:val="both"/>
        <w:rPr>
          <w:rFonts w:ascii="Arial" w:hAnsi="Arial" w:cs="Arial"/>
          <w:sz w:val="24"/>
          <w:szCs w:val="24"/>
        </w:rPr>
      </w:pPr>
      <w:r w:rsidRPr="00CD1BE1">
        <w:rPr>
          <w:rFonts w:ascii="Arial" w:hAnsi="Arial" w:cs="Arial"/>
          <w:b/>
          <w:sz w:val="24"/>
          <w:szCs w:val="24"/>
        </w:rPr>
        <w:t>La</w:t>
      </w:r>
      <w:r w:rsidR="00A6656A" w:rsidRPr="00CD1BE1">
        <w:rPr>
          <w:rFonts w:ascii="Arial" w:hAnsi="Arial" w:cs="Arial"/>
          <w:b/>
          <w:sz w:val="24"/>
          <w:szCs w:val="24"/>
        </w:rPr>
        <w:t xml:space="preserve"> </w:t>
      </w:r>
      <w:r w:rsidR="00CD1BE1" w:rsidRPr="00CD1BE1">
        <w:rPr>
          <w:rFonts w:ascii="Arial" w:hAnsi="Arial" w:cs="Arial"/>
          <w:b/>
          <w:sz w:val="24"/>
          <w:szCs w:val="24"/>
        </w:rPr>
        <w:t xml:space="preserve">Estampilla </w:t>
      </w:r>
      <w:r w:rsidR="00A6656A" w:rsidRPr="00CD1BE1">
        <w:rPr>
          <w:rFonts w:ascii="Arial" w:hAnsi="Arial" w:cs="Arial"/>
          <w:b/>
          <w:sz w:val="24"/>
          <w:szCs w:val="24"/>
        </w:rPr>
        <w:t>Pro</w:t>
      </w:r>
      <w:r w:rsidR="00CD1BE1" w:rsidRPr="00CD1BE1">
        <w:rPr>
          <w:rFonts w:ascii="Arial" w:hAnsi="Arial" w:cs="Arial"/>
          <w:b/>
          <w:sz w:val="24"/>
          <w:szCs w:val="24"/>
        </w:rPr>
        <w:t xml:space="preserve">-Cultura </w:t>
      </w:r>
      <w:r w:rsidR="00A6656A" w:rsidRPr="00CD1BE1">
        <w:rPr>
          <w:rFonts w:ascii="Arial" w:hAnsi="Arial" w:cs="Arial"/>
          <w:sz w:val="24"/>
          <w:szCs w:val="24"/>
        </w:rPr>
        <w:t xml:space="preserve">permitió al Departamento recaudar la suma de $1.599 millones de pesos frente a los $1.540 millones proyectados con una participación del </w:t>
      </w:r>
      <w:r w:rsidR="00A6656A" w:rsidRPr="00CD1BE1">
        <w:rPr>
          <w:rFonts w:ascii="Arial" w:hAnsi="Arial" w:cs="Arial"/>
          <w:b/>
          <w:sz w:val="24"/>
          <w:szCs w:val="24"/>
        </w:rPr>
        <w:t xml:space="preserve">2% </w:t>
      </w:r>
      <w:r w:rsidR="00A6656A" w:rsidRPr="00CD1BE1">
        <w:rPr>
          <w:rFonts w:ascii="Arial" w:hAnsi="Arial" w:cs="Arial"/>
          <w:sz w:val="24"/>
          <w:szCs w:val="24"/>
        </w:rPr>
        <w:t xml:space="preserve">de los </w:t>
      </w:r>
      <w:r w:rsidR="00CD1BE1">
        <w:rPr>
          <w:rFonts w:ascii="Arial" w:hAnsi="Arial" w:cs="Arial"/>
          <w:sz w:val="24"/>
          <w:szCs w:val="24"/>
        </w:rPr>
        <w:t>T</w:t>
      </w:r>
      <w:r w:rsidR="00A6656A" w:rsidRPr="00CD1BE1">
        <w:rPr>
          <w:rFonts w:ascii="Arial" w:hAnsi="Arial" w:cs="Arial"/>
          <w:sz w:val="24"/>
          <w:szCs w:val="24"/>
        </w:rPr>
        <w:t xml:space="preserve">ributarios y </w:t>
      </w:r>
      <w:r w:rsidR="00CD1BE1" w:rsidRPr="00CD1BE1">
        <w:rPr>
          <w:rFonts w:ascii="Arial" w:hAnsi="Arial" w:cs="Arial"/>
          <w:b/>
          <w:sz w:val="24"/>
          <w:szCs w:val="24"/>
        </w:rPr>
        <w:t>2</w:t>
      </w:r>
      <w:r w:rsidR="00A6656A" w:rsidRPr="00CD1BE1">
        <w:rPr>
          <w:rFonts w:ascii="Arial" w:hAnsi="Arial" w:cs="Arial"/>
          <w:b/>
          <w:sz w:val="24"/>
          <w:szCs w:val="24"/>
        </w:rPr>
        <w:t>%</w:t>
      </w:r>
      <w:r w:rsidR="00A6656A" w:rsidRPr="00CD1BE1">
        <w:rPr>
          <w:rFonts w:ascii="Arial" w:hAnsi="Arial" w:cs="Arial"/>
          <w:sz w:val="24"/>
          <w:szCs w:val="24"/>
        </w:rPr>
        <w:t xml:space="preserve"> de los ingresos </w:t>
      </w:r>
      <w:r w:rsidR="00CD1BE1">
        <w:rPr>
          <w:rFonts w:ascii="Arial" w:hAnsi="Arial" w:cs="Arial"/>
          <w:sz w:val="24"/>
          <w:szCs w:val="24"/>
        </w:rPr>
        <w:t>Corrientes</w:t>
      </w:r>
      <w:r w:rsidR="00A6656A" w:rsidRPr="00CD1BE1">
        <w:rPr>
          <w:rFonts w:ascii="Arial" w:hAnsi="Arial" w:cs="Arial"/>
          <w:sz w:val="24"/>
          <w:szCs w:val="24"/>
        </w:rPr>
        <w:t>.  Con este recaudo se contribuye al fomento y estímulo de la cultura, estimulando la promoción y creación artística y cultural, creación, funcionamiento y fortalecimiento de espacios públicos propiciando la infraestructura que las e</w:t>
      </w:r>
      <w:r w:rsidRPr="00CD1BE1">
        <w:rPr>
          <w:rFonts w:ascii="Arial" w:hAnsi="Arial" w:cs="Arial"/>
          <w:sz w:val="24"/>
          <w:szCs w:val="24"/>
        </w:rPr>
        <w:t>xpresiones culturales requieran.</w:t>
      </w:r>
    </w:p>
    <w:p w:rsidR="00DA481D" w:rsidRPr="00CD1BE1" w:rsidRDefault="00DA481D" w:rsidP="001040A8">
      <w:pPr>
        <w:pStyle w:val="Prrafodelista"/>
        <w:widowControl w:val="0"/>
        <w:numPr>
          <w:ilvl w:val="0"/>
          <w:numId w:val="25"/>
        </w:numPr>
        <w:tabs>
          <w:tab w:val="left" w:pos="284"/>
        </w:tabs>
        <w:autoSpaceDE w:val="0"/>
        <w:autoSpaceDN w:val="0"/>
        <w:adjustRightInd w:val="0"/>
        <w:spacing w:before="100" w:beforeAutospacing="1" w:after="0" w:line="360" w:lineRule="auto"/>
        <w:ind w:left="0" w:firstLine="0"/>
        <w:jc w:val="both"/>
        <w:rPr>
          <w:rFonts w:ascii="Arial" w:hAnsi="Arial" w:cs="Arial"/>
          <w:sz w:val="24"/>
          <w:szCs w:val="24"/>
        </w:rPr>
      </w:pPr>
      <w:r w:rsidRPr="00CD1BE1">
        <w:rPr>
          <w:rFonts w:ascii="Arial" w:hAnsi="Arial" w:cs="Arial"/>
          <w:b/>
          <w:sz w:val="24"/>
          <w:szCs w:val="24"/>
        </w:rPr>
        <w:t xml:space="preserve">Estampilla </w:t>
      </w:r>
      <w:r w:rsidR="00CD1BE1" w:rsidRPr="00CD1BE1">
        <w:rPr>
          <w:rFonts w:ascii="Arial" w:hAnsi="Arial" w:cs="Arial"/>
          <w:b/>
          <w:sz w:val="24"/>
          <w:szCs w:val="24"/>
        </w:rPr>
        <w:t xml:space="preserve">Pro-Universidad Del </w:t>
      </w:r>
      <w:r w:rsidRPr="00CD1BE1">
        <w:rPr>
          <w:rFonts w:ascii="Arial" w:hAnsi="Arial" w:cs="Arial"/>
          <w:b/>
          <w:sz w:val="24"/>
          <w:szCs w:val="24"/>
        </w:rPr>
        <w:t>Quindío</w:t>
      </w:r>
      <w:r w:rsidR="00CD1BE1" w:rsidRPr="00CD1BE1">
        <w:rPr>
          <w:rFonts w:ascii="Arial" w:hAnsi="Arial" w:cs="Arial"/>
          <w:b/>
          <w:sz w:val="24"/>
          <w:szCs w:val="24"/>
        </w:rPr>
        <w:t xml:space="preserve">, </w:t>
      </w:r>
      <w:r w:rsidR="00A6656A" w:rsidRPr="00CD1BE1">
        <w:rPr>
          <w:rFonts w:ascii="Arial" w:hAnsi="Arial" w:cs="Arial"/>
          <w:sz w:val="24"/>
          <w:szCs w:val="24"/>
        </w:rPr>
        <w:t>de los $1.094. millones esperad</w:t>
      </w:r>
      <w:r w:rsidR="00CD1BE1">
        <w:rPr>
          <w:rFonts w:ascii="Arial" w:hAnsi="Arial" w:cs="Arial"/>
          <w:sz w:val="24"/>
          <w:szCs w:val="24"/>
        </w:rPr>
        <w:t xml:space="preserve">os sólo se logró recaudar $646millones </w:t>
      </w:r>
      <w:r w:rsidR="00A6656A" w:rsidRPr="00CD1BE1">
        <w:rPr>
          <w:rFonts w:ascii="Arial" w:hAnsi="Arial" w:cs="Arial"/>
          <w:sz w:val="24"/>
          <w:szCs w:val="24"/>
        </w:rPr>
        <w:t xml:space="preserve">con una participación </w:t>
      </w:r>
      <w:r w:rsidR="00CD1BE1">
        <w:rPr>
          <w:rFonts w:ascii="Arial" w:hAnsi="Arial" w:cs="Arial"/>
          <w:sz w:val="24"/>
          <w:szCs w:val="24"/>
        </w:rPr>
        <w:t>0.74%  de los Tributarios</w:t>
      </w:r>
      <w:r w:rsidRPr="00CD1BE1">
        <w:rPr>
          <w:rFonts w:ascii="Arial" w:hAnsi="Arial" w:cs="Arial"/>
          <w:sz w:val="24"/>
          <w:szCs w:val="24"/>
        </w:rPr>
        <w:t xml:space="preserve"> y </w:t>
      </w:r>
      <w:r w:rsidR="00A6656A" w:rsidRPr="00CD1BE1">
        <w:rPr>
          <w:rFonts w:ascii="Arial" w:hAnsi="Arial" w:cs="Arial"/>
          <w:sz w:val="24"/>
          <w:szCs w:val="24"/>
        </w:rPr>
        <w:t xml:space="preserve">de ingresos </w:t>
      </w:r>
      <w:r w:rsidR="00D91DD2">
        <w:rPr>
          <w:rFonts w:ascii="Arial" w:hAnsi="Arial" w:cs="Arial"/>
          <w:sz w:val="24"/>
          <w:szCs w:val="24"/>
        </w:rPr>
        <w:t>Corrientes</w:t>
      </w:r>
      <w:r w:rsidR="00A6656A" w:rsidRPr="00CD1BE1">
        <w:rPr>
          <w:rFonts w:ascii="Arial" w:hAnsi="Arial" w:cs="Arial"/>
          <w:sz w:val="24"/>
          <w:szCs w:val="24"/>
        </w:rPr>
        <w:t xml:space="preserve"> 0.</w:t>
      </w:r>
      <w:r w:rsidR="00CD1BE1">
        <w:rPr>
          <w:rFonts w:ascii="Arial" w:hAnsi="Arial" w:cs="Arial"/>
          <w:sz w:val="24"/>
          <w:szCs w:val="24"/>
        </w:rPr>
        <w:t>60</w:t>
      </w:r>
      <w:r w:rsidRPr="00CD1BE1">
        <w:rPr>
          <w:rFonts w:ascii="Arial" w:hAnsi="Arial" w:cs="Arial"/>
          <w:sz w:val="24"/>
          <w:szCs w:val="24"/>
        </w:rPr>
        <w:t xml:space="preserve">%. </w:t>
      </w:r>
      <w:r w:rsidR="00A6656A" w:rsidRPr="00CD1BE1">
        <w:rPr>
          <w:rFonts w:ascii="Arial" w:hAnsi="Arial" w:cs="Arial"/>
          <w:sz w:val="24"/>
          <w:szCs w:val="24"/>
        </w:rPr>
        <w:t>Estos recursos se destinan prioritariamente a la construcción, adecuación y modernización tecnol</w:t>
      </w:r>
      <w:r w:rsidRPr="00CD1BE1">
        <w:rPr>
          <w:rFonts w:ascii="Arial" w:hAnsi="Arial" w:cs="Arial"/>
          <w:sz w:val="24"/>
          <w:szCs w:val="24"/>
        </w:rPr>
        <w:t>ógica, apoyo a la investigación.</w:t>
      </w:r>
      <w:r w:rsidR="00A6656A" w:rsidRPr="00CD1BE1">
        <w:rPr>
          <w:rFonts w:ascii="Arial" w:hAnsi="Arial" w:cs="Arial"/>
          <w:sz w:val="24"/>
          <w:szCs w:val="24"/>
        </w:rPr>
        <w:t xml:space="preserve"> </w:t>
      </w:r>
    </w:p>
    <w:p w:rsidR="00897971" w:rsidRDefault="00CD1BE1" w:rsidP="006E45D8">
      <w:pPr>
        <w:pStyle w:val="Prrafodelista"/>
        <w:widowControl w:val="0"/>
        <w:numPr>
          <w:ilvl w:val="0"/>
          <w:numId w:val="25"/>
        </w:numPr>
        <w:tabs>
          <w:tab w:val="left" w:pos="284"/>
        </w:tabs>
        <w:autoSpaceDE w:val="0"/>
        <w:autoSpaceDN w:val="0"/>
        <w:adjustRightInd w:val="0"/>
        <w:spacing w:before="100" w:beforeAutospacing="1" w:after="0" w:line="360" w:lineRule="auto"/>
        <w:ind w:left="0" w:hanging="11"/>
        <w:jc w:val="both"/>
        <w:rPr>
          <w:rFonts w:ascii="Arial" w:hAnsi="Arial" w:cs="Arial"/>
          <w:sz w:val="24"/>
          <w:szCs w:val="24"/>
        </w:rPr>
      </w:pPr>
      <w:r w:rsidRPr="00CD1BE1">
        <w:rPr>
          <w:rFonts w:ascii="Arial" w:hAnsi="Arial" w:cs="Arial"/>
          <w:b/>
          <w:sz w:val="24"/>
          <w:szCs w:val="24"/>
        </w:rPr>
        <w:t>Impuesto Sobre Vehículos Automotores</w:t>
      </w:r>
      <w:r w:rsidRPr="00CD1BE1">
        <w:rPr>
          <w:rFonts w:ascii="Arial" w:hAnsi="Arial" w:cs="Arial"/>
          <w:sz w:val="24"/>
          <w:szCs w:val="24"/>
        </w:rPr>
        <w:t xml:space="preserve"> </w:t>
      </w:r>
      <w:r w:rsidR="00A6656A" w:rsidRPr="00CD1BE1">
        <w:rPr>
          <w:rFonts w:ascii="Arial" w:hAnsi="Arial" w:cs="Arial"/>
          <w:sz w:val="24"/>
          <w:szCs w:val="24"/>
        </w:rPr>
        <w:t>se proyectaron $9.738millones y se recaudaron $9.951millones equivalente al</w:t>
      </w:r>
      <w:r>
        <w:rPr>
          <w:rFonts w:ascii="Arial" w:hAnsi="Arial" w:cs="Arial"/>
          <w:sz w:val="24"/>
          <w:szCs w:val="24"/>
        </w:rPr>
        <w:t xml:space="preserve"> </w:t>
      </w:r>
      <w:r w:rsidRPr="00CD1BE1">
        <w:rPr>
          <w:rFonts w:ascii="Arial" w:hAnsi="Arial" w:cs="Arial"/>
          <w:b/>
          <w:sz w:val="24"/>
          <w:szCs w:val="24"/>
        </w:rPr>
        <w:t>102%</w:t>
      </w:r>
      <w:r>
        <w:rPr>
          <w:rFonts w:ascii="Arial" w:hAnsi="Arial" w:cs="Arial"/>
          <w:sz w:val="24"/>
          <w:szCs w:val="24"/>
        </w:rPr>
        <w:t xml:space="preserve"> de ejecución,</w:t>
      </w:r>
      <w:r w:rsidR="00A6656A" w:rsidRPr="00CD1BE1">
        <w:rPr>
          <w:rFonts w:ascii="Arial" w:hAnsi="Arial" w:cs="Arial"/>
          <w:sz w:val="24"/>
          <w:szCs w:val="24"/>
        </w:rPr>
        <w:t xml:space="preserve"> </w:t>
      </w:r>
      <w:r>
        <w:rPr>
          <w:rFonts w:ascii="Arial" w:hAnsi="Arial" w:cs="Arial"/>
          <w:sz w:val="24"/>
          <w:szCs w:val="24"/>
        </w:rPr>
        <w:t xml:space="preserve">y una participación </w:t>
      </w:r>
      <w:r w:rsidR="00D91DD2">
        <w:rPr>
          <w:rFonts w:ascii="Arial" w:hAnsi="Arial" w:cs="Arial"/>
          <w:sz w:val="24"/>
          <w:szCs w:val="24"/>
        </w:rPr>
        <w:t xml:space="preserve">del </w:t>
      </w:r>
      <w:r w:rsidR="00D91DD2" w:rsidRPr="00DA48C7">
        <w:rPr>
          <w:rFonts w:ascii="Arial" w:hAnsi="Arial" w:cs="Arial"/>
          <w:b/>
          <w:sz w:val="24"/>
          <w:szCs w:val="24"/>
        </w:rPr>
        <w:t>11</w:t>
      </w:r>
      <w:r w:rsidR="00A6656A" w:rsidRPr="00DA48C7">
        <w:rPr>
          <w:rFonts w:ascii="Arial" w:hAnsi="Arial" w:cs="Arial"/>
          <w:b/>
          <w:sz w:val="24"/>
          <w:szCs w:val="24"/>
        </w:rPr>
        <w:t>%</w:t>
      </w:r>
      <w:r w:rsidR="00D91DD2">
        <w:rPr>
          <w:rFonts w:ascii="Arial" w:hAnsi="Arial" w:cs="Arial"/>
          <w:sz w:val="24"/>
          <w:szCs w:val="24"/>
        </w:rPr>
        <w:t xml:space="preserve"> sobre los Tributarios y </w:t>
      </w:r>
      <w:r w:rsidR="00D91DD2" w:rsidRPr="00DA48C7">
        <w:rPr>
          <w:rFonts w:ascii="Arial" w:hAnsi="Arial" w:cs="Arial"/>
          <w:b/>
          <w:sz w:val="24"/>
          <w:szCs w:val="24"/>
        </w:rPr>
        <w:t>9</w:t>
      </w:r>
      <w:r w:rsidR="00A6656A" w:rsidRPr="00DA48C7">
        <w:rPr>
          <w:rFonts w:ascii="Arial" w:hAnsi="Arial" w:cs="Arial"/>
          <w:b/>
          <w:sz w:val="24"/>
          <w:szCs w:val="24"/>
        </w:rPr>
        <w:t>%</w:t>
      </w:r>
      <w:r w:rsidR="00A6656A" w:rsidRPr="00CD1BE1">
        <w:rPr>
          <w:rFonts w:ascii="Arial" w:hAnsi="Arial" w:cs="Arial"/>
          <w:sz w:val="24"/>
          <w:szCs w:val="24"/>
        </w:rPr>
        <w:t xml:space="preserve"> de los ingresos </w:t>
      </w:r>
      <w:r w:rsidR="00D91DD2">
        <w:rPr>
          <w:rFonts w:ascii="Arial" w:hAnsi="Arial" w:cs="Arial"/>
          <w:sz w:val="24"/>
          <w:szCs w:val="24"/>
        </w:rPr>
        <w:t>corrientes</w:t>
      </w:r>
      <w:r w:rsidR="00A6656A" w:rsidRPr="00CD1BE1">
        <w:rPr>
          <w:rFonts w:ascii="Arial" w:hAnsi="Arial" w:cs="Arial"/>
          <w:sz w:val="24"/>
          <w:szCs w:val="24"/>
        </w:rPr>
        <w:t xml:space="preserve">  El </w:t>
      </w:r>
      <w:r w:rsidR="00D91DD2">
        <w:rPr>
          <w:rFonts w:ascii="Arial" w:hAnsi="Arial" w:cs="Arial"/>
          <w:sz w:val="24"/>
          <w:szCs w:val="24"/>
        </w:rPr>
        <w:t>D</w:t>
      </w:r>
      <w:r w:rsidR="00A6656A" w:rsidRPr="00CD1BE1">
        <w:rPr>
          <w:rFonts w:ascii="Arial" w:hAnsi="Arial" w:cs="Arial"/>
          <w:sz w:val="24"/>
          <w:szCs w:val="24"/>
        </w:rPr>
        <w:t>epartamento diseñó estrategias para lograr el máximo recaudo a través de p</w:t>
      </w:r>
      <w:r w:rsidR="00DA481D" w:rsidRPr="00CD1BE1">
        <w:rPr>
          <w:rFonts w:ascii="Arial" w:hAnsi="Arial" w:cs="Arial"/>
          <w:sz w:val="24"/>
          <w:szCs w:val="24"/>
        </w:rPr>
        <w:t xml:space="preserve">ublicidad, entrega de volantes </w:t>
      </w:r>
      <w:r w:rsidR="00A6656A" w:rsidRPr="00CD1BE1">
        <w:rPr>
          <w:rFonts w:ascii="Arial" w:hAnsi="Arial" w:cs="Arial"/>
          <w:sz w:val="24"/>
          <w:szCs w:val="24"/>
        </w:rPr>
        <w:t>y rápida atención en la Dirección Tributaria.</w:t>
      </w:r>
    </w:p>
    <w:p w:rsidR="00A6656A" w:rsidRPr="00897971" w:rsidRDefault="00897971" w:rsidP="008A5244">
      <w:pPr>
        <w:pStyle w:val="Prrafodelista"/>
        <w:widowControl w:val="0"/>
        <w:numPr>
          <w:ilvl w:val="0"/>
          <w:numId w:val="25"/>
        </w:numPr>
        <w:tabs>
          <w:tab w:val="left" w:pos="284"/>
        </w:tabs>
        <w:autoSpaceDE w:val="0"/>
        <w:autoSpaceDN w:val="0"/>
        <w:adjustRightInd w:val="0"/>
        <w:spacing w:before="100" w:beforeAutospacing="1" w:after="0" w:line="360" w:lineRule="auto"/>
        <w:ind w:left="0" w:hanging="11"/>
        <w:jc w:val="both"/>
        <w:rPr>
          <w:rFonts w:ascii="Arial" w:hAnsi="Arial" w:cs="Arial"/>
          <w:sz w:val="24"/>
          <w:szCs w:val="24"/>
        </w:rPr>
      </w:pPr>
      <w:r w:rsidRPr="00897971">
        <w:rPr>
          <w:rFonts w:ascii="Arial" w:hAnsi="Arial" w:cs="Arial"/>
          <w:b/>
          <w:sz w:val="24"/>
          <w:szCs w:val="24"/>
        </w:rPr>
        <w:t xml:space="preserve">Impuesto </w:t>
      </w:r>
      <w:r>
        <w:rPr>
          <w:rFonts w:ascii="Arial" w:hAnsi="Arial" w:cs="Arial"/>
          <w:b/>
          <w:sz w:val="24"/>
          <w:szCs w:val="24"/>
        </w:rPr>
        <w:t>a</w:t>
      </w:r>
      <w:r w:rsidRPr="00897971">
        <w:rPr>
          <w:rFonts w:ascii="Arial" w:hAnsi="Arial" w:cs="Arial"/>
          <w:b/>
          <w:sz w:val="24"/>
          <w:szCs w:val="24"/>
        </w:rPr>
        <w:t>l Registro</w:t>
      </w:r>
      <w:r w:rsidRPr="00897971">
        <w:rPr>
          <w:rFonts w:ascii="Arial" w:hAnsi="Arial" w:cs="Arial"/>
          <w:sz w:val="24"/>
          <w:szCs w:val="24"/>
        </w:rPr>
        <w:t xml:space="preserve"> </w:t>
      </w:r>
      <w:r w:rsidR="00A6656A" w:rsidRPr="00897971">
        <w:rPr>
          <w:rFonts w:ascii="Arial" w:hAnsi="Arial" w:cs="Arial"/>
          <w:sz w:val="24"/>
          <w:szCs w:val="24"/>
        </w:rPr>
        <w:t>que es un gravamen creado por el Congreso de la República mediante la Ley 223 de 1995 y que afec</w:t>
      </w:r>
      <w:r w:rsidR="00A6656A" w:rsidRPr="00897971">
        <w:rPr>
          <w:rFonts w:ascii="Arial" w:hAnsi="Arial" w:cs="Arial"/>
          <w:color w:val="222222"/>
          <w:sz w:val="24"/>
          <w:szCs w:val="24"/>
          <w:shd w:val="clear" w:color="auto" w:fill="FFFFFF"/>
        </w:rPr>
        <w:t>ta todos los actos, documentos o contratos que deben registrarse ante la cámara de comercio y en las oficinas de instrumentos públicos.  Nos perm</w:t>
      </w:r>
      <w:r w:rsidR="00DA48C7">
        <w:rPr>
          <w:rFonts w:ascii="Arial" w:hAnsi="Arial" w:cs="Arial"/>
          <w:color w:val="222222"/>
          <w:sz w:val="24"/>
          <w:szCs w:val="24"/>
          <w:shd w:val="clear" w:color="auto" w:fill="FFFFFF"/>
        </w:rPr>
        <w:t>itió obtener la suma de $11.299millones de los $9.384millones proyectados con una ejecución del 120% y una participación del</w:t>
      </w:r>
      <w:r w:rsidR="00A6656A" w:rsidRPr="00897971">
        <w:rPr>
          <w:rFonts w:ascii="Arial" w:hAnsi="Arial" w:cs="Arial"/>
          <w:color w:val="222222"/>
          <w:sz w:val="24"/>
          <w:szCs w:val="24"/>
          <w:shd w:val="clear" w:color="auto" w:fill="FFFFFF"/>
        </w:rPr>
        <w:t xml:space="preserve"> </w:t>
      </w:r>
      <w:r w:rsidR="00DA48C7">
        <w:rPr>
          <w:rFonts w:ascii="Arial" w:hAnsi="Arial" w:cs="Arial"/>
          <w:b/>
          <w:color w:val="222222"/>
          <w:sz w:val="24"/>
          <w:szCs w:val="24"/>
          <w:shd w:val="clear" w:color="auto" w:fill="FFFFFF"/>
        </w:rPr>
        <w:lastRenderedPageBreak/>
        <w:t>13</w:t>
      </w:r>
      <w:r w:rsidR="00A6656A" w:rsidRPr="00897971">
        <w:rPr>
          <w:rFonts w:ascii="Arial" w:hAnsi="Arial" w:cs="Arial"/>
          <w:b/>
          <w:color w:val="222222"/>
          <w:sz w:val="24"/>
          <w:szCs w:val="24"/>
          <w:shd w:val="clear" w:color="auto" w:fill="FFFFFF"/>
        </w:rPr>
        <w:t>%</w:t>
      </w:r>
      <w:r w:rsidR="00A6656A" w:rsidRPr="00897971">
        <w:rPr>
          <w:rFonts w:ascii="Arial" w:hAnsi="Arial" w:cs="Arial"/>
          <w:color w:val="222222"/>
          <w:sz w:val="24"/>
          <w:szCs w:val="24"/>
          <w:shd w:val="clear" w:color="auto" w:fill="FFFFFF"/>
        </w:rPr>
        <w:t xml:space="preserve"> de los </w:t>
      </w:r>
      <w:r w:rsidR="00DA48C7">
        <w:rPr>
          <w:rFonts w:ascii="Arial" w:hAnsi="Arial" w:cs="Arial"/>
          <w:color w:val="222222"/>
          <w:sz w:val="24"/>
          <w:szCs w:val="24"/>
          <w:shd w:val="clear" w:color="auto" w:fill="FFFFFF"/>
        </w:rPr>
        <w:t xml:space="preserve">Tributarios  y </w:t>
      </w:r>
      <w:r w:rsidR="00DA48C7" w:rsidRPr="00DA48C7">
        <w:rPr>
          <w:rFonts w:ascii="Arial" w:hAnsi="Arial" w:cs="Arial"/>
          <w:b/>
          <w:color w:val="222222"/>
          <w:sz w:val="24"/>
          <w:szCs w:val="24"/>
          <w:shd w:val="clear" w:color="auto" w:fill="FFFFFF"/>
        </w:rPr>
        <w:t>11</w:t>
      </w:r>
      <w:r w:rsidR="00A6656A" w:rsidRPr="00DA48C7">
        <w:rPr>
          <w:rFonts w:ascii="Arial" w:hAnsi="Arial" w:cs="Arial"/>
          <w:b/>
          <w:color w:val="222222"/>
          <w:sz w:val="24"/>
          <w:szCs w:val="24"/>
          <w:shd w:val="clear" w:color="auto" w:fill="FFFFFF"/>
        </w:rPr>
        <w:t>%</w:t>
      </w:r>
      <w:r w:rsidR="00A6656A" w:rsidRPr="00897971">
        <w:rPr>
          <w:rFonts w:ascii="Arial" w:hAnsi="Arial" w:cs="Arial"/>
          <w:color w:val="222222"/>
          <w:sz w:val="24"/>
          <w:szCs w:val="24"/>
          <w:shd w:val="clear" w:color="auto" w:fill="FFFFFF"/>
        </w:rPr>
        <w:t xml:space="preserve"> de los ingresos </w:t>
      </w:r>
      <w:r w:rsidR="00DA48C7">
        <w:rPr>
          <w:rFonts w:ascii="Arial" w:hAnsi="Arial" w:cs="Arial"/>
          <w:color w:val="222222"/>
          <w:sz w:val="24"/>
          <w:szCs w:val="24"/>
          <w:shd w:val="clear" w:color="auto" w:fill="FFFFFF"/>
        </w:rPr>
        <w:t>Corrientes</w:t>
      </w:r>
      <w:r w:rsidR="00A6656A" w:rsidRPr="00897971">
        <w:rPr>
          <w:rFonts w:ascii="Arial" w:hAnsi="Arial" w:cs="Arial"/>
          <w:color w:val="222222"/>
          <w:sz w:val="24"/>
          <w:szCs w:val="24"/>
          <w:shd w:val="clear" w:color="auto" w:fill="FFFFFF"/>
        </w:rPr>
        <w:t>.</w:t>
      </w:r>
    </w:p>
    <w:p w:rsidR="00A6656A" w:rsidRPr="00DA48C7" w:rsidRDefault="00A6656A" w:rsidP="00DA48C7">
      <w:pPr>
        <w:pStyle w:val="Prrafodelista"/>
        <w:widowControl w:val="0"/>
        <w:numPr>
          <w:ilvl w:val="0"/>
          <w:numId w:val="25"/>
        </w:numPr>
        <w:tabs>
          <w:tab w:val="left" w:pos="284"/>
        </w:tabs>
        <w:autoSpaceDE w:val="0"/>
        <w:autoSpaceDN w:val="0"/>
        <w:adjustRightInd w:val="0"/>
        <w:spacing w:before="100" w:beforeAutospacing="1" w:after="0" w:line="360" w:lineRule="auto"/>
        <w:ind w:left="0" w:hanging="11"/>
        <w:jc w:val="both"/>
        <w:rPr>
          <w:rFonts w:ascii="Arial" w:hAnsi="Arial" w:cs="Arial"/>
          <w:sz w:val="24"/>
          <w:szCs w:val="24"/>
          <w:shd w:val="clear" w:color="auto" w:fill="FFFFFF"/>
        </w:rPr>
      </w:pPr>
      <w:r w:rsidRPr="00DA48C7">
        <w:rPr>
          <w:rFonts w:ascii="Arial" w:hAnsi="Arial" w:cs="Arial"/>
          <w:b/>
          <w:color w:val="222222"/>
          <w:sz w:val="24"/>
          <w:szCs w:val="24"/>
          <w:shd w:val="clear" w:color="auto" w:fill="FFFFFF"/>
        </w:rPr>
        <w:t>Degüello de ganado</w:t>
      </w:r>
      <w:r w:rsidRPr="00DA48C7">
        <w:rPr>
          <w:rFonts w:ascii="Arial" w:hAnsi="Arial" w:cs="Arial"/>
          <w:color w:val="222222"/>
          <w:sz w:val="24"/>
          <w:szCs w:val="24"/>
          <w:shd w:val="clear" w:color="auto" w:fill="FFFFFF"/>
        </w:rPr>
        <w:t xml:space="preserve"> </w:t>
      </w:r>
      <w:r w:rsidRPr="00DA48C7">
        <w:rPr>
          <w:rFonts w:ascii="Arial" w:hAnsi="Arial" w:cs="Arial"/>
          <w:b/>
          <w:color w:val="222222"/>
          <w:sz w:val="24"/>
          <w:szCs w:val="24"/>
          <w:shd w:val="clear" w:color="auto" w:fill="FFFFFF"/>
        </w:rPr>
        <w:t>mayor</w:t>
      </w:r>
      <w:r w:rsidRPr="00DA48C7">
        <w:rPr>
          <w:rFonts w:ascii="Arial" w:hAnsi="Arial" w:cs="Arial"/>
          <w:color w:val="222222"/>
          <w:sz w:val="24"/>
          <w:szCs w:val="24"/>
          <w:shd w:val="clear" w:color="auto" w:fill="FFFFFF"/>
        </w:rPr>
        <w:t xml:space="preserve">  estuvo p</w:t>
      </w:r>
      <w:r w:rsidR="00DA48C7">
        <w:rPr>
          <w:rFonts w:ascii="Arial" w:hAnsi="Arial" w:cs="Arial"/>
          <w:color w:val="222222"/>
          <w:sz w:val="24"/>
          <w:szCs w:val="24"/>
          <w:shd w:val="clear" w:color="auto" w:fill="FFFFFF"/>
        </w:rPr>
        <w:t xml:space="preserve">or debajo del valor proyectado </w:t>
      </w:r>
      <w:r w:rsidRPr="00DA48C7">
        <w:rPr>
          <w:rFonts w:ascii="Arial" w:hAnsi="Arial" w:cs="Arial"/>
          <w:color w:val="222222"/>
          <w:sz w:val="24"/>
          <w:szCs w:val="24"/>
          <w:shd w:val="clear" w:color="auto" w:fill="FFFFFF"/>
        </w:rPr>
        <w:t xml:space="preserve">de $ 655 millones ingresaron al departamento $615 millones que corresponde a una ejecución del 94% y una participación </w:t>
      </w:r>
      <w:r w:rsidR="00DA48C7">
        <w:rPr>
          <w:rFonts w:ascii="Arial" w:hAnsi="Arial" w:cs="Arial"/>
          <w:color w:val="222222"/>
          <w:sz w:val="24"/>
          <w:szCs w:val="24"/>
          <w:shd w:val="clear" w:color="auto" w:fill="FFFFFF"/>
        </w:rPr>
        <w:t xml:space="preserve"> del 0.71%</w:t>
      </w:r>
      <w:r w:rsidRPr="00DA48C7">
        <w:rPr>
          <w:rFonts w:ascii="Arial" w:hAnsi="Arial" w:cs="Arial"/>
          <w:color w:val="222222"/>
          <w:sz w:val="24"/>
          <w:szCs w:val="24"/>
          <w:shd w:val="clear" w:color="auto" w:fill="FFFFFF"/>
        </w:rPr>
        <w:t xml:space="preserve"> </w:t>
      </w:r>
      <w:r w:rsidR="00DA48C7">
        <w:rPr>
          <w:rFonts w:ascii="Arial" w:hAnsi="Arial" w:cs="Arial"/>
          <w:color w:val="222222"/>
          <w:sz w:val="24"/>
          <w:szCs w:val="24"/>
          <w:shd w:val="clear" w:color="auto" w:fill="FFFFFF"/>
        </w:rPr>
        <w:t xml:space="preserve"> </w:t>
      </w:r>
      <w:r w:rsidRPr="00DA48C7">
        <w:rPr>
          <w:rFonts w:ascii="Arial" w:hAnsi="Arial" w:cs="Arial"/>
          <w:color w:val="222222"/>
          <w:sz w:val="24"/>
          <w:szCs w:val="24"/>
          <w:shd w:val="clear" w:color="auto" w:fill="FFFFFF"/>
        </w:rPr>
        <w:t xml:space="preserve">de  </w:t>
      </w:r>
      <w:r w:rsidR="00DA48C7">
        <w:rPr>
          <w:rFonts w:ascii="Arial" w:hAnsi="Arial" w:cs="Arial"/>
          <w:color w:val="222222"/>
          <w:sz w:val="24"/>
          <w:szCs w:val="24"/>
          <w:shd w:val="clear" w:color="auto" w:fill="FFFFFF"/>
        </w:rPr>
        <w:t xml:space="preserve">los Tributarios </w:t>
      </w:r>
      <w:r w:rsidRPr="00DA48C7">
        <w:rPr>
          <w:rFonts w:ascii="Arial" w:hAnsi="Arial" w:cs="Arial"/>
          <w:color w:val="222222"/>
          <w:sz w:val="24"/>
          <w:szCs w:val="24"/>
          <w:shd w:val="clear" w:color="auto" w:fill="FFFFFF"/>
        </w:rPr>
        <w:t>y 0.</w:t>
      </w:r>
      <w:r w:rsidR="00DA48C7">
        <w:rPr>
          <w:rFonts w:ascii="Arial" w:hAnsi="Arial" w:cs="Arial"/>
          <w:color w:val="222222"/>
          <w:sz w:val="24"/>
          <w:szCs w:val="24"/>
          <w:shd w:val="clear" w:color="auto" w:fill="FFFFFF"/>
        </w:rPr>
        <w:t>58</w:t>
      </w:r>
      <w:r w:rsidRPr="00DA48C7">
        <w:rPr>
          <w:rFonts w:ascii="Arial" w:hAnsi="Arial" w:cs="Arial"/>
          <w:color w:val="222222"/>
          <w:sz w:val="24"/>
          <w:szCs w:val="24"/>
          <w:shd w:val="clear" w:color="auto" w:fill="FFFFFF"/>
        </w:rPr>
        <w:t xml:space="preserve">% de </w:t>
      </w:r>
      <w:r w:rsidR="00DA48C7">
        <w:rPr>
          <w:rFonts w:ascii="Arial" w:hAnsi="Arial" w:cs="Arial"/>
          <w:sz w:val="24"/>
          <w:szCs w:val="24"/>
          <w:shd w:val="clear" w:color="auto" w:fill="FFFFFF"/>
        </w:rPr>
        <w:t>los I</w:t>
      </w:r>
      <w:r w:rsidRPr="00DA48C7">
        <w:rPr>
          <w:rFonts w:ascii="Arial" w:hAnsi="Arial" w:cs="Arial"/>
          <w:sz w:val="24"/>
          <w:szCs w:val="24"/>
          <w:shd w:val="clear" w:color="auto" w:fill="FFFFFF"/>
        </w:rPr>
        <w:t xml:space="preserve">ngresos </w:t>
      </w:r>
      <w:r w:rsidR="00DA48C7">
        <w:rPr>
          <w:rFonts w:ascii="Arial" w:hAnsi="Arial" w:cs="Arial"/>
          <w:sz w:val="24"/>
          <w:szCs w:val="24"/>
          <w:shd w:val="clear" w:color="auto" w:fill="FFFFFF"/>
        </w:rPr>
        <w:t>Corrientes</w:t>
      </w:r>
      <w:r w:rsidRPr="00DA48C7">
        <w:rPr>
          <w:rFonts w:ascii="Arial" w:hAnsi="Arial" w:cs="Arial"/>
          <w:sz w:val="24"/>
          <w:szCs w:val="24"/>
          <w:shd w:val="clear" w:color="auto" w:fill="FFFFFF"/>
        </w:rPr>
        <w:t>;</w:t>
      </w:r>
      <w:r w:rsidR="00DA481D" w:rsidRPr="00DA48C7">
        <w:rPr>
          <w:rFonts w:ascii="Arial" w:hAnsi="Arial" w:cs="Arial"/>
          <w:sz w:val="24"/>
          <w:szCs w:val="24"/>
          <w:shd w:val="clear" w:color="auto" w:fill="FFFFFF"/>
        </w:rPr>
        <w:t xml:space="preserve"> el</w:t>
      </w:r>
      <w:r w:rsidR="00DA48C7">
        <w:rPr>
          <w:rFonts w:ascii="Arial" w:hAnsi="Arial" w:cs="Arial"/>
          <w:sz w:val="24"/>
          <w:szCs w:val="24"/>
          <w:shd w:val="clear" w:color="auto" w:fill="FFFFFF"/>
        </w:rPr>
        <w:t xml:space="preserve"> comportamiento de este ingreso</w:t>
      </w:r>
      <w:r w:rsidR="00DA481D" w:rsidRPr="00DA48C7">
        <w:rPr>
          <w:rFonts w:ascii="Arial" w:hAnsi="Arial" w:cs="Arial"/>
          <w:sz w:val="24"/>
          <w:szCs w:val="24"/>
          <w:shd w:val="clear" w:color="auto" w:fill="FFFFFF"/>
        </w:rPr>
        <w:t xml:space="preserve"> se debe a que</w:t>
      </w:r>
      <w:r w:rsidRPr="00DA48C7">
        <w:rPr>
          <w:rFonts w:ascii="Arial" w:hAnsi="Arial" w:cs="Arial"/>
          <w:sz w:val="24"/>
          <w:szCs w:val="24"/>
          <w:shd w:val="clear" w:color="auto" w:fill="FFFFFF"/>
        </w:rPr>
        <w:t xml:space="preserve"> por disposición de la autoridad competente; en el 2016 se cerraron las centrales de sacrificio de los municipio de la Tebaida y Génova.  </w:t>
      </w:r>
    </w:p>
    <w:p w:rsidR="00A6656A" w:rsidRPr="001040A8" w:rsidRDefault="00A6656A" w:rsidP="001040A8">
      <w:pPr>
        <w:pStyle w:val="Prrafodelista"/>
        <w:widowControl w:val="0"/>
        <w:numPr>
          <w:ilvl w:val="0"/>
          <w:numId w:val="25"/>
        </w:numPr>
        <w:tabs>
          <w:tab w:val="left" w:pos="284"/>
        </w:tabs>
        <w:autoSpaceDE w:val="0"/>
        <w:autoSpaceDN w:val="0"/>
        <w:adjustRightInd w:val="0"/>
        <w:spacing w:before="100" w:beforeAutospacing="1" w:after="0" w:line="360" w:lineRule="auto"/>
        <w:ind w:left="0" w:hanging="11"/>
        <w:jc w:val="both"/>
        <w:rPr>
          <w:rFonts w:ascii="Arial" w:hAnsi="Arial" w:cs="Arial"/>
          <w:color w:val="222222"/>
          <w:sz w:val="24"/>
          <w:szCs w:val="24"/>
          <w:shd w:val="clear" w:color="auto" w:fill="FFFFFF"/>
        </w:rPr>
      </w:pPr>
      <w:r w:rsidRPr="001040A8">
        <w:rPr>
          <w:rFonts w:ascii="Arial" w:hAnsi="Arial" w:cs="Arial"/>
          <w:b/>
          <w:sz w:val="24"/>
          <w:szCs w:val="24"/>
          <w:shd w:val="clear" w:color="auto" w:fill="FFFFFF"/>
        </w:rPr>
        <w:t xml:space="preserve">Impuesto Consumo de </w:t>
      </w:r>
      <w:r w:rsidRPr="001040A8">
        <w:rPr>
          <w:rFonts w:ascii="Arial" w:hAnsi="Arial" w:cs="Arial"/>
          <w:b/>
          <w:color w:val="222222"/>
          <w:sz w:val="24"/>
          <w:szCs w:val="24"/>
          <w:shd w:val="clear" w:color="auto" w:fill="FFFFFF"/>
        </w:rPr>
        <w:t>Cigarrillo y Tabaco:</w:t>
      </w:r>
      <w:r w:rsidR="001040A8">
        <w:rPr>
          <w:rFonts w:ascii="Arial" w:hAnsi="Arial" w:cs="Arial"/>
          <w:color w:val="222222"/>
          <w:sz w:val="24"/>
          <w:szCs w:val="24"/>
          <w:shd w:val="clear" w:color="auto" w:fill="FFFFFF"/>
        </w:rPr>
        <w:t xml:space="preserve"> Participa con un 10% dentro de los T</w:t>
      </w:r>
      <w:r w:rsidRPr="001040A8">
        <w:rPr>
          <w:rFonts w:ascii="Arial" w:hAnsi="Arial" w:cs="Arial"/>
          <w:color w:val="222222"/>
          <w:sz w:val="24"/>
          <w:szCs w:val="24"/>
          <w:shd w:val="clear" w:color="auto" w:fill="FFFFFF"/>
        </w:rPr>
        <w:t xml:space="preserve">ributarios y del </w:t>
      </w:r>
      <w:r w:rsidR="001040A8">
        <w:rPr>
          <w:rFonts w:ascii="Arial" w:hAnsi="Arial" w:cs="Arial"/>
          <w:color w:val="222222"/>
          <w:sz w:val="24"/>
          <w:szCs w:val="24"/>
          <w:shd w:val="clear" w:color="auto" w:fill="FFFFFF"/>
        </w:rPr>
        <w:t>8</w:t>
      </w:r>
      <w:r w:rsidRPr="001040A8">
        <w:rPr>
          <w:rFonts w:ascii="Arial" w:hAnsi="Arial" w:cs="Arial"/>
          <w:color w:val="222222"/>
          <w:sz w:val="24"/>
          <w:szCs w:val="24"/>
          <w:shd w:val="clear" w:color="auto" w:fill="FFFFFF"/>
        </w:rPr>
        <w:t xml:space="preserve">% de los ingresos </w:t>
      </w:r>
      <w:r w:rsidR="001040A8">
        <w:rPr>
          <w:rFonts w:ascii="Arial" w:hAnsi="Arial" w:cs="Arial"/>
          <w:color w:val="222222"/>
          <w:sz w:val="24"/>
          <w:szCs w:val="24"/>
          <w:shd w:val="clear" w:color="auto" w:fill="FFFFFF"/>
        </w:rPr>
        <w:t>corrientes</w:t>
      </w:r>
      <w:r w:rsidRPr="001040A8">
        <w:rPr>
          <w:rFonts w:ascii="Arial" w:hAnsi="Arial" w:cs="Arial"/>
          <w:color w:val="222222"/>
          <w:sz w:val="24"/>
          <w:szCs w:val="24"/>
          <w:shd w:val="clear" w:color="auto" w:fill="FFFFFF"/>
        </w:rPr>
        <w:t>.  Su reca</w:t>
      </w:r>
      <w:r w:rsidR="00480886" w:rsidRPr="001040A8">
        <w:rPr>
          <w:rFonts w:ascii="Arial" w:hAnsi="Arial" w:cs="Arial"/>
          <w:color w:val="222222"/>
          <w:sz w:val="24"/>
          <w:szCs w:val="24"/>
          <w:shd w:val="clear" w:color="auto" w:fill="FFFFFF"/>
        </w:rPr>
        <w:t>udo ascendió a $8.807 millones</w:t>
      </w:r>
      <w:r w:rsidR="001040A8">
        <w:rPr>
          <w:rFonts w:ascii="Arial" w:hAnsi="Arial" w:cs="Arial"/>
          <w:color w:val="222222"/>
          <w:sz w:val="24"/>
          <w:szCs w:val="24"/>
          <w:shd w:val="clear" w:color="auto" w:fill="FFFFFF"/>
        </w:rPr>
        <w:t xml:space="preserve">  $462millones </w:t>
      </w:r>
      <w:r w:rsidR="00480886" w:rsidRPr="001040A8">
        <w:rPr>
          <w:rFonts w:ascii="Arial" w:hAnsi="Arial" w:cs="Arial"/>
          <w:color w:val="222222"/>
          <w:sz w:val="24"/>
          <w:szCs w:val="24"/>
          <w:shd w:val="clear" w:color="auto" w:fill="FFFFFF"/>
        </w:rPr>
        <w:t xml:space="preserve"> </w:t>
      </w:r>
      <w:r w:rsidRPr="001040A8">
        <w:rPr>
          <w:rFonts w:ascii="Arial" w:hAnsi="Arial" w:cs="Arial"/>
          <w:color w:val="222222"/>
          <w:sz w:val="24"/>
          <w:szCs w:val="24"/>
          <w:shd w:val="clear" w:color="auto" w:fill="FFFFFF"/>
        </w:rPr>
        <w:t>por enc</w:t>
      </w:r>
      <w:r w:rsidR="001040A8">
        <w:rPr>
          <w:rFonts w:ascii="Arial" w:hAnsi="Arial" w:cs="Arial"/>
          <w:color w:val="222222"/>
          <w:sz w:val="24"/>
          <w:szCs w:val="24"/>
          <w:shd w:val="clear" w:color="auto" w:fill="FFFFFF"/>
        </w:rPr>
        <w:t xml:space="preserve">ima de lo </w:t>
      </w:r>
      <w:r w:rsidRPr="001040A8">
        <w:rPr>
          <w:rFonts w:ascii="Arial" w:hAnsi="Arial" w:cs="Arial"/>
          <w:color w:val="222222"/>
          <w:sz w:val="24"/>
          <w:szCs w:val="24"/>
          <w:shd w:val="clear" w:color="auto" w:fill="FFFFFF"/>
        </w:rPr>
        <w:t>presupuestado.</w:t>
      </w:r>
    </w:p>
    <w:p w:rsidR="00A6656A" w:rsidRPr="004B6AF7" w:rsidRDefault="003065B8" w:rsidP="003065B8">
      <w:pPr>
        <w:pStyle w:val="Ttulo4"/>
      </w:pPr>
      <w:r>
        <w:t xml:space="preserve">3.1.1.2 </w:t>
      </w:r>
      <w:r w:rsidR="004B6AF7" w:rsidRPr="004B6AF7">
        <w:t>Ingresos Corrientes No Tributarios</w:t>
      </w:r>
    </w:p>
    <w:p w:rsidR="00A6656A" w:rsidRDefault="00375DA5" w:rsidP="006E45D8">
      <w:pPr>
        <w:widowControl w:val="0"/>
        <w:autoSpaceDE w:val="0"/>
        <w:autoSpaceDN w:val="0"/>
        <w:adjustRightInd w:val="0"/>
        <w:spacing w:before="100" w:beforeAutospacing="1" w:after="0" w:line="360" w:lineRule="auto"/>
        <w:jc w:val="both"/>
        <w:rPr>
          <w:rFonts w:ascii="Arial" w:hAnsi="Arial" w:cs="Arial"/>
          <w:b/>
          <w:color w:val="222222"/>
          <w:sz w:val="24"/>
          <w:szCs w:val="24"/>
          <w:shd w:val="clear" w:color="auto" w:fill="FFFFFF"/>
        </w:rPr>
      </w:pPr>
      <w:r w:rsidRPr="00375DA5">
        <w:rPr>
          <w:noProof/>
          <w:lang w:eastAsia="es-CO"/>
        </w:rPr>
        <w:drawing>
          <wp:inline distT="0" distB="0" distL="0" distR="0" wp14:anchorId="104FBF4F" wp14:editId="5E6AEDC6">
            <wp:extent cx="5613400" cy="2611988"/>
            <wp:effectExtent l="0" t="0" r="635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3400" cy="2611988"/>
                    </a:xfrm>
                    <a:prstGeom prst="rect">
                      <a:avLst/>
                    </a:prstGeom>
                    <a:noFill/>
                    <a:ln>
                      <a:noFill/>
                    </a:ln>
                  </pic:spPr>
                </pic:pic>
              </a:graphicData>
            </a:graphic>
          </wp:inline>
        </w:drawing>
      </w:r>
    </w:p>
    <w:p w:rsidR="00A6656A" w:rsidRPr="00047F1F" w:rsidRDefault="00A6656A" w:rsidP="0098721B">
      <w:pPr>
        <w:widowControl w:val="0"/>
        <w:autoSpaceDE w:val="0"/>
        <w:autoSpaceDN w:val="0"/>
        <w:adjustRightInd w:val="0"/>
        <w:spacing w:before="100" w:beforeAutospacing="1" w:after="0"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Por su parte los ingresos no tributarios tal y como lo afirma la DAF en el informe de viabilidad fiscal de los Departamentos </w:t>
      </w:r>
      <w:r w:rsidR="00480886">
        <w:rPr>
          <w:rFonts w:ascii="Arial" w:hAnsi="Arial" w:cs="Arial"/>
          <w:color w:val="222222"/>
          <w:sz w:val="24"/>
          <w:szCs w:val="24"/>
          <w:shd w:val="clear" w:color="auto" w:fill="FFFFFF"/>
        </w:rPr>
        <w:t xml:space="preserve">en la vigencia </w:t>
      </w:r>
      <w:r>
        <w:rPr>
          <w:rFonts w:ascii="Arial" w:hAnsi="Arial" w:cs="Arial"/>
          <w:color w:val="222222"/>
          <w:sz w:val="24"/>
          <w:szCs w:val="24"/>
          <w:shd w:val="clear" w:color="auto" w:fill="FFFFFF"/>
        </w:rPr>
        <w:t>2016</w:t>
      </w:r>
      <w:r w:rsidR="00480886">
        <w:rPr>
          <w:rFonts w:ascii="Arial" w:hAnsi="Arial" w:cs="Arial"/>
          <w:color w:val="222222"/>
          <w:sz w:val="24"/>
          <w:szCs w:val="24"/>
          <w:shd w:val="clear" w:color="auto" w:fill="FFFFFF"/>
        </w:rPr>
        <w:t xml:space="preserve"> continúa con </w:t>
      </w:r>
      <w:r>
        <w:rPr>
          <w:rFonts w:ascii="Arial" w:hAnsi="Arial" w:cs="Arial"/>
          <w:color w:val="222222"/>
          <w:sz w:val="24"/>
          <w:szCs w:val="24"/>
          <w:shd w:val="clear" w:color="auto" w:fill="FFFFFF"/>
        </w:rPr>
        <w:t xml:space="preserve">                                                                                                                                                                                                                                                                                                                                                                                                                                                                                                                                                                                                                                                                                                                                                                                                                                                                                                                                                                                                                      tendencia de crecimiento como consecuencia del mayor recaudo por concepto de tasas por derechos de explotación de juegos de suerte y azar- Loterías – destinadas a financiar inversiones del sector salud y por el aumento de la participación por el ejercicio del monopolio de licores y alcoholes potables. Por otra parte</w:t>
      </w:r>
      <w:r w:rsidR="00480886">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el comportamiento positivo de las transferencias fue consecuencia de los mayores recursos asignados por el Sistema General de Participaciones SGP (3%) real </w:t>
      </w:r>
      <w:r>
        <w:rPr>
          <w:rFonts w:ascii="Arial" w:hAnsi="Arial" w:cs="Arial"/>
          <w:color w:val="222222"/>
          <w:sz w:val="24"/>
          <w:szCs w:val="24"/>
          <w:shd w:val="clear" w:color="auto" w:fill="FFFFFF"/>
        </w:rPr>
        <w:lastRenderedPageBreak/>
        <w:t xml:space="preserve">destinado a salud, agua potable y saneamiento básico. </w:t>
      </w:r>
    </w:p>
    <w:p w:rsidR="00A6656A" w:rsidRPr="0039575A" w:rsidRDefault="00A6656A" w:rsidP="006E45D8">
      <w:pPr>
        <w:widowControl w:val="0"/>
        <w:autoSpaceDE w:val="0"/>
        <w:autoSpaceDN w:val="0"/>
        <w:adjustRightInd w:val="0"/>
        <w:spacing w:before="100" w:beforeAutospacing="1" w:after="0" w:line="360" w:lineRule="auto"/>
        <w:jc w:val="both"/>
        <w:rPr>
          <w:rFonts w:ascii="Arial" w:hAnsi="Arial" w:cs="Arial"/>
          <w:sz w:val="24"/>
          <w:szCs w:val="24"/>
        </w:rPr>
      </w:pPr>
      <w:r w:rsidRPr="0039575A">
        <w:rPr>
          <w:rFonts w:ascii="Arial" w:hAnsi="Arial" w:cs="Arial"/>
          <w:sz w:val="24"/>
          <w:szCs w:val="24"/>
        </w:rPr>
        <w:t>Siguiendo en esta clasificación de ingresos corrientes pasamos a los ingresos no tributarios cuyo recaudado estuvo muy ajustado al presupuesto del año 2016  de $20.934 millones presupuestados el Departamento del Quindío recaudó $19.277 millones con una participación del 18% de los ingresos corrientes y 7% de los ingresos totales. De acuerdo a su participación de mayor a menor tenemos:</w:t>
      </w:r>
    </w:p>
    <w:p w:rsidR="00A6656A" w:rsidRPr="009F4BEB" w:rsidRDefault="00A6656A" w:rsidP="009F4BEB">
      <w:pPr>
        <w:pStyle w:val="Prrafodelista"/>
        <w:widowControl w:val="0"/>
        <w:numPr>
          <w:ilvl w:val="0"/>
          <w:numId w:val="25"/>
        </w:numPr>
        <w:tabs>
          <w:tab w:val="left" w:pos="142"/>
        </w:tabs>
        <w:autoSpaceDE w:val="0"/>
        <w:autoSpaceDN w:val="0"/>
        <w:adjustRightInd w:val="0"/>
        <w:spacing w:before="100" w:beforeAutospacing="1" w:after="0" w:line="360" w:lineRule="auto"/>
        <w:ind w:left="0" w:hanging="11"/>
        <w:jc w:val="both"/>
        <w:rPr>
          <w:rFonts w:ascii="Arial" w:hAnsi="Arial" w:cs="Arial"/>
          <w:sz w:val="24"/>
          <w:szCs w:val="24"/>
        </w:rPr>
      </w:pPr>
      <w:r w:rsidRPr="009F4BEB">
        <w:rPr>
          <w:rFonts w:ascii="Arial" w:hAnsi="Arial" w:cs="Arial"/>
          <w:b/>
          <w:sz w:val="24"/>
          <w:szCs w:val="24"/>
        </w:rPr>
        <w:t>Monopolio</w:t>
      </w:r>
      <w:r w:rsidRPr="009F4BEB">
        <w:rPr>
          <w:rFonts w:ascii="Arial" w:hAnsi="Arial" w:cs="Arial"/>
          <w:sz w:val="24"/>
          <w:szCs w:val="24"/>
        </w:rPr>
        <w:t xml:space="preserve">: Este rubro estuvo representado por </w:t>
      </w:r>
      <w:r w:rsidR="003D1FE2" w:rsidRPr="00E314D2">
        <w:rPr>
          <w:rFonts w:ascii="Arial" w:hAnsi="Arial" w:cs="Arial"/>
          <w:b/>
          <w:sz w:val="24"/>
          <w:szCs w:val="24"/>
        </w:rPr>
        <w:t>51</w:t>
      </w:r>
      <w:r w:rsidR="00E314D2" w:rsidRPr="00E314D2">
        <w:rPr>
          <w:rFonts w:ascii="Arial" w:hAnsi="Arial" w:cs="Arial"/>
          <w:b/>
          <w:sz w:val="24"/>
          <w:szCs w:val="24"/>
        </w:rPr>
        <w:t>.44</w:t>
      </w:r>
      <w:r w:rsidR="003D1FE2" w:rsidRPr="00E314D2">
        <w:rPr>
          <w:rFonts w:ascii="Arial" w:hAnsi="Arial" w:cs="Arial"/>
          <w:b/>
          <w:sz w:val="24"/>
          <w:szCs w:val="24"/>
        </w:rPr>
        <w:t xml:space="preserve">% </w:t>
      </w:r>
      <w:r w:rsidR="003D1FE2">
        <w:rPr>
          <w:rFonts w:ascii="Arial" w:hAnsi="Arial" w:cs="Arial"/>
          <w:sz w:val="24"/>
          <w:szCs w:val="24"/>
        </w:rPr>
        <w:t>de los ingresos no T</w:t>
      </w:r>
      <w:r w:rsidRPr="009F4BEB">
        <w:rPr>
          <w:rFonts w:ascii="Arial" w:hAnsi="Arial" w:cs="Arial"/>
          <w:sz w:val="24"/>
          <w:szCs w:val="24"/>
        </w:rPr>
        <w:t xml:space="preserve">ributarios y un </w:t>
      </w:r>
      <w:r w:rsidR="003D1FE2">
        <w:rPr>
          <w:rFonts w:ascii="Arial" w:hAnsi="Arial" w:cs="Arial"/>
          <w:sz w:val="24"/>
          <w:szCs w:val="24"/>
        </w:rPr>
        <w:t>9.3% de los ingresos corrientes.</w:t>
      </w:r>
      <w:r w:rsidRPr="009F4BEB">
        <w:rPr>
          <w:rFonts w:ascii="Arial" w:hAnsi="Arial" w:cs="Arial"/>
          <w:sz w:val="24"/>
          <w:szCs w:val="24"/>
        </w:rPr>
        <w:t xml:space="preserve"> </w:t>
      </w:r>
    </w:p>
    <w:p w:rsidR="00DB7DE2" w:rsidRPr="009F4BEB" w:rsidRDefault="00DB7DE2" w:rsidP="009F4BEB">
      <w:pPr>
        <w:pStyle w:val="Prrafodelista"/>
        <w:widowControl w:val="0"/>
        <w:numPr>
          <w:ilvl w:val="0"/>
          <w:numId w:val="25"/>
        </w:numPr>
        <w:tabs>
          <w:tab w:val="left" w:pos="284"/>
        </w:tabs>
        <w:autoSpaceDE w:val="0"/>
        <w:autoSpaceDN w:val="0"/>
        <w:adjustRightInd w:val="0"/>
        <w:spacing w:before="100" w:beforeAutospacing="1" w:after="0" w:line="360" w:lineRule="auto"/>
        <w:ind w:left="0" w:hanging="11"/>
        <w:jc w:val="both"/>
        <w:rPr>
          <w:rFonts w:ascii="Arial" w:hAnsi="Arial" w:cs="Arial"/>
          <w:b/>
          <w:sz w:val="24"/>
          <w:szCs w:val="24"/>
        </w:rPr>
      </w:pPr>
      <w:r w:rsidRPr="009F4BEB">
        <w:rPr>
          <w:rFonts w:ascii="Arial" w:hAnsi="Arial" w:cs="Arial"/>
          <w:b/>
          <w:sz w:val="24"/>
          <w:szCs w:val="24"/>
        </w:rPr>
        <w:t>Las tasas</w:t>
      </w:r>
      <w:r w:rsidRPr="009F4BEB">
        <w:rPr>
          <w:rFonts w:ascii="Arial" w:hAnsi="Arial" w:cs="Arial"/>
          <w:sz w:val="24"/>
          <w:szCs w:val="24"/>
        </w:rPr>
        <w:t xml:space="preserve">: Este rubro tuvo una ejecución del 38% y representa el </w:t>
      </w:r>
      <w:r w:rsidRPr="00E314D2">
        <w:rPr>
          <w:rFonts w:ascii="Arial" w:hAnsi="Arial" w:cs="Arial"/>
          <w:b/>
          <w:sz w:val="24"/>
          <w:szCs w:val="24"/>
        </w:rPr>
        <w:t>0.46%</w:t>
      </w:r>
      <w:r w:rsidRPr="009F4BEB">
        <w:rPr>
          <w:rFonts w:ascii="Arial" w:hAnsi="Arial" w:cs="Arial"/>
          <w:sz w:val="24"/>
          <w:szCs w:val="24"/>
        </w:rPr>
        <w:t xml:space="preserve"> de los ingresos no </w:t>
      </w:r>
      <w:r w:rsidR="00CC0769" w:rsidRPr="009F4BEB">
        <w:rPr>
          <w:rFonts w:ascii="Arial" w:hAnsi="Arial" w:cs="Arial"/>
          <w:sz w:val="24"/>
          <w:szCs w:val="24"/>
        </w:rPr>
        <w:t>tributarios</w:t>
      </w:r>
      <w:r w:rsidRPr="009F4BEB">
        <w:rPr>
          <w:rFonts w:ascii="Arial" w:hAnsi="Arial" w:cs="Arial"/>
          <w:sz w:val="24"/>
          <w:szCs w:val="24"/>
        </w:rPr>
        <w:t xml:space="preserve"> </w:t>
      </w:r>
      <w:r w:rsidR="007806EB">
        <w:rPr>
          <w:rFonts w:ascii="Arial" w:hAnsi="Arial" w:cs="Arial"/>
          <w:sz w:val="24"/>
          <w:szCs w:val="24"/>
        </w:rPr>
        <w:t xml:space="preserve">y el 0.08% de los corrientes </w:t>
      </w:r>
    </w:p>
    <w:p w:rsidR="00A6656A" w:rsidRPr="009F4BEB" w:rsidRDefault="00DB7DE2" w:rsidP="009F4BEB">
      <w:pPr>
        <w:pStyle w:val="Prrafodelista"/>
        <w:widowControl w:val="0"/>
        <w:numPr>
          <w:ilvl w:val="0"/>
          <w:numId w:val="25"/>
        </w:numPr>
        <w:tabs>
          <w:tab w:val="left" w:pos="142"/>
        </w:tabs>
        <w:autoSpaceDE w:val="0"/>
        <w:autoSpaceDN w:val="0"/>
        <w:adjustRightInd w:val="0"/>
        <w:spacing w:before="100" w:beforeAutospacing="1" w:after="0" w:line="360" w:lineRule="auto"/>
        <w:ind w:left="0" w:hanging="11"/>
        <w:jc w:val="both"/>
        <w:rPr>
          <w:rFonts w:ascii="Arial" w:hAnsi="Arial" w:cs="Arial"/>
          <w:sz w:val="24"/>
          <w:szCs w:val="24"/>
        </w:rPr>
      </w:pPr>
      <w:r w:rsidRPr="009F4BEB">
        <w:rPr>
          <w:rFonts w:ascii="Arial" w:hAnsi="Arial" w:cs="Arial"/>
          <w:b/>
          <w:sz w:val="24"/>
          <w:szCs w:val="24"/>
        </w:rPr>
        <w:t>M</w:t>
      </w:r>
      <w:r w:rsidR="00A6656A" w:rsidRPr="009F4BEB">
        <w:rPr>
          <w:rFonts w:ascii="Arial" w:hAnsi="Arial" w:cs="Arial"/>
          <w:b/>
          <w:sz w:val="24"/>
          <w:szCs w:val="24"/>
        </w:rPr>
        <w:t xml:space="preserve">ultas y </w:t>
      </w:r>
      <w:r w:rsidRPr="009F4BEB">
        <w:rPr>
          <w:rFonts w:ascii="Arial" w:hAnsi="Arial" w:cs="Arial"/>
          <w:b/>
          <w:sz w:val="24"/>
          <w:szCs w:val="24"/>
        </w:rPr>
        <w:t>Sanciones</w:t>
      </w:r>
      <w:r w:rsidR="00A6656A" w:rsidRPr="009F4BEB">
        <w:rPr>
          <w:rFonts w:ascii="Arial" w:hAnsi="Arial" w:cs="Arial"/>
          <w:b/>
          <w:sz w:val="24"/>
          <w:szCs w:val="24"/>
        </w:rPr>
        <w:t xml:space="preserve">  </w:t>
      </w:r>
      <w:r w:rsidR="00A6656A" w:rsidRPr="009F4BEB">
        <w:rPr>
          <w:rFonts w:ascii="Arial" w:hAnsi="Arial" w:cs="Arial"/>
          <w:sz w:val="24"/>
          <w:szCs w:val="24"/>
        </w:rPr>
        <w:t>Le permitió</w:t>
      </w:r>
      <w:r w:rsidRPr="009F4BEB">
        <w:rPr>
          <w:rFonts w:ascii="Arial" w:hAnsi="Arial" w:cs="Arial"/>
          <w:sz w:val="24"/>
          <w:szCs w:val="24"/>
        </w:rPr>
        <w:t xml:space="preserve"> al departamento recaudar $1.023</w:t>
      </w:r>
      <w:r w:rsidR="00A6656A" w:rsidRPr="009F4BEB">
        <w:rPr>
          <w:rFonts w:ascii="Arial" w:hAnsi="Arial" w:cs="Arial"/>
          <w:sz w:val="24"/>
          <w:szCs w:val="24"/>
        </w:rPr>
        <w:t xml:space="preserve"> millones de los $</w:t>
      </w:r>
      <w:r w:rsidRPr="009F4BEB">
        <w:rPr>
          <w:rFonts w:ascii="Arial" w:hAnsi="Arial" w:cs="Arial"/>
          <w:sz w:val="24"/>
          <w:szCs w:val="24"/>
        </w:rPr>
        <w:t>677</w:t>
      </w:r>
      <w:r w:rsidR="00A6656A" w:rsidRPr="009F4BEB">
        <w:rPr>
          <w:rFonts w:ascii="Arial" w:hAnsi="Arial" w:cs="Arial"/>
          <w:sz w:val="24"/>
          <w:szCs w:val="24"/>
        </w:rPr>
        <w:t xml:space="preserve"> </w:t>
      </w:r>
      <w:r w:rsidRPr="009F4BEB">
        <w:rPr>
          <w:rFonts w:ascii="Arial" w:hAnsi="Arial" w:cs="Arial"/>
          <w:sz w:val="24"/>
          <w:szCs w:val="24"/>
        </w:rPr>
        <w:t>con una ejecución del 151%</w:t>
      </w:r>
      <w:r w:rsidR="00A6656A" w:rsidRPr="009F4BEB">
        <w:rPr>
          <w:rFonts w:ascii="Arial" w:hAnsi="Arial" w:cs="Arial"/>
          <w:sz w:val="24"/>
          <w:szCs w:val="24"/>
        </w:rPr>
        <w:t xml:space="preserve">  </w:t>
      </w:r>
      <w:r w:rsidR="007806EB">
        <w:rPr>
          <w:rFonts w:ascii="Arial" w:hAnsi="Arial" w:cs="Arial"/>
          <w:sz w:val="24"/>
          <w:szCs w:val="24"/>
        </w:rPr>
        <w:t xml:space="preserve">y una participación del </w:t>
      </w:r>
      <w:r w:rsidR="007806EB" w:rsidRPr="00E314D2">
        <w:rPr>
          <w:rFonts w:ascii="Arial" w:hAnsi="Arial" w:cs="Arial"/>
          <w:b/>
          <w:sz w:val="24"/>
          <w:szCs w:val="24"/>
        </w:rPr>
        <w:t>5</w:t>
      </w:r>
      <w:r w:rsidR="00E314D2">
        <w:rPr>
          <w:rFonts w:ascii="Arial" w:hAnsi="Arial" w:cs="Arial"/>
          <w:b/>
          <w:sz w:val="24"/>
          <w:szCs w:val="24"/>
        </w:rPr>
        <w:t>.3</w:t>
      </w:r>
      <w:r w:rsidR="007806EB" w:rsidRPr="00E314D2">
        <w:rPr>
          <w:rFonts w:ascii="Arial" w:hAnsi="Arial" w:cs="Arial"/>
          <w:b/>
          <w:sz w:val="24"/>
          <w:szCs w:val="24"/>
        </w:rPr>
        <w:t>%</w:t>
      </w:r>
      <w:r w:rsidR="007806EB">
        <w:rPr>
          <w:rFonts w:ascii="Arial" w:hAnsi="Arial" w:cs="Arial"/>
          <w:sz w:val="24"/>
          <w:szCs w:val="24"/>
        </w:rPr>
        <w:t xml:space="preserve"> de los no tributarios y </w:t>
      </w:r>
      <w:r w:rsidR="007806EB" w:rsidRPr="00BA5F6F">
        <w:rPr>
          <w:rFonts w:ascii="Arial" w:hAnsi="Arial" w:cs="Arial"/>
          <w:b/>
          <w:sz w:val="24"/>
          <w:szCs w:val="24"/>
        </w:rPr>
        <w:t>0.9%</w:t>
      </w:r>
      <w:r w:rsidR="007806EB">
        <w:rPr>
          <w:rFonts w:ascii="Arial" w:hAnsi="Arial" w:cs="Arial"/>
          <w:sz w:val="24"/>
          <w:szCs w:val="24"/>
        </w:rPr>
        <w:t xml:space="preserve"> de los ingresos corrientes.</w:t>
      </w:r>
    </w:p>
    <w:p w:rsidR="00CC0769" w:rsidRPr="00630CB8" w:rsidRDefault="00CC0769" w:rsidP="00630CB8">
      <w:pPr>
        <w:pStyle w:val="Prrafodelista"/>
        <w:widowControl w:val="0"/>
        <w:numPr>
          <w:ilvl w:val="0"/>
          <w:numId w:val="25"/>
        </w:numPr>
        <w:tabs>
          <w:tab w:val="left" w:pos="142"/>
        </w:tabs>
        <w:autoSpaceDE w:val="0"/>
        <w:autoSpaceDN w:val="0"/>
        <w:adjustRightInd w:val="0"/>
        <w:spacing w:before="100" w:beforeAutospacing="1" w:after="0" w:line="360" w:lineRule="auto"/>
        <w:ind w:left="0" w:hanging="11"/>
        <w:jc w:val="both"/>
        <w:rPr>
          <w:rFonts w:ascii="Arial" w:hAnsi="Arial" w:cs="Arial"/>
          <w:sz w:val="24"/>
          <w:szCs w:val="24"/>
        </w:rPr>
      </w:pPr>
      <w:r w:rsidRPr="00630CB8">
        <w:rPr>
          <w:rFonts w:ascii="Arial" w:hAnsi="Arial" w:cs="Arial"/>
          <w:b/>
          <w:sz w:val="24"/>
          <w:szCs w:val="24"/>
        </w:rPr>
        <w:t>Las T</w:t>
      </w:r>
      <w:r w:rsidR="00A6656A" w:rsidRPr="00630CB8">
        <w:rPr>
          <w:rFonts w:ascii="Arial" w:hAnsi="Arial" w:cs="Arial"/>
          <w:b/>
          <w:sz w:val="24"/>
          <w:szCs w:val="24"/>
        </w:rPr>
        <w:t xml:space="preserve">ransferencias </w:t>
      </w:r>
      <w:r w:rsidRPr="00630CB8">
        <w:rPr>
          <w:rFonts w:ascii="Arial" w:hAnsi="Arial" w:cs="Arial"/>
          <w:b/>
          <w:sz w:val="24"/>
          <w:szCs w:val="24"/>
        </w:rPr>
        <w:t xml:space="preserve">Corrientes </w:t>
      </w:r>
      <w:r w:rsidR="00A6656A" w:rsidRPr="00630CB8">
        <w:rPr>
          <w:rFonts w:ascii="Arial" w:hAnsi="Arial" w:cs="Arial"/>
          <w:sz w:val="24"/>
          <w:szCs w:val="24"/>
        </w:rPr>
        <w:t xml:space="preserve"> Las transferencias corrientes ascendieron a $3.580 de los $3.579 millones presupuestados </w:t>
      </w:r>
      <w:r w:rsidR="00630CB8" w:rsidRPr="00630CB8">
        <w:rPr>
          <w:rFonts w:ascii="Arial" w:hAnsi="Arial" w:cs="Arial"/>
          <w:sz w:val="24"/>
          <w:szCs w:val="24"/>
        </w:rPr>
        <w:t xml:space="preserve">alcanzando un 100% de ejecución. Tuvo una participación del </w:t>
      </w:r>
      <w:r w:rsidR="00E314D2" w:rsidRPr="00E314D2">
        <w:rPr>
          <w:rFonts w:ascii="Arial" w:hAnsi="Arial" w:cs="Arial"/>
          <w:b/>
          <w:sz w:val="24"/>
          <w:szCs w:val="24"/>
        </w:rPr>
        <w:t>18.7</w:t>
      </w:r>
      <w:r w:rsidR="00630CB8" w:rsidRPr="00E314D2">
        <w:rPr>
          <w:rFonts w:ascii="Arial" w:hAnsi="Arial" w:cs="Arial"/>
          <w:b/>
          <w:sz w:val="24"/>
          <w:szCs w:val="24"/>
        </w:rPr>
        <w:t>%</w:t>
      </w:r>
      <w:r w:rsidR="00630CB8" w:rsidRPr="00630CB8">
        <w:rPr>
          <w:rFonts w:ascii="Arial" w:hAnsi="Arial" w:cs="Arial"/>
          <w:sz w:val="24"/>
          <w:szCs w:val="24"/>
        </w:rPr>
        <w:t xml:space="preserve"> sobre los ingresos no tributaros y un </w:t>
      </w:r>
      <w:r w:rsidR="00630CB8" w:rsidRPr="00BA5F6F">
        <w:rPr>
          <w:rFonts w:ascii="Arial" w:hAnsi="Arial" w:cs="Arial"/>
          <w:b/>
          <w:sz w:val="24"/>
          <w:szCs w:val="24"/>
        </w:rPr>
        <w:t>3</w:t>
      </w:r>
      <w:r w:rsidR="00BA5F6F" w:rsidRPr="00BA5F6F">
        <w:rPr>
          <w:rFonts w:ascii="Arial" w:hAnsi="Arial" w:cs="Arial"/>
          <w:b/>
          <w:sz w:val="24"/>
          <w:szCs w:val="24"/>
        </w:rPr>
        <w:t>.3</w:t>
      </w:r>
      <w:r w:rsidR="00630CB8" w:rsidRPr="00BA5F6F">
        <w:rPr>
          <w:rFonts w:ascii="Arial" w:hAnsi="Arial" w:cs="Arial"/>
          <w:b/>
          <w:sz w:val="24"/>
          <w:szCs w:val="24"/>
        </w:rPr>
        <w:t>%</w:t>
      </w:r>
      <w:r w:rsidR="00630CB8" w:rsidRPr="00630CB8">
        <w:rPr>
          <w:rFonts w:ascii="Arial" w:hAnsi="Arial" w:cs="Arial"/>
          <w:sz w:val="24"/>
          <w:szCs w:val="24"/>
        </w:rPr>
        <w:t xml:space="preserve"> de los corrientes</w:t>
      </w:r>
    </w:p>
    <w:p w:rsidR="00630CB8" w:rsidRDefault="003D1FE2" w:rsidP="009F4BEB">
      <w:pPr>
        <w:pStyle w:val="Prrafodelista"/>
        <w:widowControl w:val="0"/>
        <w:numPr>
          <w:ilvl w:val="0"/>
          <w:numId w:val="25"/>
        </w:numPr>
        <w:tabs>
          <w:tab w:val="left" w:pos="142"/>
        </w:tabs>
        <w:autoSpaceDE w:val="0"/>
        <w:autoSpaceDN w:val="0"/>
        <w:adjustRightInd w:val="0"/>
        <w:spacing w:before="100" w:beforeAutospacing="1" w:after="0" w:line="360" w:lineRule="auto"/>
        <w:ind w:left="0" w:hanging="11"/>
        <w:jc w:val="both"/>
        <w:rPr>
          <w:rFonts w:ascii="Arial" w:hAnsi="Arial" w:cs="Arial"/>
          <w:sz w:val="24"/>
          <w:szCs w:val="24"/>
        </w:rPr>
      </w:pPr>
      <w:r w:rsidRPr="00630CB8">
        <w:rPr>
          <w:rFonts w:ascii="Arial" w:hAnsi="Arial" w:cs="Arial"/>
          <w:b/>
          <w:sz w:val="24"/>
          <w:szCs w:val="24"/>
        </w:rPr>
        <w:t xml:space="preserve">LAS TRANSFERENCIAS DE </w:t>
      </w:r>
      <w:r w:rsidR="00630CB8" w:rsidRPr="00630CB8">
        <w:rPr>
          <w:rFonts w:ascii="Arial" w:hAnsi="Arial" w:cs="Arial"/>
          <w:b/>
          <w:sz w:val="24"/>
          <w:szCs w:val="24"/>
        </w:rPr>
        <w:t>CAPITAL</w:t>
      </w:r>
      <w:r w:rsidR="00630CB8" w:rsidRPr="00630CB8">
        <w:rPr>
          <w:rFonts w:ascii="Arial" w:hAnsi="Arial" w:cs="Arial"/>
          <w:sz w:val="24"/>
          <w:szCs w:val="24"/>
        </w:rPr>
        <w:t xml:space="preserve">: Participan en un </w:t>
      </w:r>
      <w:r w:rsidR="00630CB8" w:rsidRPr="00E314D2">
        <w:rPr>
          <w:rFonts w:ascii="Arial" w:hAnsi="Arial" w:cs="Arial"/>
          <w:b/>
          <w:sz w:val="24"/>
          <w:szCs w:val="24"/>
        </w:rPr>
        <w:t>1</w:t>
      </w:r>
      <w:r w:rsidR="00E314D2" w:rsidRPr="00E314D2">
        <w:rPr>
          <w:rFonts w:ascii="Arial" w:hAnsi="Arial" w:cs="Arial"/>
          <w:b/>
          <w:sz w:val="24"/>
          <w:szCs w:val="24"/>
        </w:rPr>
        <w:t>8.7</w:t>
      </w:r>
      <w:r w:rsidR="00630CB8" w:rsidRPr="00E314D2">
        <w:rPr>
          <w:rFonts w:ascii="Arial" w:hAnsi="Arial" w:cs="Arial"/>
          <w:b/>
          <w:sz w:val="24"/>
          <w:szCs w:val="24"/>
        </w:rPr>
        <w:t>%</w:t>
      </w:r>
      <w:r w:rsidR="00630CB8" w:rsidRPr="00630CB8">
        <w:rPr>
          <w:rFonts w:ascii="Arial" w:hAnsi="Arial" w:cs="Arial"/>
          <w:sz w:val="24"/>
          <w:szCs w:val="24"/>
        </w:rPr>
        <w:t xml:space="preserve"> dentro de los No tributarios y en un </w:t>
      </w:r>
      <w:r w:rsidR="00630CB8" w:rsidRPr="00BA5F6F">
        <w:rPr>
          <w:rFonts w:ascii="Arial" w:hAnsi="Arial" w:cs="Arial"/>
          <w:b/>
          <w:sz w:val="24"/>
          <w:szCs w:val="24"/>
        </w:rPr>
        <w:t>3.4%</w:t>
      </w:r>
      <w:r w:rsidR="00630CB8" w:rsidRPr="00630CB8">
        <w:rPr>
          <w:rFonts w:ascii="Arial" w:hAnsi="Arial" w:cs="Arial"/>
          <w:sz w:val="24"/>
          <w:szCs w:val="24"/>
        </w:rPr>
        <w:t xml:space="preserve"> sobre los Ingresos Corrientes.</w:t>
      </w:r>
    </w:p>
    <w:p w:rsidR="003D1FE2" w:rsidRPr="00630CB8" w:rsidRDefault="003D1FE2" w:rsidP="009F4BEB">
      <w:pPr>
        <w:pStyle w:val="Prrafodelista"/>
        <w:widowControl w:val="0"/>
        <w:numPr>
          <w:ilvl w:val="0"/>
          <w:numId w:val="25"/>
        </w:numPr>
        <w:tabs>
          <w:tab w:val="left" w:pos="142"/>
        </w:tabs>
        <w:autoSpaceDE w:val="0"/>
        <w:autoSpaceDN w:val="0"/>
        <w:adjustRightInd w:val="0"/>
        <w:spacing w:before="100" w:beforeAutospacing="1" w:after="0" w:line="360" w:lineRule="auto"/>
        <w:ind w:left="0" w:hanging="11"/>
        <w:jc w:val="both"/>
        <w:rPr>
          <w:rFonts w:ascii="Arial" w:hAnsi="Arial" w:cs="Arial"/>
          <w:sz w:val="24"/>
          <w:szCs w:val="24"/>
        </w:rPr>
      </w:pPr>
      <w:r w:rsidRPr="00630CB8">
        <w:rPr>
          <w:rFonts w:ascii="Arial" w:hAnsi="Arial" w:cs="Arial"/>
          <w:b/>
          <w:sz w:val="24"/>
          <w:szCs w:val="24"/>
        </w:rPr>
        <w:t xml:space="preserve">OTROS INGRESOS NO TRIBUTARIOS: </w:t>
      </w:r>
      <w:r w:rsidR="00630CB8" w:rsidRPr="00630CB8">
        <w:rPr>
          <w:rFonts w:ascii="Arial" w:hAnsi="Arial" w:cs="Arial"/>
          <w:sz w:val="24"/>
          <w:szCs w:val="24"/>
        </w:rPr>
        <w:t xml:space="preserve">Participan en un </w:t>
      </w:r>
      <w:r w:rsidR="00630CB8" w:rsidRPr="00E314D2">
        <w:rPr>
          <w:rFonts w:ascii="Arial" w:hAnsi="Arial" w:cs="Arial"/>
          <w:b/>
          <w:sz w:val="24"/>
          <w:szCs w:val="24"/>
        </w:rPr>
        <w:t>5</w:t>
      </w:r>
      <w:r w:rsidR="00E314D2" w:rsidRPr="00E314D2">
        <w:rPr>
          <w:rFonts w:ascii="Arial" w:hAnsi="Arial" w:cs="Arial"/>
          <w:b/>
          <w:sz w:val="24"/>
          <w:szCs w:val="24"/>
        </w:rPr>
        <w:t>.46</w:t>
      </w:r>
      <w:r w:rsidR="00630CB8" w:rsidRPr="00E314D2">
        <w:rPr>
          <w:rFonts w:ascii="Arial" w:hAnsi="Arial" w:cs="Arial"/>
          <w:b/>
          <w:sz w:val="24"/>
          <w:szCs w:val="24"/>
        </w:rPr>
        <w:t>%</w:t>
      </w:r>
      <w:r w:rsidR="00630CB8" w:rsidRPr="00630CB8">
        <w:rPr>
          <w:rFonts w:ascii="Arial" w:hAnsi="Arial" w:cs="Arial"/>
          <w:sz w:val="24"/>
          <w:szCs w:val="24"/>
        </w:rPr>
        <w:t xml:space="preserve"> dentro de los No tributarios y en un 1% sobre los Ingresos Corrientes.</w:t>
      </w:r>
    </w:p>
    <w:p w:rsidR="00DA481D" w:rsidRPr="00DA481D" w:rsidRDefault="00E930E2" w:rsidP="00DA481D">
      <w:pPr>
        <w:widowControl w:val="0"/>
        <w:autoSpaceDE w:val="0"/>
        <w:autoSpaceDN w:val="0"/>
        <w:adjustRightInd w:val="0"/>
        <w:spacing w:before="100" w:beforeAutospacing="1" w:after="0" w:line="360" w:lineRule="auto"/>
        <w:jc w:val="both"/>
        <w:rPr>
          <w:rFonts w:ascii="Arial" w:hAnsi="Arial" w:cs="Arial"/>
          <w:sz w:val="24"/>
          <w:szCs w:val="24"/>
        </w:rPr>
      </w:pPr>
      <w:r>
        <w:rPr>
          <w:rFonts w:ascii="Arial" w:hAnsi="Arial" w:cs="Arial"/>
          <w:sz w:val="24"/>
          <w:szCs w:val="24"/>
        </w:rPr>
        <w:t>Los R</w:t>
      </w:r>
      <w:r w:rsidR="00A6656A" w:rsidRPr="00520A64">
        <w:rPr>
          <w:rFonts w:ascii="Arial" w:hAnsi="Arial" w:cs="Arial"/>
          <w:sz w:val="24"/>
          <w:szCs w:val="24"/>
        </w:rPr>
        <w:t>ecursos por transferencias se componen por las asignaciones del Sistema Gen</w:t>
      </w:r>
      <w:r w:rsidR="00DA481D">
        <w:rPr>
          <w:rFonts w:ascii="Arial" w:hAnsi="Arial" w:cs="Arial"/>
          <w:sz w:val="24"/>
          <w:szCs w:val="24"/>
        </w:rPr>
        <w:t xml:space="preserve">eral de Participaciones (SGP), </w:t>
      </w:r>
      <w:r w:rsidR="00A6656A" w:rsidRPr="00520A64">
        <w:rPr>
          <w:rFonts w:ascii="Arial" w:hAnsi="Arial" w:cs="Arial"/>
          <w:sz w:val="24"/>
          <w:szCs w:val="24"/>
        </w:rPr>
        <w:t>salud y educación y medio ambiente con una representación que se conforma, distribuye y ejecuta de acuerdo a criterios definidos en los Actos legislativos No. 1 de 2001 4 de 2007, la Ley 715 de 2001, Ley 1176 de 2007 y Ley 1122 de 2007.</w:t>
      </w:r>
    </w:p>
    <w:p w:rsidR="00A6656A" w:rsidRPr="0039575A" w:rsidRDefault="003065B8" w:rsidP="003065B8">
      <w:pPr>
        <w:pStyle w:val="Ttulo4"/>
      </w:pPr>
      <w:r>
        <w:lastRenderedPageBreak/>
        <w:t xml:space="preserve">3.1.1.3 </w:t>
      </w:r>
      <w:r w:rsidR="00A6656A" w:rsidRPr="0039575A">
        <w:t>Fondos Especiales</w:t>
      </w:r>
    </w:p>
    <w:p w:rsidR="00A6656A" w:rsidRPr="0039575A" w:rsidRDefault="00A6656A" w:rsidP="006E45D8">
      <w:pPr>
        <w:spacing w:before="100" w:beforeAutospacing="1" w:after="0" w:line="360" w:lineRule="auto"/>
        <w:jc w:val="both"/>
        <w:rPr>
          <w:rFonts w:ascii="Arial" w:hAnsi="Arial" w:cs="Arial"/>
          <w:sz w:val="24"/>
          <w:szCs w:val="24"/>
          <w:lang w:val="es-ES" w:eastAsia="es-ES"/>
        </w:rPr>
      </w:pPr>
      <w:r w:rsidRPr="0039575A">
        <w:rPr>
          <w:rFonts w:ascii="Arial" w:hAnsi="Arial" w:cs="Arial"/>
          <w:sz w:val="24"/>
          <w:szCs w:val="24"/>
          <w:lang w:val="es-ES" w:eastAsia="es-ES"/>
        </w:rPr>
        <w:t>Son ingresos establecidos por la Ley para la prestación de un servicio público específico, artículo 30 del Decreto 111 de 1996.  El Departamento del Quindío cuenta con rubros correspondientes a fondos especiales como son:</w:t>
      </w:r>
    </w:p>
    <w:p w:rsidR="00A6656A" w:rsidRPr="0039575A" w:rsidRDefault="001E18D0" w:rsidP="006E45D8">
      <w:pPr>
        <w:tabs>
          <w:tab w:val="left" w:pos="1202"/>
        </w:tabs>
        <w:spacing w:before="100" w:beforeAutospacing="1" w:after="0" w:line="360" w:lineRule="auto"/>
        <w:jc w:val="both"/>
        <w:rPr>
          <w:rFonts w:ascii="Arial" w:hAnsi="Arial" w:cs="Arial"/>
          <w:sz w:val="24"/>
          <w:szCs w:val="24"/>
          <w:lang w:val="es-ES" w:eastAsia="es-ES"/>
        </w:rPr>
      </w:pPr>
      <w:r w:rsidRPr="001E18D0">
        <w:rPr>
          <w:noProof/>
          <w:lang w:eastAsia="es-CO"/>
        </w:rPr>
        <w:drawing>
          <wp:inline distT="0" distB="0" distL="0" distR="0" wp14:anchorId="4730A7FC" wp14:editId="30A94D55">
            <wp:extent cx="5603334" cy="231457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3400" cy="2318733"/>
                    </a:xfrm>
                    <a:prstGeom prst="rect">
                      <a:avLst/>
                    </a:prstGeom>
                    <a:noFill/>
                    <a:ln>
                      <a:noFill/>
                    </a:ln>
                  </pic:spPr>
                </pic:pic>
              </a:graphicData>
            </a:graphic>
          </wp:inline>
        </w:drawing>
      </w:r>
    </w:p>
    <w:p w:rsidR="00A6656A" w:rsidRPr="0039575A" w:rsidRDefault="00C76512" w:rsidP="005C7707">
      <w:pPr>
        <w:spacing w:before="100" w:beforeAutospacing="1" w:after="0" w:line="360" w:lineRule="auto"/>
        <w:jc w:val="both"/>
        <w:rPr>
          <w:rFonts w:ascii="Arial" w:hAnsi="Arial" w:cs="Arial"/>
          <w:sz w:val="24"/>
          <w:szCs w:val="24"/>
          <w:lang w:val="es-ES" w:eastAsia="es-ES"/>
        </w:rPr>
      </w:pPr>
      <w:r>
        <w:rPr>
          <w:rFonts w:ascii="Arial" w:hAnsi="Arial" w:cs="Arial"/>
          <w:b/>
          <w:sz w:val="24"/>
          <w:szCs w:val="24"/>
          <w:lang w:val="es-ES" w:eastAsia="es-ES"/>
        </w:rPr>
        <w:t>Fondo de</w:t>
      </w:r>
      <w:r w:rsidR="00AC18B7">
        <w:rPr>
          <w:rFonts w:ascii="Arial" w:hAnsi="Arial" w:cs="Arial"/>
          <w:b/>
          <w:sz w:val="24"/>
          <w:szCs w:val="24"/>
          <w:lang w:val="es-ES" w:eastAsia="es-ES"/>
        </w:rPr>
        <w:t xml:space="preserve"> Seguridad : </w:t>
      </w:r>
      <w:r w:rsidR="003E4CB0" w:rsidRPr="0039575A">
        <w:rPr>
          <w:rFonts w:ascii="Arial" w:hAnsi="Arial" w:cs="Arial"/>
          <w:sz w:val="24"/>
          <w:szCs w:val="24"/>
          <w:lang w:val="es-ES" w:eastAsia="es-ES"/>
        </w:rPr>
        <w:t>Funciona</w:t>
      </w:r>
      <w:r w:rsidR="00A6656A" w:rsidRPr="0039575A">
        <w:rPr>
          <w:rFonts w:ascii="Arial" w:hAnsi="Arial" w:cs="Arial"/>
          <w:sz w:val="24"/>
          <w:szCs w:val="24"/>
          <w:lang w:val="es-ES" w:eastAsia="es-ES"/>
        </w:rPr>
        <w:t xml:space="preserve"> como una cuenta especial sin personería jurídica administrada por el Ministerio del Interior y de Justicia como un sistema separado cuentas, cuyo objetivo realizar gastos destinados a garantizar la seguridad, convivencia ciudadana, la preservación del orden público y todas aquellas acciones tendientes a favorecer la gobernabilidad  local y el fortalecimiento  territorial.  Tuvo una ejecución en el 2016 del 209% de los $1.700 millones presupuestados se ejecutaron $3.551 millones y una participación del 2.05% del total de fondos especiales.</w:t>
      </w:r>
    </w:p>
    <w:p w:rsidR="00A6656A" w:rsidRPr="0039575A" w:rsidRDefault="00C76512" w:rsidP="006E45D8">
      <w:pPr>
        <w:spacing w:before="100" w:beforeAutospacing="1" w:after="0" w:line="360" w:lineRule="auto"/>
        <w:jc w:val="both"/>
        <w:rPr>
          <w:rFonts w:ascii="Arial" w:hAnsi="Arial" w:cs="Arial"/>
          <w:sz w:val="24"/>
          <w:szCs w:val="24"/>
          <w:lang w:val="es-ES" w:eastAsia="es-ES"/>
        </w:rPr>
      </w:pPr>
      <w:r>
        <w:rPr>
          <w:rFonts w:ascii="Arial" w:hAnsi="Arial" w:cs="Arial"/>
          <w:b/>
          <w:sz w:val="24"/>
          <w:szCs w:val="24"/>
          <w:lang w:val="es-ES" w:eastAsia="es-ES"/>
        </w:rPr>
        <w:t>Fondo de Agua potable y S</w:t>
      </w:r>
      <w:r w:rsidR="00A6656A" w:rsidRPr="0039575A">
        <w:rPr>
          <w:rFonts w:ascii="Arial" w:hAnsi="Arial" w:cs="Arial"/>
          <w:b/>
          <w:sz w:val="24"/>
          <w:szCs w:val="24"/>
          <w:lang w:val="es-ES" w:eastAsia="es-ES"/>
        </w:rPr>
        <w:t xml:space="preserve">aneamiento básico:   </w:t>
      </w:r>
      <w:r w:rsidR="00A6656A" w:rsidRPr="0039575A">
        <w:rPr>
          <w:rFonts w:ascii="Arial" w:hAnsi="Arial" w:cs="Arial"/>
          <w:sz w:val="24"/>
          <w:szCs w:val="24"/>
          <w:lang w:val="es-ES" w:eastAsia="es-ES"/>
        </w:rPr>
        <w:t>Se busca con el conocimiento de los profesionales y trabajo del gobierno departamental se le cumpla a la comunidad con el servicio de agua potable tanto a sectores rurales y urbanos en el departamento del Quindío.</w:t>
      </w:r>
    </w:p>
    <w:p w:rsidR="00A6656A" w:rsidRPr="0039575A" w:rsidRDefault="00840FDA" w:rsidP="006E45D8">
      <w:pPr>
        <w:spacing w:before="100" w:beforeAutospacing="1" w:after="0" w:line="360" w:lineRule="auto"/>
        <w:jc w:val="both"/>
        <w:rPr>
          <w:rFonts w:ascii="Arial" w:hAnsi="Arial" w:cs="Arial"/>
          <w:color w:val="3D3D3D"/>
          <w:sz w:val="24"/>
          <w:szCs w:val="24"/>
          <w:shd w:val="clear" w:color="auto" w:fill="FFFFFF"/>
        </w:rPr>
      </w:pPr>
      <w:r>
        <w:rPr>
          <w:rFonts w:ascii="Arial" w:hAnsi="Arial" w:cs="Arial"/>
          <w:color w:val="3D3D3D"/>
          <w:sz w:val="24"/>
          <w:szCs w:val="24"/>
          <w:shd w:val="clear" w:color="auto" w:fill="FFFFFF"/>
        </w:rPr>
        <w:t xml:space="preserve">La ejecución de los recursos recaudados a través de este fondo está dirigida a </w:t>
      </w:r>
      <w:r w:rsidR="00A6656A" w:rsidRPr="0039575A">
        <w:rPr>
          <w:rFonts w:ascii="Arial" w:hAnsi="Arial" w:cs="Arial"/>
          <w:color w:val="3D3D3D"/>
          <w:sz w:val="24"/>
          <w:szCs w:val="24"/>
          <w:shd w:val="clear" w:color="auto" w:fill="FFFFFF"/>
        </w:rPr>
        <w:t xml:space="preserve">la protección, trasformación y mejoramiento de las condiciones de la cuenca hídrica en cuanto a cubertura, restauración y demás acciones pertenecientes a la función </w:t>
      </w:r>
      <w:r w:rsidR="00A6656A" w:rsidRPr="0039575A">
        <w:rPr>
          <w:rFonts w:ascii="Arial" w:hAnsi="Arial" w:cs="Arial"/>
          <w:color w:val="3D3D3D"/>
          <w:sz w:val="24"/>
          <w:szCs w:val="24"/>
          <w:shd w:val="clear" w:color="auto" w:fill="FFFFFF"/>
        </w:rPr>
        <w:lastRenderedPageBreak/>
        <w:t>ambiental y sus servicios eco sistémicos involucrando para ellos al sector público y privado así como a todos y cada uno de los habitantes. Tuvo una ejecución del 100% de lo presupuestado. Se proyectaron $2.141 millones y se ejecutaron $2.141 millones y una participación sobre los fondos especiales del 1%.</w:t>
      </w:r>
    </w:p>
    <w:p w:rsidR="00A6656A" w:rsidRPr="0039575A" w:rsidRDefault="00C76512" w:rsidP="006E45D8">
      <w:pPr>
        <w:spacing w:before="100" w:beforeAutospacing="1" w:after="0" w:line="360" w:lineRule="auto"/>
        <w:jc w:val="both"/>
        <w:rPr>
          <w:rFonts w:ascii="Arial" w:hAnsi="Arial" w:cs="Arial"/>
          <w:sz w:val="24"/>
          <w:szCs w:val="24"/>
          <w:lang w:val="es-ES" w:eastAsia="es-ES"/>
        </w:rPr>
      </w:pPr>
      <w:r>
        <w:rPr>
          <w:rFonts w:ascii="Arial" w:hAnsi="Arial" w:cs="Arial"/>
          <w:b/>
          <w:sz w:val="24"/>
          <w:szCs w:val="24"/>
          <w:lang w:val="es-ES" w:eastAsia="es-ES"/>
        </w:rPr>
        <w:t>Fondo E</w:t>
      </w:r>
      <w:r w:rsidR="00A6656A" w:rsidRPr="0039575A">
        <w:rPr>
          <w:rFonts w:ascii="Arial" w:hAnsi="Arial" w:cs="Arial"/>
          <w:b/>
          <w:sz w:val="24"/>
          <w:szCs w:val="24"/>
          <w:lang w:val="es-ES" w:eastAsia="es-ES"/>
        </w:rPr>
        <w:t xml:space="preserve">ducativo </w:t>
      </w:r>
      <w:r>
        <w:rPr>
          <w:rFonts w:ascii="Arial" w:hAnsi="Arial" w:cs="Arial"/>
          <w:b/>
          <w:sz w:val="24"/>
          <w:szCs w:val="24"/>
          <w:lang w:val="es-ES" w:eastAsia="es-ES"/>
        </w:rPr>
        <w:t>D</w:t>
      </w:r>
      <w:r w:rsidR="00A6656A" w:rsidRPr="0039575A">
        <w:rPr>
          <w:rFonts w:ascii="Arial" w:hAnsi="Arial" w:cs="Arial"/>
          <w:b/>
          <w:sz w:val="24"/>
          <w:szCs w:val="24"/>
          <w:lang w:val="es-ES" w:eastAsia="es-ES"/>
        </w:rPr>
        <w:t>epartamental:</w:t>
      </w:r>
      <w:r w:rsidR="00A6656A" w:rsidRPr="0039575A">
        <w:rPr>
          <w:rFonts w:ascii="Arial" w:hAnsi="Arial" w:cs="Arial"/>
          <w:sz w:val="24"/>
          <w:szCs w:val="24"/>
          <w:lang w:val="es-ES" w:eastAsia="es-ES"/>
        </w:rPr>
        <w:t xml:space="preserve"> Se crea como un mecanismo de gestión presupuestal y ejecución de recursos para la adecuada administración de ingresos para atender gastos de funcionamiento e inversión distintos a los de personal.  El Departamento del Quindío tiene la competencia de administrar el servicio educativo garantizando su adecuada prestación en condiciones de cobertura, calidad y eficiencia.  Implica planificar, organizar,</w:t>
      </w:r>
      <w:r w:rsidR="00840FDA">
        <w:rPr>
          <w:rFonts w:ascii="Arial" w:hAnsi="Arial" w:cs="Arial"/>
          <w:sz w:val="24"/>
          <w:szCs w:val="24"/>
          <w:lang w:val="es-ES" w:eastAsia="es-ES"/>
        </w:rPr>
        <w:t xml:space="preserve"> coordinar, distribuir recursos</w:t>
      </w:r>
      <w:r w:rsidR="00A6656A" w:rsidRPr="0039575A">
        <w:rPr>
          <w:rFonts w:ascii="Arial" w:hAnsi="Arial" w:cs="Arial"/>
          <w:sz w:val="24"/>
          <w:szCs w:val="24"/>
          <w:lang w:val="es-ES" w:eastAsia="es-ES"/>
        </w:rPr>
        <w:t xml:space="preserve"> (humanos, técnicos, administrativos y financieros ejerciendo control para garantizar transparencia en el servicio ampliando la cobertura escolar de ser posible a un 100%.  Con una ejecución del 100% de lo</w:t>
      </w:r>
      <w:r w:rsidR="00840FDA">
        <w:rPr>
          <w:rFonts w:ascii="Arial" w:hAnsi="Arial" w:cs="Arial"/>
          <w:sz w:val="24"/>
          <w:szCs w:val="24"/>
          <w:lang w:val="es-ES" w:eastAsia="es-ES"/>
        </w:rPr>
        <w:t xml:space="preserve"> presupuestado. De los $121.689</w:t>
      </w:r>
      <w:r w:rsidR="00A6656A" w:rsidRPr="0039575A">
        <w:rPr>
          <w:rFonts w:ascii="Arial" w:hAnsi="Arial" w:cs="Arial"/>
          <w:sz w:val="24"/>
          <w:szCs w:val="24"/>
          <w:lang w:val="es-ES" w:eastAsia="es-ES"/>
        </w:rPr>
        <w:t>millones presupuestados se ejecutaron $121.790 millones y una participación del 70% de los fondos especiales.</w:t>
      </w:r>
    </w:p>
    <w:p w:rsidR="00A6656A" w:rsidRPr="0039575A" w:rsidRDefault="00C76512" w:rsidP="006E45D8">
      <w:pPr>
        <w:spacing w:before="100" w:beforeAutospacing="1" w:after="0" w:line="360" w:lineRule="auto"/>
        <w:jc w:val="both"/>
        <w:rPr>
          <w:rFonts w:ascii="Arial" w:hAnsi="Arial" w:cs="Arial"/>
          <w:sz w:val="24"/>
          <w:szCs w:val="24"/>
          <w:lang w:val="es-ES" w:eastAsia="es-ES"/>
        </w:rPr>
      </w:pPr>
      <w:r>
        <w:rPr>
          <w:rFonts w:ascii="Arial" w:hAnsi="Arial" w:cs="Arial"/>
          <w:b/>
          <w:sz w:val="24"/>
          <w:szCs w:val="24"/>
          <w:lang w:val="es-ES" w:eastAsia="es-ES"/>
        </w:rPr>
        <w:t>Fondo Departamental de S</w:t>
      </w:r>
      <w:r w:rsidR="00A6656A" w:rsidRPr="0039575A">
        <w:rPr>
          <w:rFonts w:ascii="Arial" w:hAnsi="Arial" w:cs="Arial"/>
          <w:b/>
          <w:sz w:val="24"/>
          <w:szCs w:val="24"/>
          <w:lang w:val="es-ES" w:eastAsia="es-ES"/>
        </w:rPr>
        <w:t>alud:</w:t>
      </w:r>
      <w:r w:rsidR="00A6656A" w:rsidRPr="0039575A">
        <w:rPr>
          <w:rFonts w:ascii="Arial" w:hAnsi="Arial" w:cs="Arial"/>
          <w:sz w:val="24"/>
          <w:szCs w:val="24"/>
          <w:lang w:val="es-ES" w:eastAsia="es-ES"/>
        </w:rPr>
        <w:t xml:space="preserve">   Este fondo facilita de manera eficiente y oportuna el recaudo, asignación, contabilización, administración y control para financiar la dirección y prestación de servicios de salud en </w:t>
      </w:r>
      <w:r w:rsidR="00840FDA">
        <w:rPr>
          <w:rFonts w:ascii="Arial" w:hAnsi="Arial" w:cs="Arial"/>
          <w:sz w:val="24"/>
          <w:szCs w:val="24"/>
          <w:lang w:val="es-ES" w:eastAsia="es-ES"/>
        </w:rPr>
        <w:t xml:space="preserve">el departamento de conformidad con los </w:t>
      </w:r>
      <w:r w:rsidR="00A6656A" w:rsidRPr="0039575A">
        <w:rPr>
          <w:rFonts w:ascii="Arial" w:hAnsi="Arial" w:cs="Arial"/>
          <w:sz w:val="24"/>
          <w:szCs w:val="24"/>
          <w:lang w:val="es-ES" w:eastAsia="es-ES"/>
        </w:rPr>
        <w:t>criterios de distribución establecidos en la Ley.</w:t>
      </w:r>
    </w:p>
    <w:p w:rsidR="00AE19F3" w:rsidRDefault="00840FDA" w:rsidP="006E45D8">
      <w:pPr>
        <w:spacing w:before="100" w:beforeAutospacing="1" w:after="0" w:line="360" w:lineRule="auto"/>
        <w:jc w:val="both"/>
        <w:rPr>
          <w:rFonts w:ascii="Arial" w:hAnsi="Arial" w:cs="Arial"/>
          <w:sz w:val="24"/>
          <w:szCs w:val="24"/>
        </w:rPr>
      </w:pPr>
      <w:r>
        <w:rPr>
          <w:rFonts w:ascii="Arial" w:hAnsi="Arial" w:cs="Arial"/>
          <w:sz w:val="24"/>
          <w:szCs w:val="24"/>
          <w:lang w:val="es-ES"/>
        </w:rPr>
        <w:t>E</w:t>
      </w:r>
      <w:r>
        <w:rPr>
          <w:rFonts w:ascii="Arial" w:hAnsi="Arial" w:cs="Arial"/>
          <w:sz w:val="24"/>
          <w:szCs w:val="24"/>
        </w:rPr>
        <w:t xml:space="preserve">l </w:t>
      </w:r>
      <w:r w:rsidR="00A6656A" w:rsidRPr="0039575A">
        <w:rPr>
          <w:rFonts w:ascii="Arial" w:hAnsi="Arial" w:cs="Arial"/>
          <w:sz w:val="24"/>
          <w:szCs w:val="24"/>
        </w:rPr>
        <w:t>Fondo Local de Salud tiene una participación en el total de ingresos de los Fondos Especia</w:t>
      </w:r>
      <w:r>
        <w:rPr>
          <w:rFonts w:ascii="Arial" w:hAnsi="Arial" w:cs="Arial"/>
          <w:sz w:val="24"/>
          <w:szCs w:val="24"/>
        </w:rPr>
        <w:t>les con un peso promedio de 27</w:t>
      </w:r>
      <w:r w:rsidR="00A6656A" w:rsidRPr="0039575A">
        <w:rPr>
          <w:rFonts w:ascii="Arial" w:hAnsi="Arial" w:cs="Arial"/>
          <w:sz w:val="24"/>
          <w:szCs w:val="24"/>
        </w:rPr>
        <w:t xml:space="preserve">%, en este fondo se registran los recursos del FOSYGA, SGP Régimen Subsidiado, COLJUEGOS y los recursos que transfiere para el sector salud el Departamento como rentas cedidas, con los cuales se financia la continuidad del régimen subsidiado en el Municipio. </w:t>
      </w:r>
    </w:p>
    <w:p w:rsidR="00AE19F3" w:rsidRDefault="00AE19F3" w:rsidP="0089747E">
      <w:pPr>
        <w:pStyle w:val="Ttulo4"/>
        <w:rPr>
          <w:lang w:val="es-ES" w:eastAsia="es-ES"/>
        </w:rPr>
      </w:pPr>
    </w:p>
    <w:p w:rsidR="0089747E" w:rsidRPr="0039575A" w:rsidRDefault="0089747E" w:rsidP="0089747E">
      <w:pPr>
        <w:pStyle w:val="Ttulo4"/>
        <w:rPr>
          <w:lang w:val="es-ES" w:eastAsia="es-ES"/>
        </w:rPr>
      </w:pPr>
      <w:r>
        <w:rPr>
          <w:lang w:val="es-ES" w:eastAsia="es-ES"/>
        </w:rPr>
        <w:t xml:space="preserve">3.1.1.4 Recursos de Capital </w:t>
      </w:r>
    </w:p>
    <w:p w:rsidR="00A6656A" w:rsidRPr="0039575A" w:rsidRDefault="003065B8" w:rsidP="006E45D8">
      <w:pPr>
        <w:widowControl w:val="0"/>
        <w:autoSpaceDE w:val="0"/>
        <w:autoSpaceDN w:val="0"/>
        <w:adjustRightInd w:val="0"/>
        <w:spacing w:before="100" w:beforeAutospacing="1" w:after="0" w:line="360" w:lineRule="auto"/>
        <w:jc w:val="both"/>
        <w:rPr>
          <w:rFonts w:ascii="Arial" w:hAnsi="Arial" w:cs="Arial"/>
          <w:sz w:val="24"/>
          <w:szCs w:val="24"/>
        </w:rPr>
      </w:pPr>
      <w:r>
        <w:rPr>
          <w:rFonts w:ascii="Arial" w:hAnsi="Arial" w:cs="Arial"/>
          <w:sz w:val="24"/>
          <w:szCs w:val="24"/>
        </w:rPr>
        <w:t>C</w:t>
      </w:r>
      <w:r w:rsidR="00A6656A" w:rsidRPr="0039575A">
        <w:rPr>
          <w:rFonts w:ascii="Arial" w:hAnsi="Arial" w:cs="Arial"/>
          <w:sz w:val="24"/>
          <w:szCs w:val="24"/>
        </w:rPr>
        <w:t>onformado por recursos del balance, rendimientos por operaciones financieras, reintegros y recursos del crédito.</w:t>
      </w:r>
    </w:p>
    <w:p w:rsidR="00E3141E" w:rsidRDefault="000238E4" w:rsidP="00E3141E">
      <w:pPr>
        <w:widowControl w:val="0"/>
        <w:autoSpaceDE w:val="0"/>
        <w:autoSpaceDN w:val="0"/>
        <w:adjustRightInd w:val="0"/>
        <w:spacing w:before="100" w:beforeAutospacing="1" w:after="0" w:line="360" w:lineRule="auto"/>
        <w:jc w:val="both"/>
        <w:rPr>
          <w:rFonts w:ascii="Arial" w:hAnsi="Arial" w:cs="Arial"/>
          <w:sz w:val="24"/>
          <w:szCs w:val="24"/>
        </w:rPr>
      </w:pPr>
      <w:r w:rsidRPr="000238E4">
        <w:rPr>
          <w:noProof/>
          <w:lang w:eastAsia="es-CO"/>
        </w:rPr>
        <w:lastRenderedPageBreak/>
        <w:drawing>
          <wp:inline distT="0" distB="0" distL="0" distR="0" wp14:anchorId="6A088719" wp14:editId="6433C663">
            <wp:extent cx="5613400" cy="2330988"/>
            <wp:effectExtent l="0" t="0" r="635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3400" cy="2330988"/>
                    </a:xfrm>
                    <a:prstGeom prst="rect">
                      <a:avLst/>
                    </a:prstGeom>
                    <a:noFill/>
                    <a:ln>
                      <a:noFill/>
                    </a:ln>
                  </pic:spPr>
                </pic:pic>
              </a:graphicData>
            </a:graphic>
          </wp:inline>
        </w:drawing>
      </w:r>
    </w:p>
    <w:p w:rsidR="00A6656A" w:rsidRPr="00E3141E" w:rsidRDefault="00E3141E" w:rsidP="00E3141E">
      <w:pPr>
        <w:widowControl w:val="0"/>
        <w:autoSpaceDE w:val="0"/>
        <w:autoSpaceDN w:val="0"/>
        <w:adjustRightInd w:val="0"/>
        <w:spacing w:before="100" w:beforeAutospacing="1" w:after="0" w:line="360" w:lineRule="auto"/>
        <w:jc w:val="both"/>
        <w:rPr>
          <w:rFonts w:ascii="Arial" w:hAnsi="Arial" w:cs="Arial"/>
          <w:sz w:val="24"/>
          <w:szCs w:val="24"/>
        </w:rPr>
      </w:pPr>
      <w:r>
        <w:rPr>
          <w:rFonts w:ascii="Arial" w:hAnsi="Arial" w:cs="Arial"/>
          <w:sz w:val="24"/>
          <w:szCs w:val="24"/>
        </w:rPr>
        <w:t xml:space="preserve">El superávit Fiscal </w:t>
      </w:r>
      <w:r>
        <w:rPr>
          <w:rFonts w:ascii="Arial" w:hAnsi="Arial" w:cs="Arial"/>
          <w:sz w:val="24"/>
          <w:szCs w:val="24"/>
          <w:lang w:val="es-ES" w:eastAsia="es-ES"/>
        </w:rPr>
        <w:t>tiene</w:t>
      </w:r>
      <w:r w:rsidR="00A6656A" w:rsidRPr="0039575A">
        <w:rPr>
          <w:rFonts w:ascii="Arial" w:hAnsi="Arial" w:cs="Arial"/>
          <w:sz w:val="24"/>
          <w:szCs w:val="24"/>
          <w:lang w:val="es-ES" w:eastAsia="es-ES"/>
        </w:rPr>
        <w:t xml:space="preserve"> una mayor partici</w:t>
      </w:r>
      <w:r w:rsidR="00480886">
        <w:rPr>
          <w:rFonts w:ascii="Arial" w:hAnsi="Arial" w:cs="Arial"/>
          <w:sz w:val="24"/>
          <w:szCs w:val="24"/>
          <w:lang w:val="es-ES" w:eastAsia="es-ES"/>
        </w:rPr>
        <w:t>pación en este rubro con el</w:t>
      </w:r>
      <w:r>
        <w:rPr>
          <w:rFonts w:ascii="Arial" w:hAnsi="Arial" w:cs="Arial"/>
          <w:sz w:val="24"/>
          <w:szCs w:val="24"/>
          <w:lang w:val="es-ES" w:eastAsia="es-ES"/>
        </w:rPr>
        <w:t xml:space="preserve"> 66</w:t>
      </w:r>
      <w:r w:rsidR="00DE1933">
        <w:rPr>
          <w:rFonts w:ascii="Arial" w:hAnsi="Arial" w:cs="Arial"/>
          <w:sz w:val="24"/>
          <w:szCs w:val="24"/>
          <w:lang w:val="es-ES" w:eastAsia="es-ES"/>
        </w:rPr>
        <w:t>;</w:t>
      </w:r>
      <w:r>
        <w:rPr>
          <w:rFonts w:ascii="Arial" w:hAnsi="Arial" w:cs="Arial"/>
          <w:sz w:val="24"/>
          <w:szCs w:val="24"/>
          <w:lang w:val="es-ES" w:eastAsia="es-ES"/>
        </w:rPr>
        <w:t xml:space="preserve"> los recursos de capital presentaron </w:t>
      </w:r>
      <w:r w:rsidR="00DE1933">
        <w:rPr>
          <w:rFonts w:ascii="Arial" w:hAnsi="Arial" w:cs="Arial"/>
          <w:sz w:val="24"/>
          <w:szCs w:val="24"/>
          <w:lang w:val="es-ES" w:eastAsia="es-ES"/>
        </w:rPr>
        <w:t xml:space="preserve">una ejecución total </w:t>
      </w:r>
      <w:r>
        <w:rPr>
          <w:rFonts w:ascii="Arial" w:hAnsi="Arial" w:cs="Arial"/>
          <w:sz w:val="24"/>
          <w:szCs w:val="24"/>
          <w:lang w:val="es-ES" w:eastAsia="es-ES"/>
        </w:rPr>
        <w:t>del 97%.</w:t>
      </w:r>
    </w:p>
    <w:p w:rsidR="00A6656A" w:rsidRPr="0039575A" w:rsidRDefault="003065B8" w:rsidP="003065B8">
      <w:pPr>
        <w:pStyle w:val="Ttulo3"/>
      </w:pPr>
      <w:bookmarkStart w:id="27" w:name="_Toc495334909"/>
      <w:r>
        <w:t xml:space="preserve">3.1.2 </w:t>
      </w:r>
      <w:r w:rsidRPr="0039575A">
        <w:t>Gastos</w:t>
      </w:r>
      <w:bookmarkEnd w:id="27"/>
    </w:p>
    <w:p w:rsidR="00A6656A" w:rsidRPr="0039575A" w:rsidRDefault="00A65CD7" w:rsidP="006E45D8">
      <w:pPr>
        <w:spacing w:before="100" w:beforeAutospacing="1" w:after="0" w:line="360" w:lineRule="auto"/>
        <w:jc w:val="both"/>
        <w:rPr>
          <w:rFonts w:ascii="Arial" w:hAnsi="Arial" w:cs="Arial"/>
          <w:sz w:val="24"/>
          <w:szCs w:val="24"/>
          <w:lang w:val="es-ES" w:eastAsia="es-ES"/>
        </w:rPr>
      </w:pPr>
      <w:r w:rsidRPr="00A65CD7">
        <w:rPr>
          <w:noProof/>
          <w:lang w:eastAsia="es-CO"/>
        </w:rPr>
        <w:drawing>
          <wp:inline distT="0" distB="0" distL="0" distR="0" wp14:anchorId="314EAAEB" wp14:editId="31FFC2E0">
            <wp:extent cx="5610225" cy="1496291"/>
            <wp:effectExtent l="0" t="0" r="0" b="889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3111" cy="1502395"/>
                    </a:xfrm>
                    <a:prstGeom prst="rect">
                      <a:avLst/>
                    </a:prstGeom>
                    <a:noFill/>
                    <a:ln>
                      <a:noFill/>
                    </a:ln>
                  </pic:spPr>
                </pic:pic>
              </a:graphicData>
            </a:graphic>
          </wp:inline>
        </w:drawing>
      </w:r>
    </w:p>
    <w:p w:rsidR="00A6656A" w:rsidRDefault="00A6656A" w:rsidP="00454725">
      <w:pPr>
        <w:tabs>
          <w:tab w:val="left" w:pos="1102"/>
        </w:tabs>
        <w:spacing w:before="100" w:beforeAutospacing="1" w:after="0" w:line="360" w:lineRule="auto"/>
        <w:jc w:val="both"/>
        <w:rPr>
          <w:rFonts w:ascii="Arial" w:hAnsi="Arial" w:cs="Arial"/>
          <w:sz w:val="24"/>
          <w:szCs w:val="24"/>
        </w:rPr>
      </w:pPr>
      <w:r>
        <w:rPr>
          <w:rFonts w:ascii="Arial" w:hAnsi="Arial" w:cs="Arial"/>
          <w:sz w:val="24"/>
          <w:szCs w:val="24"/>
        </w:rPr>
        <w:t>Los Gastos T</w:t>
      </w:r>
      <w:r w:rsidRPr="0039575A">
        <w:rPr>
          <w:rFonts w:ascii="Arial" w:hAnsi="Arial" w:cs="Arial"/>
          <w:sz w:val="24"/>
          <w:szCs w:val="24"/>
        </w:rPr>
        <w:t xml:space="preserve">otales </w:t>
      </w:r>
      <w:r>
        <w:rPr>
          <w:rFonts w:ascii="Arial" w:hAnsi="Arial" w:cs="Arial"/>
          <w:sz w:val="24"/>
          <w:szCs w:val="24"/>
        </w:rPr>
        <w:t xml:space="preserve">ascendieron en esta vigencia a </w:t>
      </w:r>
      <w:r w:rsidRPr="0039575A">
        <w:rPr>
          <w:rFonts w:ascii="Arial" w:hAnsi="Arial" w:cs="Arial"/>
          <w:sz w:val="24"/>
          <w:szCs w:val="24"/>
        </w:rPr>
        <w:t xml:space="preserve">$285.369 millones y </w:t>
      </w:r>
      <w:r>
        <w:rPr>
          <w:rFonts w:ascii="Arial" w:hAnsi="Arial" w:cs="Arial"/>
          <w:sz w:val="24"/>
          <w:szCs w:val="24"/>
        </w:rPr>
        <w:t>una ejecución de $251.960m</w:t>
      </w:r>
      <w:r w:rsidRPr="0039575A">
        <w:rPr>
          <w:rFonts w:ascii="Arial" w:hAnsi="Arial" w:cs="Arial"/>
          <w:sz w:val="24"/>
          <w:szCs w:val="24"/>
        </w:rPr>
        <w:t>illones, que alcanza un porcentaje de ejecución del 88%. Los Gastos de Funcionamiento representan el 24% del total del pre</w:t>
      </w:r>
      <w:r>
        <w:rPr>
          <w:rFonts w:ascii="Arial" w:hAnsi="Arial" w:cs="Arial"/>
          <w:sz w:val="24"/>
          <w:szCs w:val="24"/>
        </w:rPr>
        <w:t>supuesto por un valor de $69.179m</w:t>
      </w:r>
      <w:r w:rsidRPr="0039575A">
        <w:rPr>
          <w:rFonts w:ascii="Arial" w:hAnsi="Arial" w:cs="Arial"/>
          <w:sz w:val="24"/>
          <w:szCs w:val="24"/>
        </w:rPr>
        <w:t>illones y una ejecució</w:t>
      </w:r>
      <w:r>
        <w:rPr>
          <w:rFonts w:ascii="Arial" w:hAnsi="Arial" w:cs="Arial"/>
          <w:sz w:val="24"/>
          <w:szCs w:val="24"/>
        </w:rPr>
        <w:t xml:space="preserve">n del 95% por $66.033 millones, el Servicio a la Deuda representa el 2% por valor de $6.221millones y una ejecución del 98% por $6.070millones, por su parte la Inversión tiene una participación dentro del presupuesto de gastos por 72% y una ejecución del </w:t>
      </w:r>
      <w:r w:rsidR="00596CC1">
        <w:rPr>
          <w:rFonts w:ascii="Arial" w:hAnsi="Arial" w:cs="Arial"/>
          <w:sz w:val="24"/>
          <w:szCs w:val="24"/>
        </w:rPr>
        <w:t>86</w:t>
      </w:r>
      <w:r>
        <w:rPr>
          <w:rFonts w:ascii="Arial" w:hAnsi="Arial" w:cs="Arial"/>
          <w:sz w:val="24"/>
          <w:szCs w:val="24"/>
        </w:rPr>
        <w:t xml:space="preserve">% a cierre de 2016, </w:t>
      </w:r>
    </w:p>
    <w:p w:rsidR="00A6656A" w:rsidRDefault="00A6656A" w:rsidP="006E45D8">
      <w:pPr>
        <w:tabs>
          <w:tab w:val="left" w:pos="1102"/>
        </w:tabs>
        <w:spacing w:before="100" w:beforeAutospacing="1" w:after="0" w:line="360" w:lineRule="auto"/>
        <w:jc w:val="both"/>
        <w:rPr>
          <w:rFonts w:ascii="Arial" w:hAnsi="Arial" w:cs="Arial"/>
          <w:sz w:val="24"/>
          <w:szCs w:val="24"/>
        </w:rPr>
      </w:pPr>
      <w:r>
        <w:rPr>
          <w:rFonts w:ascii="Arial" w:hAnsi="Arial" w:cs="Arial"/>
          <w:sz w:val="24"/>
          <w:szCs w:val="24"/>
        </w:rPr>
        <w:t xml:space="preserve">La estructura del gasto del Departamento según el Informe de Viabilidad Fiscal de los Departamentos 2016, continuó focalizada en la inversión (69% del total sin SGR) y estuvo soportada principalmente en las transferencias del SGP y en recursos del </w:t>
      </w:r>
      <w:r>
        <w:rPr>
          <w:rFonts w:ascii="Arial" w:hAnsi="Arial" w:cs="Arial"/>
          <w:sz w:val="24"/>
          <w:szCs w:val="24"/>
        </w:rPr>
        <w:lastRenderedPageBreak/>
        <w:t>balance, no obstante la reducción de los gastos de inversión hizo que tanto los gastos de funcionamiento como el servicio a la deuda ganaran participación dentro del total, sin perjuicio, que los primeros se redujeron como consecuencia de las menores transferencias, mientras que el servicio a la deuda se incrementó producto de los mayores intereses que el Departamento entró a reconocer por los desembolsos de crédito recibidos en la vigencia anterior y el reconocimiento de bonos pensionales.</w:t>
      </w:r>
    </w:p>
    <w:p w:rsidR="00A6656A" w:rsidRDefault="003065B8" w:rsidP="003065B8">
      <w:pPr>
        <w:pStyle w:val="Ttulo4"/>
      </w:pPr>
      <w:r>
        <w:t>3.1.2.1</w:t>
      </w:r>
      <w:r w:rsidR="007317CA">
        <w:t xml:space="preserve"> Funcionamiento</w:t>
      </w:r>
    </w:p>
    <w:p w:rsidR="00A6656A" w:rsidRDefault="00A65CD7" w:rsidP="006E45D8">
      <w:pPr>
        <w:tabs>
          <w:tab w:val="left" w:pos="1102"/>
        </w:tabs>
        <w:spacing w:before="100" w:beforeAutospacing="1" w:after="0" w:line="360" w:lineRule="auto"/>
        <w:jc w:val="both"/>
        <w:rPr>
          <w:rFonts w:ascii="Arial" w:hAnsi="Arial" w:cs="Arial"/>
          <w:b/>
          <w:sz w:val="24"/>
          <w:szCs w:val="24"/>
        </w:rPr>
      </w:pPr>
      <w:r w:rsidRPr="00A65CD7">
        <w:rPr>
          <w:noProof/>
          <w:lang w:eastAsia="es-CO"/>
        </w:rPr>
        <w:drawing>
          <wp:inline distT="0" distB="0" distL="0" distR="0" wp14:anchorId="3BE3EC7C" wp14:editId="31F4141C">
            <wp:extent cx="5610225" cy="2628900"/>
            <wp:effectExtent l="0" t="0" r="9525" b="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0225" cy="2628900"/>
                    </a:xfrm>
                    <a:prstGeom prst="rect">
                      <a:avLst/>
                    </a:prstGeom>
                    <a:noFill/>
                    <a:ln>
                      <a:noFill/>
                    </a:ln>
                  </pic:spPr>
                </pic:pic>
              </a:graphicData>
            </a:graphic>
          </wp:inline>
        </w:drawing>
      </w:r>
    </w:p>
    <w:p w:rsidR="00A6656A" w:rsidRPr="00B439B6" w:rsidRDefault="00A6656A" w:rsidP="006E45D8">
      <w:pPr>
        <w:tabs>
          <w:tab w:val="left" w:pos="1102"/>
        </w:tabs>
        <w:spacing w:before="100" w:beforeAutospacing="1" w:after="0" w:line="360" w:lineRule="auto"/>
        <w:jc w:val="both"/>
        <w:rPr>
          <w:rFonts w:ascii="Arial" w:hAnsi="Arial" w:cs="Arial"/>
          <w:sz w:val="24"/>
          <w:szCs w:val="24"/>
        </w:rPr>
      </w:pPr>
      <w:r w:rsidRPr="00B439B6">
        <w:rPr>
          <w:rFonts w:ascii="Arial" w:hAnsi="Arial" w:cs="Arial"/>
          <w:sz w:val="24"/>
          <w:szCs w:val="24"/>
        </w:rPr>
        <w:t xml:space="preserve">Los Gastos de Funcionamiento </w:t>
      </w:r>
      <w:r>
        <w:rPr>
          <w:rFonts w:ascii="Arial" w:hAnsi="Arial" w:cs="Arial"/>
          <w:sz w:val="24"/>
          <w:szCs w:val="24"/>
        </w:rPr>
        <w:t>están compuestos por la Asamblea Departamental, la Contraloría General del Quindío y la Administración Central, en donde la mayor parte del presupuesto se le proporciona a la Administración Central con una participación del 94%, seguido por la Contraloría General del Quindío del 4% y la Asamblea General con un 3%. En términos generales tuvieron una ejecución significativa del 95% con un valor de $66.033</w:t>
      </w:r>
      <w:r w:rsidR="004532FA">
        <w:rPr>
          <w:rFonts w:ascii="Arial" w:hAnsi="Arial" w:cs="Arial"/>
          <w:sz w:val="24"/>
          <w:szCs w:val="24"/>
        </w:rPr>
        <w:t xml:space="preserve"> </w:t>
      </w:r>
      <w:r>
        <w:rPr>
          <w:rFonts w:ascii="Arial" w:hAnsi="Arial" w:cs="Arial"/>
          <w:sz w:val="24"/>
          <w:szCs w:val="24"/>
        </w:rPr>
        <w:t>millones de $69.179millones presupuestados.</w:t>
      </w:r>
    </w:p>
    <w:p w:rsidR="00205B80" w:rsidRDefault="00205B80" w:rsidP="003065B8">
      <w:pPr>
        <w:pStyle w:val="Ttulo4"/>
      </w:pPr>
    </w:p>
    <w:p w:rsidR="00A6656A" w:rsidRDefault="003065B8" w:rsidP="003065B8">
      <w:pPr>
        <w:pStyle w:val="Ttulo4"/>
      </w:pPr>
      <w:r>
        <w:t>3.1.2.2</w:t>
      </w:r>
      <w:r w:rsidR="007317CA">
        <w:t xml:space="preserve"> Servicio a la Deuda </w:t>
      </w:r>
    </w:p>
    <w:p w:rsidR="00A6656A" w:rsidRDefault="00A65CD7" w:rsidP="006E45D8">
      <w:pPr>
        <w:tabs>
          <w:tab w:val="left" w:pos="1102"/>
        </w:tabs>
        <w:spacing w:before="100" w:beforeAutospacing="1" w:after="0" w:line="360" w:lineRule="auto"/>
        <w:jc w:val="both"/>
        <w:rPr>
          <w:rFonts w:ascii="Arial" w:hAnsi="Arial" w:cs="Arial"/>
          <w:b/>
          <w:sz w:val="24"/>
          <w:szCs w:val="24"/>
        </w:rPr>
      </w:pPr>
      <w:r w:rsidRPr="00A65CD7">
        <w:rPr>
          <w:noProof/>
          <w:lang w:eastAsia="es-CO"/>
        </w:rPr>
        <w:drawing>
          <wp:inline distT="0" distB="0" distL="0" distR="0" wp14:anchorId="7BB43F73" wp14:editId="4CF31158">
            <wp:extent cx="5524500" cy="1484416"/>
            <wp:effectExtent l="0" t="0" r="0" b="1905"/>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42488" cy="1489249"/>
                    </a:xfrm>
                    <a:prstGeom prst="rect">
                      <a:avLst/>
                    </a:prstGeom>
                    <a:noFill/>
                    <a:ln>
                      <a:noFill/>
                    </a:ln>
                  </pic:spPr>
                </pic:pic>
              </a:graphicData>
            </a:graphic>
          </wp:inline>
        </w:drawing>
      </w:r>
    </w:p>
    <w:p w:rsidR="00A6656A" w:rsidRDefault="00A6656A" w:rsidP="006E45D8">
      <w:pPr>
        <w:tabs>
          <w:tab w:val="left" w:pos="1102"/>
        </w:tabs>
        <w:spacing w:before="100" w:beforeAutospacing="1" w:after="0" w:line="360" w:lineRule="auto"/>
        <w:jc w:val="both"/>
        <w:rPr>
          <w:rFonts w:ascii="Arial" w:hAnsi="Arial" w:cs="Arial"/>
          <w:sz w:val="24"/>
          <w:szCs w:val="24"/>
        </w:rPr>
      </w:pPr>
      <w:r w:rsidRPr="009E4C39">
        <w:rPr>
          <w:rFonts w:ascii="Arial" w:hAnsi="Arial" w:cs="Arial"/>
          <w:sz w:val="24"/>
          <w:szCs w:val="24"/>
        </w:rPr>
        <w:t>El servicio a la deuda participa en un 2% e</w:t>
      </w:r>
      <w:r w:rsidR="00205B80">
        <w:rPr>
          <w:rFonts w:ascii="Arial" w:hAnsi="Arial" w:cs="Arial"/>
          <w:sz w:val="24"/>
          <w:szCs w:val="24"/>
        </w:rPr>
        <w:t>n el presupuesto de gastos</w:t>
      </w:r>
      <w:r w:rsidRPr="009E4C39">
        <w:rPr>
          <w:rFonts w:ascii="Arial" w:hAnsi="Arial" w:cs="Arial"/>
          <w:sz w:val="24"/>
          <w:szCs w:val="24"/>
        </w:rPr>
        <w:t>, está compuesto por la amortización y los i</w:t>
      </w:r>
      <w:r w:rsidR="00205B80">
        <w:rPr>
          <w:rFonts w:ascii="Arial" w:hAnsi="Arial" w:cs="Arial"/>
          <w:sz w:val="24"/>
          <w:szCs w:val="24"/>
        </w:rPr>
        <w:t>ntereses con una ejecución en la vigencia 2016 d</w:t>
      </w:r>
      <w:r w:rsidRPr="009E4C39">
        <w:rPr>
          <w:rFonts w:ascii="Arial" w:hAnsi="Arial" w:cs="Arial"/>
          <w:sz w:val="24"/>
          <w:szCs w:val="24"/>
        </w:rPr>
        <w:t>el 95% y 100% respectivamente.</w:t>
      </w:r>
    </w:p>
    <w:p w:rsidR="00A6656A" w:rsidRPr="009E4C39" w:rsidRDefault="00A6656A" w:rsidP="006E45D8">
      <w:pPr>
        <w:tabs>
          <w:tab w:val="left" w:pos="1102"/>
        </w:tabs>
        <w:spacing w:before="100" w:beforeAutospacing="1" w:after="0" w:line="360" w:lineRule="auto"/>
        <w:jc w:val="both"/>
        <w:rPr>
          <w:rFonts w:ascii="Arial" w:hAnsi="Arial" w:cs="Arial"/>
          <w:sz w:val="24"/>
          <w:szCs w:val="24"/>
        </w:rPr>
      </w:pPr>
      <w:r>
        <w:rPr>
          <w:rFonts w:ascii="Arial" w:hAnsi="Arial" w:cs="Arial"/>
          <w:sz w:val="24"/>
          <w:szCs w:val="24"/>
        </w:rPr>
        <w:t xml:space="preserve">Por el servicio a la deuda se comprometieron recursos diferentes al SGR por $6.070millones, 47% para amortizar la deuda pública y 53% al pago de intereses. </w:t>
      </w:r>
      <w:r>
        <w:rPr>
          <w:rStyle w:val="Refdenotaalpie"/>
          <w:rFonts w:ascii="Arial" w:hAnsi="Arial" w:cs="Arial"/>
          <w:sz w:val="24"/>
          <w:szCs w:val="24"/>
        </w:rPr>
        <w:footnoteReference w:id="25"/>
      </w:r>
    </w:p>
    <w:p w:rsidR="00A6656A" w:rsidRPr="007317CA" w:rsidRDefault="00A65CD7" w:rsidP="003065B8">
      <w:pPr>
        <w:pStyle w:val="Ttulo4"/>
      </w:pPr>
      <w:r w:rsidRPr="00A65CD7">
        <w:rPr>
          <w:noProof/>
          <w:lang w:eastAsia="es-CO"/>
        </w:rPr>
        <w:drawing>
          <wp:anchor distT="0" distB="0" distL="114300" distR="114300" simplePos="0" relativeHeight="251678208" behindDoc="0" locked="0" layoutInCell="1" allowOverlap="1" wp14:anchorId="23ED2C78" wp14:editId="5CCFC6B7">
            <wp:simplePos x="0" y="0"/>
            <wp:positionH relativeFrom="column">
              <wp:posOffset>-3810</wp:posOffset>
            </wp:positionH>
            <wp:positionV relativeFrom="paragraph">
              <wp:posOffset>610870</wp:posOffset>
            </wp:positionV>
            <wp:extent cx="5543550" cy="1362075"/>
            <wp:effectExtent l="0" t="0" r="0" b="9525"/>
            <wp:wrapTopAndBottom/>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3550" cy="1362075"/>
                    </a:xfrm>
                    <a:prstGeom prst="rect">
                      <a:avLst/>
                    </a:prstGeom>
                    <a:noFill/>
                    <a:ln>
                      <a:noFill/>
                    </a:ln>
                  </pic:spPr>
                </pic:pic>
              </a:graphicData>
            </a:graphic>
          </wp:anchor>
        </w:drawing>
      </w:r>
      <w:r w:rsidR="003065B8">
        <w:t>3.1.2.3</w:t>
      </w:r>
      <w:r w:rsidR="007317CA" w:rsidRPr="007317CA">
        <w:t xml:space="preserve"> Inversión</w:t>
      </w:r>
    </w:p>
    <w:p w:rsidR="00A6656A" w:rsidRDefault="00A6656A" w:rsidP="006E45D8">
      <w:pPr>
        <w:tabs>
          <w:tab w:val="left" w:pos="1102"/>
        </w:tabs>
        <w:spacing w:before="100" w:beforeAutospacing="1" w:after="0" w:line="360" w:lineRule="auto"/>
        <w:jc w:val="both"/>
        <w:rPr>
          <w:rFonts w:ascii="Arial" w:hAnsi="Arial" w:cs="Arial"/>
          <w:sz w:val="24"/>
          <w:szCs w:val="24"/>
        </w:rPr>
      </w:pPr>
      <w:r w:rsidRPr="009423FB">
        <w:rPr>
          <w:rFonts w:ascii="Arial" w:hAnsi="Arial" w:cs="Arial"/>
          <w:sz w:val="24"/>
          <w:szCs w:val="24"/>
        </w:rPr>
        <w:t>La inversión es el rubro que tiene mayor participación dentro del presupuesto</w:t>
      </w:r>
      <w:r>
        <w:rPr>
          <w:rFonts w:ascii="Arial" w:hAnsi="Arial" w:cs="Arial"/>
          <w:sz w:val="24"/>
          <w:szCs w:val="24"/>
        </w:rPr>
        <w:t xml:space="preserve"> de gastos total </w:t>
      </w:r>
      <w:r w:rsidRPr="009423FB">
        <w:rPr>
          <w:rFonts w:ascii="Arial" w:hAnsi="Arial" w:cs="Arial"/>
          <w:sz w:val="24"/>
          <w:szCs w:val="24"/>
        </w:rPr>
        <w:t xml:space="preserve">y tuvo una ejecución del 85% </w:t>
      </w:r>
      <w:r>
        <w:rPr>
          <w:rFonts w:ascii="Arial" w:hAnsi="Arial" w:cs="Arial"/>
          <w:sz w:val="24"/>
          <w:szCs w:val="24"/>
        </w:rPr>
        <w:t>comprometiendo $175.510millones sobre $205.400millones presupuestados.</w:t>
      </w:r>
    </w:p>
    <w:p w:rsidR="00A6656A" w:rsidRPr="0039575A" w:rsidRDefault="003065B8" w:rsidP="003065B8">
      <w:pPr>
        <w:pStyle w:val="Ttulo4"/>
      </w:pPr>
      <w:r>
        <w:lastRenderedPageBreak/>
        <w:t xml:space="preserve">3.1.2.4 </w:t>
      </w:r>
      <w:r w:rsidR="007317CA" w:rsidRPr="0039575A">
        <w:t>Análi</w:t>
      </w:r>
      <w:r w:rsidR="007317CA">
        <w:t>sis De Presupuesto de Ingresos y</w:t>
      </w:r>
      <w:r w:rsidR="007317CA" w:rsidRPr="0039575A">
        <w:t xml:space="preserve"> Gastos Año 2016</w:t>
      </w:r>
    </w:p>
    <w:p w:rsidR="00A6656A" w:rsidRPr="0039575A" w:rsidRDefault="00A6656A" w:rsidP="00907C50">
      <w:pPr>
        <w:tabs>
          <w:tab w:val="left" w:pos="1102"/>
        </w:tabs>
        <w:spacing w:before="100" w:beforeAutospacing="1" w:after="0" w:line="360" w:lineRule="auto"/>
        <w:jc w:val="both"/>
        <w:rPr>
          <w:rFonts w:ascii="Arial" w:hAnsi="Arial" w:cs="Arial"/>
          <w:sz w:val="24"/>
          <w:szCs w:val="24"/>
        </w:rPr>
      </w:pPr>
      <w:r w:rsidRPr="0039575A">
        <w:rPr>
          <w:rFonts w:ascii="Arial" w:hAnsi="Arial" w:cs="Arial"/>
          <w:sz w:val="24"/>
          <w:szCs w:val="24"/>
        </w:rPr>
        <w:t xml:space="preserve">La ejecución presupuestal de ingresos y gastos para la vigencia del 2016 indica una ejecución de ingresos del 103% correspondiente al recaudo de $294.971 de los $285.369 que se habían proyectado.  Mientras que el presupuesto de gastos se ejecutó un 88% correspondiente a $251.965 de los $285.369 que se habían proyectado. Este escenario fue positivo para el departamento porque a pesar </w:t>
      </w:r>
      <w:r w:rsidR="00907C50">
        <w:rPr>
          <w:rFonts w:ascii="Arial" w:hAnsi="Arial" w:cs="Arial"/>
          <w:sz w:val="24"/>
          <w:szCs w:val="24"/>
        </w:rPr>
        <w:t xml:space="preserve">de las dificultades económicas </w:t>
      </w:r>
      <w:r w:rsidRPr="0039575A">
        <w:rPr>
          <w:rFonts w:ascii="Arial" w:hAnsi="Arial" w:cs="Arial"/>
          <w:sz w:val="24"/>
          <w:szCs w:val="24"/>
        </w:rPr>
        <w:t>nivel internacional, nacional y departamental las medidas económicas, el cumplimiento de las leyes y una proyección seria alcanzable permitieron la construcción y consecución de un presupuesto real que deja como resultado un superávit vigen</w:t>
      </w:r>
      <w:r w:rsidR="00907C50">
        <w:rPr>
          <w:rFonts w:ascii="Arial" w:hAnsi="Arial" w:cs="Arial"/>
          <w:sz w:val="24"/>
          <w:szCs w:val="24"/>
        </w:rPr>
        <w:t xml:space="preserve">te para las próximas vigencias.  Constantemente hay seguimiento </w:t>
      </w:r>
      <w:r w:rsidRPr="0039575A">
        <w:rPr>
          <w:rFonts w:ascii="Arial" w:hAnsi="Arial" w:cs="Arial"/>
          <w:sz w:val="24"/>
          <w:szCs w:val="24"/>
        </w:rPr>
        <w:t>a los</w:t>
      </w:r>
      <w:r w:rsidR="00907C50">
        <w:rPr>
          <w:rFonts w:ascii="Arial" w:hAnsi="Arial" w:cs="Arial"/>
          <w:sz w:val="24"/>
          <w:szCs w:val="24"/>
        </w:rPr>
        <w:t xml:space="preserve"> ingresos y control de gastos, </w:t>
      </w:r>
      <w:r w:rsidRPr="0039575A">
        <w:rPr>
          <w:rFonts w:ascii="Arial" w:hAnsi="Arial" w:cs="Arial"/>
          <w:sz w:val="24"/>
          <w:szCs w:val="24"/>
        </w:rPr>
        <w:t>además gracias a 52 procesos fallados a favor del departamento se evitó el pago de $2.842 millones de las rentas departamentales.</w:t>
      </w:r>
    </w:p>
    <w:p w:rsidR="00DE1933" w:rsidRDefault="00A6656A" w:rsidP="00DE1933">
      <w:pPr>
        <w:widowControl w:val="0"/>
        <w:autoSpaceDE w:val="0"/>
        <w:autoSpaceDN w:val="0"/>
        <w:adjustRightInd w:val="0"/>
        <w:spacing w:before="100" w:beforeAutospacing="1" w:after="0" w:line="360" w:lineRule="auto"/>
        <w:jc w:val="both"/>
        <w:rPr>
          <w:rFonts w:ascii="Arial" w:hAnsi="Arial" w:cs="Arial"/>
          <w:sz w:val="24"/>
          <w:szCs w:val="24"/>
        </w:rPr>
      </w:pPr>
      <w:r w:rsidRPr="0039575A">
        <w:rPr>
          <w:rFonts w:ascii="Arial" w:hAnsi="Arial" w:cs="Arial"/>
          <w:sz w:val="24"/>
          <w:szCs w:val="24"/>
        </w:rPr>
        <w:t>El sistema tributario se viene fortaleciendo a través de progra</w:t>
      </w:r>
      <w:r w:rsidR="00DE1933">
        <w:rPr>
          <w:rFonts w:ascii="Arial" w:hAnsi="Arial" w:cs="Arial"/>
          <w:sz w:val="24"/>
          <w:szCs w:val="24"/>
        </w:rPr>
        <w:t xml:space="preserve">mas de fiscalización </w:t>
      </w:r>
      <w:r w:rsidRPr="0039575A">
        <w:rPr>
          <w:rFonts w:ascii="Arial" w:hAnsi="Arial" w:cs="Arial"/>
          <w:sz w:val="24"/>
          <w:szCs w:val="24"/>
        </w:rPr>
        <w:t>y facilitando al contribuyente el acceso a pago de sus impuestos con diferentes alternativas al alcance de todos.</w:t>
      </w:r>
    </w:p>
    <w:p w:rsidR="00A6656A" w:rsidRDefault="002D4B3C" w:rsidP="00DE1933">
      <w:pPr>
        <w:pStyle w:val="Ttulo4"/>
        <w:rPr>
          <w:lang w:val="es-MX"/>
        </w:rPr>
      </w:pPr>
      <w:r w:rsidRPr="00DE1933">
        <w:rPr>
          <w:lang w:val="es-MX"/>
        </w:rPr>
        <w:t>3.</w:t>
      </w:r>
      <w:r w:rsidR="008960F8" w:rsidRPr="00DE1933">
        <w:rPr>
          <w:lang w:val="es-MX"/>
        </w:rPr>
        <w:t>1.3 Estados Financieros</w:t>
      </w:r>
    </w:p>
    <w:p w:rsidR="00DE1933" w:rsidRDefault="00DE1933" w:rsidP="00DE1933">
      <w:pPr>
        <w:pStyle w:val="Ttulo4"/>
        <w:rPr>
          <w:lang w:val="es-MX"/>
        </w:rPr>
      </w:pPr>
      <w:r>
        <w:rPr>
          <w:lang w:val="es-MX"/>
        </w:rPr>
        <w:t xml:space="preserve">3.1.3.1 </w:t>
      </w:r>
      <w:r w:rsidRPr="003E2A74">
        <w:rPr>
          <w:lang w:val="es-MX"/>
        </w:rPr>
        <w:t xml:space="preserve">Balance General </w:t>
      </w:r>
    </w:p>
    <w:p w:rsidR="00DE1933" w:rsidRPr="00DE1933" w:rsidRDefault="00DE1933" w:rsidP="00DE1933">
      <w:pPr>
        <w:rPr>
          <w:lang w:val="es-MX"/>
        </w:rPr>
      </w:pPr>
    </w:p>
    <w:p w:rsidR="00A6656A" w:rsidRPr="002C78F5" w:rsidRDefault="00D36B48" w:rsidP="008A5244">
      <w:pPr>
        <w:widowControl w:val="0"/>
        <w:autoSpaceDE w:val="0"/>
        <w:autoSpaceDN w:val="0"/>
        <w:adjustRightInd w:val="0"/>
        <w:spacing w:before="100" w:beforeAutospacing="1" w:after="0" w:line="360" w:lineRule="auto"/>
        <w:jc w:val="both"/>
        <w:rPr>
          <w:rFonts w:ascii="Arial" w:hAnsi="Arial" w:cs="Arial"/>
          <w:b/>
          <w:sz w:val="32"/>
        </w:rPr>
      </w:pPr>
      <w:r w:rsidRPr="00D36B48">
        <w:rPr>
          <w:noProof/>
          <w:lang w:eastAsia="es-CO"/>
        </w:rPr>
        <w:drawing>
          <wp:inline distT="0" distB="0" distL="0" distR="0" wp14:anchorId="2A07537E" wp14:editId="761AC9A9">
            <wp:extent cx="5665206" cy="2076450"/>
            <wp:effectExtent l="0" t="0" r="0" b="0"/>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80113" cy="2081914"/>
                    </a:xfrm>
                    <a:prstGeom prst="rect">
                      <a:avLst/>
                    </a:prstGeom>
                    <a:noFill/>
                    <a:ln>
                      <a:noFill/>
                    </a:ln>
                  </pic:spPr>
                </pic:pic>
              </a:graphicData>
            </a:graphic>
          </wp:inline>
        </w:drawing>
      </w:r>
    </w:p>
    <w:p w:rsidR="00A02116" w:rsidRPr="005902CA" w:rsidRDefault="00A02116" w:rsidP="006E45D8">
      <w:pPr>
        <w:spacing w:line="360" w:lineRule="auto"/>
        <w:jc w:val="both"/>
        <w:rPr>
          <w:rFonts w:ascii="Arial" w:hAnsi="Arial" w:cs="Arial"/>
          <w:sz w:val="24"/>
          <w:szCs w:val="24"/>
          <w:lang w:val="es-MX"/>
        </w:rPr>
      </w:pPr>
      <w:r w:rsidRPr="005902CA">
        <w:rPr>
          <w:rFonts w:ascii="Arial" w:hAnsi="Arial" w:cs="Arial"/>
          <w:sz w:val="24"/>
          <w:szCs w:val="24"/>
          <w:lang w:val="es-MX"/>
        </w:rPr>
        <w:lastRenderedPageBreak/>
        <w:t>A continuación,</w:t>
      </w:r>
      <w:r w:rsidR="00DE1933">
        <w:rPr>
          <w:rFonts w:ascii="Arial" w:hAnsi="Arial" w:cs="Arial"/>
          <w:sz w:val="24"/>
          <w:szCs w:val="24"/>
          <w:lang w:val="es-MX"/>
        </w:rPr>
        <w:t xml:space="preserve"> se da a conocer los resultados </w:t>
      </w:r>
      <w:r w:rsidRPr="005902CA">
        <w:rPr>
          <w:rFonts w:ascii="Arial" w:hAnsi="Arial" w:cs="Arial"/>
          <w:sz w:val="24"/>
          <w:szCs w:val="24"/>
          <w:lang w:val="es-MX"/>
        </w:rPr>
        <w:t xml:space="preserve">de las cifras financieras y económicas del Departamento del Quindío con corte a 31 de diciembre de 2016, con una explicación de su comportamiento. </w:t>
      </w:r>
    </w:p>
    <w:p w:rsidR="00A02116" w:rsidRPr="005902CA" w:rsidRDefault="00A02116" w:rsidP="006E45D8">
      <w:pPr>
        <w:spacing w:line="360" w:lineRule="auto"/>
        <w:jc w:val="both"/>
        <w:rPr>
          <w:rFonts w:ascii="Arial" w:hAnsi="Arial" w:cs="Arial"/>
          <w:sz w:val="24"/>
          <w:szCs w:val="24"/>
          <w:lang w:val="es-MX"/>
        </w:rPr>
      </w:pPr>
      <w:r w:rsidRPr="005902CA">
        <w:rPr>
          <w:rFonts w:ascii="Arial" w:hAnsi="Arial" w:cs="Arial"/>
          <w:sz w:val="24"/>
          <w:szCs w:val="24"/>
          <w:lang w:val="es-MX"/>
        </w:rPr>
        <w:t>El informe financiero es resultado de la aplicación del régimen del Régimen de Contabilidad Pública y las normas internas que regulan las políticas y prácticas contables para la Gobernación del Quindío.</w:t>
      </w:r>
    </w:p>
    <w:p w:rsidR="00A02116" w:rsidRDefault="00A02116" w:rsidP="006E45D8">
      <w:pPr>
        <w:spacing w:line="360" w:lineRule="auto"/>
        <w:jc w:val="both"/>
        <w:rPr>
          <w:rFonts w:ascii="Arial" w:hAnsi="Arial" w:cs="Arial"/>
          <w:sz w:val="24"/>
          <w:szCs w:val="24"/>
          <w:lang w:val="es-MX"/>
        </w:rPr>
      </w:pPr>
      <w:r w:rsidRPr="005902CA">
        <w:rPr>
          <w:rFonts w:ascii="Arial" w:hAnsi="Arial" w:cs="Arial"/>
          <w:sz w:val="24"/>
          <w:szCs w:val="24"/>
          <w:lang w:val="es-MX"/>
        </w:rPr>
        <w:t xml:space="preserve">De los informes financieros del Departamento del Quindío hacen parte los resultados financieros </w:t>
      </w:r>
      <w:r w:rsidR="00907C50">
        <w:rPr>
          <w:rFonts w:ascii="Arial" w:hAnsi="Arial" w:cs="Arial"/>
          <w:sz w:val="24"/>
          <w:szCs w:val="24"/>
          <w:lang w:val="es-MX"/>
        </w:rPr>
        <w:t xml:space="preserve">de la Gobernación del Quindío, </w:t>
      </w:r>
      <w:r w:rsidRPr="005902CA">
        <w:rPr>
          <w:rFonts w:ascii="Arial" w:hAnsi="Arial" w:cs="Arial"/>
          <w:sz w:val="24"/>
          <w:szCs w:val="24"/>
          <w:lang w:val="es-MX"/>
        </w:rPr>
        <w:t>de 54 Instituciones Educativas y la Contraloría General del Departamento, los cuales están consolidados en el presente informe. Las cifras se presentan en millones de pesos. Las cifras se expresan en millones de pesos.</w:t>
      </w:r>
    </w:p>
    <w:p w:rsidR="00A02116" w:rsidRPr="005902CA" w:rsidRDefault="00A02116" w:rsidP="006E45D8">
      <w:pPr>
        <w:spacing w:after="0" w:line="360" w:lineRule="auto"/>
        <w:rPr>
          <w:rFonts w:ascii="Arial" w:hAnsi="Arial" w:cs="Arial"/>
          <w:b/>
          <w:sz w:val="24"/>
          <w:szCs w:val="24"/>
        </w:rPr>
      </w:pPr>
      <w:r w:rsidRPr="005902CA">
        <w:rPr>
          <w:rFonts w:ascii="Arial" w:hAnsi="Arial" w:cs="Arial"/>
          <w:b/>
          <w:sz w:val="24"/>
          <w:szCs w:val="24"/>
        </w:rPr>
        <w:t>ACTIVOS</w:t>
      </w:r>
    </w:p>
    <w:p w:rsidR="00A02116" w:rsidRPr="005902CA" w:rsidRDefault="00A02116" w:rsidP="006E45D8">
      <w:pPr>
        <w:spacing w:line="360" w:lineRule="auto"/>
        <w:jc w:val="both"/>
        <w:rPr>
          <w:rFonts w:ascii="Arial" w:hAnsi="Arial" w:cs="Arial"/>
          <w:sz w:val="24"/>
          <w:szCs w:val="24"/>
        </w:rPr>
      </w:pPr>
      <w:r w:rsidRPr="005902CA">
        <w:rPr>
          <w:rFonts w:ascii="Arial" w:hAnsi="Arial" w:cs="Arial"/>
          <w:sz w:val="24"/>
          <w:szCs w:val="24"/>
        </w:rPr>
        <w:t>Representa los bienes y derechos que posee el Departamento del Quindío, los cuales pueden generarle un flujo futuro de recursos.</w:t>
      </w:r>
    </w:p>
    <w:p w:rsidR="00A02116" w:rsidRPr="005902CA" w:rsidRDefault="00A02116" w:rsidP="006E45D8">
      <w:pPr>
        <w:spacing w:line="360" w:lineRule="auto"/>
        <w:jc w:val="both"/>
        <w:rPr>
          <w:rFonts w:ascii="Arial" w:hAnsi="Arial" w:cs="Arial"/>
          <w:sz w:val="24"/>
          <w:szCs w:val="24"/>
        </w:rPr>
      </w:pPr>
      <w:r w:rsidRPr="005902CA">
        <w:rPr>
          <w:rFonts w:ascii="Arial" w:hAnsi="Arial" w:cs="Arial"/>
          <w:sz w:val="24"/>
          <w:szCs w:val="24"/>
        </w:rPr>
        <w:t>Al cierre de la vigencia 2016, los activo</w:t>
      </w:r>
      <w:r>
        <w:rPr>
          <w:rFonts w:ascii="Arial" w:hAnsi="Arial" w:cs="Arial"/>
          <w:sz w:val="24"/>
          <w:szCs w:val="24"/>
        </w:rPr>
        <w:t>s alcanzaron un total de $734</w:t>
      </w:r>
      <w:r w:rsidR="008E7347">
        <w:rPr>
          <w:rFonts w:ascii="Arial" w:hAnsi="Arial" w:cs="Arial"/>
          <w:sz w:val="24"/>
          <w:szCs w:val="24"/>
        </w:rPr>
        <w:t>.</w:t>
      </w:r>
      <w:r>
        <w:rPr>
          <w:rFonts w:ascii="Arial" w:hAnsi="Arial" w:cs="Arial"/>
          <w:sz w:val="24"/>
          <w:szCs w:val="24"/>
        </w:rPr>
        <w:t>509</w:t>
      </w:r>
      <w:r w:rsidR="008E7347">
        <w:rPr>
          <w:rFonts w:ascii="Arial" w:hAnsi="Arial" w:cs="Arial"/>
          <w:sz w:val="24"/>
          <w:szCs w:val="24"/>
        </w:rPr>
        <w:t>millones</w:t>
      </w:r>
      <w:r w:rsidRPr="005902CA">
        <w:rPr>
          <w:rFonts w:ascii="Arial" w:hAnsi="Arial" w:cs="Arial"/>
          <w:sz w:val="24"/>
          <w:szCs w:val="24"/>
        </w:rPr>
        <w:t xml:space="preserve">   presentándose un aumento con respecto a la vigencia anual </w:t>
      </w:r>
      <w:r>
        <w:rPr>
          <w:rFonts w:ascii="Arial" w:hAnsi="Arial" w:cs="Arial"/>
          <w:sz w:val="24"/>
          <w:szCs w:val="24"/>
        </w:rPr>
        <w:t>de 2015 en un porcentaje del 5.3</w:t>
      </w:r>
      <w:r w:rsidRPr="005902CA">
        <w:rPr>
          <w:rFonts w:ascii="Arial" w:hAnsi="Arial" w:cs="Arial"/>
          <w:sz w:val="24"/>
          <w:szCs w:val="24"/>
        </w:rPr>
        <w:t xml:space="preserve">%. </w:t>
      </w:r>
    </w:p>
    <w:p w:rsidR="00A02116" w:rsidRDefault="00A02116" w:rsidP="006E45D8">
      <w:pPr>
        <w:spacing w:line="360" w:lineRule="auto"/>
        <w:jc w:val="both"/>
        <w:rPr>
          <w:rFonts w:ascii="Arial" w:hAnsi="Arial" w:cs="Arial"/>
          <w:sz w:val="24"/>
          <w:szCs w:val="24"/>
        </w:rPr>
      </w:pPr>
      <w:r w:rsidRPr="005902CA">
        <w:rPr>
          <w:rFonts w:ascii="Arial" w:hAnsi="Arial" w:cs="Arial"/>
          <w:sz w:val="24"/>
          <w:szCs w:val="24"/>
        </w:rPr>
        <w:t>Los activos se distribuyen en</w:t>
      </w:r>
      <w:r>
        <w:rPr>
          <w:rFonts w:ascii="Arial" w:hAnsi="Arial" w:cs="Arial"/>
          <w:sz w:val="24"/>
          <w:szCs w:val="24"/>
        </w:rPr>
        <w:t>:</w:t>
      </w:r>
      <w:r w:rsidRPr="005902CA">
        <w:rPr>
          <w:rFonts w:ascii="Arial" w:hAnsi="Arial" w:cs="Arial"/>
          <w:sz w:val="24"/>
          <w:szCs w:val="24"/>
        </w:rPr>
        <w:t xml:space="preserve"> </w:t>
      </w:r>
      <w:r>
        <w:rPr>
          <w:rFonts w:ascii="Arial" w:hAnsi="Arial" w:cs="Arial"/>
          <w:sz w:val="24"/>
          <w:szCs w:val="24"/>
        </w:rPr>
        <w:t>grupo de Otros Activos con una participación del 67.7</w:t>
      </w:r>
      <w:r w:rsidRPr="005902CA">
        <w:rPr>
          <w:rFonts w:ascii="Arial" w:hAnsi="Arial" w:cs="Arial"/>
          <w:sz w:val="24"/>
          <w:szCs w:val="24"/>
        </w:rPr>
        <w:t xml:space="preserve">%, </w:t>
      </w:r>
    </w:p>
    <w:p w:rsidR="00A02116" w:rsidRPr="005902CA" w:rsidRDefault="00A02116" w:rsidP="006E45D8">
      <w:pPr>
        <w:spacing w:line="360" w:lineRule="auto"/>
        <w:jc w:val="both"/>
        <w:rPr>
          <w:rFonts w:ascii="Arial" w:hAnsi="Arial" w:cs="Arial"/>
          <w:sz w:val="24"/>
          <w:szCs w:val="24"/>
        </w:rPr>
      </w:pPr>
      <w:r>
        <w:rPr>
          <w:rFonts w:ascii="Arial" w:hAnsi="Arial" w:cs="Arial"/>
          <w:sz w:val="24"/>
          <w:szCs w:val="24"/>
        </w:rPr>
        <w:t xml:space="preserve">Grupo de </w:t>
      </w:r>
      <w:r w:rsidRPr="005902CA">
        <w:rPr>
          <w:rFonts w:ascii="Arial" w:hAnsi="Arial" w:cs="Arial"/>
          <w:sz w:val="24"/>
          <w:szCs w:val="24"/>
        </w:rPr>
        <w:t xml:space="preserve">Propiedad Planta y Equipo con </w:t>
      </w:r>
      <w:r>
        <w:rPr>
          <w:rFonts w:ascii="Arial" w:hAnsi="Arial" w:cs="Arial"/>
          <w:sz w:val="24"/>
          <w:szCs w:val="24"/>
        </w:rPr>
        <w:t>9.2%, Efectivo con 8.5%, Deudores con 6</w:t>
      </w:r>
      <w:r w:rsidRPr="005902CA">
        <w:rPr>
          <w:rFonts w:ascii="Arial" w:hAnsi="Arial" w:cs="Arial"/>
          <w:sz w:val="24"/>
          <w:szCs w:val="24"/>
        </w:rPr>
        <w:t>%,  Bienes de Beneficio y Uso Público con el 5.6%, Inversiones patrimoniales con 2% y finalmente, rentas por cobrar e inventarios con el 1%.</w:t>
      </w:r>
    </w:p>
    <w:p w:rsidR="00A02116" w:rsidRDefault="00A02116" w:rsidP="006E45D8">
      <w:pPr>
        <w:spacing w:line="360" w:lineRule="auto"/>
        <w:jc w:val="both"/>
        <w:rPr>
          <w:rFonts w:ascii="Arial" w:hAnsi="Arial" w:cs="Arial"/>
          <w:sz w:val="24"/>
          <w:szCs w:val="24"/>
        </w:rPr>
      </w:pPr>
      <w:r w:rsidRPr="005902CA">
        <w:rPr>
          <w:rFonts w:ascii="Arial" w:hAnsi="Arial" w:cs="Arial"/>
          <w:sz w:val="24"/>
          <w:szCs w:val="24"/>
        </w:rPr>
        <w:t>El mayor peso dentro de los activos lo tiene el grupo de otros Activos. Este grupo está conformado, principalmente, por los recursos en fiducia que administra el Fonpet y conforma la reserva financiera actuarial disponible a la fecha para atender los pasivos pensionales de los sectores de educación, salud y central del Departamento</w:t>
      </w:r>
    </w:p>
    <w:p w:rsidR="00C33064" w:rsidRDefault="00C33064" w:rsidP="006E45D8">
      <w:pPr>
        <w:spacing w:line="360" w:lineRule="auto"/>
        <w:jc w:val="both"/>
        <w:rPr>
          <w:rFonts w:ascii="Arial" w:hAnsi="Arial" w:cs="Arial"/>
          <w:sz w:val="24"/>
          <w:szCs w:val="24"/>
        </w:rPr>
      </w:pPr>
    </w:p>
    <w:p w:rsidR="00A02116" w:rsidRPr="00A02116" w:rsidRDefault="00A02116" w:rsidP="006E45D8">
      <w:pPr>
        <w:spacing w:after="0" w:line="360" w:lineRule="auto"/>
        <w:jc w:val="both"/>
        <w:rPr>
          <w:rFonts w:ascii="Arial" w:hAnsi="Arial" w:cs="Arial"/>
          <w:sz w:val="24"/>
          <w:szCs w:val="24"/>
        </w:rPr>
      </w:pPr>
      <w:r w:rsidRPr="00A02116">
        <w:rPr>
          <w:rFonts w:ascii="Arial" w:hAnsi="Arial" w:cs="Arial"/>
          <w:b/>
          <w:sz w:val="24"/>
          <w:szCs w:val="24"/>
        </w:rPr>
        <w:lastRenderedPageBreak/>
        <w:t>ACTIVOS CORRIENTES</w:t>
      </w:r>
      <w:r w:rsidRPr="00A02116">
        <w:rPr>
          <w:rFonts w:ascii="Arial" w:hAnsi="Arial" w:cs="Arial"/>
          <w:sz w:val="24"/>
          <w:szCs w:val="24"/>
        </w:rPr>
        <w:t xml:space="preserve">: </w:t>
      </w:r>
    </w:p>
    <w:p w:rsidR="00A02116" w:rsidRPr="005902CA" w:rsidRDefault="00A02116" w:rsidP="006E45D8">
      <w:pPr>
        <w:spacing w:line="360" w:lineRule="auto"/>
        <w:jc w:val="both"/>
        <w:rPr>
          <w:rFonts w:ascii="Arial" w:hAnsi="Arial" w:cs="Arial"/>
          <w:sz w:val="24"/>
          <w:szCs w:val="24"/>
        </w:rPr>
      </w:pPr>
      <w:r w:rsidRPr="005902CA">
        <w:rPr>
          <w:rFonts w:ascii="Arial" w:hAnsi="Arial" w:cs="Arial"/>
          <w:sz w:val="24"/>
          <w:szCs w:val="24"/>
        </w:rPr>
        <w:t>En esta agrupación se encuentran aquellas partidas que se pretenden convertir en efectivo en el curso de la vigencia 2017, para respaldar los compromisos a corto plazo. S</w:t>
      </w:r>
      <w:r>
        <w:rPr>
          <w:rFonts w:ascii="Arial" w:hAnsi="Arial" w:cs="Arial"/>
          <w:sz w:val="24"/>
          <w:szCs w:val="24"/>
        </w:rPr>
        <w:t>u valor total ascendió a $137</w:t>
      </w:r>
      <w:r w:rsidR="008E7347">
        <w:rPr>
          <w:rFonts w:ascii="Arial" w:hAnsi="Arial" w:cs="Arial"/>
          <w:sz w:val="24"/>
          <w:szCs w:val="24"/>
        </w:rPr>
        <w:t>.</w:t>
      </w:r>
      <w:r>
        <w:rPr>
          <w:rFonts w:ascii="Arial" w:hAnsi="Arial" w:cs="Arial"/>
          <w:sz w:val="24"/>
          <w:szCs w:val="24"/>
        </w:rPr>
        <w:t>195</w:t>
      </w:r>
      <w:r w:rsidR="004532FA">
        <w:rPr>
          <w:rFonts w:ascii="Arial" w:hAnsi="Arial" w:cs="Arial"/>
          <w:sz w:val="24"/>
          <w:szCs w:val="24"/>
        </w:rPr>
        <w:t xml:space="preserve"> </w:t>
      </w:r>
      <w:r w:rsidR="008E7347">
        <w:rPr>
          <w:rFonts w:ascii="Arial" w:hAnsi="Arial" w:cs="Arial"/>
          <w:sz w:val="24"/>
          <w:szCs w:val="24"/>
        </w:rPr>
        <w:t>millones</w:t>
      </w:r>
      <w:r w:rsidR="00907C50">
        <w:rPr>
          <w:rFonts w:ascii="Arial" w:hAnsi="Arial" w:cs="Arial"/>
          <w:sz w:val="24"/>
          <w:szCs w:val="24"/>
        </w:rPr>
        <w:t xml:space="preserve"> y quedó desagregado </w:t>
      </w:r>
      <w:r w:rsidRPr="005902CA">
        <w:rPr>
          <w:rFonts w:ascii="Arial" w:hAnsi="Arial" w:cs="Arial"/>
          <w:sz w:val="24"/>
          <w:szCs w:val="24"/>
        </w:rPr>
        <w:t>así:</w:t>
      </w:r>
    </w:p>
    <w:p w:rsidR="00A02116" w:rsidRPr="005902CA" w:rsidRDefault="00A02116" w:rsidP="006E45D8">
      <w:pPr>
        <w:spacing w:line="360" w:lineRule="auto"/>
        <w:jc w:val="both"/>
        <w:rPr>
          <w:rFonts w:ascii="Arial" w:hAnsi="Arial" w:cs="Arial"/>
          <w:sz w:val="24"/>
          <w:szCs w:val="24"/>
        </w:rPr>
      </w:pPr>
      <w:r w:rsidRPr="005902CA">
        <w:rPr>
          <w:rFonts w:ascii="Arial" w:hAnsi="Arial" w:cs="Arial"/>
          <w:sz w:val="24"/>
          <w:szCs w:val="24"/>
        </w:rPr>
        <w:t>Efectivo $62</w:t>
      </w:r>
      <w:r w:rsidR="008E7347">
        <w:rPr>
          <w:rFonts w:ascii="Arial" w:hAnsi="Arial" w:cs="Arial"/>
          <w:sz w:val="24"/>
          <w:szCs w:val="24"/>
        </w:rPr>
        <w:t>.</w:t>
      </w:r>
      <w:r w:rsidRPr="005902CA">
        <w:rPr>
          <w:rFonts w:ascii="Arial" w:hAnsi="Arial" w:cs="Arial"/>
          <w:sz w:val="24"/>
          <w:szCs w:val="24"/>
        </w:rPr>
        <w:t>272</w:t>
      </w:r>
      <w:r w:rsidR="004532FA">
        <w:rPr>
          <w:rFonts w:ascii="Arial" w:hAnsi="Arial" w:cs="Arial"/>
          <w:sz w:val="24"/>
          <w:szCs w:val="24"/>
        </w:rPr>
        <w:t xml:space="preserve"> </w:t>
      </w:r>
      <w:r w:rsidR="008E7347">
        <w:rPr>
          <w:rFonts w:ascii="Arial" w:hAnsi="Arial" w:cs="Arial"/>
          <w:sz w:val="24"/>
          <w:szCs w:val="24"/>
        </w:rPr>
        <w:t>millones</w:t>
      </w:r>
      <w:r w:rsidRPr="005902CA">
        <w:rPr>
          <w:rFonts w:ascii="Arial" w:hAnsi="Arial" w:cs="Arial"/>
          <w:sz w:val="24"/>
          <w:szCs w:val="24"/>
        </w:rPr>
        <w:t>, Rentas p</w:t>
      </w:r>
      <w:r>
        <w:rPr>
          <w:rFonts w:ascii="Arial" w:hAnsi="Arial" w:cs="Arial"/>
          <w:sz w:val="24"/>
          <w:szCs w:val="24"/>
        </w:rPr>
        <w:t>or cobrar $1</w:t>
      </w:r>
      <w:r w:rsidR="008E7347">
        <w:rPr>
          <w:rFonts w:ascii="Arial" w:hAnsi="Arial" w:cs="Arial"/>
          <w:sz w:val="24"/>
          <w:szCs w:val="24"/>
        </w:rPr>
        <w:t>.</w:t>
      </w:r>
      <w:r>
        <w:rPr>
          <w:rFonts w:ascii="Arial" w:hAnsi="Arial" w:cs="Arial"/>
          <w:sz w:val="24"/>
          <w:szCs w:val="24"/>
        </w:rPr>
        <w:t>595</w:t>
      </w:r>
      <w:r w:rsidR="004532FA">
        <w:rPr>
          <w:rFonts w:ascii="Arial" w:hAnsi="Arial" w:cs="Arial"/>
          <w:sz w:val="24"/>
          <w:szCs w:val="24"/>
        </w:rPr>
        <w:t xml:space="preserve"> </w:t>
      </w:r>
      <w:r w:rsidR="008E7347">
        <w:rPr>
          <w:rFonts w:ascii="Arial" w:hAnsi="Arial" w:cs="Arial"/>
          <w:sz w:val="24"/>
          <w:szCs w:val="24"/>
        </w:rPr>
        <w:t>millones</w:t>
      </w:r>
      <w:r>
        <w:rPr>
          <w:rFonts w:ascii="Arial" w:hAnsi="Arial" w:cs="Arial"/>
          <w:sz w:val="24"/>
          <w:szCs w:val="24"/>
        </w:rPr>
        <w:t>, Deudores $41</w:t>
      </w:r>
      <w:r w:rsidR="008E7347">
        <w:rPr>
          <w:rFonts w:ascii="Arial" w:hAnsi="Arial" w:cs="Arial"/>
          <w:sz w:val="24"/>
          <w:szCs w:val="24"/>
        </w:rPr>
        <w:t>.</w:t>
      </w:r>
      <w:r>
        <w:rPr>
          <w:rFonts w:ascii="Arial" w:hAnsi="Arial" w:cs="Arial"/>
          <w:sz w:val="24"/>
          <w:szCs w:val="24"/>
        </w:rPr>
        <w:t>183</w:t>
      </w:r>
      <w:r w:rsidR="004532FA">
        <w:rPr>
          <w:rFonts w:ascii="Arial" w:hAnsi="Arial" w:cs="Arial"/>
          <w:sz w:val="24"/>
          <w:szCs w:val="24"/>
        </w:rPr>
        <w:t xml:space="preserve"> </w:t>
      </w:r>
      <w:r w:rsidR="008E7347">
        <w:rPr>
          <w:rFonts w:ascii="Arial" w:hAnsi="Arial" w:cs="Arial"/>
          <w:sz w:val="24"/>
          <w:szCs w:val="24"/>
        </w:rPr>
        <w:t>millones</w:t>
      </w:r>
      <w:r w:rsidR="00907C50">
        <w:rPr>
          <w:rFonts w:ascii="Arial" w:hAnsi="Arial" w:cs="Arial"/>
          <w:sz w:val="24"/>
          <w:szCs w:val="24"/>
        </w:rPr>
        <w:t xml:space="preserve">, </w:t>
      </w:r>
      <w:r w:rsidRPr="005902CA">
        <w:rPr>
          <w:rFonts w:ascii="Arial" w:hAnsi="Arial" w:cs="Arial"/>
          <w:sz w:val="24"/>
          <w:szCs w:val="24"/>
        </w:rPr>
        <w:t>Inventarios $186</w:t>
      </w:r>
      <w:r w:rsidR="004532FA">
        <w:rPr>
          <w:rFonts w:ascii="Arial" w:hAnsi="Arial" w:cs="Arial"/>
          <w:sz w:val="24"/>
          <w:szCs w:val="24"/>
        </w:rPr>
        <w:t xml:space="preserve"> </w:t>
      </w:r>
      <w:r w:rsidR="008E7347">
        <w:rPr>
          <w:rFonts w:ascii="Arial" w:hAnsi="Arial" w:cs="Arial"/>
          <w:sz w:val="24"/>
          <w:szCs w:val="24"/>
        </w:rPr>
        <w:t>millones</w:t>
      </w:r>
      <w:r w:rsidRPr="005902CA">
        <w:rPr>
          <w:rFonts w:ascii="Arial" w:hAnsi="Arial" w:cs="Arial"/>
          <w:sz w:val="24"/>
          <w:szCs w:val="24"/>
        </w:rPr>
        <w:t xml:space="preserve"> y Otros activos $31</w:t>
      </w:r>
      <w:r w:rsidR="008E7347">
        <w:rPr>
          <w:rFonts w:ascii="Arial" w:hAnsi="Arial" w:cs="Arial"/>
          <w:sz w:val="24"/>
          <w:szCs w:val="24"/>
        </w:rPr>
        <w:t>.</w:t>
      </w:r>
      <w:r w:rsidRPr="005902CA">
        <w:rPr>
          <w:rFonts w:ascii="Arial" w:hAnsi="Arial" w:cs="Arial"/>
          <w:sz w:val="24"/>
          <w:szCs w:val="24"/>
        </w:rPr>
        <w:t>959</w:t>
      </w:r>
      <w:r w:rsidR="004532FA">
        <w:rPr>
          <w:rFonts w:ascii="Arial" w:hAnsi="Arial" w:cs="Arial"/>
          <w:sz w:val="24"/>
          <w:szCs w:val="24"/>
        </w:rPr>
        <w:t xml:space="preserve"> </w:t>
      </w:r>
      <w:r w:rsidR="008E7347">
        <w:rPr>
          <w:rFonts w:ascii="Arial" w:hAnsi="Arial" w:cs="Arial"/>
          <w:sz w:val="24"/>
          <w:szCs w:val="24"/>
        </w:rPr>
        <w:t>millones</w:t>
      </w:r>
      <w:r w:rsidRPr="005902CA">
        <w:rPr>
          <w:rFonts w:ascii="Arial" w:hAnsi="Arial" w:cs="Arial"/>
          <w:sz w:val="24"/>
          <w:szCs w:val="24"/>
        </w:rPr>
        <w:t>.</w:t>
      </w:r>
    </w:p>
    <w:p w:rsidR="00DE1933" w:rsidRDefault="00A02116" w:rsidP="00DE1933">
      <w:pPr>
        <w:spacing w:line="360" w:lineRule="auto"/>
        <w:jc w:val="both"/>
        <w:rPr>
          <w:rFonts w:ascii="Arial" w:hAnsi="Arial" w:cs="Arial"/>
          <w:sz w:val="24"/>
          <w:szCs w:val="24"/>
        </w:rPr>
      </w:pPr>
      <w:r w:rsidRPr="005902CA">
        <w:rPr>
          <w:rFonts w:ascii="Arial" w:hAnsi="Arial" w:cs="Arial"/>
          <w:sz w:val="24"/>
          <w:szCs w:val="24"/>
        </w:rPr>
        <w:t>Los activos corrientes tuvi</w:t>
      </w:r>
      <w:r w:rsidR="00DE1933">
        <w:rPr>
          <w:rFonts w:ascii="Arial" w:hAnsi="Arial" w:cs="Arial"/>
          <w:sz w:val="24"/>
          <w:szCs w:val="24"/>
        </w:rPr>
        <w:t>eron una variación favorable</w:t>
      </w:r>
      <w:r w:rsidRPr="005902CA">
        <w:rPr>
          <w:rFonts w:ascii="Arial" w:hAnsi="Arial" w:cs="Arial"/>
          <w:sz w:val="24"/>
          <w:szCs w:val="24"/>
        </w:rPr>
        <w:t xml:space="preserve"> respect</w:t>
      </w:r>
      <w:r>
        <w:rPr>
          <w:rFonts w:ascii="Arial" w:hAnsi="Arial" w:cs="Arial"/>
          <w:sz w:val="24"/>
          <w:szCs w:val="24"/>
        </w:rPr>
        <w:t>o a la vigencia anterior en 10.8</w:t>
      </w:r>
      <w:r w:rsidR="00DE1933">
        <w:rPr>
          <w:rFonts w:ascii="Arial" w:hAnsi="Arial" w:cs="Arial"/>
          <w:sz w:val="24"/>
          <w:szCs w:val="24"/>
        </w:rPr>
        <w:t>%.</w:t>
      </w:r>
    </w:p>
    <w:p w:rsidR="00A02116" w:rsidRPr="005902CA" w:rsidRDefault="00A02116" w:rsidP="00DE1933">
      <w:pPr>
        <w:spacing w:line="360" w:lineRule="auto"/>
        <w:jc w:val="both"/>
        <w:rPr>
          <w:rFonts w:ascii="Arial" w:hAnsi="Arial" w:cs="Arial"/>
          <w:sz w:val="24"/>
          <w:szCs w:val="24"/>
        </w:rPr>
      </w:pPr>
      <w:r w:rsidRPr="005902CA">
        <w:rPr>
          <w:rFonts w:ascii="Arial" w:hAnsi="Arial" w:cs="Arial"/>
          <w:sz w:val="24"/>
          <w:szCs w:val="24"/>
        </w:rPr>
        <w:t xml:space="preserve">El grupo de deudores se descompone así: </w:t>
      </w:r>
      <w:r w:rsidRPr="004532FA">
        <w:rPr>
          <w:rFonts w:ascii="Arial" w:hAnsi="Arial" w:cs="Arial"/>
          <w:b/>
          <w:sz w:val="24"/>
          <w:szCs w:val="24"/>
        </w:rPr>
        <w:t>i)</w:t>
      </w:r>
      <w:r w:rsidRPr="005902CA">
        <w:rPr>
          <w:rFonts w:ascii="Arial" w:hAnsi="Arial" w:cs="Arial"/>
          <w:sz w:val="24"/>
          <w:szCs w:val="24"/>
        </w:rPr>
        <w:t>. Ingresos no tributarios de los cuale</w:t>
      </w:r>
      <w:r w:rsidR="00907C50">
        <w:rPr>
          <w:rFonts w:ascii="Arial" w:hAnsi="Arial" w:cs="Arial"/>
          <w:sz w:val="24"/>
          <w:szCs w:val="24"/>
        </w:rPr>
        <w:t xml:space="preserve">s hacen parte, principalmente, </w:t>
      </w:r>
      <w:r w:rsidRPr="005902CA">
        <w:rPr>
          <w:rFonts w:ascii="Arial" w:hAnsi="Arial" w:cs="Arial"/>
          <w:sz w:val="24"/>
          <w:szCs w:val="24"/>
        </w:rPr>
        <w:t>el monto de intereses con un saldo de $10</w:t>
      </w:r>
      <w:r w:rsidR="008E7347">
        <w:rPr>
          <w:rFonts w:ascii="Arial" w:hAnsi="Arial" w:cs="Arial"/>
          <w:sz w:val="24"/>
          <w:szCs w:val="24"/>
        </w:rPr>
        <w:t>.</w:t>
      </w:r>
      <w:r w:rsidRPr="005902CA">
        <w:rPr>
          <w:rFonts w:ascii="Arial" w:hAnsi="Arial" w:cs="Arial"/>
          <w:sz w:val="24"/>
          <w:szCs w:val="24"/>
        </w:rPr>
        <w:t>303</w:t>
      </w:r>
      <w:r w:rsidR="008E7347">
        <w:rPr>
          <w:rFonts w:ascii="Arial" w:hAnsi="Arial" w:cs="Arial"/>
          <w:sz w:val="24"/>
          <w:szCs w:val="24"/>
        </w:rPr>
        <w:t>millones</w:t>
      </w:r>
      <w:r w:rsidRPr="005902CA">
        <w:rPr>
          <w:rFonts w:ascii="Arial" w:hAnsi="Arial" w:cs="Arial"/>
          <w:sz w:val="24"/>
          <w:szCs w:val="24"/>
        </w:rPr>
        <w:t xml:space="preserve"> y de sanciones con un saldo de $16</w:t>
      </w:r>
      <w:r w:rsidR="008E7347">
        <w:rPr>
          <w:rFonts w:ascii="Arial" w:hAnsi="Arial" w:cs="Arial"/>
          <w:sz w:val="24"/>
          <w:szCs w:val="24"/>
        </w:rPr>
        <w:t>.</w:t>
      </w:r>
      <w:r w:rsidRPr="005902CA">
        <w:rPr>
          <w:rFonts w:ascii="Arial" w:hAnsi="Arial" w:cs="Arial"/>
          <w:sz w:val="24"/>
          <w:szCs w:val="24"/>
        </w:rPr>
        <w:t>851</w:t>
      </w:r>
      <w:r w:rsidR="008E7347">
        <w:rPr>
          <w:rFonts w:ascii="Arial" w:hAnsi="Arial" w:cs="Arial"/>
          <w:sz w:val="24"/>
          <w:szCs w:val="24"/>
        </w:rPr>
        <w:t>millones</w:t>
      </w:r>
      <w:r w:rsidRPr="005902CA">
        <w:rPr>
          <w:rFonts w:ascii="Arial" w:hAnsi="Arial" w:cs="Arial"/>
          <w:sz w:val="24"/>
          <w:szCs w:val="24"/>
        </w:rPr>
        <w:t xml:space="preserve">. </w:t>
      </w:r>
      <w:r w:rsidRPr="004532FA">
        <w:rPr>
          <w:rFonts w:ascii="Arial" w:hAnsi="Arial" w:cs="Arial"/>
          <w:b/>
          <w:sz w:val="24"/>
          <w:szCs w:val="24"/>
        </w:rPr>
        <w:t>ii).</w:t>
      </w:r>
      <w:r w:rsidRPr="005902CA">
        <w:rPr>
          <w:rFonts w:ascii="Arial" w:hAnsi="Arial" w:cs="Arial"/>
          <w:sz w:val="24"/>
          <w:szCs w:val="24"/>
        </w:rPr>
        <w:t xml:space="preserve"> Transferencias por cobrar, cifra con los saldos del SGP por educación, salud y partici</w:t>
      </w:r>
      <w:r>
        <w:rPr>
          <w:rFonts w:ascii="Arial" w:hAnsi="Arial" w:cs="Arial"/>
          <w:sz w:val="24"/>
          <w:szCs w:val="24"/>
        </w:rPr>
        <w:t>pación para pensiones por $8</w:t>
      </w:r>
      <w:r w:rsidR="008E7347">
        <w:rPr>
          <w:rFonts w:ascii="Arial" w:hAnsi="Arial" w:cs="Arial"/>
          <w:sz w:val="24"/>
          <w:szCs w:val="24"/>
        </w:rPr>
        <w:t>.</w:t>
      </w:r>
      <w:r>
        <w:rPr>
          <w:rFonts w:ascii="Arial" w:hAnsi="Arial" w:cs="Arial"/>
          <w:sz w:val="24"/>
          <w:szCs w:val="24"/>
        </w:rPr>
        <w:t>701</w:t>
      </w:r>
      <w:r w:rsidR="004532FA">
        <w:rPr>
          <w:rFonts w:ascii="Arial" w:hAnsi="Arial" w:cs="Arial"/>
          <w:sz w:val="24"/>
          <w:szCs w:val="24"/>
        </w:rPr>
        <w:t xml:space="preserve"> </w:t>
      </w:r>
      <w:r w:rsidR="008E7347">
        <w:rPr>
          <w:rFonts w:ascii="Arial" w:hAnsi="Arial" w:cs="Arial"/>
          <w:sz w:val="24"/>
          <w:szCs w:val="24"/>
        </w:rPr>
        <w:t>millones</w:t>
      </w:r>
      <w:r w:rsidRPr="005902CA">
        <w:rPr>
          <w:rFonts w:ascii="Arial" w:hAnsi="Arial" w:cs="Arial"/>
          <w:sz w:val="24"/>
          <w:szCs w:val="24"/>
        </w:rPr>
        <w:t xml:space="preserve">. </w:t>
      </w:r>
      <w:r w:rsidRPr="004532FA">
        <w:rPr>
          <w:rFonts w:ascii="Arial" w:hAnsi="Arial" w:cs="Arial"/>
          <w:b/>
          <w:sz w:val="24"/>
          <w:szCs w:val="24"/>
        </w:rPr>
        <w:t>iii)</w:t>
      </w:r>
      <w:r w:rsidRPr="005902CA">
        <w:rPr>
          <w:rFonts w:ascii="Arial" w:hAnsi="Arial" w:cs="Arial"/>
          <w:sz w:val="24"/>
          <w:szCs w:val="24"/>
        </w:rPr>
        <w:t>. Avances y anticipos entregados: por $1</w:t>
      </w:r>
      <w:r w:rsidR="008E7347">
        <w:rPr>
          <w:rFonts w:ascii="Arial" w:hAnsi="Arial" w:cs="Arial"/>
          <w:sz w:val="24"/>
          <w:szCs w:val="24"/>
        </w:rPr>
        <w:t>.</w:t>
      </w:r>
      <w:r w:rsidRPr="005902CA">
        <w:rPr>
          <w:rFonts w:ascii="Arial" w:hAnsi="Arial" w:cs="Arial"/>
          <w:sz w:val="24"/>
          <w:szCs w:val="24"/>
        </w:rPr>
        <w:t>100</w:t>
      </w:r>
      <w:r w:rsidR="008E7347">
        <w:rPr>
          <w:rFonts w:ascii="Arial" w:hAnsi="Arial" w:cs="Arial"/>
          <w:sz w:val="24"/>
          <w:szCs w:val="24"/>
        </w:rPr>
        <w:t>millones</w:t>
      </w:r>
      <w:r w:rsidRPr="004532FA">
        <w:rPr>
          <w:rFonts w:ascii="Arial" w:hAnsi="Arial" w:cs="Arial"/>
          <w:b/>
          <w:sz w:val="24"/>
          <w:szCs w:val="24"/>
        </w:rPr>
        <w:t>. iv)</w:t>
      </w:r>
      <w:r w:rsidRPr="005902CA">
        <w:rPr>
          <w:rFonts w:ascii="Arial" w:hAnsi="Arial" w:cs="Arial"/>
          <w:sz w:val="24"/>
          <w:szCs w:val="24"/>
        </w:rPr>
        <w:t xml:space="preserve"> Recursos entregados en administración con un saldo de $2</w:t>
      </w:r>
      <w:r w:rsidR="008E7347">
        <w:rPr>
          <w:rFonts w:ascii="Arial" w:hAnsi="Arial" w:cs="Arial"/>
          <w:sz w:val="24"/>
          <w:szCs w:val="24"/>
        </w:rPr>
        <w:t>.</w:t>
      </w:r>
      <w:r w:rsidRPr="005902CA">
        <w:rPr>
          <w:rFonts w:ascii="Arial" w:hAnsi="Arial" w:cs="Arial"/>
          <w:sz w:val="24"/>
          <w:szCs w:val="24"/>
        </w:rPr>
        <w:t>943</w:t>
      </w:r>
      <w:r w:rsidR="008E7347">
        <w:rPr>
          <w:rFonts w:ascii="Arial" w:hAnsi="Arial" w:cs="Arial"/>
          <w:sz w:val="24"/>
          <w:szCs w:val="24"/>
        </w:rPr>
        <w:t>millones</w:t>
      </w:r>
      <w:r w:rsidRPr="005902CA">
        <w:rPr>
          <w:rFonts w:ascii="Arial" w:hAnsi="Arial" w:cs="Arial"/>
          <w:sz w:val="24"/>
          <w:szCs w:val="24"/>
        </w:rPr>
        <w:t xml:space="preserve">, en poder de las entidades descentralizadas del orden departamental pendiente de ejecutar por los diferentes proyectos aprobados con recursos del sistema General de Regalías. </w:t>
      </w:r>
      <w:r>
        <w:rPr>
          <w:rFonts w:ascii="Arial" w:hAnsi="Arial" w:cs="Arial"/>
          <w:sz w:val="24"/>
          <w:szCs w:val="24"/>
        </w:rPr>
        <w:t xml:space="preserve">y </w:t>
      </w:r>
      <w:r w:rsidRPr="004532FA">
        <w:rPr>
          <w:rFonts w:ascii="Arial" w:hAnsi="Arial" w:cs="Arial"/>
          <w:b/>
          <w:sz w:val="24"/>
          <w:szCs w:val="24"/>
        </w:rPr>
        <w:t>v)</w:t>
      </w:r>
      <w:r>
        <w:rPr>
          <w:rFonts w:ascii="Arial" w:hAnsi="Arial" w:cs="Arial"/>
          <w:sz w:val="24"/>
          <w:szCs w:val="24"/>
        </w:rPr>
        <w:t xml:space="preserve"> Otros deudores con $1</w:t>
      </w:r>
      <w:r w:rsidR="008E7347">
        <w:rPr>
          <w:rFonts w:ascii="Arial" w:hAnsi="Arial" w:cs="Arial"/>
          <w:sz w:val="24"/>
          <w:szCs w:val="24"/>
        </w:rPr>
        <w:t>.</w:t>
      </w:r>
      <w:r>
        <w:rPr>
          <w:rFonts w:ascii="Arial" w:hAnsi="Arial" w:cs="Arial"/>
          <w:sz w:val="24"/>
          <w:szCs w:val="24"/>
        </w:rPr>
        <w:t>282</w:t>
      </w:r>
      <w:r w:rsidR="008E7347">
        <w:rPr>
          <w:rFonts w:ascii="Arial" w:hAnsi="Arial" w:cs="Arial"/>
          <w:sz w:val="24"/>
          <w:szCs w:val="24"/>
        </w:rPr>
        <w:t>millones</w:t>
      </w:r>
      <w:r w:rsidRPr="005902CA">
        <w:rPr>
          <w:rFonts w:ascii="Arial" w:hAnsi="Arial" w:cs="Arial"/>
          <w:sz w:val="24"/>
          <w:szCs w:val="24"/>
        </w:rPr>
        <w:t>.</w:t>
      </w:r>
    </w:p>
    <w:p w:rsidR="00A02116" w:rsidRDefault="00A02116" w:rsidP="006E45D8">
      <w:pPr>
        <w:spacing w:line="360" w:lineRule="auto"/>
        <w:jc w:val="both"/>
        <w:rPr>
          <w:rFonts w:ascii="Arial" w:hAnsi="Arial" w:cs="Arial"/>
          <w:sz w:val="24"/>
          <w:szCs w:val="24"/>
        </w:rPr>
      </w:pPr>
      <w:r w:rsidRPr="005902CA">
        <w:rPr>
          <w:rFonts w:ascii="Arial" w:hAnsi="Arial" w:cs="Arial"/>
          <w:sz w:val="24"/>
          <w:szCs w:val="24"/>
        </w:rPr>
        <w:t>La relación de los activos corrientes con los pasivos de exigibilidad inmed</w:t>
      </w:r>
      <w:r>
        <w:rPr>
          <w:rFonts w:ascii="Arial" w:hAnsi="Arial" w:cs="Arial"/>
          <w:sz w:val="24"/>
          <w:szCs w:val="24"/>
        </w:rPr>
        <w:t>iata muestra una proporción $2.5</w:t>
      </w:r>
      <w:r w:rsidRPr="005902CA">
        <w:rPr>
          <w:rFonts w:ascii="Arial" w:hAnsi="Arial" w:cs="Arial"/>
          <w:sz w:val="24"/>
          <w:szCs w:val="24"/>
        </w:rPr>
        <w:t xml:space="preserve"> de respaldo de los activos disponibles para atender las necesidades inmediatas. Esta relación dismi</w:t>
      </w:r>
      <w:r>
        <w:rPr>
          <w:rFonts w:ascii="Arial" w:hAnsi="Arial" w:cs="Arial"/>
          <w:sz w:val="24"/>
          <w:szCs w:val="24"/>
        </w:rPr>
        <w:t>nuyó con respecto a 2015 un 10.7</w:t>
      </w:r>
      <w:r w:rsidRPr="005902CA">
        <w:rPr>
          <w:rFonts w:ascii="Arial" w:hAnsi="Arial" w:cs="Arial"/>
          <w:sz w:val="24"/>
          <w:szCs w:val="24"/>
        </w:rPr>
        <w:t xml:space="preserve">% pues estaba en $2.8. </w:t>
      </w:r>
    </w:p>
    <w:p w:rsidR="005330CC" w:rsidRPr="005902CA" w:rsidRDefault="005330CC" w:rsidP="006E45D8">
      <w:pPr>
        <w:spacing w:line="360" w:lineRule="auto"/>
        <w:jc w:val="both"/>
        <w:rPr>
          <w:rFonts w:ascii="Arial" w:hAnsi="Arial" w:cs="Arial"/>
          <w:sz w:val="24"/>
          <w:szCs w:val="24"/>
        </w:rPr>
      </w:pPr>
    </w:p>
    <w:p w:rsidR="00A02116" w:rsidRPr="00A02116" w:rsidRDefault="00A02116" w:rsidP="006E45D8">
      <w:pPr>
        <w:spacing w:after="0" w:line="360" w:lineRule="auto"/>
        <w:jc w:val="both"/>
        <w:rPr>
          <w:rFonts w:ascii="Arial" w:hAnsi="Arial" w:cs="Arial"/>
          <w:b/>
          <w:sz w:val="24"/>
          <w:szCs w:val="24"/>
        </w:rPr>
      </w:pPr>
      <w:r w:rsidRPr="00A02116">
        <w:rPr>
          <w:rFonts w:ascii="Arial" w:hAnsi="Arial" w:cs="Arial"/>
          <w:b/>
          <w:sz w:val="24"/>
          <w:szCs w:val="24"/>
        </w:rPr>
        <w:t xml:space="preserve">ACTIVOS NO CORRIENTES. </w:t>
      </w:r>
    </w:p>
    <w:p w:rsidR="00A02116" w:rsidRDefault="00A02116" w:rsidP="006E45D8">
      <w:pPr>
        <w:spacing w:line="360" w:lineRule="auto"/>
        <w:jc w:val="both"/>
        <w:rPr>
          <w:rFonts w:ascii="Arial" w:hAnsi="Arial" w:cs="Arial"/>
          <w:sz w:val="24"/>
          <w:szCs w:val="24"/>
        </w:rPr>
      </w:pPr>
      <w:r w:rsidRPr="005902CA">
        <w:rPr>
          <w:rFonts w:ascii="Arial" w:hAnsi="Arial" w:cs="Arial"/>
          <w:sz w:val="24"/>
          <w:szCs w:val="24"/>
        </w:rPr>
        <w:t>El grupo de los activos no corrientes cerraron en la vigencia 2016 con un saldo de $597</w:t>
      </w:r>
      <w:r w:rsidR="008E7347">
        <w:rPr>
          <w:rFonts w:ascii="Arial" w:hAnsi="Arial" w:cs="Arial"/>
          <w:sz w:val="24"/>
          <w:szCs w:val="24"/>
        </w:rPr>
        <w:t>.</w:t>
      </w:r>
      <w:r w:rsidRPr="005902CA">
        <w:rPr>
          <w:rFonts w:ascii="Arial" w:hAnsi="Arial" w:cs="Arial"/>
          <w:sz w:val="24"/>
          <w:szCs w:val="24"/>
        </w:rPr>
        <w:t>313</w:t>
      </w:r>
      <w:r w:rsidR="004532FA">
        <w:rPr>
          <w:rFonts w:ascii="Arial" w:hAnsi="Arial" w:cs="Arial"/>
          <w:sz w:val="24"/>
          <w:szCs w:val="24"/>
        </w:rPr>
        <w:t xml:space="preserve"> </w:t>
      </w:r>
      <w:r w:rsidR="008E7347">
        <w:rPr>
          <w:rFonts w:ascii="Arial" w:hAnsi="Arial" w:cs="Arial"/>
          <w:sz w:val="24"/>
          <w:szCs w:val="24"/>
        </w:rPr>
        <w:t>millones</w:t>
      </w:r>
      <w:r w:rsidRPr="005902CA">
        <w:rPr>
          <w:rFonts w:ascii="Arial" w:hAnsi="Arial" w:cs="Arial"/>
          <w:sz w:val="24"/>
          <w:szCs w:val="24"/>
        </w:rPr>
        <w:t>, los cuales aumentaron en la suma de $23</w:t>
      </w:r>
      <w:r w:rsidR="008E7347">
        <w:rPr>
          <w:rFonts w:ascii="Arial" w:hAnsi="Arial" w:cs="Arial"/>
          <w:sz w:val="24"/>
          <w:szCs w:val="24"/>
        </w:rPr>
        <w:t>.</w:t>
      </w:r>
      <w:r w:rsidRPr="005902CA">
        <w:rPr>
          <w:rFonts w:ascii="Arial" w:hAnsi="Arial" w:cs="Arial"/>
          <w:sz w:val="24"/>
          <w:szCs w:val="24"/>
        </w:rPr>
        <w:t>325</w:t>
      </w:r>
      <w:r w:rsidR="004532FA">
        <w:rPr>
          <w:rFonts w:ascii="Arial" w:hAnsi="Arial" w:cs="Arial"/>
          <w:sz w:val="24"/>
          <w:szCs w:val="24"/>
        </w:rPr>
        <w:t xml:space="preserve"> </w:t>
      </w:r>
      <w:r w:rsidR="008E7347">
        <w:rPr>
          <w:rFonts w:ascii="Arial" w:hAnsi="Arial" w:cs="Arial"/>
          <w:sz w:val="24"/>
          <w:szCs w:val="24"/>
        </w:rPr>
        <w:t>millones</w:t>
      </w:r>
      <w:r w:rsidRPr="005902CA">
        <w:rPr>
          <w:rFonts w:ascii="Arial" w:hAnsi="Arial" w:cs="Arial"/>
          <w:sz w:val="24"/>
          <w:szCs w:val="24"/>
        </w:rPr>
        <w:t>, que con respecto al informe de 2015 representa en porcentaje el 4.1% que se explica por un fuerte aumento, principalmente en el grupo de otros activos, un leve aumento en Deudores, disminuciones de la Propiedad Planta y Equipo y los  bienes de Beneficio y Uso Público.</w:t>
      </w:r>
    </w:p>
    <w:p w:rsidR="00A02116" w:rsidRPr="00FD5567" w:rsidRDefault="00A02116" w:rsidP="006E45D8">
      <w:pPr>
        <w:spacing w:line="360" w:lineRule="auto"/>
        <w:jc w:val="both"/>
        <w:rPr>
          <w:rFonts w:ascii="Arial" w:hAnsi="Arial" w:cs="Arial"/>
          <w:sz w:val="24"/>
          <w:szCs w:val="24"/>
        </w:rPr>
      </w:pPr>
      <w:r w:rsidRPr="00FD5567">
        <w:rPr>
          <w:rFonts w:ascii="Arial" w:hAnsi="Arial" w:cs="Arial"/>
          <w:sz w:val="24"/>
          <w:szCs w:val="24"/>
        </w:rPr>
        <w:lastRenderedPageBreak/>
        <w:t>En este grupo de los no corrientes aparecen las cuentas de: Inversiones patrimoniales en diez</w:t>
      </w:r>
      <w:r>
        <w:rPr>
          <w:rFonts w:ascii="Arial" w:hAnsi="Arial" w:cs="Arial"/>
          <w:sz w:val="24"/>
          <w:szCs w:val="24"/>
        </w:rPr>
        <w:t xml:space="preserve"> </w:t>
      </w:r>
      <w:r w:rsidRPr="00FD5567">
        <w:rPr>
          <w:rFonts w:ascii="Arial" w:hAnsi="Arial" w:cs="Arial"/>
          <w:sz w:val="24"/>
          <w:szCs w:val="24"/>
        </w:rPr>
        <w:t>empresas societarias, de las cuales, dos están en liquidación; el valor total de las inversiones es de $14</w:t>
      </w:r>
      <w:r w:rsidR="008E7347">
        <w:rPr>
          <w:rFonts w:ascii="Arial" w:hAnsi="Arial" w:cs="Arial"/>
          <w:sz w:val="24"/>
          <w:szCs w:val="24"/>
        </w:rPr>
        <w:t>.</w:t>
      </w:r>
      <w:r w:rsidRPr="00FD5567">
        <w:rPr>
          <w:rFonts w:ascii="Arial" w:hAnsi="Arial" w:cs="Arial"/>
          <w:sz w:val="24"/>
          <w:szCs w:val="24"/>
        </w:rPr>
        <w:t>390</w:t>
      </w:r>
      <w:r w:rsidR="004532FA">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Rentas por Cobrar: valor que revela el saldo de la cartera de la base de datos del programa SISCAR $5519, Deudores con $2</w:t>
      </w:r>
      <w:r w:rsidR="008E7347">
        <w:rPr>
          <w:rFonts w:ascii="Arial" w:hAnsi="Arial" w:cs="Arial"/>
          <w:sz w:val="24"/>
          <w:szCs w:val="24"/>
        </w:rPr>
        <w:t>.</w:t>
      </w:r>
      <w:r w:rsidRPr="00FD5567">
        <w:rPr>
          <w:rFonts w:ascii="Arial" w:hAnsi="Arial" w:cs="Arial"/>
          <w:sz w:val="24"/>
          <w:szCs w:val="24"/>
        </w:rPr>
        <w:t>973</w:t>
      </w:r>
      <w:r w:rsidR="004532FA">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Propiedad Planta y Equipo $67</w:t>
      </w:r>
      <w:r w:rsidR="008E7347">
        <w:rPr>
          <w:rFonts w:ascii="Arial" w:hAnsi="Arial" w:cs="Arial"/>
          <w:sz w:val="24"/>
          <w:szCs w:val="24"/>
        </w:rPr>
        <w:t>.</w:t>
      </w:r>
      <w:r w:rsidRPr="00FD5567">
        <w:rPr>
          <w:rFonts w:ascii="Arial" w:hAnsi="Arial" w:cs="Arial"/>
          <w:sz w:val="24"/>
          <w:szCs w:val="24"/>
        </w:rPr>
        <w:t>862</w:t>
      </w:r>
      <w:r w:rsidR="004532FA">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del que hay que mencionar que disminuyó con respecto al saldo anterior, debido a los ajustes realizados por esa área en el módulo de recursos físicos para depurar las cifras de la bodega</w:t>
      </w:r>
    </w:p>
    <w:p w:rsidR="00A02116" w:rsidRPr="00FD5567" w:rsidRDefault="00A02116" w:rsidP="006E45D8">
      <w:pPr>
        <w:spacing w:line="360" w:lineRule="auto"/>
        <w:jc w:val="both"/>
        <w:rPr>
          <w:rFonts w:ascii="Arial" w:hAnsi="Arial" w:cs="Arial"/>
          <w:noProof/>
          <w:sz w:val="24"/>
          <w:szCs w:val="24"/>
          <w:lang w:eastAsia="es-CO"/>
        </w:rPr>
      </w:pPr>
      <w:r w:rsidRPr="00FD5567">
        <w:rPr>
          <w:rFonts w:ascii="Arial" w:hAnsi="Arial" w:cs="Arial"/>
          <w:noProof/>
          <w:sz w:val="24"/>
          <w:szCs w:val="24"/>
          <w:lang w:eastAsia="es-CO"/>
        </w:rPr>
        <w:t>Bienes de Beneficio y Uso Público: revela las inversiones realizadas en la infraestructura del inventario vial de segundo orden del Departamento que suman 35 vías, una unidad recreativa en el barrio al Esperanza del mpio de Calarcá y la finca san José del Barrio la Patria en Armenia que todos en total suman $41</w:t>
      </w:r>
      <w:r w:rsidR="008E7347">
        <w:rPr>
          <w:rFonts w:ascii="Arial" w:hAnsi="Arial" w:cs="Arial"/>
          <w:noProof/>
          <w:sz w:val="24"/>
          <w:szCs w:val="24"/>
          <w:lang w:eastAsia="es-CO"/>
        </w:rPr>
        <w:t>.</w:t>
      </w:r>
      <w:r w:rsidRPr="00FD5567">
        <w:rPr>
          <w:rFonts w:ascii="Arial" w:hAnsi="Arial" w:cs="Arial"/>
          <w:noProof/>
          <w:sz w:val="24"/>
          <w:szCs w:val="24"/>
          <w:lang w:eastAsia="es-CO"/>
        </w:rPr>
        <w:t>459</w:t>
      </w:r>
      <w:r w:rsidR="004532FA">
        <w:rPr>
          <w:rFonts w:ascii="Arial" w:hAnsi="Arial" w:cs="Arial"/>
          <w:noProof/>
          <w:sz w:val="24"/>
          <w:szCs w:val="24"/>
          <w:lang w:eastAsia="es-CO"/>
        </w:rPr>
        <w:t xml:space="preserve"> </w:t>
      </w:r>
      <w:r w:rsidR="008E7347">
        <w:rPr>
          <w:rFonts w:ascii="Arial" w:hAnsi="Arial" w:cs="Arial"/>
          <w:noProof/>
          <w:sz w:val="24"/>
          <w:szCs w:val="24"/>
          <w:lang w:eastAsia="es-CO"/>
        </w:rPr>
        <w:t>millones</w:t>
      </w:r>
      <w:r w:rsidRPr="00FD5567">
        <w:rPr>
          <w:rFonts w:ascii="Arial" w:hAnsi="Arial" w:cs="Arial"/>
          <w:noProof/>
          <w:sz w:val="24"/>
          <w:szCs w:val="24"/>
          <w:lang w:eastAsia="es-CO"/>
        </w:rPr>
        <w:t>.</w:t>
      </w:r>
    </w:p>
    <w:p w:rsidR="00A02116" w:rsidRPr="00FD5567" w:rsidRDefault="00A02116" w:rsidP="006E45D8">
      <w:pPr>
        <w:spacing w:line="360" w:lineRule="auto"/>
        <w:jc w:val="both"/>
        <w:rPr>
          <w:rFonts w:ascii="Arial" w:hAnsi="Arial" w:cs="Arial"/>
          <w:noProof/>
          <w:sz w:val="24"/>
          <w:szCs w:val="24"/>
          <w:lang w:eastAsia="es-CO"/>
        </w:rPr>
      </w:pPr>
      <w:r w:rsidRPr="00FD5567">
        <w:rPr>
          <w:rFonts w:ascii="Arial" w:hAnsi="Arial" w:cs="Arial"/>
          <w:noProof/>
          <w:sz w:val="24"/>
          <w:szCs w:val="24"/>
          <w:lang w:eastAsia="es-CO"/>
        </w:rPr>
        <w:t>Otros Activos: Su saldo acumulado es de $465</w:t>
      </w:r>
      <w:r w:rsidR="008E7347">
        <w:rPr>
          <w:rFonts w:ascii="Arial" w:hAnsi="Arial" w:cs="Arial"/>
          <w:noProof/>
          <w:sz w:val="24"/>
          <w:szCs w:val="24"/>
          <w:lang w:eastAsia="es-CO"/>
        </w:rPr>
        <w:t>.</w:t>
      </w:r>
      <w:r w:rsidRPr="00FD5567">
        <w:rPr>
          <w:rFonts w:ascii="Arial" w:hAnsi="Arial" w:cs="Arial"/>
          <w:noProof/>
          <w:sz w:val="24"/>
          <w:szCs w:val="24"/>
          <w:lang w:eastAsia="es-CO"/>
        </w:rPr>
        <w:t>208</w:t>
      </w:r>
      <w:r w:rsidR="004532FA">
        <w:rPr>
          <w:rFonts w:ascii="Arial" w:hAnsi="Arial" w:cs="Arial"/>
          <w:noProof/>
          <w:sz w:val="24"/>
          <w:szCs w:val="24"/>
          <w:lang w:eastAsia="es-CO"/>
        </w:rPr>
        <w:t xml:space="preserve"> </w:t>
      </w:r>
      <w:r w:rsidR="008E7347">
        <w:rPr>
          <w:rFonts w:ascii="Arial" w:hAnsi="Arial" w:cs="Arial"/>
          <w:noProof/>
          <w:sz w:val="24"/>
          <w:szCs w:val="24"/>
          <w:lang w:eastAsia="es-CO"/>
        </w:rPr>
        <w:t>millones</w:t>
      </w:r>
      <w:r w:rsidRPr="00FD5567">
        <w:rPr>
          <w:rFonts w:ascii="Arial" w:hAnsi="Arial" w:cs="Arial"/>
          <w:noProof/>
          <w:sz w:val="24"/>
          <w:szCs w:val="24"/>
          <w:lang w:eastAsia="es-CO"/>
        </w:rPr>
        <w:t>. Este la integran: La reserva financiera actuarial, gastos pagos por anticipado; Cargos Diferidos, Obras y mejoras en propiedades ajenas,  Bienes entregados a terceros (existen registros que revelan que el Departamento tiene bienes entregados en calidad de comodato con 80 entidades de carácter privado). Bienes de Arte y Cultura, Intangibles; Amortización acumulada de intangibles; y finalmente Valorizaciones que corresponde a la valorización de inversiones patrimoniales, terrenos y edificaciones. Debe hacerse mención que la reserva financiera con un avalor de $353</w:t>
      </w:r>
      <w:r w:rsidR="008E7347">
        <w:rPr>
          <w:rFonts w:ascii="Arial" w:hAnsi="Arial" w:cs="Arial"/>
          <w:noProof/>
          <w:sz w:val="24"/>
          <w:szCs w:val="24"/>
          <w:lang w:eastAsia="es-CO"/>
        </w:rPr>
        <w:t>.</w:t>
      </w:r>
      <w:r w:rsidRPr="00FD5567">
        <w:rPr>
          <w:rFonts w:ascii="Arial" w:hAnsi="Arial" w:cs="Arial"/>
          <w:noProof/>
          <w:sz w:val="24"/>
          <w:szCs w:val="24"/>
          <w:lang w:eastAsia="es-CO"/>
        </w:rPr>
        <w:t>230</w:t>
      </w:r>
      <w:r w:rsidR="0003158B">
        <w:rPr>
          <w:rFonts w:ascii="Arial" w:hAnsi="Arial" w:cs="Arial"/>
          <w:noProof/>
          <w:sz w:val="24"/>
          <w:szCs w:val="24"/>
          <w:lang w:eastAsia="es-CO"/>
        </w:rPr>
        <w:t xml:space="preserve"> </w:t>
      </w:r>
      <w:r w:rsidR="008E7347">
        <w:rPr>
          <w:rFonts w:ascii="Arial" w:hAnsi="Arial" w:cs="Arial"/>
          <w:noProof/>
          <w:sz w:val="24"/>
          <w:szCs w:val="24"/>
          <w:lang w:eastAsia="es-CO"/>
        </w:rPr>
        <w:t>millones</w:t>
      </w:r>
      <w:r w:rsidRPr="00FD5567">
        <w:rPr>
          <w:rFonts w:ascii="Arial" w:hAnsi="Arial" w:cs="Arial"/>
          <w:noProof/>
          <w:sz w:val="24"/>
          <w:szCs w:val="24"/>
          <w:lang w:eastAsia="es-CO"/>
        </w:rPr>
        <w:t xml:space="preserve"> representa en este grupo el 76% y las valorizaciones con $93,292</w:t>
      </w:r>
      <w:r w:rsidR="0003158B">
        <w:rPr>
          <w:rFonts w:ascii="Arial" w:hAnsi="Arial" w:cs="Arial"/>
          <w:noProof/>
          <w:sz w:val="24"/>
          <w:szCs w:val="24"/>
          <w:lang w:eastAsia="es-CO"/>
        </w:rPr>
        <w:t xml:space="preserve"> </w:t>
      </w:r>
      <w:r w:rsidR="008E7347">
        <w:rPr>
          <w:rFonts w:ascii="Arial" w:hAnsi="Arial" w:cs="Arial"/>
          <w:noProof/>
          <w:sz w:val="24"/>
          <w:szCs w:val="24"/>
          <w:lang w:eastAsia="es-CO"/>
        </w:rPr>
        <w:t>millones</w:t>
      </w:r>
      <w:r w:rsidRPr="00FD5567">
        <w:rPr>
          <w:rFonts w:ascii="Arial" w:hAnsi="Arial" w:cs="Arial"/>
          <w:noProof/>
          <w:sz w:val="24"/>
          <w:szCs w:val="24"/>
          <w:lang w:eastAsia="es-CO"/>
        </w:rPr>
        <w:t xml:space="preserve"> el 20.6%. Finalmente, se informa la incorporación de 60 unidades de cómputo “todo en uno” contratados en 2104 mediante la modalidad de arrendamiento financiero y se contabilizaron por el valor establecido en el contrato de arrendamiento por unidad y dado que hubo dificultad para conocer la financiación, no se hizo el cálculo de su valor presente, por lo cual,  el valor de los equipos quedó en $182</w:t>
      </w:r>
      <w:r w:rsidR="0003158B">
        <w:rPr>
          <w:rFonts w:ascii="Arial" w:hAnsi="Arial" w:cs="Arial"/>
          <w:noProof/>
          <w:sz w:val="24"/>
          <w:szCs w:val="24"/>
          <w:lang w:eastAsia="es-CO"/>
        </w:rPr>
        <w:t xml:space="preserve"> </w:t>
      </w:r>
      <w:r w:rsidR="008E7347">
        <w:rPr>
          <w:rFonts w:ascii="Arial" w:hAnsi="Arial" w:cs="Arial"/>
          <w:noProof/>
          <w:sz w:val="24"/>
          <w:szCs w:val="24"/>
          <w:lang w:eastAsia="es-CO"/>
        </w:rPr>
        <w:t>millones</w:t>
      </w:r>
      <w:r w:rsidRPr="00FD5567">
        <w:rPr>
          <w:rFonts w:ascii="Arial" w:hAnsi="Arial" w:cs="Arial"/>
          <w:noProof/>
          <w:sz w:val="24"/>
          <w:szCs w:val="24"/>
          <w:lang w:eastAsia="es-CO"/>
        </w:rPr>
        <w:t xml:space="preserve"> con una depreciación de $66</w:t>
      </w:r>
      <w:r w:rsidR="008E7347">
        <w:rPr>
          <w:rFonts w:ascii="Arial" w:hAnsi="Arial" w:cs="Arial"/>
          <w:noProof/>
          <w:sz w:val="24"/>
          <w:szCs w:val="24"/>
          <w:lang w:eastAsia="es-CO"/>
        </w:rPr>
        <w:t xml:space="preserve">millones </w:t>
      </w:r>
      <w:r w:rsidRPr="00FD5567">
        <w:rPr>
          <w:rFonts w:ascii="Arial" w:hAnsi="Arial" w:cs="Arial"/>
          <w:noProof/>
          <w:sz w:val="24"/>
          <w:szCs w:val="24"/>
          <w:lang w:eastAsia="es-CO"/>
        </w:rPr>
        <w:t xml:space="preserve"> y un saldo de deuda por $67</w:t>
      </w:r>
      <w:r w:rsidR="0003158B">
        <w:rPr>
          <w:rFonts w:ascii="Arial" w:hAnsi="Arial" w:cs="Arial"/>
          <w:noProof/>
          <w:sz w:val="24"/>
          <w:szCs w:val="24"/>
          <w:lang w:eastAsia="es-CO"/>
        </w:rPr>
        <w:t xml:space="preserve"> </w:t>
      </w:r>
      <w:r w:rsidR="008E7347">
        <w:rPr>
          <w:rFonts w:ascii="Arial" w:hAnsi="Arial" w:cs="Arial"/>
          <w:noProof/>
          <w:sz w:val="24"/>
          <w:szCs w:val="24"/>
          <w:lang w:eastAsia="es-CO"/>
        </w:rPr>
        <w:t>millones</w:t>
      </w:r>
    </w:p>
    <w:p w:rsidR="00A02116" w:rsidRPr="00FD5567" w:rsidRDefault="00A02116" w:rsidP="006E45D8">
      <w:pPr>
        <w:spacing w:line="360" w:lineRule="auto"/>
        <w:jc w:val="both"/>
        <w:rPr>
          <w:rFonts w:ascii="Arial" w:hAnsi="Arial" w:cs="Arial"/>
          <w:sz w:val="24"/>
          <w:szCs w:val="24"/>
        </w:rPr>
      </w:pPr>
      <w:r w:rsidRPr="00FD5567">
        <w:rPr>
          <w:rFonts w:ascii="Arial" w:hAnsi="Arial" w:cs="Arial"/>
          <w:sz w:val="24"/>
          <w:szCs w:val="24"/>
        </w:rPr>
        <w:t>Podemos agregar finalmente, que los activos totales en los últimos cinco años</w:t>
      </w:r>
      <w:r>
        <w:rPr>
          <w:rFonts w:ascii="Arial" w:hAnsi="Arial" w:cs="Arial"/>
          <w:sz w:val="24"/>
          <w:szCs w:val="24"/>
        </w:rPr>
        <w:t xml:space="preserve"> han crecido a una tasa del 12.6</w:t>
      </w:r>
      <w:r w:rsidRPr="00FD5567">
        <w:rPr>
          <w:rFonts w:ascii="Arial" w:hAnsi="Arial" w:cs="Arial"/>
          <w:sz w:val="24"/>
          <w:szCs w:val="24"/>
        </w:rPr>
        <w:t>%.</w:t>
      </w:r>
    </w:p>
    <w:p w:rsidR="00A02116" w:rsidRPr="00A02116" w:rsidRDefault="00A02116" w:rsidP="006E45D8">
      <w:pPr>
        <w:spacing w:after="0" w:line="360" w:lineRule="auto"/>
        <w:jc w:val="both"/>
        <w:rPr>
          <w:rFonts w:ascii="Arial" w:hAnsi="Arial" w:cs="Arial"/>
          <w:b/>
          <w:sz w:val="24"/>
          <w:szCs w:val="24"/>
        </w:rPr>
      </w:pPr>
      <w:r w:rsidRPr="00A02116">
        <w:rPr>
          <w:rFonts w:ascii="Arial" w:hAnsi="Arial" w:cs="Arial"/>
          <w:b/>
          <w:sz w:val="24"/>
          <w:szCs w:val="24"/>
        </w:rPr>
        <w:lastRenderedPageBreak/>
        <w:t>PASIVOS.</w:t>
      </w:r>
    </w:p>
    <w:p w:rsidR="00A02116" w:rsidRPr="00FD5567" w:rsidRDefault="00A02116" w:rsidP="006E45D8">
      <w:pPr>
        <w:tabs>
          <w:tab w:val="right" w:pos="4386"/>
        </w:tabs>
        <w:spacing w:line="360" w:lineRule="auto"/>
        <w:jc w:val="both"/>
        <w:rPr>
          <w:rFonts w:ascii="Arial" w:hAnsi="Arial" w:cs="Arial"/>
          <w:b/>
          <w:sz w:val="24"/>
          <w:szCs w:val="24"/>
        </w:rPr>
      </w:pPr>
      <w:r w:rsidRPr="00FD5567">
        <w:rPr>
          <w:rFonts w:ascii="Arial" w:hAnsi="Arial" w:cs="Arial"/>
          <w:sz w:val="24"/>
          <w:szCs w:val="24"/>
        </w:rPr>
        <w:t>Rev</w:t>
      </w:r>
      <w:r w:rsidR="00A6658B">
        <w:rPr>
          <w:rFonts w:ascii="Arial" w:hAnsi="Arial" w:cs="Arial"/>
          <w:sz w:val="24"/>
          <w:szCs w:val="24"/>
        </w:rPr>
        <w:t xml:space="preserve">ela todos aquellos compromisos </w:t>
      </w:r>
      <w:r w:rsidRPr="00FD5567">
        <w:rPr>
          <w:rFonts w:ascii="Arial" w:hAnsi="Arial" w:cs="Arial"/>
          <w:sz w:val="24"/>
          <w:szCs w:val="24"/>
        </w:rPr>
        <w:t xml:space="preserve">y obligaciones bien sea, por carácter legal, contractual o por hechos económicos o financieros y a los cuales se les debe dar cumplimiento en un periodo de corto o largo plazo. </w:t>
      </w:r>
    </w:p>
    <w:p w:rsidR="00A02116" w:rsidRPr="00FD5567" w:rsidRDefault="00A02116" w:rsidP="006E45D8">
      <w:pPr>
        <w:spacing w:line="360" w:lineRule="auto"/>
        <w:jc w:val="both"/>
        <w:rPr>
          <w:rFonts w:ascii="Arial" w:hAnsi="Arial" w:cs="Arial"/>
          <w:sz w:val="24"/>
          <w:szCs w:val="24"/>
        </w:rPr>
      </w:pPr>
      <w:r w:rsidRPr="00FD5567">
        <w:rPr>
          <w:rFonts w:ascii="Arial" w:hAnsi="Arial" w:cs="Arial"/>
          <w:sz w:val="24"/>
          <w:szCs w:val="24"/>
        </w:rPr>
        <w:t xml:space="preserve">El total de pasivos sumó al cierre de 2016 </w:t>
      </w:r>
      <w:r>
        <w:rPr>
          <w:rFonts w:ascii="Arial" w:hAnsi="Arial" w:cs="Arial"/>
          <w:sz w:val="24"/>
          <w:szCs w:val="24"/>
        </w:rPr>
        <w:t xml:space="preserve"> en la cifra de $270</w:t>
      </w:r>
      <w:r w:rsidR="008E7347">
        <w:rPr>
          <w:rFonts w:ascii="Arial" w:hAnsi="Arial" w:cs="Arial"/>
          <w:sz w:val="24"/>
          <w:szCs w:val="24"/>
        </w:rPr>
        <w:t>.</w:t>
      </w:r>
      <w:r>
        <w:rPr>
          <w:rFonts w:ascii="Arial" w:hAnsi="Arial" w:cs="Arial"/>
          <w:sz w:val="24"/>
          <w:szCs w:val="24"/>
        </w:rPr>
        <w:t>988</w:t>
      </w:r>
      <w:r w:rsidR="0003158B">
        <w:rPr>
          <w:rFonts w:ascii="Arial" w:hAnsi="Arial" w:cs="Arial"/>
          <w:sz w:val="24"/>
          <w:szCs w:val="24"/>
        </w:rPr>
        <w:t xml:space="preserve"> </w:t>
      </w:r>
      <w:r w:rsidR="008E7347">
        <w:rPr>
          <w:rFonts w:ascii="Arial" w:hAnsi="Arial" w:cs="Arial"/>
          <w:sz w:val="24"/>
          <w:szCs w:val="24"/>
        </w:rPr>
        <w:t>millones</w:t>
      </w:r>
      <w:r>
        <w:rPr>
          <w:rFonts w:ascii="Arial" w:hAnsi="Arial" w:cs="Arial"/>
          <w:sz w:val="24"/>
          <w:szCs w:val="24"/>
        </w:rPr>
        <w:t xml:space="preserve"> y tuvo, con respecto a la vigencia 2105 </w:t>
      </w:r>
      <w:r w:rsidRPr="00FD5567">
        <w:rPr>
          <w:rFonts w:ascii="Arial" w:hAnsi="Arial" w:cs="Arial"/>
          <w:sz w:val="24"/>
          <w:szCs w:val="24"/>
        </w:rPr>
        <w:t>un aumento</w:t>
      </w:r>
      <w:r>
        <w:rPr>
          <w:rFonts w:ascii="Arial" w:hAnsi="Arial" w:cs="Arial"/>
          <w:sz w:val="24"/>
          <w:szCs w:val="24"/>
        </w:rPr>
        <w:t xml:space="preserve"> </w:t>
      </w:r>
      <w:r w:rsidRPr="00FD5567">
        <w:rPr>
          <w:rFonts w:ascii="Arial" w:hAnsi="Arial" w:cs="Arial"/>
          <w:sz w:val="24"/>
          <w:szCs w:val="24"/>
        </w:rPr>
        <w:t>en valores</w:t>
      </w:r>
      <w:r>
        <w:rPr>
          <w:rFonts w:ascii="Arial" w:hAnsi="Arial" w:cs="Arial"/>
          <w:sz w:val="24"/>
          <w:szCs w:val="24"/>
        </w:rPr>
        <w:t xml:space="preserve"> absolutos de $5136</w:t>
      </w:r>
      <w:r w:rsidRPr="00FD5567">
        <w:rPr>
          <w:rFonts w:ascii="Arial" w:hAnsi="Arial" w:cs="Arial"/>
          <w:sz w:val="24"/>
          <w:szCs w:val="24"/>
        </w:rPr>
        <w:t xml:space="preserve"> que en </w:t>
      </w:r>
      <w:r>
        <w:rPr>
          <w:rFonts w:ascii="Arial" w:hAnsi="Arial" w:cs="Arial"/>
          <w:sz w:val="24"/>
          <w:szCs w:val="24"/>
        </w:rPr>
        <w:t>porcen</w:t>
      </w:r>
      <w:r w:rsidR="00E5550B">
        <w:rPr>
          <w:rFonts w:ascii="Arial" w:hAnsi="Arial" w:cs="Arial"/>
          <w:sz w:val="24"/>
          <w:szCs w:val="24"/>
        </w:rPr>
        <w:t>ta</w:t>
      </w:r>
      <w:r>
        <w:rPr>
          <w:rFonts w:ascii="Arial" w:hAnsi="Arial" w:cs="Arial"/>
          <w:sz w:val="24"/>
          <w:szCs w:val="24"/>
        </w:rPr>
        <w:t>je es del 1.9%</w:t>
      </w:r>
      <w:r w:rsidRPr="00FD5567">
        <w:rPr>
          <w:rFonts w:ascii="Arial" w:hAnsi="Arial" w:cs="Arial"/>
          <w:sz w:val="24"/>
          <w:szCs w:val="24"/>
        </w:rPr>
        <w:t>; este aumento se refleja en las variaciones al a</w:t>
      </w:r>
      <w:r>
        <w:rPr>
          <w:rFonts w:ascii="Arial" w:hAnsi="Arial" w:cs="Arial"/>
          <w:sz w:val="24"/>
          <w:szCs w:val="24"/>
        </w:rPr>
        <w:t>lza de cuentas por pagar en 35.9</w:t>
      </w:r>
      <w:r w:rsidRPr="00FD5567">
        <w:rPr>
          <w:rFonts w:ascii="Arial" w:hAnsi="Arial" w:cs="Arial"/>
          <w:sz w:val="24"/>
          <w:szCs w:val="24"/>
        </w:rPr>
        <w:t>%, la disminución en las obligaciones por deuda pública en el 6.4%,  aumento en las obligaciones laborales del 125.1% y una diminución</w:t>
      </w:r>
      <w:r>
        <w:rPr>
          <w:rFonts w:ascii="Arial" w:hAnsi="Arial" w:cs="Arial"/>
          <w:sz w:val="24"/>
          <w:szCs w:val="24"/>
        </w:rPr>
        <w:t xml:space="preserve"> de los pasivos estimados en 4</w:t>
      </w:r>
      <w:r w:rsidRPr="00FD5567">
        <w:rPr>
          <w:rFonts w:ascii="Arial" w:hAnsi="Arial" w:cs="Arial"/>
          <w:sz w:val="24"/>
          <w:szCs w:val="24"/>
        </w:rPr>
        <w:t>%.</w:t>
      </w:r>
    </w:p>
    <w:p w:rsidR="00A02116" w:rsidRPr="00FD5567" w:rsidRDefault="00A02116" w:rsidP="006E45D8">
      <w:pPr>
        <w:spacing w:line="360" w:lineRule="auto"/>
        <w:jc w:val="both"/>
        <w:rPr>
          <w:rFonts w:ascii="Arial" w:hAnsi="Arial" w:cs="Arial"/>
          <w:sz w:val="24"/>
          <w:szCs w:val="24"/>
        </w:rPr>
      </w:pPr>
      <w:r w:rsidRPr="00FD5567">
        <w:rPr>
          <w:rFonts w:ascii="Arial" w:hAnsi="Arial" w:cs="Arial"/>
          <w:sz w:val="24"/>
          <w:szCs w:val="24"/>
        </w:rPr>
        <w:t>Tomando como referencia el año 2012, los pasivos totales han crecido a una tasa real del 20.6% en los últimos cinco años.</w:t>
      </w:r>
    </w:p>
    <w:p w:rsidR="005330CC" w:rsidRDefault="005330CC" w:rsidP="006E45D8">
      <w:pPr>
        <w:spacing w:after="0" w:line="360" w:lineRule="auto"/>
        <w:jc w:val="both"/>
        <w:rPr>
          <w:rFonts w:ascii="Arial" w:hAnsi="Arial" w:cs="Arial"/>
          <w:b/>
          <w:sz w:val="24"/>
          <w:szCs w:val="24"/>
        </w:rPr>
      </w:pPr>
    </w:p>
    <w:p w:rsidR="00A02116" w:rsidRPr="00E5550B" w:rsidRDefault="00A02116" w:rsidP="006E45D8">
      <w:pPr>
        <w:spacing w:after="0" w:line="360" w:lineRule="auto"/>
        <w:jc w:val="both"/>
        <w:rPr>
          <w:rFonts w:ascii="Arial" w:hAnsi="Arial" w:cs="Arial"/>
          <w:sz w:val="24"/>
          <w:szCs w:val="24"/>
        </w:rPr>
      </w:pPr>
      <w:r w:rsidRPr="00E5550B">
        <w:rPr>
          <w:rFonts w:ascii="Arial" w:hAnsi="Arial" w:cs="Arial"/>
          <w:b/>
          <w:sz w:val="24"/>
          <w:szCs w:val="24"/>
        </w:rPr>
        <w:t>PASIVOS DE CORTO PLAZO</w:t>
      </w:r>
      <w:r w:rsidRPr="00E5550B">
        <w:rPr>
          <w:rFonts w:ascii="Arial" w:hAnsi="Arial" w:cs="Arial"/>
          <w:sz w:val="24"/>
          <w:szCs w:val="24"/>
        </w:rPr>
        <w:t xml:space="preserve">: </w:t>
      </w:r>
    </w:p>
    <w:p w:rsidR="00A02116" w:rsidRDefault="00A02116" w:rsidP="006E45D8">
      <w:pPr>
        <w:spacing w:line="360" w:lineRule="auto"/>
        <w:jc w:val="both"/>
        <w:rPr>
          <w:rFonts w:ascii="Arial" w:hAnsi="Arial" w:cs="Arial"/>
          <w:sz w:val="24"/>
          <w:szCs w:val="24"/>
        </w:rPr>
      </w:pPr>
      <w:r w:rsidRPr="00FD5567">
        <w:rPr>
          <w:rFonts w:ascii="Arial" w:hAnsi="Arial" w:cs="Arial"/>
          <w:sz w:val="24"/>
          <w:szCs w:val="24"/>
        </w:rPr>
        <w:t xml:space="preserve">Representa las exigibilidades inmediatas a cargo del Departamento y se espera que su plazo de cancelación no sea superior a un periodo anual. </w:t>
      </w:r>
    </w:p>
    <w:p w:rsidR="00A02116" w:rsidRPr="00FD5567" w:rsidRDefault="00A02116" w:rsidP="006E45D8">
      <w:pPr>
        <w:spacing w:line="360" w:lineRule="auto"/>
        <w:jc w:val="both"/>
        <w:rPr>
          <w:rFonts w:ascii="Arial" w:hAnsi="Arial" w:cs="Arial"/>
          <w:sz w:val="24"/>
          <w:szCs w:val="24"/>
        </w:rPr>
      </w:pPr>
      <w:r w:rsidRPr="00FD5567">
        <w:rPr>
          <w:rFonts w:ascii="Arial" w:hAnsi="Arial" w:cs="Arial"/>
          <w:sz w:val="24"/>
          <w:szCs w:val="24"/>
        </w:rPr>
        <w:t>Este compone</w:t>
      </w:r>
      <w:r>
        <w:rPr>
          <w:rFonts w:ascii="Arial" w:hAnsi="Arial" w:cs="Arial"/>
          <w:sz w:val="24"/>
          <w:szCs w:val="24"/>
        </w:rPr>
        <w:t>nte cerró con un saldo de $54</w:t>
      </w:r>
      <w:r w:rsidR="008E7347">
        <w:rPr>
          <w:rFonts w:ascii="Arial" w:hAnsi="Arial" w:cs="Arial"/>
          <w:sz w:val="24"/>
          <w:szCs w:val="24"/>
        </w:rPr>
        <w:t>.</w:t>
      </w:r>
      <w:r>
        <w:rPr>
          <w:rFonts w:ascii="Arial" w:hAnsi="Arial" w:cs="Arial"/>
          <w:sz w:val="24"/>
          <w:szCs w:val="24"/>
        </w:rPr>
        <w:t>875</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el cual aumentó con respecto a 2015 </w:t>
      </w:r>
      <w:r>
        <w:rPr>
          <w:rFonts w:ascii="Arial" w:hAnsi="Arial" w:cs="Arial"/>
          <w:sz w:val="24"/>
          <w:szCs w:val="24"/>
        </w:rPr>
        <w:t>en la suma $11</w:t>
      </w:r>
      <w:r w:rsidR="008E7347">
        <w:rPr>
          <w:rFonts w:ascii="Arial" w:hAnsi="Arial" w:cs="Arial"/>
          <w:sz w:val="24"/>
          <w:szCs w:val="24"/>
        </w:rPr>
        <w:t>.</w:t>
      </w:r>
      <w:r>
        <w:rPr>
          <w:rFonts w:ascii="Arial" w:hAnsi="Arial" w:cs="Arial"/>
          <w:sz w:val="24"/>
          <w:szCs w:val="24"/>
        </w:rPr>
        <w:t>500</w:t>
      </w:r>
      <w:r w:rsidR="0048487D">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cuya </w:t>
      </w:r>
      <w:r>
        <w:rPr>
          <w:rFonts w:ascii="Arial" w:hAnsi="Arial" w:cs="Arial"/>
          <w:sz w:val="24"/>
          <w:szCs w:val="24"/>
        </w:rPr>
        <w:t>variación porcentual es del 26.5</w:t>
      </w:r>
      <w:r w:rsidRPr="00FD5567">
        <w:rPr>
          <w:rFonts w:ascii="Arial" w:hAnsi="Arial" w:cs="Arial"/>
          <w:sz w:val="24"/>
          <w:szCs w:val="24"/>
        </w:rPr>
        <w:t>%. El aumento en la variación del pasivo corriente fue impactado por la incorporación de la totalidad de exigibilidades surgidas de compromisos contractuales que quedaron vigentes al cierre del periodo final. Igualmente, se c</w:t>
      </w:r>
      <w:r w:rsidR="00A6658B">
        <w:rPr>
          <w:rFonts w:ascii="Arial" w:hAnsi="Arial" w:cs="Arial"/>
          <w:sz w:val="24"/>
          <w:szCs w:val="24"/>
        </w:rPr>
        <w:t>onstituyeron las exigibilidades</w:t>
      </w:r>
      <w:r w:rsidRPr="00FD5567">
        <w:rPr>
          <w:rFonts w:ascii="Arial" w:hAnsi="Arial" w:cs="Arial"/>
          <w:sz w:val="24"/>
          <w:szCs w:val="24"/>
        </w:rPr>
        <w:t xml:space="preserve"> producto de la cancelación de reservas que venían de la vigencia 2015. Este componente contiene al </w:t>
      </w:r>
      <w:r w:rsidR="005330CC">
        <w:rPr>
          <w:rFonts w:ascii="Arial" w:hAnsi="Arial" w:cs="Arial"/>
          <w:sz w:val="24"/>
          <w:szCs w:val="24"/>
        </w:rPr>
        <w:t>p</w:t>
      </w:r>
      <w:r w:rsidR="00A6658B">
        <w:rPr>
          <w:rFonts w:ascii="Arial" w:hAnsi="Arial" w:cs="Arial"/>
          <w:sz w:val="24"/>
          <w:szCs w:val="24"/>
        </w:rPr>
        <w:t xml:space="preserve">orción </w:t>
      </w:r>
      <w:r w:rsidRPr="00FD5567">
        <w:rPr>
          <w:rFonts w:ascii="Arial" w:hAnsi="Arial" w:cs="Arial"/>
          <w:sz w:val="24"/>
          <w:szCs w:val="24"/>
        </w:rPr>
        <w:t>corriente de la deuda pública a pagar en la vigencia 2017 y el devengo de las prestaciones sociales que se deben cumplir en la nueva vigencia.</w:t>
      </w:r>
    </w:p>
    <w:p w:rsidR="00A02116" w:rsidRDefault="00A02116" w:rsidP="006E45D8">
      <w:pPr>
        <w:spacing w:line="360" w:lineRule="auto"/>
        <w:jc w:val="both"/>
        <w:rPr>
          <w:rFonts w:ascii="Arial" w:hAnsi="Arial" w:cs="Arial"/>
          <w:noProof/>
          <w:sz w:val="24"/>
          <w:szCs w:val="24"/>
          <w:lang w:eastAsia="es-CO"/>
        </w:rPr>
      </w:pPr>
      <w:r w:rsidRPr="00FD5567">
        <w:rPr>
          <w:rFonts w:ascii="Arial" w:hAnsi="Arial" w:cs="Arial"/>
          <w:noProof/>
          <w:sz w:val="24"/>
          <w:szCs w:val="24"/>
          <w:lang w:eastAsia="es-CO"/>
        </w:rPr>
        <w:t>El grupo más importante de este componente es el de cuentas por pagar y comprende: i) Adquisición de bienes y servicios con saldo de $8360 . ii) Transfrencias por por pagar $1</w:t>
      </w:r>
      <w:r w:rsidR="008E7347">
        <w:rPr>
          <w:rFonts w:ascii="Arial" w:hAnsi="Arial" w:cs="Arial"/>
          <w:noProof/>
          <w:sz w:val="24"/>
          <w:szCs w:val="24"/>
          <w:lang w:eastAsia="es-CO"/>
        </w:rPr>
        <w:t>.</w:t>
      </w:r>
      <w:r w:rsidRPr="00FD5567">
        <w:rPr>
          <w:rFonts w:ascii="Arial" w:hAnsi="Arial" w:cs="Arial"/>
          <w:noProof/>
          <w:sz w:val="24"/>
          <w:szCs w:val="24"/>
          <w:lang w:eastAsia="es-CO"/>
        </w:rPr>
        <w:t>710</w:t>
      </w:r>
      <w:r w:rsidR="008E7347">
        <w:rPr>
          <w:rFonts w:ascii="Arial" w:hAnsi="Arial" w:cs="Arial"/>
          <w:noProof/>
          <w:sz w:val="24"/>
          <w:szCs w:val="24"/>
          <w:lang w:eastAsia="es-CO"/>
        </w:rPr>
        <w:t>millones</w:t>
      </w:r>
      <w:r w:rsidRPr="00FD5567">
        <w:rPr>
          <w:rFonts w:ascii="Arial" w:hAnsi="Arial" w:cs="Arial"/>
          <w:noProof/>
          <w:sz w:val="24"/>
          <w:szCs w:val="24"/>
          <w:lang w:eastAsia="es-CO"/>
        </w:rPr>
        <w:t>. iii) Acreedores varios inherentes a las nóminas $253</w:t>
      </w:r>
      <w:r w:rsidR="008E7347">
        <w:rPr>
          <w:rFonts w:ascii="Arial" w:hAnsi="Arial" w:cs="Arial"/>
          <w:noProof/>
          <w:sz w:val="24"/>
          <w:szCs w:val="24"/>
          <w:lang w:eastAsia="es-CO"/>
        </w:rPr>
        <w:t>millones</w:t>
      </w:r>
      <w:r w:rsidRPr="00FD5567">
        <w:rPr>
          <w:rFonts w:ascii="Arial" w:hAnsi="Arial" w:cs="Arial"/>
          <w:noProof/>
          <w:sz w:val="24"/>
          <w:szCs w:val="24"/>
          <w:lang w:eastAsia="es-CO"/>
        </w:rPr>
        <w:t>. iv) retención en la fuente por pagar $2. v) Avan</w:t>
      </w:r>
      <w:r>
        <w:rPr>
          <w:rFonts w:ascii="Arial" w:hAnsi="Arial" w:cs="Arial"/>
          <w:noProof/>
          <w:sz w:val="24"/>
          <w:szCs w:val="24"/>
          <w:lang w:eastAsia="es-CO"/>
        </w:rPr>
        <w:t xml:space="preserve">ces y </w:t>
      </w:r>
      <w:r>
        <w:rPr>
          <w:rFonts w:ascii="Arial" w:hAnsi="Arial" w:cs="Arial"/>
          <w:noProof/>
          <w:sz w:val="24"/>
          <w:szCs w:val="24"/>
          <w:lang w:eastAsia="es-CO"/>
        </w:rPr>
        <w:lastRenderedPageBreak/>
        <w:t>anticipos recibidos $17</w:t>
      </w:r>
      <w:r w:rsidR="008E7347">
        <w:rPr>
          <w:rFonts w:ascii="Arial" w:hAnsi="Arial" w:cs="Arial"/>
          <w:noProof/>
          <w:sz w:val="24"/>
          <w:szCs w:val="24"/>
          <w:lang w:eastAsia="es-CO"/>
        </w:rPr>
        <w:t>.</w:t>
      </w:r>
      <w:r>
        <w:rPr>
          <w:rFonts w:ascii="Arial" w:hAnsi="Arial" w:cs="Arial"/>
          <w:noProof/>
          <w:sz w:val="24"/>
          <w:szCs w:val="24"/>
          <w:lang w:eastAsia="es-CO"/>
        </w:rPr>
        <w:t>709</w:t>
      </w:r>
      <w:r w:rsidR="008E7347">
        <w:rPr>
          <w:rFonts w:ascii="Arial" w:hAnsi="Arial" w:cs="Arial"/>
          <w:noProof/>
          <w:sz w:val="24"/>
          <w:szCs w:val="24"/>
          <w:lang w:eastAsia="es-CO"/>
        </w:rPr>
        <w:t>millones</w:t>
      </w:r>
      <w:r w:rsidRPr="00FD5567">
        <w:rPr>
          <w:rFonts w:ascii="Arial" w:hAnsi="Arial" w:cs="Arial"/>
          <w:noProof/>
          <w:sz w:val="24"/>
          <w:szCs w:val="24"/>
          <w:lang w:eastAsia="es-CO"/>
        </w:rPr>
        <w:t xml:space="preserve"> recursos recibidos de cofinanciación para adelantar proyectos importantes el 90% de los recursos son aportados por INVIAS. vi) Depósitos en garantía con saldo de $1</w:t>
      </w:r>
      <w:r w:rsidR="008E7347">
        <w:rPr>
          <w:rFonts w:ascii="Arial" w:hAnsi="Arial" w:cs="Arial"/>
          <w:noProof/>
          <w:sz w:val="24"/>
          <w:szCs w:val="24"/>
          <w:lang w:eastAsia="es-CO"/>
        </w:rPr>
        <w:t>.</w:t>
      </w:r>
      <w:r w:rsidRPr="00FD5567">
        <w:rPr>
          <w:rFonts w:ascii="Arial" w:hAnsi="Arial" w:cs="Arial"/>
          <w:noProof/>
          <w:sz w:val="24"/>
          <w:szCs w:val="24"/>
          <w:lang w:eastAsia="es-CO"/>
        </w:rPr>
        <w:t>364</w:t>
      </w:r>
      <w:r w:rsidR="0003158B">
        <w:rPr>
          <w:rFonts w:ascii="Arial" w:hAnsi="Arial" w:cs="Arial"/>
          <w:noProof/>
          <w:sz w:val="24"/>
          <w:szCs w:val="24"/>
          <w:lang w:eastAsia="es-CO"/>
        </w:rPr>
        <w:t xml:space="preserve"> </w:t>
      </w:r>
      <w:r w:rsidR="008E7347">
        <w:rPr>
          <w:rFonts w:ascii="Arial" w:hAnsi="Arial" w:cs="Arial"/>
          <w:noProof/>
          <w:sz w:val="24"/>
          <w:szCs w:val="24"/>
          <w:lang w:eastAsia="es-CO"/>
        </w:rPr>
        <w:t>milllones</w:t>
      </w:r>
      <w:r w:rsidRPr="00FD5567">
        <w:rPr>
          <w:rFonts w:ascii="Arial" w:hAnsi="Arial" w:cs="Arial"/>
          <w:noProof/>
          <w:sz w:val="24"/>
          <w:szCs w:val="24"/>
          <w:lang w:eastAsia="es-CO"/>
        </w:rPr>
        <w:t xml:space="preserve"> y comprende el monto de los títulos embargados por la Administración a contribuyetes morosos. vii) Créditos judiciales por sentencias con saldo de $816 y viii) Administración y prestación de servicios de salud con saldo de $21</w:t>
      </w:r>
      <w:r w:rsidR="008E7347">
        <w:rPr>
          <w:rFonts w:ascii="Arial" w:hAnsi="Arial" w:cs="Arial"/>
          <w:noProof/>
          <w:sz w:val="24"/>
          <w:szCs w:val="24"/>
          <w:lang w:eastAsia="es-CO"/>
        </w:rPr>
        <w:t>.</w:t>
      </w:r>
      <w:r w:rsidRPr="00FD5567">
        <w:rPr>
          <w:rFonts w:ascii="Arial" w:hAnsi="Arial" w:cs="Arial"/>
          <w:noProof/>
          <w:sz w:val="24"/>
          <w:szCs w:val="24"/>
          <w:lang w:eastAsia="es-CO"/>
        </w:rPr>
        <w:t>504</w:t>
      </w:r>
      <w:r w:rsidR="0003158B">
        <w:rPr>
          <w:rFonts w:ascii="Arial" w:hAnsi="Arial" w:cs="Arial"/>
          <w:noProof/>
          <w:sz w:val="24"/>
          <w:szCs w:val="24"/>
          <w:lang w:eastAsia="es-CO"/>
        </w:rPr>
        <w:t xml:space="preserve"> </w:t>
      </w:r>
      <w:r w:rsidR="008E7347">
        <w:rPr>
          <w:rFonts w:ascii="Arial" w:hAnsi="Arial" w:cs="Arial"/>
          <w:noProof/>
          <w:sz w:val="24"/>
          <w:szCs w:val="24"/>
          <w:lang w:eastAsia="es-CO"/>
        </w:rPr>
        <w:t>millones</w:t>
      </w:r>
    </w:p>
    <w:p w:rsidR="005330CC" w:rsidRDefault="005330CC" w:rsidP="006E45D8">
      <w:pPr>
        <w:spacing w:after="0" w:line="360" w:lineRule="auto"/>
        <w:jc w:val="both"/>
        <w:rPr>
          <w:rFonts w:ascii="Arial" w:hAnsi="Arial" w:cs="Arial"/>
          <w:b/>
          <w:sz w:val="24"/>
          <w:szCs w:val="24"/>
        </w:rPr>
      </w:pPr>
    </w:p>
    <w:p w:rsidR="00A02116" w:rsidRPr="00FD5567" w:rsidRDefault="00A02116" w:rsidP="006E45D8">
      <w:pPr>
        <w:spacing w:after="0" w:line="360" w:lineRule="auto"/>
        <w:jc w:val="both"/>
        <w:rPr>
          <w:rFonts w:ascii="Arial" w:hAnsi="Arial" w:cs="Arial"/>
          <w:sz w:val="24"/>
          <w:szCs w:val="24"/>
        </w:rPr>
      </w:pPr>
      <w:r w:rsidRPr="00FD5567">
        <w:rPr>
          <w:rFonts w:ascii="Arial" w:hAnsi="Arial" w:cs="Arial"/>
          <w:b/>
          <w:sz w:val="24"/>
          <w:szCs w:val="24"/>
        </w:rPr>
        <w:t>PASIVOS DE LARGO PLAZO</w:t>
      </w:r>
    </w:p>
    <w:p w:rsidR="00A02116" w:rsidRPr="00FD5567" w:rsidRDefault="00A02116" w:rsidP="006E45D8">
      <w:pPr>
        <w:spacing w:line="360" w:lineRule="auto"/>
        <w:jc w:val="both"/>
        <w:rPr>
          <w:rFonts w:ascii="Arial" w:hAnsi="Arial" w:cs="Arial"/>
          <w:sz w:val="24"/>
          <w:szCs w:val="24"/>
        </w:rPr>
      </w:pPr>
      <w:r w:rsidRPr="00FD5567">
        <w:rPr>
          <w:rFonts w:ascii="Arial" w:hAnsi="Arial" w:cs="Arial"/>
          <w:sz w:val="24"/>
          <w:szCs w:val="24"/>
        </w:rPr>
        <w:t>Comprenden las exigibilidades que se deben cumplir en un plazo mayor a una vigencia anual.</w:t>
      </w:r>
    </w:p>
    <w:p w:rsidR="00A02116" w:rsidRDefault="00A02116" w:rsidP="006E45D8">
      <w:pPr>
        <w:spacing w:line="360" w:lineRule="auto"/>
        <w:jc w:val="both"/>
        <w:rPr>
          <w:rFonts w:ascii="Arial" w:hAnsi="Arial" w:cs="Arial"/>
          <w:sz w:val="24"/>
          <w:szCs w:val="24"/>
        </w:rPr>
      </w:pPr>
      <w:r w:rsidRPr="00FD5567">
        <w:rPr>
          <w:rFonts w:ascii="Arial" w:hAnsi="Arial" w:cs="Arial"/>
          <w:sz w:val="24"/>
          <w:szCs w:val="24"/>
        </w:rPr>
        <w:t>Este grupo de partidas cerró con un saldo de $216</w:t>
      </w:r>
      <w:r w:rsidR="008E7347">
        <w:rPr>
          <w:rFonts w:ascii="Arial" w:hAnsi="Arial" w:cs="Arial"/>
          <w:sz w:val="24"/>
          <w:szCs w:val="24"/>
        </w:rPr>
        <w:t>.</w:t>
      </w:r>
      <w:r w:rsidRPr="00FD5567">
        <w:rPr>
          <w:rFonts w:ascii="Arial" w:hAnsi="Arial" w:cs="Arial"/>
          <w:sz w:val="24"/>
          <w:szCs w:val="24"/>
        </w:rPr>
        <w:t>113</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y  presentó una disminución  respecto a 2015 de $6</w:t>
      </w:r>
      <w:r w:rsidR="008E7347">
        <w:rPr>
          <w:rFonts w:ascii="Arial" w:hAnsi="Arial" w:cs="Arial"/>
          <w:sz w:val="24"/>
          <w:szCs w:val="24"/>
        </w:rPr>
        <w:t>.</w:t>
      </w:r>
      <w:r w:rsidRPr="00FD5567">
        <w:rPr>
          <w:rFonts w:ascii="Arial" w:hAnsi="Arial" w:cs="Arial"/>
          <w:sz w:val="24"/>
          <w:szCs w:val="24"/>
        </w:rPr>
        <w:t>363</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que en términos porcentuales es del 2.9%. Lo representan: Deuda pública en su porción no corriente con un valor total de $40</w:t>
      </w:r>
      <w:r w:rsidR="008E7347">
        <w:rPr>
          <w:rFonts w:ascii="Arial" w:hAnsi="Arial" w:cs="Arial"/>
          <w:sz w:val="24"/>
          <w:szCs w:val="24"/>
        </w:rPr>
        <w:t>.</w:t>
      </w:r>
      <w:r w:rsidRPr="00FD5567">
        <w:rPr>
          <w:rFonts w:ascii="Arial" w:hAnsi="Arial" w:cs="Arial"/>
          <w:sz w:val="24"/>
          <w:szCs w:val="24"/>
        </w:rPr>
        <w:t>212</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Obligaciones laborales $636</w:t>
      </w:r>
      <w:r w:rsidR="0003158B">
        <w:rPr>
          <w:rFonts w:ascii="Arial" w:hAnsi="Arial" w:cs="Arial"/>
          <w:sz w:val="24"/>
          <w:szCs w:val="24"/>
        </w:rPr>
        <w:t xml:space="preserve"> </w:t>
      </w:r>
      <w:r w:rsidR="008E7347">
        <w:rPr>
          <w:rFonts w:ascii="Arial" w:hAnsi="Arial" w:cs="Arial"/>
          <w:sz w:val="24"/>
          <w:szCs w:val="24"/>
        </w:rPr>
        <w:t>millones</w:t>
      </w:r>
      <w:r>
        <w:rPr>
          <w:rFonts w:ascii="Arial" w:hAnsi="Arial" w:cs="Arial"/>
          <w:sz w:val="24"/>
          <w:szCs w:val="24"/>
        </w:rPr>
        <w:t>,</w:t>
      </w:r>
      <w:r w:rsidRPr="00FD5567">
        <w:rPr>
          <w:rFonts w:ascii="Arial" w:hAnsi="Arial" w:cs="Arial"/>
          <w:sz w:val="24"/>
          <w:szCs w:val="24"/>
        </w:rPr>
        <w:t xml:space="preserve"> Pasivos Estimados con  $174</w:t>
      </w:r>
      <w:r w:rsidR="008E7347">
        <w:rPr>
          <w:rFonts w:ascii="Arial" w:hAnsi="Arial" w:cs="Arial"/>
          <w:sz w:val="24"/>
          <w:szCs w:val="24"/>
        </w:rPr>
        <w:t>.</w:t>
      </w:r>
      <w:r w:rsidRPr="00FD5567">
        <w:rPr>
          <w:rFonts w:ascii="Arial" w:hAnsi="Arial" w:cs="Arial"/>
          <w:sz w:val="24"/>
          <w:szCs w:val="24"/>
        </w:rPr>
        <w:t>284</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y cuentas por pagar $979</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w:t>
      </w:r>
    </w:p>
    <w:p w:rsidR="00A02116" w:rsidRPr="00FD5567" w:rsidRDefault="00A02116" w:rsidP="006E45D8">
      <w:pPr>
        <w:spacing w:line="360" w:lineRule="auto"/>
        <w:jc w:val="both"/>
        <w:rPr>
          <w:rFonts w:ascii="Arial" w:hAnsi="Arial" w:cs="Arial"/>
          <w:sz w:val="24"/>
          <w:szCs w:val="24"/>
        </w:rPr>
      </w:pPr>
      <w:r w:rsidRPr="00FD5567">
        <w:rPr>
          <w:rFonts w:ascii="Arial" w:hAnsi="Arial" w:cs="Arial"/>
          <w:sz w:val="24"/>
          <w:szCs w:val="24"/>
        </w:rPr>
        <w:t>Dentro de los Pasivos Estimados tenemos las siguientes partidas: i). Provisión para Contingencias que acumulan $38</w:t>
      </w:r>
      <w:r w:rsidR="008E7347">
        <w:rPr>
          <w:rFonts w:ascii="Arial" w:hAnsi="Arial" w:cs="Arial"/>
          <w:sz w:val="24"/>
          <w:szCs w:val="24"/>
        </w:rPr>
        <w:t>.</w:t>
      </w:r>
      <w:r w:rsidRPr="00FD5567">
        <w:rPr>
          <w:rFonts w:ascii="Arial" w:hAnsi="Arial" w:cs="Arial"/>
          <w:sz w:val="24"/>
          <w:szCs w:val="24"/>
        </w:rPr>
        <w:t>452</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de los cuales hay $38</w:t>
      </w:r>
      <w:r w:rsidR="008E7347">
        <w:rPr>
          <w:rFonts w:ascii="Arial" w:hAnsi="Arial" w:cs="Arial"/>
          <w:sz w:val="24"/>
          <w:szCs w:val="24"/>
        </w:rPr>
        <w:t>.</w:t>
      </w:r>
      <w:r w:rsidRPr="00FD5567">
        <w:rPr>
          <w:rFonts w:ascii="Arial" w:hAnsi="Arial" w:cs="Arial"/>
          <w:sz w:val="24"/>
          <w:szCs w:val="24"/>
        </w:rPr>
        <w:t>452</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para responder por procesos litigiosos; de los cuales, al sector de educación corresponde $17</w:t>
      </w:r>
      <w:r w:rsidR="008E7347">
        <w:rPr>
          <w:rFonts w:ascii="Arial" w:hAnsi="Arial" w:cs="Arial"/>
          <w:sz w:val="24"/>
          <w:szCs w:val="24"/>
        </w:rPr>
        <w:t>.</w:t>
      </w:r>
      <w:r w:rsidRPr="00FD5567">
        <w:rPr>
          <w:rFonts w:ascii="Arial" w:hAnsi="Arial" w:cs="Arial"/>
          <w:sz w:val="24"/>
          <w:szCs w:val="24"/>
        </w:rPr>
        <w:t>825</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por el sector salud $16</w:t>
      </w:r>
      <w:r w:rsidR="008E7347">
        <w:rPr>
          <w:rFonts w:ascii="Arial" w:hAnsi="Arial" w:cs="Arial"/>
          <w:sz w:val="24"/>
          <w:szCs w:val="24"/>
        </w:rPr>
        <w:t>.</w:t>
      </w:r>
      <w:r w:rsidRPr="00FD5567">
        <w:rPr>
          <w:rFonts w:ascii="Arial" w:hAnsi="Arial" w:cs="Arial"/>
          <w:sz w:val="24"/>
          <w:szCs w:val="24"/>
        </w:rPr>
        <w:t>529</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y por el sector central $4</w:t>
      </w:r>
      <w:r w:rsidR="008E7347">
        <w:rPr>
          <w:rFonts w:ascii="Arial" w:hAnsi="Arial" w:cs="Arial"/>
          <w:sz w:val="24"/>
          <w:szCs w:val="24"/>
        </w:rPr>
        <w:t>.</w:t>
      </w:r>
      <w:r w:rsidRPr="00FD5567">
        <w:rPr>
          <w:rFonts w:ascii="Arial" w:hAnsi="Arial" w:cs="Arial"/>
          <w:sz w:val="24"/>
          <w:szCs w:val="24"/>
        </w:rPr>
        <w:t>098</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Se tiene información de 1477 demandas en el sector de educación,  65 demandas en el sector salud y 91 en el sector central. ii) Obligaciones potenciales por $13</w:t>
      </w:r>
      <w:r w:rsidR="008E7347">
        <w:rPr>
          <w:rFonts w:ascii="Arial" w:hAnsi="Arial" w:cs="Arial"/>
          <w:sz w:val="24"/>
          <w:szCs w:val="24"/>
        </w:rPr>
        <w:t>.</w:t>
      </w:r>
      <w:r w:rsidRPr="00FD5567">
        <w:rPr>
          <w:rFonts w:ascii="Arial" w:hAnsi="Arial" w:cs="Arial"/>
          <w:sz w:val="24"/>
          <w:szCs w:val="24"/>
        </w:rPr>
        <w:t>930</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xml:space="preserve"> que corresponde al saldo pendiente por cancelar al convenio de concurrencia para el pago de pensiones del personal retirado del sector salud. iii)  Provisión para pensiones, que cerró la vigencia con $121.902</w:t>
      </w:r>
      <w:r w:rsidR="0003158B">
        <w:rPr>
          <w:rFonts w:ascii="Arial" w:hAnsi="Arial" w:cs="Arial"/>
          <w:sz w:val="24"/>
          <w:szCs w:val="24"/>
        </w:rPr>
        <w:t xml:space="preserve"> </w:t>
      </w:r>
      <w:r w:rsidR="008E7347">
        <w:rPr>
          <w:rFonts w:ascii="Arial" w:hAnsi="Arial" w:cs="Arial"/>
          <w:sz w:val="24"/>
          <w:szCs w:val="24"/>
        </w:rPr>
        <w:t>millones</w:t>
      </w:r>
    </w:p>
    <w:p w:rsidR="00A02116" w:rsidRPr="00FD5567" w:rsidRDefault="00A02116" w:rsidP="006E45D8">
      <w:pPr>
        <w:spacing w:line="360" w:lineRule="auto"/>
        <w:jc w:val="both"/>
        <w:rPr>
          <w:rFonts w:ascii="Arial" w:hAnsi="Arial" w:cs="Arial"/>
          <w:sz w:val="24"/>
          <w:szCs w:val="24"/>
        </w:rPr>
      </w:pPr>
      <w:r w:rsidRPr="00FD5567">
        <w:rPr>
          <w:rFonts w:ascii="Arial" w:hAnsi="Arial" w:cs="Arial"/>
          <w:sz w:val="24"/>
          <w:szCs w:val="24"/>
        </w:rPr>
        <w:t>Con fecha 11 de julio de 2016 llegó a la Dirección del Fondo territorial de pensiones del Departamento el oficio de radicado 2-2016-024865 del Ministerio de Hacienda y Crédito Público, donde nos informan los nuevos saldos del pasivo actuarial de pensiones así: Sector Educación $134</w:t>
      </w:r>
      <w:r w:rsidR="008E7347">
        <w:rPr>
          <w:rFonts w:ascii="Arial" w:hAnsi="Arial" w:cs="Arial"/>
          <w:sz w:val="24"/>
          <w:szCs w:val="24"/>
        </w:rPr>
        <w:t>.</w:t>
      </w:r>
      <w:r w:rsidRPr="00FD5567">
        <w:rPr>
          <w:rFonts w:ascii="Arial" w:hAnsi="Arial" w:cs="Arial"/>
          <w:sz w:val="24"/>
          <w:szCs w:val="24"/>
        </w:rPr>
        <w:t>639</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Sector Salud $117</w:t>
      </w:r>
      <w:r w:rsidR="008E7347">
        <w:rPr>
          <w:rFonts w:ascii="Arial" w:hAnsi="Arial" w:cs="Arial"/>
          <w:sz w:val="24"/>
          <w:szCs w:val="24"/>
        </w:rPr>
        <w:t>.</w:t>
      </w:r>
      <w:r w:rsidRPr="00FD5567">
        <w:rPr>
          <w:rFonts w:ascii="Arial" w:hAnsi="Arial" w:cs="Arial"/>
          <w:sz w:val="24"/>
          <w:szCs w:val="24"/>
        </w:rPr>
        <w:t>297</w:t>
      </w:r>
      <w:r w:rsidR="0003158B">
        <w:rPr>
          <w:rFonts w:ascii="Arial" w:hAnsi="Arial" w:cs="Arial"/>
          <w:sz w:val="24"/>
          <w:szCs w:val="24"/>
        </w:rPr>
        <w:t xml:space="preserve"> </w:t>
      </w:r>
      <w:r w:rsidR="008E7347">
        <w:rPr>
          <w:rFonts w:ascii="Arial" w:hAnsi="Arial" w:cs="Arial"/>
          <w:sz w:val="24"/>
          <w:szCs w:val="24"/>
        </w:rPr>
        <w:lastRenderedPageBreak/>
        <w:t>millones</w:t>
      </w:r>
      <w:r w:rsidRPr="00FD5567">
        <w:rPr>
          <w:rFonts w:ascii="Arial" w:hAnsi="Arial" w:cs="Arial"/>
          <w:sz w:val="24"/>
          <w:szCs w:val="24"/>
        </w:rPr>
        <w:t xml:space="preserve">  y Propósito General $212</w:t>
      </w:r>
      <w:r w:rsidR="008E7347">
        <w:rPr>
          <w:rFonts w:ascii="Arial" w:hAnsi="Arial" w:cs="Arial"/>
          <w:sz w:val="24"/>
          <w:szCs w:val="24"/>
        </w:rPr>
        <w:t>.</w:t>
      </w:r>
      <w:r w:rsidRPr="00FD5567">
        <w:rPr>
          <w:rFonts w:ascii="Arial" w:hAnsi="Arial" w:cs="Arial"/>
          <w:sz w:val="24"/>
          <w:szCs w:val="24"/>
        </w:rPr>
        <w:t>995</w:t>
      </w:r>
      <w:r w:rsidR="0003158B">
        <w:rPr>
          <w:rFonts w:ascii="Arial" w:hAnsi="Arial" w:cs="Arial"/>
          <w:sz w:val="24"/>
          <w:szCs w:val="24"/>
        </w:rPr>
        <w:t xml:space="preserve"> </w:t>
      </w:r>
      <w:r w:rsidR="008E7347">
        <w:rPr>
          <w:rFonts w:ascii="Arial" w:hAnsi="Arial" w:cs="Arial"/>
          <w:sz w:val="24"/>
          <w:szCs w:val="24"/>
        </w:rPr>
        <w:t>millones</w:t>
      </w:r>
      <w:r w:rsidRPr="00FD5567">
        <w:rPr>
          <w:rFonts w:ascii="Arial" w:hAnsi="Arial" w:cs="Arial"/>
          <w:sz w:val="24"/>
          <w:szCs w:val="24"/>
        </w:rPr>
        <w:t>. Por lo cual, las cifras del pasivo actuarial fueron ajustadas y amortizadas</w:t>
      </w:r>
    </w:p>
    <w:p w:rsidR="00A6658B" w:rsidRDefault="00A6658B" w:rsidP="006E45D8">
      <w:pPr>
        <w:spacing w:after="0" w:line="360" w:lineRule="auto"/>
        <w:jc w:val="both"/>
        <w:rPr>
          <w:rFonts w:ascii="Arial" w:hAnsi="Arial" w:cs="Arial"/>
          <w:b/>
          <w:sz w:val="24"/>
          <w:szCs w:val="24"/>
        </w:rPr>
      </w:pPr>
    </w:p>
    <w:p w:rsidR="00A02116" w:rsidRPr="00E5550B" w:rsidRDefault="00A02116" w:rsidP="006E45D8">
      <w:pPr>
        <w:spacing w:after="0" w:line="360" w:lineRule="auto"/>
        <w:jc w:val="both"/>
        <w:rPr>
          <w:rFonts w:ascii="Arial" w:hAnsi="Arial" w:cs="Arial"/>
          <w:sz w:val="24"/>
          <w:szCs w:val="24"/>
        </w:rPr>
      </w:pPr>
      <w:r w:rsidRPr="00E5550B">
        <w:rPr>
          <w:rFonts w:ascii="Arial" w:hAnsi="Arial" w:cs="Arial"/>
          <w:b/>
          <w:sz w:val="24"/>
          <w:szCs w:val="24"/>
        </w:rPr>
        <w:t>PATRIMONIO</w:t>
      </w:r>
      <w:r w:rsidRPr="00E5550B">
        <w:rPr>
          <w:rFonts w:ascii="Arial" w:hAnsi="Arial" w:cs="Arial"/>
          <w:sz w:val="24"/>
          <w:szCs w:val="24"/>
        </w:rPr>
        <w:t>.</w:t>
      </w:r>
    </w:p>
    <w:p w:rsidR="00A02116" w:rsidRPr="00FD5567" w:rsidRDefault="00A02116" w:rsidP="006E45D8">
      <w:pPr>
        <w:spacing w:line="360" w:lineRule="auto"/>
        <w:jc w:val="both"/>
        <w:rPr>
          <w:rFonts w:ascii="Arial" w:hAnsi="Arial" w:cs="Arial"/>
          <w:sz w:val="24"/>
          <w:szCs w:val="24"/>
        </w:rPr>
      </w:pPr>
      <w:r w:rsidRPr="00FD5567">
        <w:rPr>
          <w:rFonts w:ascii="Arial" w:hAnsi="Arial" w:cs="Arial"/>
          <w:sz w:val="24"/>
          <w:szCs w:val="24"/>
        </w:rPr>
        <w:t xml:space="preserve">Por su parte, el patrimonio es el valor residual resultante de la confrontación de los activos con los pasivos. </w:t>
      </w:r>
    </w:p>
    <w:p w:rsidR="00A02116" w:rsidRDefault="00A02116" w:rsidP="006E45D8">
      <w:pPr>
        <w:spacing w:line="360" w:lineRule="auto"/>
        <w:jc w:val="both"/>
        <w:rPr>
          <w:rFonts w:ascii="Arial" w:hAnsi="Arial" w:cs="Arial"/>
          <w:sz w:val="24"/>
          <w:szCs w:val="24"/>
        </w:rPr>
      </w:pPr>
      <w:r w:rsidRPr="00FD5567">
        <w:rPr>
          <w:rFonts w:ascii="Arial" w:hAnsi="Arial" w:cs="Arial"/>
          <w:sz w:val="24"/>
          <w:szCs w:val="24"/>
        </w:rPr>
        <w:t xml:space="preserve">La cifra final con que cerró </w:t>
      </w:r>
      <w:r w:rsidR="00A6658B">
        <w:rPr>
          <w:rFonts w:ascii="Arial" w:hAnsi="Arial" w:cs="Arial"/>
          <w:sz w:val="24"/>
          <w:szCs w:val="24"/>
        </w:rPr>
        <w:t xml:space="preserve">la vigencia </w:t>
      </w:r>
      <w:r>
        <w:rPr>
          <w:rFonts w:ascii="Arial" w:hAnsi="Arial" w:cs="Arial"/>
          <w:sz w:val="24"/>
          <w:szCs w:val="24"/>
        </w:rPr>
        <w:t>fue de $463</w:t>
      </w:r>
      <w:r w:rsidR="000E5958">
        <w:rPr>
          <w:rFonts w:ascii="Arial" w:hAnsi="Arial" w:cs="Arial"/>
          <w:sz w:val="24"/>
          <w:szCs w:val="24"/>
        </w:rPr>
        <w:t>.</w:t>
      </w:r>
      <w:r>
        <w:rPr>
          <w:rFonts w:ascii="Arial" w:hAnsi="Arial" w:cs="Arial"/>
          <w:sz w:val="24"/>
          <w:szCs w:val="24"/>
        </w:rPr>
        <w:t>521</w:t>
      </w:r>
      <w:r w:rsidR="0003158B">
        <w:rPr>
          <w:rFonts w:ascii="Arial" w:hAnsi="Arial" w:cs="Arial"/>
          <w:sz w:val="24"/>
          <w:szCs w:val="24"/>
        </w:rPr>
        <w:t xml:space="preserve"> </w:t>
      </w:r>
      <w:r w:rsidR="000E5958">
        <w:rPr>
          <w:rFonts w:ascii="Arial" w:hAnsi="Arial" w:cs="Arial"/>
          <w:sz w:val="24"/>
          <w:szCs w:val="24"/>
        </w:rPr>
        <w:t>millones</w:t>
      </w:r>
      <w:r>
        <w:rPr>
          <w:rFonts w:ascii="Arial" w:hAnsi="Arial" w:cs="Arial"/>
          <w:sz w:val="24"/>
          <w:szCs w:val="24"/>
        </w:rPr>
        <w:t xml:space="preserve"> que tuvo un aumento del 7.3</w:t>
      </w:r>
      <w:r w:rsidRPr="00FD5567">
        <w:rPr>
          <w:rFonts w:ascii="Arial" w:hAnsi="Arial" w:cs="Arial"/>
          <w:sz w:val="24"/>
          <w:szCs w:val="24"/>
        </w:rPr>
        <w:t>% con respecto a 2015 y que en</w:t>
      </w:r>
      <w:r>
        <w:rPr>
          <w:rFonts w:ascii="Arial" w:hAnsi="Arial" w:cs="Arial"/>
          <w:sz w:val="24"/>
          <w:szCs w:val="24"/>
        </w:rPr>
        <w:t xml:space="preserve"> términos absolutos es de $31</w:t>
      </w:r>
      <w:r w:rsidR="000E5958">
        <w:rPr>
          <w:rFonts w:ascii="Arial" w:hAnsi="Arial" w:cs="Arial"/>
          <w:sz w:val="24"/>
          <w:szCs w:val="24"/>
        </w:rPr>
        <w:t>.</w:t>
      </w:r>
      <w:r>
        <w:rPr>
          <w:rFonts w:ascii="Arial" w:hAnsi="Arial" w:cs="Arial"/>
          <w:sz w:val="24"/>
          <w:szCs w:val="24"/>
        </w:rPr>
        <w:t>580</w:t>
      </w:r>
      <w:r w:rsidR="0003158B">
        <w:rPr>
          <w:rFonts w:ascii="Arial" w:hAnsi="Arial" w:cs="Arial"/>
          <w:sz w:val="24"/>
          <w:szCs w:val="24"/>
        </w:rPr>
        <w:t xml:space="preserve"> </w:t>
      </w:r>
      <w:r w:rsidR="000E5958">
        <w:rPr>
          <w:rFonts w:ascii="Arial" w:hAnsi="Arial" w:cs="Arial"/>
          <w:sz w:val="24"/>
          <w:szCs w:val="24"/>
        </w:rPr>
        <w:t>millones</w:t>
      </w:r>
      <w:r w:rsidRPr="00FD5567">
        <w:rPr>
          <w:rFonts w:ascii="Arial" w:hAnsi="Arial" w:cs="Arial"/>
          <w:sz w:val="24"/>
          <w:szCs w:val="24"/>
        </w:rPr>
        <w:t>. Las variaciones fueron las siguientes: Disminució</w:t>
      </w:r>
      <w:r>
        <w:rPr>
          <w:rFonts w:ascii="Arial" w:hAnsi="Arial" w:cs="Arial"/>
          <w:sz w:val="24"/>
          <w:szCs w:val="24"/>
        </w:rPr>
        <w:t>n en el Capital Fiscal $91</w:t>
      </w:r>
      <w:r w:rsidR="000E5958">
        <w:rPr>
          <w:rFonts w:ascii="Arial" w:hAnsi="Arial" w:cs="Arial"/>
          <w:sz w:val="24"/>
          <w:szCs w:val="24"/>
        </w:rPr>
        <w:t>.</w:t>
      </w:r>
      <w:r>
        <w:rPr>
          <w:rFonts w:ascii="Arial" w:hAnsi="Arial" w:cs="Arial"/>
          <w:sz w:val="24"/>
          <w:szCs w:val="24"/>
        </w:rPr>
        <w:t>349</w:t>
      </w:r>
      <w:r w:rsidR="0003158B">
        <w:rPr>
          <w:rFonts w:ascii="Arial" w:hAnsi="Arial" w:cs="Arial"/>
          <w:sz w:val="24"/>
          <w:szCs w:val="24"/>
        </w:rPr>
        <w:t xml:space="preserve"> </w:t>
      </w:r>
      <w:r w:rsidR="000E5958">
        <w:rPr>
          <w:rFonts w:ascii="Arial" w:hAnsi="Arial" w:cs="Arial"/>
          <w:sz w:val="24"/>
          <w:szCs w:val="24"/>
        </w:rPr>
        <w:t>millones</w:t>
      </w:r>
      <w:r w:rsidRPr="00FD5567">
        <w:rPr>
          <w:rFonts w:ascii="Arial" w:hAnsi="Arial" w:cs="Arial"/>
          <w:sz w:val="24"/>
          <w:szCs w:val="24"/>
        </w:rPr>
        <w:t>, aumento en el re</w:t>
      </w:r>
      <w:r>
        <w:rPr>
          <w:rFonts w:ascii="Arial" w:hAnsi="Arial" w:cs="Arial"/>
          <w:sz w:val="24"/>
          <w:szCs w:val="24"/>
        </w:rPr>
        <w:t>sultado del ejercicio $117</w:t>
      </w:r>
      <w:r w:rsidR="000E5958">
        <w:rPr>
          <w:rFonts w:ascii="Arial" w:hAnsi="Arial" w:cs="Arial"/>
          <w:sz w:val="24"/>
          <w:szCs w:val="24"/>
        </w:rPr>
        <w:t>.</w:t>
      </w:r>
      <w:r>
        <w:rPr>
          <w:rFonts w:ascii="Arial" w:hAnsi="Arial" w:cs="Arial"/>
          <w:sz w:val="24"/>
          <w:szCs w:val="24"/>
        </w:rPr>
        <w:t>126</w:t>
      </w:r>
      <w:r w:rsidR="0003158B">
        <w:rPr>
          <w:rFonts w:ascii="Arial" w:hAnsi="Arial" w:cs="Arial"/>
          <w:sz w:val="24"/>
          <w:szCs w:val="24"/>
        </w:rPr>
        <w:t xml:space="preserve"> </w:t>
      </w:r>
      <w:r w:rsidR="000E5958">
        <w:rPr>
          <w:rFonts w:ascii="Arial" w:hAnsi="Arial" w:cs="Arial"/>
          <w:sz w:val="24"/>
          <w:szCs w:val="24"/>
        </w:rPr>
        <w:t>millones</w:t>
      </w:r>
      <w:r w:rsidRPr="00FD5567">
        <w:rPr>
          <w:rFonts w:ascii="Arial" w:hAnsi="Arial" w:cs="Arial"/>
          <w:sz w:val="24"/>
          <w:szCs w:val="24"/>
        </w:rPr>
        <w:t>, aumento en Su</w:t>
      </w:r>
      <w:r>
        <w:rPr>
          <w:rFonts w:ascii="Arial" w:hAnsi="Arial" w:cs="Arial"/>
          <w:sz w:val="24"/>
          <w:szCs w:val="24"/>
        </w:rPr>
        <w:t>perávit por valorización $2</w:t>
      </w:r>
      <w:r w:rsidR="000E5958">
        <w:rPr>
          <w:rFonts w:ascii="Arial" w:hAnsi="Arial" w:cs="Arial"/>
          <w:sz w:val="24"/>
          <w:szCs w:val="24"/>
        </w:rPr>
        <w:t>.</w:t>
      </w:r>
      <w:r>
        <w:rPr>
          <w:rFonts w:ascii="Arial" w:hAnsi="Arial" w:cs="Arial"/>
          <w:sz w:val="24"/>
          <w:szCs w:val="24"/>
        </w:rPr>
        <w:t>806</w:t>
      </w:r>
      <w:r w:rsidR="000E5958">
        <w:rPr>
          <w:rFonts w:ascii="Arial" w:hAnsi="Arial" w:cs="Arial"/>
          <w:sz w:val="24"/>
          <w:szCs w:val="24"/>
        </w:rPr>
        <w:t>millones</w:t>
      </w:r>
      <w:r w:rsidRPr="00FD5567">
        <w:rPr>
          <w:rFonts w:ascii="Arial" w:hAnsi="Arial" w:cs="Arial"/>
          <w:sz w:val="24"/>
          <w:szCs w:val="24"/>
        </w:rPr>
        <w:t>, aumento e</w:t>
      </w:r>
      <w:r>
        <w:rPr>
          <w:rFonts w:ascii="Arial" w:hAnsi="Arial" w:cs="Arial"/>
          <w:sz w:val="24"/>
          <w:szCs w:val="24"/>
        </w:rPr>
        <w:t>n Superávit por donación $569</w:t>
      </w:r>
      <w:r w:rsidR="0003158B">
        <w:rPr>
          <w:rFonts w:ascii="Arial" w:hAnsi="Arial" w:cs="Arial"/>
          <w:sz w:val="24"/>
          <w:szCs w:val="24"/>
        </w:rPr>
        <w:t xml:space="preserve"> </w:t>
      </w:r>
      <w:r w:rsidR="000E5958">
        <w:rPr>
          <w:rFonts w:ascii="Arial" w:hAnsi="Arial" w:cs="Arial"/>
          <w:sz w:val="24"/>
          <w:szCs w:val="24"/>
        </w:rPr>
        <w:t>millones</w:t>
      </w:r>
      <w:r w:rsidR="007E0444">
        <w:rPr>
          <w:rFonts w:ascii="Arial" w:hAnsi="Arial" w:cs="Arial"/>
          <w:sz w:val="24"/>
          <w:szCs w:val="24"/>
        </w:rPr>
        <w:t xml:space="preserve">, aumento </w:t>
      </w:r>
      <w:r w:rsidRPr="00FD5567">
        <w:rPr>
          <w:rFonts w:ascii="Arial" w:hAnsi="Arial" w:cs="Arial"/>
          <w:sz w:val="24"/>
          <w:szCs w:val="24"/>
        </w:rPr>
        <w:t>en Patrimon</w:t>
      </w:r>
      <w:r w:rsidR="007E0444">
        <w:rPr>
          <w:rFonts w:ascii="Arial" w:hAnsi="Arial" w:cs="Arial"/>
          <w:sz w:val="24"/>
          <w:szCs w:val="24"/>
        </w:rPr>
        <w:t xml:space="preserve">io Público Incorporado </w:t>
      </w:r>
      <w:r>
        <w:rPr>
          <w:rFonts w:ascii="Arial" w:hAnsi="Arial" w:cs="Arial"/>
          <w:sz w:val="24"/>
          <w:szCs w:val="24"/>
        </w:rPr>
        <w:t>$3</w:t>
      </w:r>
      <w:r w:rsidR="000E5958">
        <w:rPr>
          <w:rFonts w:ascii="Arial" w:hAnsi="Arial" w:cs="Arial"/>
          <w:sz w:val="24"/>
          <w:szCs w:val="24"/>
        </w:rPr>
        <w:t>.</w:t>
      </w:r>
      <w:r>
        <w:rPr>
          <w:rFonts w:ascii="Arial" w:hAnsi="Arial" w:cs="Arial"/>
          <w:sz w:val="24"/>
          <w:szCs w:val="24"/>
        </w:rPr>
        <w:t>319</w:t>
      </w:r>
      <w:r w:rsidR="000E5958">
        <w:rPr>
          <w:rFonts w:ascii="Arial" w:hAnsi="Arial" w:cs="Arial"/>
          <w:sz w:val="24"/>
          <w:szCs w:val="24"/>
        </w:rPr>
        <w:t>millones</w:t>
      </w:r>
      <w:r w:rsidRPr="00FD5567">
        <w:rPr>
          <w:rFonts w:ascii="Arial" w:hAnsi="Arial" w:cs="Arial"/>
          <w:sz w:val="24"/>
          <w:szCs w:val="24"/>
        </w:rPr>
        <w:t xml:space="preserve"> y aumento en las provisiones depreciaci</w:t>
      </w:r>
      <w:r>
        <w:rPr>
          <w:rFonts w:ascii="Arial" w:hAnsi="Arial" w:cs="Arial"/>
          <w:sz w:val="24"/>
          <w:szCs w:val="24"/>
        </w:rPr>
        <w:t>ones y amortizaciones en $902</w:t>
      </w:r>
      <w:r w:rsidR="000E5958">
        <w:rPr>
          <w:rFonts w:ascii="Arial" w:hAnsi="Arial" w:cs="Arial"/>
          <w:sz w:val="24"/>
          <w:szCs w:val="24"/>
        </w:rPr>
        <w:t>millones</w:t>
      </w:r>
      <w:r w:rsidRPr="00FD5567">
        <w:rPr>
          <w:rFonts w:ascii="Arial" w:hAnsi="Arial" w:cs="Arial"/>
          <w:sz w:val="24"/>
          <w:szCs w:val="24"/>
        </w:rPr>
        <w:t xml:space="preserve">. </w:t>
      </w:r>
    </w:p>
    <w:p w:rsidR="00E5550B" w:rsidRPr="00E5550B" w:rsidRDefault="008960F8" w:rsidP="008960F8">
      <w:pPr>
        <w:pStyle w:val="Ttulo4"/>
      </w:pPr>
      <w:r>
        <w:t>3.1.3.2 E</w:t>
      </w:r>
      <w:r w:rsidRPr="00E5550B">
        <w:t>stado De Actividad Financiera, Económica Y Social</w:t>
      </w:r>
    </w:p>
    <w:p w:rsidR="00E5550B" w:rsidRDefault="00E5550B" w:rsidP="006E45D8">
      <w:pPr>
        <w:spacing w:line="360" w:lineRule="auto"/>
        <w:jc w:val="both"/>
        <w:rPr>
          <w:noProof/>
          <w:lang w:eastAsia="es-CO"/>
        </w:rPr>
      </w:pPr>
    </w:p>
    <w:p w:rsidR="00472594" w:rsidRDefault="00D36B48" w:rsidP="006E45D8">
      <w:pPr>
        <w:spacing w:line="360" w:lineRule="auto"/>
        <w:jc w:val="both"/>
        <w:rPr>
          <w:rFonts w:ascii="Arial" w:hAnsi="Arial" w:cs="Arial"/>
          <w:b/>
          <w:sz w:val="28"/>
          <w:szCs w:val="28"/>
          <w:lang w:val="es-ES" w:eastAsia="es-ES"/>
        </w:rPr>
      </w:pPr>
      <w:r w:rsidRPr="00D36B48">
        <w:rPr>
          <w:noProof/>
          <w:lang w:eastAsia="es-CO"/>
        </w:rPr>
        <w:drawing>
          <wp:inline distT="0" distB="0" distL="0" distR="0" wp14:anchorId="7CB73DC5" wp14:editId="1CC9A5A1">
            <wp:extent cx="5610413" cy="2612571"/>
            <wp:effectExtent l="0" t="0" r="0"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36897" cy="2624904"/>
                    </a:xfrm>
                    <a:prstGeom prst="rect">
                      <a:avLst/>
                    </a:prstGeom>
                    <a:noFill/>
                    <a:ln>
                      <a:noFill/>
                    </a:ln>
                  </pic:spPr>
                </pic:pic>
              </a:graphicData>
            </a:graphic>
          </wp:inline>
        </w:drawing>
      </w:r>
    </w:p>
    <w:p w:rsidR="00D8155C" w:rsidRPr="00D8155C" w:rsidRDefault="00D8155C" w:rsidP="006E45D8">
      <w:pPr>
        <w:spacing w:after="0" w:line="360" w:lineRule="auto"/>
        <w:jc w:val="both"/>
        <w:rPr>
          <w:rFonts w:ascii="Arial" w:hAnsi="Arial" w:cs="Arial"/>
          <w:b/>
          <w:sz w:val="24"/>
          <w:szCs w:val="24"/>
        </w:rPr>
      </w:pPr>
      <w:r w:rsidRPr="00D8155C">
        <w:rPr>
          <w:rFonts w:ascii="Arial" w:hAnsi="Arial" w:cs="Arial"/>
          <w:b/>
          <w:sz w:val="24"/>
          <w:szCs w:val="24"/>
        </w:rPr>
        <w:t>INGRESOS</w:t>
      </w:r>
    </w:p>
    <w:p w:rsidR="00D8155C" w:rsidRDefault="00D8155C" w:rsidP="006E45D8">
      <w:pPr>
        <w:spacing w:line="360" w:lineRule="auto"/>
        <w:jc w:val="both"/>
        <w:rPr>
          <w:rFonts w:ascii="Arial" w:hAnsi="Arial" w:cs="Arial"/>
          <w:sz w:val="24"/>
          <w:szCs w:val="24"/>
        </w:rPr>
      </w:pPr>
      <w:r w:rsidRPr="00FD5567">
        <w:rPr>
          <w:rFonts w:ascii="Arial" w:hAnsi="Arial" w:cs="Arial"/>
          <w:b/>
          <w:sz w:val="24"/>
          <w:szCs w:val="24"/>
        </w:rPr>
        <w:t>Ingresos operacionales</w:t>
      </w:r>
      <w:r w:rsidRPr="00FD5567">
        <w:rPr>
          <w:rFonts w:ascii="Arial" w:hAnsi="Arial" w:cs="Arial"/>
          <w:sz w:val="24"/>
          <w:szCs w:val="24"/>
        </w:rPr>
        <w:t>: Los ingresos operacion</w:t>
      </w:r>
      <w:r>
        <w:rPr>
          <w:rFonts w:ascii="Arial" w:hAnsi="Arial" w:cs="Arial"/>
          <w:sz w:val="24"/>
          <w:szCs w:val="24"/>
        </w:rPr>
        <w:t>ales sumaron un total de $292.128</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xml:space="preserve"> Su saldo acumulado al cierre de esta vigencia fue inferior al año </w:t>
      </w:r>
      <w:r w:rsidRPr="00FD5567">
        <w:rPr>
          <w:rFonts w:ascii="Arial" w:hAnsi="Arial" w:cs="Arial"/>
          <w:sz w:val="24"/>
          <w:szCs w:val="24"/>
        </w:rPr>
        <w:lastRenderedPageBreak/>
        <w:t>inmediatamen</w:t>
      </w:r>
      <w:r>
        <w:rPr>
          <w:rFonts w:ascii="Arial" w:hAnsi="Arial" w:cs="Arial"/>
          <w:sz w:val="24"/>
          <w:szCs w:val="24"/>
        </w:rPr>
        <w:t>te anterior en la suma de $22.385</w:t>
      </w:r>
      <w:r w:rsidR="0003158B">
        <w:rPr>
          <w:rFonts w:ascii="Arial" w:hAnsi="Arial" w:cs="Arial"/>
          <w:sz w:val="24"/>
          <w:szCs w:val="24"/>
        </w:rPr>
        <w:t xml:space="preserve"> </w:t>
      </w:r>
      <w:r w:rsidRPr="00FD5567">
        <w:rPr>
          <w:rFonts w:ascii="Arial" w:hAnsi="Arial" w:cs="Arial"/>
          <w:sz w:val="24"/>
          <w:szCs w:val="24"/>
        </w:rPr>
        <w:t>millones, lo</w:t>
      </w:r>
      <w:r>
        <w:rPr>
          <w:rFonts w:ascii="Arial" w:hAnsi="Arial" w:cs="Arial"/>
          <w:sz w:val="24"/>
          <w:szCs w:val="24"/>
        </w:rPr>
        <w:t xml:space="preserve"> que en porcentaje equivale al 7.1</w:t>
      </w:r>
      <w:r w:rsidRPr="00FD5567">
        <w:rPr>
          <w:rFonts w:ascii="Arial" w:hAnsi="Arial" w:cs="Arial"/>
          <w:sz w:val="24"/>
          <w:szCs w:val="24"/>
        </w:rPr>
        <w:t>%. Los operacionales se descomponen así:</w:t>
      </w:r>
    </w:p>
    <w:p w:rsidR="00D8155C" w:rsidRPr="00FD5567" w:rsidRDefault="00D8155C" w:rsidP="006E45D8">
      <w:pPr>
        <w:spacing w:line="360" w:lineRule="auto"/>
        <w:jc w:val="both"/>
        <w:rPr>
          <w:rFonts w:ascii="Arial" w:hAnsi="Arial" w:cs="Arial"/>
          <w:sz w:val="24"/>
          <w:szCs w:val="24"/>
        </w:rPr>
      </w:pPr>
      <w:r w:rsidRPr="00FD5567">
        <w:rPr>
          <w:rFonts w:ascii="Arial" w:hAnsi="Arial" w:cs="Arial"/>
          <w:b/>
          <w:sz w:val="24"/>
          <w:szCs w:val="24"/>
        </w:rPr>
        <w:t xml:space="preserve">Ingresos Tributarios. </w:t>
      </w:r>
      <w:r w:rsidRPr="00FD5567">
        <w:rPr>
          <w:rFonts w:ascii="Arial" w:hAnsi="Arial" w:cs="Arial"/>
          <w:sz w:val="24"/>
          <w:szCs w:val="24"/>
        </w:rPr>
        <w:t>Se acumularon $72</w:t>
      </w:r>
      <w:r w:rsidR="00A012C9">
        <w:rPr>
          <w:rFonts w:ascii="Arial" w:hAnsi="Arial" w:cs="Arial"/>
          <w:sz w:val="24"/>
          <w:szCs w:val="24"/>
        </w:rPr>
        <w:t>.</w:t>
      </w:r>
      <w:r w:rsidRPr="00FD5567">
        <w:rPr>
          <w:rFonts w:ascii="Arial" w:hAnsi="Arial" w:cs="Arial"/>
          <w:sz w:val="24"/>
          <w:szCs w:val="24"/>
        </w:rPr>
        <w:t>810</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xml:space="preserve"> cifra que mejoró la de la vigencia 2015 en un 6.7%; comprende las rentas obtenidas por: impuesto de registro, impuesto al consumo de tabacos y  cigarrillos, impuesto al consumo de licores vinos aperitivos y similares, impuesto al consumo de cerveza, impuesto a degüello de ganado mayor,  impuesto de rifas apuestas y juegos permitidos, impuesto sobre vehículos automotores, sobretasa a la gasolina, sobretasa al ACPM, impuesto a ganadores sorteos ordinarios, impuesto a loterías foráneas,  I.V.A de licores a productores, impuesto a la venta de cerveza 8%, impuesto  unificado de azar y espectáculos y otros impuestos departamentales.</w:t>
      </w:r>
    </w:p>
    <w:p w:rsidR="00D8155C" w:rsidRPr="00FD5567" w:rsidRDefault="00D8155C" w:rsidP="006E45D8">
      <w:pPr>
        <w:spacing w:line="360" w:lineRule="auto"/>
        <w:jc w:val="both"/>
        <w:rPr>
          <w:rFonts w:ascii="Arial" w:hAnsi="Arial" w:cs="Arial"/>
          <w:sz w:val="24"/>
          <w:szCs w:val="24"/>
        </w:rPr>
      </w:pPr>
      <w:r w:rsidRPr="00FD5567">
        <w:rPr>
          <w:rFonts w:ascii="Arial" w:hAnsi="Arial" w:cs="Arial"/>
          <w:sz w:val="24"/>
          <w:szCs w:val="24"/>
        </w:rPr>
        <w:t>Los ingresos tributarios en general, tuvieron un comportamiento positivo, producto de los esfuerzos administrativos y operativos realizados en la vigencia por parte de la Secretaría de Hacienda Departamental.</w:t>
      </w:r>
    </w:p>
    <w:p w:rsidR="00D8155C" w:rsidRPr="00FD5567" w:rsidRDefault="00D8155C" w:rsidP="006E45D8">
      <w:pPr>
        <w:spacing w:line="360" w:lineRule="auto"/>
        <w:jc w:val="both"/>
        <w:rPr>
          <w:rFonts w:ascii="Arial" w:hAnsi="Arial" w:cs="Arial"/>
          <w:sz w:val="24"/>
          <w:szCs w:val="24"/>
        </w:rPr>
      </w:pPr>
      <w:r w:rsidRPr="00FD5567">
        <w:rPr>
          <w:rFonts w:ascii="Arial" w:hAnsi="Arial" w:cs="Arial"/>
          <w:b/>
          <w:sz w:val="24"/>
          <w:szCs w:val="24"/>
        </w:rPr>
        <w:t>Ingresos no Tributarios</w:t>
      </w:r>
      <w:r w:rsidRPr="00FD5567">
        <w:rPr>
          <w:rFonts w:ascii="Arial" w:hAnsi="Arial" w:cs="Arial"/>
          <w:sz w:val="24"/>
          <w:szCs w:val="24"/>
        </w:rPr>
        <w:t xml:space="preserve"> sumaron $56</w:t>
      </w:r>
      <w:r w:rsidR="00A012C9">
        <w:rPr>
          <w:rFonts w:ascii="Arial" w:hAnsi="Arial" w:cs="Arial"/>
          <w:sz w:val="24"/>
          <w:szCs w:val="24"/>
        </w:rPr>
        <w:t>.</w:t>
      </w:r>
      <w:r w:rsidRPr="00FD5567">
        <w:rPr>
          <w:rFonts w:ascii="Arial" w:hAnsi="Arial" w:cs="Arial"/>
          <w:sz w:val="24"/>
          <w:szCs w:val="24"/>
        </w:rPr>
        <w:t>482</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que están conformados por: multas, intereses, sanciones, estampillas, derechos de explotación, contribuciones, cuotas de fiscalización y auditaje y o</w:t>
      </w:r>
      <w:r w:rsidR="00A6658B">
        <w:rPr>
          <w:rFonts w:ascii="Arial" w:hAnsi="Arial" w:cs="Arial"/>
          <w:sz w:val="24"/>
          <w:szCs w:val="24"/>
        </w:rPr>
        <w:t xml:space="preserve">tros. Tuvieron una disminución </w:t>
      </w:r>
      <w:r w:rsidRPr="00FD5567">
        <w:rPr>
          <w:rFonts w:ascii="Arial" w:hAnsi="Arial" w:cs="Arial"/>
          <w:sz w:val="24"/>
          <w:szCs w:val="24"/>
        </w:rPr>
        <w:t>del 3.9% con respecto al acumulado de 2015 que fue de $58</w:t>
      </w:r>
      <w:r w:rsidR="00A012C9">
        <w:rPr>
          <w:rFonts w:ascii="Arial" w:hAnsi="Arial" w:cs="Arial"/>
          <w:sz w:val="24"/>
          <w:szCs w:val="24"/>
        </w:rPr>
        <w:t>.</w:t>
      </w:r>
      <w:r w:rsidRPr="00FD5567">
        <w:rPr>
          <w:rFonts w:ascii="Arial" w:hAnsi="Arial" w:cs="Arial"/>
          <w:sz w:val="24"/>
          <w:szCs w:val="24"/>
        </w:rPr>
        <w:t>761</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w:t>
      </w:r>
    </w:p>
    <w:p w:rsidR="00D8155C" w:rsidRPr="00FD5567" w:rsidRDefault="00D8155C" w:rsidP="006E45D8">
      <w:pPr>
        <w:spacing w:line="360" w:lineRule="auto"/>
        <w:jc w:val="both"/>
        <w:rPr>
          <w:rFonts w:ascii="Arial" w:hAnsi="Arial" w:cs="Arial"/>
          <w:sz w:val="24"/>
          <w:szCs w:val="24"/>
        </w:rPr>
      </w:pPr>
      <w:r w:rsidRPr="00FD5567">
        <w:rPr>
          <w:rFonts w:ascii="Arial" w:hAnsi="Arial" w:cs="Arial"/>
          <w:b/>
          <w:sz w:val="24"/>
          <w:szCs w:val="24"/>
        </w:rPr>
        <w:t>Venta de bienes y servicios</w:t>
      </w:r>
      <w:r w:rsidRPr="00FD5567">
        <w:rPr>
          <w:rFonts w:ascii="Arial" w:hAnsi="Arial" w:cs="Arial"/>
          <w:sz w:val="24"/>
          <w:szCs w:val="24"/>
        </w:rPr>
        <w:t>: La venta de bienes y servicios y operaciones interinstitucionales cerró con un saldo de $2</w:t>
      </w:r>
      <w:r w:rsidR="00A012C9">
        <w:rPr>
          <w:rFonts w:ascii="Arial" w:hAnsi="Arial" w:cs="Arial"/>
          <w:sz w:val="24"/>
          <w:szCs w:val="24"/>
        </w:rPr>
        <w:t>.</w:t>
      </w:r>
      <w:r w:rsidRPr="00FD5567">
        <w:rPr>
          <w:rFonts w:ascii="Arial" w:hAnsi="Arial" w:cs="Arial"/>
          <w:sz w:val="24"/>
          <w:szCs w:val="24"/>
        </w:rPr>
        <w:t>491</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xml:space="preserve"> distribuido en venta de medicamentos, inscripciones y alquiler de espacios del Centro Cultural Metropolitano de Convenciones.</w:t>
      </w:r>
    </w:p>
    <w:p w:rsidR="00D8155C" w:rsidRPr="00FD5567" w:rsidRDefault="00D8155C" w:rsidP="006E45D8">
      <w:pPr>
        <w:spacing w:line="360" w:lineRule="auto"/>
        <w:jc w:val="both"/>
        <w:rPr>
          <w:rFonts w:ascii="Arial" w:hAnsi="Arial" w:cs="Arial"/>
          <w:sz w:val="24"/>
          <w:szCs w:val="24"/>
        </w:rPr>
      </w:pPr>
      <w:r w:rsidRPr="00FD5567">
        <w:rPr>
          <w:rFonts w:ascii="Arial" w:hAnsi="Arial" w:cs="Arial"/>
          <w:b/>
          <w:sz w:val="24"/>
          <w:szCs w:val="24"/>
        </w:rPr>
        <w:t>Transferencias</w:t>
      </w:r>
      <w:r>
        <w:rPr>
          <w:rFonts w:ascii="Arial" w:hAnsi="Arial" w:cs="Arial"/>
          <w:sz w:val="24"/>
          <w:szCs w:val="24"/>
        </w:rPr>
        <w:t>: Cuenta que cerró con $160</w:t>
      </w:r>
      <w:r w:rsidR="00A012C9">
        <w:rPr>
          <w:rFonts w:ascii="Arial" w:hAnsi="Arial" w:cs="Arial"/>
          <w:sz w:val="24"/>
          <w:szCs w:val="24"/>
        </w:rPr>
        <w:t>.</w:t>
      </w:r>
      <w:r>
        <w:rPr>
          <w:rFonts w:ascii="Arial" w:hAnsi="Arial" w:cs="Arial"/>
          <w:sz w:val="24"/>
          <w:szCs w:val="24"/>
        </w:rPr>
        <w:t>444</w:t>
      </w:r>
      <w:r w:rsidR="00A012C9">
        <w:rPr>
          <w:rFonts w:ascii="Arial" w:hAnsi="Arial" w:cs="Arial"/>
          <w:sz w:val="24"/>
          <w:szCs w:val="24"/>
        </w:rPr>
        <w:t>millones</w:t>
      </w:r>
      <w:r w:rsidR="00A6658B">
        <w:rPr>
          <w:rFonts w:ascii="Arial" w:hAnsi="Arial" w:cs="Arial"/>
          <w:sz w:val="24"/>
          <w:szCs w:val="24"/>
        </w:rPr>
        <w:t xml:space="preserve"> </w:t>
      </w:r>
      <w:r w:rsidRPr="00FD5567">
        <w:rPr>
          <w:rFonts w:ascii="Arial" w:hAnsi="Arial" w:cs="Arial"/>
          <w:sz w:val="24"/>
          <w:szCs w:val="24"/>
        </w:rPr>
        <w:t>y tuvo una variación negativa con respecto a la vigencia q</w:t>
      </w:r>
      <w:r>
        <w:rPr>
          <w:rFonts w:ascii="Arial" w:hAnsi="Arial" w:cs="Arial"/>
          <w:sz w:val="24"/>
          <w:szCs w:val="24"/>
        </w:rPr>
        <w:t>ue se compara del orden del 14.5</w:t>
      </w:r>
      <w:r w:rsidRPr="00FD5567">
        <w:rPr>
          <w:rFonts w:ascii="Arial" w:hAnsi="Arial" w:cs="Arial"/>
          <w:sz w:val="24"/>
          <w:szCs w:val="24"/>
        </w:rPr>
        <w:t>%. Las transferencias en general, tienen un peso en los</w:t>
      </w:r>
      <w:r>
        <w:rPr>
          <w:rFonts w:ascii="Arial" w:hAnsi="Arial" w:cs="Arial"/>
          <w:sz w:val="24"/>
          <w:szCs w:val="24"/>
        </w:rPr>
        <w:t xml:space="preserve"> ingresos operacionales del 55</w:t>
      </w:r>
      <w:r w:rsidRPr="00FD5567">
        <w:rPr>
          <w:rFonts w:ascii="Arial" w:hAnsi="Arial" w:cs="Arial"/>
          <w:sz w:val="24"/>
          <w:szCs w:val="24"/>
        </w:rPr>
        <w:t xml:space="preserve">%. Este rubro representa los recursos contabilizados del sector central y descentralizado nacional. En este están incluidos los recursos del Sistema General de Regalías. Las transferencias son un componente importante para mantener los asuntos vitales del departamento como educación, salud, agua potable, </w:t>
      </w:r>
      <w:r w:rsidRPr="00FD5567">
        <w:rPr>
          <w:rFonts w:ascii="Arial" w:hAnsi="Arial" w:cs="Arial"/>
          <w:sz w:val="24"/>
          <w:szCs w:val="24"/>
        </w:rPr>
        <w:lastRenderedPageBreak/>
        <w:t>infraestructura, entre otros. Las mismas, tuvieron el siguiente comportamiento</w:t>
      </w:r>
      <w:r>
        <w:rPr>
          <w:rFonts w:ascii="Arial" w:hAnsi="Arial" w:cs="Arial"/>
          <w:sz w:val="24"/>
          <w:szCs w:val="24"/>
        </w:rPr>
        <w:t xml:space="preserve"> con relación al año 2015</w:t>
      </w:r>
      <w:r w:rsidRPr="00FD5567">
        <w:rPr>
          <w:rFonts w:ascii="Arial" w:hAnsi="Arial" w:cs="Arial"/>
          <w:sz w:val="24"/>
          <w:szCs w:val="24"/>
        </w:rPr>
        <w:t>: Sistema General de P</w:t>
      </w:r>
      <w:r>
        <w:rPr>
          <w:rFonts w:ascii="Arial" w:hAnsi="Arial" w:cs="Arial"/>
          <w:sz w:val="24"/>
          <w:szCs w:val="24"/>
        </w:rPr>
        <w:t>articipaciones crecieron en 7.3</w:t>
      </w:r>
      <w:r w:rsidRPr="00FD5567">
        <w:rPr>
          <w:rFonts w:ascii="Arial" w:hAnsi="Arial" w:cs="Arial"/>
          <w:sz w:val="24"/>
          <w:szCs w:val="24"/>
        </w:rPr>
        <w:t>%, otras tr</w:t>
      </w:r>
      <w:r>
        <w:rPr>
          <w:rFonts w:ascii="Arial" w:hAnsi="Arial" w:cs="Arial"/>
          <w:sz w:val="24"/>
          <w:szCs w:val="24"/>
        </w:rPr>
        <w:t>ansferencias decrecieron el 25.7</w:t>
      </w:r>
      <w:r w:rsidRPr="00FD5567">
        <w:rPr>
          <w:rFonts w:ascii="Arial" w:hAnsi="Arial" w:cs="Arial"/>
          <w:sz w:val="24"/>
          <w:szCs w:val="24"/>
        </w:rPr>
        <w:t>%. Los recursos del Sistema General de Regalías disminuyeron el 67.7%,</w:t>
      </w:r>
    </w:p>
    <w:p w:rsidR="00D8155C" w:rsidRPr="00FD5567" w:rsidRDefault="00D8155C" w:rsidP="006E45D8">
      <w:pPr>
        <w:spacing w:line="360" w:lineRule="auto"/>
        <w:jc w:val="both"/>
        <w:rPr>
          <w:rFonts w:ascii="Arial" w:hAnsi="Arial" w:cs="Arial"/>
          <w:sz w:val="24"/>
          <w:szCs w:val="24"/>
        </w:rPr>
      </w:pPr>
      <w:r w:rsidRPr="00FD5567">
        <w:rPr>
          <w:rFonts w:ascii="Arial" w:hAnsi="Arial" w:cs="Arial"/>
          <w:b/>
          <w:sz w:val="24"/>
          <w:szCs w:val="24"/>
        </w:rPr>
        <w:t>Otros Ingresos</w:t>
      </w:r>
      <w:r>
        <w:rPr>
          <w:rFonts w:ascii="Arial" w:hAnsi="Arial" w:cs="Arial"/>
          <w:sz w:val="24"/>
          <w:szCs w:val="24"/>
        </w:rPr>
        <w:t>: Sumaron $59</w:t>
      </w:r>
      <w:r w:rsidR="00A012C9">
        <w:rPr>
          <w:rFonts w:ascii="Arial" w:hAnsi="Arial" w:cs="Arial"/>
          <w:sz w:val="24"/>
          <w:szCs w:val="24"/>
        </w:rPr>
        <w:t>.</w:t>
      </w:r>
      <w:r>
        <w:rPr>
          <w:rFonts w:ascii="Arial" w:hAnsi="Arial" w:cs="Arial"/>
          <w:sz w:val="24"/>
          <w:szCs w:val="24"/>
        </w:rPr>
        <w:t>769</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Están distribuidos así: Financieros, Otros ingresos ordinarios, ingresos extraordinarios y por ajustes de ejercicios anteriores. El peso mayor en otros ingresos los compone el devengado de los rendimientos de los recursos fiduciarios de la reserva financiera actuarial, el patrimonio autónomo para la administración de pagos de los pensionados del sector salud soportado con el convenio de concurrencia con el Ministerio de Salud y rendimientos de los recursos colocados en las diversas instituciones financieras.</w:t>
      </w:r>
    </w:p>
    <w:p w:rsidR="00D8155C" w:rsidRPr="00D8155C" w:rsidRDefault="00D8155C" w:rsidP="006E45D8">
      <w:pPr>
        <w:spacing w:after="0" w:line="360" w:lineRule="auto"/>
        <w:jc w:val="both"/>
        <w:rPr>
          <w:rFonts w:ascii="Arial" w:hAnsi="Arial" w:cs="Arial"/>
          <w:sz w:val="24"/>
          <w:szCs w:val="24"/>
        </w:rPr>
      </w:pPr>
      <w:r w:rsidRPr="00D8155C">
        <w:rPr>
          <w:rFonts w:ascii="Arial" w:hAnsi="Arial" w:cs="Arial"/>
          <w:b/>
          <w:sz w:val="24"/>
          <w:szCs w:val="24"/>
        </w:rPr>
        <w:t>GASTOS:</w:t>
      </w:r>
    </w:p>
    <w:p w:rsidR="00D8155C" w:rsidRPr="00FD5567" w:rsidRDefault="00D8155C" w:rsidP="006E45D8">
      <w:pPr>
        <w:spacing w:line="360" w:lineRule="auto"/>
        <w:jc w:val="both"/>
        <w:rPr>
          <w:rFonts w:ascii="Arial" w:hAnsi="Arial" w:cs="Arial"/>
          <w:b/>
          <w:sz w:val="24"/>
          <w:szCs w:val="24"/>
        </w:rPr>
      </w:pPr>
      <w:r w:rsidRPr="00FD5567">
        <w:rPr>
          <w:rFonts w:ascii="Arial" w:hAnsi="Arial" w:cs="Arial"/>
          <w:sz w:val="24"/>
          <w:szCs w:val="24"/>
        </w:rPr>
        <w:t>Los gastos totales ascend</w:t>
      </w:r>
      <w:r>
        <w:rPr>
          <w:rFonts w:ascii="Arial" w:hAnsi="Arial" w:cs="Arial"/>
          <w:sz w:val="24"/>
          <w:szCs w:val="24"/>
        </w:rPr>
        <w:t>ieron a $324</w:t>
      </w:r>
      <w:r w:rsidR="00A012C9">
        <w:rPr>
          <w:rFonts w:ascii="Arial" w:hAnsi="Arial" w:cs="Arial"/>
          <w:sz w:val="24"/>
          <w:szCs w:val="24"/>
        </w:rPr>
        <w:t>.</w:t>
      </w:r>
      <w:r>
        <w:rPr>
          <w:rFonts w:ascii="Arial" w:hAnsi="Arial" w:cs="Arial"/>
          <w:sz w:val="24"/>
          <w:szCs w:val="24"/>
        </w:rPr>
        <w:t>136</w:t>
      </w:r>
      <w:r w:rsidR="0003158B">
        <w:rPr>
          <w:rFonts w:ascii="Arial" w:hAnsi="Arial" w:cs="Arial"/>
          <w:sz w:val="24"/>
          <w:szCs w:val="24"/>
        </w:rPr>
        <w:t xml:space="preserve"> </w:t>
      </w:r>
      <w:r w:rsidR="00A012C9">
        <w:rPr>
          <w:rFonts w:ascii="Arial" w:hAnsi="Arial" w:cs="Arial"/>
          <w:sz w:val="24"/>
          <w:szCs w:val="24"/>
        </w:rPr>
        <w:t>millones</w:t>
      </w:r>
      <w:r>
        <w:rPr>
          <w:rFonts w:ascii="Arial" w:hAnsi="Arial" w:cs="Arial"/>
          <w:sz w:val="24"/>
          <w:szCs w:val="24"/>
        </w:rPr>
        <w:t>, los cuales</w:t>
      </w:r>
      <w:r w:rsidR="00A6658B">
        <w:rPr>
          <w:rFonts w:ascii="Arial" w:hAnsi="Arial" w:cs="Arial"/>
          <w:sz w:val="24"/>
          <w:szCs w:val="24"/>
        </w:rPr>
        <w:t xml:space="preserve"> </w:t>
      </w:r>
      <w:r w:rsidRPr="00FD5567">
        <w:rPr>
          <w:rFonts w:ascii="Arial" w:hAnsi="Arial" w:cs="Arial"/>
          <w:sz w:val="24"/>
          <w:szCs w:val="24"/>
        </w:rPr>
        <w:t xml:space="preserve">tuvieron una disminución con respecto </w:t>
      </w:r>
      <w:r>
        <w:rPr>
          <w:rFonts w:ascii="Arial" w:hAnsi="Arial" w:cs="Arial"/>
          <w:sz w:val="24"/>
          <w:szCs w:val="24"/>
        </w:rPr>
        <w:t xml:space="preserve">a la vigencia 2015, </w:t>
      </w:r>
      <w:r w:rsidRPr="00FD5567">
        <w:rPr>
          <w:rFonts w:ascii="Arial" w:hAnsi="Arial" w:cs="Arial"/>
          <w:sz w:val="24"/>
          <w:szCs w:val="24"/>
        </w:rPr>
        <w:t>en valore</w:t>
      </w:r>
      <w:r>
        <w:rPr>
          <w:rFonts w:ascii="Arial" w:hAnsi="Arial" w:cs="Arial"/>
          <w:sz w:val="24"/>
          <w:szCs w:val="24"/>
        </w:rPr>
        <w:t>s absolutos de $87</w:t>
      </w:r>
      <w:r w:rsidR="00A012C9">
        <w:rPr>
          <w:rFonts w:ascii="Arial" w:hAnsi="Arial" w:cs="Arial"/>
          <w:sz w:val="24"/>
          <w:szCs w:val="24"/>
        </w:rPr>
        <w:t>.</w:t>
      </w:r>
      <w:r>
        <w:rPr>
          <w:rFonts w:ascii="Arial" w:hAnsi="Arial" w:cs="Arial"/>
          <w:sz w:val="24"/>
          <w:szCs w:val="24"/>
        </w:rPr>
        <w:t>116</w:t>
      </w:r>
      <w:r w:rsidR="0003158B">
        <w:rPr>
          <w:rFonts w:ascii="Arial" w:hAnsi="Arial" w:cs="Arial"/>
          <w:sz w:val="24"/>
          <w:szCs w:val="24"/>
        </w:rPr>
        <w:t xml:space="preserve"> </w:t>
      </w:r>
      <w:r w:rsidR="00A012C9">
        <w:rPr>
          <w:rFonts w:ascii="Arial" w:hAnsi="Arial" w:cs="Arial"/>
          <w:sz w:val="24"/>
          <w:szCs w:val="24"/>
        </w:rPr>
        <w:t>millones</w:t>
      </w:r>
      <w:r>
        <w:rPr>
          <w:rFonts w:ascii="Arial" w:hAnsi="Arial" w:cs="Arial"/>
          <w:sz w:val="24"/>
          <w:szCs w:val="24"/>
        </w:rPr>
        <w:t xml:space="preserve">, </w:t>
      </w:r>
      <w:r w:rsidRPr="00FD5567">
        <w:rPr>
          <w:rFonts w:ascii="Arial" w:hAnsi="Arial" w:cs="Arial"/>
          <w:sz w:val="24"/>
          <w:szCs w:val="24"/>
        </w:rPr>
        <w:t xml:space="preserve">en porcentaje </w:t>
      </w:r>
      <w:r>
        <w:rPr>
          <w:rFonts w:ascii="Arial" w:hAnsi="Arial" w:cs="Arial"/>
          <w:sz w:val="24"/>
          <w:szCs w:val="24"/>
        </w:rPr>
        <w:t xml:space="preserve">representa </w:t>
      </w:r>
      <w:r w:rsidRPr="00FD5567">
        <w:rPr>
          <w:rFonts w:ascii="Arial" w:hAnsi="Arial" w:cs="Arial"/>
          <w:sz w:val="24"/>
          <w:szCs w:val="24"/>
        </w:rPr>
        <w:t>el 21%. Los gastos en general representaron el 93,12% de los ingresos totales, lo que quiere decir que por cada cien pesos generados se destinaron para ejecución de gastos la cantidad de noventa y tres pesos.</w:t>
      </w:r>
    </w:p>
    <w:p w:rsidR="00D8155C" w:rsidRPr="00FD5567" w:rsidRDefault="00D8155C" w:rsidP="006E45D8">
      <w:pPr>
        <w:spacing w:line="360" w:lineRule="auto"/>
        <w:jc w:val="both"/>
        <w:rPr>
          <w:rFonts w:ascii="Arial" w:hAnsi="Arial" w:cs="Arial"/>
          <w:sz w:val="24"/>
          <w:szCs w:val="24"/>
        </w:rPr>
      </w:pPr>
      <w:r w:rsidRPr="00FD5567">
        <w:rPr>
          <w:rFonts w:ascii="Arial" w:hAnsi="Arial" w:cs="Arial"/>
          <w:b/>
          <w:sz w:val="24"/>
          <w:szCs w:val="24"/>
        </w:rPr>
        <w:t>Gastos de Administración</w:t>
      </w:r>
      <w:r w:rsidRPr="00FD5567">
        <w:rPr>
          <w:rFonts w:ascii="Arial" w:hAnsi="Arial" w:cs="Arial"/>
          <w:sz w:val="24"/>
          <w:szCs w:val="24"/>
        </w:rPr>
        <w:t xml:space="preserve">: </w:t>
      </w:r>
      <w:r>
        <w:rPr>
          <w:rFonts w:ascii="Arial" w:hAnsi="Arial" w:cs="Arial"/>
          <w:sz w:val="24"/>
          <w:szCs w:val="24"/>
        </w:rPr>
        <w:t>Estos fueron del orden de $59</w:t>
      </w:r>
      <w:r w:rsidR="007E0444">
        <w:rPr>
          <w:rFonts w:ascii="Arial" w:hAnsi="Arial" w:cs="Arial"/>
          <w:sz w:val="24"/>
          <w:szCs w:val="24"/>
        </w:rPr>
        <w:t>.</w:t>
      </w:r>
      <w:r>
        <w:rPr>
          <w:rFonts w:ascii="Arial" w:hAnsi="Arial" w:cs="Arial"/>
          <w:sz w:val="24"/>
          <w:szCs w:val="24"/>
        </w:rPr>
        <w:t>951</w:t>
      </w:r>
      <w:r w:rsidR="0003158B">
        <w:rPr>
          <w:rFonts w:ascii="Arial" w:hAnsi="Arial" w:cs="Arial"/>
          <w:sz w:val="24"/>
          <w:szCs w:val="24"/>
        </w:rPr>
        <w:t>millones</w:t>
      </w:r>
      <w:r w:rsidRPr="00FD5567">
        <w:rPr>
          <w:rFonts w:ascii="Arial" w:hAnsi="Arial" w:cs="Arial"/>
          <w:sz w:val="24"/>
          <w:szCs w:val="24"/>
        </w:rPr>
        <w:t xml:space="preserve"> que comparados con los resultados de la v</w:t>
      </w:r>
      <w:r>
        <w:rPr>
          <w:rFonts w:ascii="Arial" w:hAnsi="Arial" w:cs="Arial"/>
          <w:sz w:val="24"/>
          <w:szCs w:val="24"/>
        </w:rPr>
        <w:t>igencia 2015 disminuyeron en 2.2% y en términos absolutos la disminución es de $1</w:t>
      </w:r>
      <w:r w:rsidR="00A012C9">
        <w:rPr>
          <w:rFonts w:ascii="Arial" w:hAnsi="Arial" w:cs="Arial"/>
          <w:sz w:val="24"/>
          <w:szCs w:val="24"/>
        </w:rPr>
        <w:t>.</w:t>
      </w:r>
      <w:r>
        <w:rPr>
          <w:rFonts w:ascii="Arial" w:hAnsi="Arial" w:cs="Arial"/>
          <w:sz w:val="24"/>
          <w:szCs w:val="24"/>
        </w:rPr>
        <w:t>376</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De este grupo hacen parte las partidas por sueldos y salarios del personal de la p</w:t>
      </w:r>
      <w:r>
        <w:rPr>
          <w:rFonts w:ascii="Arial" w:hAnsi="Arial" w:cs="Arial"/>
          <w:sz w:val="24"/>
          <w:szCs w:val="24"/>
        </w:rPr>
        <w:t xml:space="preserve">lanta central, </w:t>
      </w:r>
      <w:r w:rsidRPr="00FD5567">
        <w:rPr>
          <w:rFonts w:ascii="Arial" w:hAnsi="Arial" w:cs="Arial"/>
          <w:sz w:val="24"/>
          <w:szCs w:val="24"/>
        </w:rPr>
        <w:t>contribuciones imputadas, contribuciones efect</w:t>
      </w:r>
      <w:r w:rsidR="00A6658B">
        <w:rPr>
          <w:rFonts w:ascii="Arial" w:hAnsi="Arial" w:cs="Arial"/>
          <w:sz w:val="24"/>
          <w:szCs w:val="24"/>
        </w:rPr>
        <w:t xml:space="preserve">ivas, aportes sobre la nómina, </w:t>
      </w:r>
      <w:r w:rsidRPr="00FD5567">
        <w:rPr>
          <w:rFonts w:ascii="Arial" w:hAnsi="Arial" w:cs="Arial"/>
          <w:sz w:val="24"/>
          <w:szCs w:val="24"/>
        </w:rPr>
        <w:t xml:space="preserve">gastos generales e impuestos tasas y contribuciones. </w:t>
      </w:r>
    </w:p>
    <w:p w:rsidR="00D8155C" w:rsidRPr="00FD5567" w:rsidRDefault="00D8155C" w:rsidP="006E45D8">
      <w:pPr>
        <w:spacing w:line="360" w:lineRule="auto"/>
        <w:jc w:val="both"/>
        <w:rPr>
          <w:rFonts w:ascii="Arial" w:hAnsi="Arial" w:cs="Arial"/>
          <w:sz w:val="24"/>
          <w:szCs w:val="24"/>
        </w:rPr>
      </w:pPr>
      <w:r w:rsidRPr="00FD5567">
        <w:rPr>
          <w:rFonts w:ascii="Arial" w:hAnsi="Arial" w:cs="Arial"/>
          <w:sz w:val="24"/>
          <w:szCs w:val="24"/>
        </w:rPr>
        <w:t>Es importante mencionar que las contribuciones imputadas representan el valor llevado al gasto del cálculo actuarial del pasivo pensional pendiente por amortizar a la fecha del cierre del balance, que para la vigencia ascendió a $26</w:t>
      </w:r>
      <w:r w:rsidR="0003158B">
        <w:rPr>
          <w:rFonts w:ascii="Arial" w:hAnsi="Arial" w:cs="Arial"/>
          <w:sz w:val="24"/>
          <w:szCs w:val="24"/>
        </w:rPr>
        <w:t>.</w:t>
      </w:r>
      <w:r w:rsidRPr="00FD5567">
        <w:rPr>
          <w:rFonts w:ascii="Arial" w:hAnsi="Arial" w:cs="Arial"/>
          <w:sz w:val="24"/>
          <w:szCs w:val="24"/>
        </w:rPr>
        <w:t>160</w:t>
      </w:r>
      <w:r w:rsidR="0003158B">
        <w:rPr>
          <w:rFonts w:ascii="Arial" w:hAnsi="Arial" w:cs="Arial"/>
          <w:sz w:val="24"/>
          <w:szCs w:val="24"/>
        </w:rPr>
        <w:t xml:space="preserve"> millones</w:t>
      </w:r>
      <w:r w:rsidRPr="00FD5567">
        <w:rPr>
          <w:rFonts w:ascii="Arial" w:hAnsi="Arial" w:cs="Arial"/>
          <w:sz w:val="24"/>
          <w:szCs w:val="24"/>
        </w:rPr>
        <w:t>, con el 46% de peso total en los gastos de administración.</w:t>
      </w:r>
    </w:p>
    <w:p w:rsidR="00D8155C" w:rsidRPr="00FD5567" w:rsidRDefault="00D8155C" w:rsidP="006E45D8">
      <w:pPr>
        <w:spacing w:line="360" w:lineRule="auto"/>
        <w:jc w:val="both"/>
        <w:rPr>
          <w:rFonts w:ascii="Arial" w:hAnsi="Arial" w:cs="Arial"/>
          <w:sz w:val="24"/>
          <w:szCs w:val="24"/>
        </w:rPr>
      </w:pPr>
      <w:r w:rsidRPr="00FD5567">
        <w:rPr>
          <w:rFonts w:ascii="Arial" w:hAnsi="Arial" w:cs="Arial"/>
          <w:b/>
          <w:sz w:val="24"/>
          <w:szCs w:val="24"/>
        </w:rPr>
        <w:lastRenderedPageBreak/>
        <w:t>Gastos de operación</w:t>
      </w:r>
      <w:r w:rsidRPr="00FD5567">
        <w:rPr>
          <w:rFonts w:ascii="Arial" w:hAnsi="Arial" w:cs="Arial"/>
          <w:sz w:val="24"/>
          <w:szCs w:val="24"/>
        </w:rPr>
        <w:t>: Totalizaron en el periodo analizado $14</w:t>
      </w:r>
      <w:r w:rsidR="00A012C9">
        <w:rPr>
          <w:rFonts w:ascii="Arial" w:hAnsi="Arial" w:cs="Arial"/>
          <w:sz w:val="24"/>
          <w:szCs w:val="24"/>
        </w:rPr>
        <w:t>.</w:t>
      </w:r>
      <w:r w:rsidRPr="00FD5567">
        <w:rPr>
          <w:rFonts w:ascii="Arial" w:hAnsi="Arial" w:cs="Arial"/>
          <w:sz w:val="24"/>
          <w:szCs w:val="24"/>
        </w:rPr>
        <w:t>320</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estos gastos decrecieron en un 53.5% con respecto a la vigencia anterior. Los gastos de este grupo  se equiparan al gasto público social, ya que por razones de insuficiencia del  Plan Contable, aquellos gastos de inversión social que no se puede registrar en este grupo, se registran como gastos operacionales. Por ello, se deben tener en cuenta para los análisis del gasto de inversión social.</w:t>
      </w:r>
    </w:p>
    <w:p w:rsidR="00D8155C" w:rsidRPr="00FD5567" w:rsidRDefault="00D8155C" w:rsidP="006E45D8">
      <w:pPr>
        <w:spacing w:line="360" w:lineRule="auto"/>
        <w:jc w:val="both"/>
        <w:rPr>
          <w:rFonts w:ascii="Arial" w:hAnsi="Arial" w:cs="Arial"/>
          <w:sz w:val="24"/>
          <w:szCs w:val="24"/>
        </w:rPr>
      </w:pPr>
      <w:r w:rsidRPr="00FD5567">
        <w:rPr>
          <w:rFonts w:ascii="Arial" w:hAnsi="Arial" w:cs="Arial"/>
          <w:b/>
          <w:sz w:val="24"/>
          <w:szCs w:val="24"/>
        </w:rPr>
        <w:t>Provisiones, Agotamiento, Depreciaciones y amortizaciones</w:t>
      </w:r>
      <w:r w:rsidRPr="00FD5567">
        <w:rPr>
          <w:rFonts w:ascii="Arial" w:hAnsi="Arial" w:cs="Arial"/>
          <w:sz w:val="24"/>
          <w:szCs w:val="24"/>
        </w:rPr>
        <w:t>. Este grupo de gastos cerró la vigencia con un saldo acumulado de $3</w:t>
      </w:r>
      <w:r w:rsidR="00A012C9">
        <w:rPr>
          <w:rFonts w:ascii="Arial" w:hAnsi="Arial" w:cs="Arial"/>
          <w:sz w:val="24"/>
          <w:szCs w:val="24"/>
        </w:rPr>
        <w:t>.</w:t>
      </w:r>
      <w:r w:rsidRPr="00FD5567">
        <w:rPr>
          <w:rFonts w:ascii="Arial" w:hAnsi="Arial" w:cs="Arial"/>
          <w:sz w:val="24"/>
          <w:szCs w:val="24"/>
        </w:rPr>
        <w:t>300</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xml:space="preserve"> y está conformado por las partidas de provisiones para protección de los inventarios del fondo rotatorio de medicamentos, provisión para contingencias de procesos litigiosos registrados en la vigencia y depreciación de bienes adquiridos en leasing producto de los ajustes a que fue sometido un contrato de adquisición de 60 equipos de cómputo “todo en uno” por la modalidad de arrendamiento.</w:t>
      </w:r>
    </w:p>
    <w:p w:rsidR="00D8155C" w:rsidRDefault="00D8155C" w:rsidP="006E45D8">
      <w:pPr>
        <w:spacing w:line="360" w:lineRule="auto"/>
        <w:jc w:val="both"/>
        <w:rPr>
          <w:rFonts w:ascii="Arial" w:hAnsi="Arial" w:cs="Arial"/>
          <w:sz w:val="24"/>
          <w:szCs w:val="24"/>
        </w:rPr>
      </w:pPr>
      <w:r w:rsidRPr="00FD5567">
        <w:rPr>
          <w:rFonts w:ascii="Arial" w:hAnsi="Arial" w:cs="Arial"/>
          <w:b/>
          <w:sz w:val="24"/>
          <w:szCs w:val="24"/>
        </w:rPr>
        <w:t>Transferencias:</w:t>
      </w:r>
      <w:r w:rsidRPr="00FD5567">
        <w:rPr>
          <w:rFonts w:ascii="Arial" w:hAnsi="Arial" w:cs="Arial"/>
          <w:sz w:val="24"/>
          <w:szCs w:val="24"/>
        </w:rPr>
        <w:t xml:space="preserve"> Los gastos por este grupo ascendieron a $31</w:t>
      </w:r>
      <w:r w:rsidR="00A012C9">
        <w:rPr>
          <w:rFonts w:ascii="Arial" w:hAnsi="Arial" w:cs="Arial"/>
          <w:sz w:val="24"/>
          <w:szCs w:val="24"/>
        </w:rPr>
        <w:t>.</w:t>
      </w:r>
      <w:r w:rsidRPr="00FD5567">
        <w:rPr>
          <w:rFonts w:ascii="Arial" w:hAnsi="Arial" w:cs="Arial"/>
          <w:sz w:val="24"/>
          <w:szCs w:val="24"/>
        </w:rPr>
        <w:t>682</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xml:space="preserve"> y comparado con diciembr</w:t>
      </w:r>
      <w:r w:rsidR="00A6658B">
        <w:rPr>
          <w:rFonts w:ascii="Arial" w:hAnsi="Arial" w:cs="Arial"/>
          <w:sz w:val="24"/>
          <w:szCs w:val="24"/>
        </w:rPr>
        <w:t xml:space="preserve">e de 2015 tuvo una disminución </w:t>
      </w:r>
      <w:r w:rsidRPr="00FD5567">
        <w:rPr>
          <w:rFonts w:ascii="Arial" w:hAnsi="Arial" w:cs="Arial"/>
          <w:sz w:val="24"/>
          <w:szCs w:val="24"/>
        </w:rPr>
        <w:t xml:space="preserve">en un 53.9%. En este grupo están las transferencias al sector público descentralizado del Departamento para atender los gastos por disposiciones </w:t>
      </w:r>
      <w:r>
        <w:rPr>
          <w:rFonts w:ascii="Arial" w:hAnsi="Arial" w:cs="Arial"/>
          <w:sz w:val="24"/>
          <w:szCs w:val="24"/>
        </w:rPr>
        <w:t>l</w:t>
      </w:r>
      <w:r w:rsidRPr="00FD5567">
        <w:rPr>
          <w:rFonts w:ascii="Arial" w:hAnsi="Arial" w:cs="Arial"/>
          <w:sz w:val="24"/>
          <w:szCs w:val="24"/>
        </w:rPr>
        <w:t xml:space="preserve">egales u ordenanzales y las realizadas mediante convenios, tanto con el sector público, como privado, dirigidas a cumplir las metas del Plan de Desarrollo Departamental. </w:t>
      </w:r>
    </w:p>
    <w:p w:rsidR="00D8155C" w:rsidRDefault="00D8155C" w:rsidP="006E45D8">
      <w:pPr>
        <w:spacing w:line="360" w:lineRule="auto"/>
        <w:jc w:val="both"/>
        <w:rPr>
          <w:rFonts w:ascii="Arial" w:hAnsi="Arial" w:cs="Arial"/>
          <w:sz w:val="24"/>
          <w:szCs w:val="24"/>
        </w:rPr>
      </w:pPr>
      <w:r w:rsidRPr="00FD5567">
        <w:rPr>
          <w:rFonts w:ascii="Arial" w:hAnsi="Arial" w:cs="Arial"/>
          <w:b/>
          <w:sz w:val="24"/>
          <w:szCs w:val="24"/>
        </w:rPr>
        <w:t>Gasto Público Social</w:t>
      </w:r>
      <w:r w:rsidRPr="00FD5567">
        <w:rPr>
          <w:rFonts w:ascii="Arial" w:hAnsi="Arial" w:cs="Arial"/>
          <w:sz w:val="24"/>
          <w:szCs w:val="24"/>
        </w:rPr>
        <w:t>: Revela el monto de los recursos vía inversiones del plan de desar</w:t>
      </w:r>
      <w:r>
        <w:rPr>
          <w:rFonts w:ascii="Arial" w:hAnsi="Arial" w:cs="Arial"/>
          <w:sz w:val="24"/>
          <w:szCs w:val="24"/>
        </w:rPr>
        <w:t>rollo, su monto arribó a $206</w:t>
      </w:r>
      <w:r w:rsidR="00A012C9">
        <w:rPr>
          <w:rFonts w:ascii="Arial" w:hAnsi="Arial" w:cs="Arial"/>
          <w:sz w:val="24"/>
          <w:szCs w:val="24"/>
        </w:rPr>
        <w:t>.</w:t>
      </w:r>
      <w:r>
        <w:rPr>
          <w:rFonts w:ascii="Arial" w:hAnsi="Arial" w:cs="Arial"/>
          <w:sz w:val="24"/>
          <w:szCs w:val="24"/>
        </w:rPr>
        <w:t>915</w:t>
      </w:r>
      <w:r w:rsidR="0003158B">
        <w:rPr>
          <w:rFonts w:ascii="Arial" w:hAnsi="Arial" w:cs="Arial"/>
          <w:sz w:val="24"/>
          <w:szCs w:val="24"/>
        </w:rPr>
        <w:t xml:space="preserve"> </w:t>
      </w:r>
      <w:r w:rsidR="00A012C9">
        <w:rPr>
          <w:rFonts w:ascii="Arial" w:hAnsi="Arial" w:cs="Arial"/>
          <w:sz w:val="24"/>
          <w:szCs w:val="24"/>
        </w:rPr>
        <w:t>millones</w:t>
      </w:r>
      <w:r w:rsidR="00A6658B">
        <w:rPr>
          <w:rFonts w:ascii="Arial" w:hAnsi="Arial" w:cs="Arial"/>
          <w:sz w:val="24"/>
          <w:szCs w:val="24"/>
        </w:rPr>
        <w:t xml:space="preserve"> y tuvo una leve disminución </w:t>
      </w:r>
      <w:r>
        <w:rPr>
          <w:rFonts w:ascii="Arial" w:hAnsi="Arial" w:cs="Arial"/>
          <w:sz w:val="24"/>
          <w:szCs w:val="24"/>
        </w:rPr>
        <w:t>del 0.4</w:t>
      </w:r>
      <w:r w:rsidRPr="00FD5567">
        <w:rPr>
          <w:rFonts w:ascii="Arial" w:hAnsi="Arial" w:cs="Arial"/>
          <w:sz w:val="24"/>
          <w:szCs w:val="24"/>
        </w:rPr>
        <w:t>% con respecto a 2015 y en valores absol</w:t>
      </w:r>
      <w:r>
        <w:rPr>
          <w:rFonts w:ascii="Arial" w:hAnsi="Arial" w:cs="Arial"/>
          <w:sz w:val="24"/>
          <w:szCs w:val="24"/>
        </w:rPr>
        <w:t>utos esta cifra es de $751</w:t>
      </w:r>
      <w:r w:rsidR="00A012C9">
        <w:rPr>
          <w:rFonts w:ascii="Arial" w:hAnsi="Arial" w:cs="Arial"/>
          <w:sz w:val="24"/>
          <w:szCs w:val="24"/>
        </w:rPr>
        <w:t>millones</w:t>
      </w:r>
      <w:r w:rsidRPr="00FD5567">
        <w:rPr>
          <w:rFonts w:ascii="Arial" w:hAnsi="Arial" w:cs="Arial"/>
          <w:sz w:val="24"/>
          <w:szCs w:val="24"/>
        </w:rPr>
        <w:t xml:space="preserve">. </w:t>
      </w:r>
    </w:p>
    <w:p w:rsidR="00D8155C" w:rsidRPr="00FD5567" w:rsidRDefault="00D8155C" w:rsidP="006E45D8">
      <w:pPr>
        <w:spacing w:line="360" w:lineRule="auto"/>
        <w:jc w:val="both"/>
        <w:rPr>
          <w:rFonts w:ascii="Arial" w:hAnsi="Arial" w:cs="Arial"/>
          <w:sz w:val="24"/>
          <w:szCs w:val="24"/>
        </w:rPr>
      </w:pPr>
      <w:r w:rsidRPr="00FD5567">
        <w:rPr>
          <w:rFonts w:ascii="Arial" w:hAnsi="Arial" w:cs="Arial"/>
          <w:sz w:val="24"/>
          <w:szCs w:val="24"/>
        </w:rPr>
        <w:t>Los principales sectores afectados son en</w:t>
      </w:r>
      <w:r>
        <w:rPr>
          <w:rFonts w:ascii="Arial" w:hAnsi="Arial" w:cs="Arial"/>
          <w:sz w:val="24"/>
          <w:szCs w:val="24"/>
        </w:rPr>
        <w:t>tre otros: Educación con $132</w:t>
      </w:r>
      <w:r w:rsidR="00A012C9">
        <w:rPr>
          <w:rFonts w:ascii="Arial" w:hAnsi="Arial" w:cs="Arial"/>
          <w:sz w:val="24"/>
          <w:szCs w:val="24"/>
        </w:rPr>
        <w:t>.</w:t>
      </w:r>
      <w:r>
        <w:rPr>
          <w:rFonts w:ascii="Arial" w:hAnsi="Arial" w:cs="Arial"/>
          <w:sz w:val="24"/>
          <w:szCs w:val="24"/>
        </w:rPr>
        <w:t>210</w:t>
      </w:r>
      <w:r w:rsidR="00A012C9">
        <w:rPr>
          <w:rFonts w:ascii="Arial" w:hAnsi="Arial" w:cs="Arial"/>
          <w:sz w:val="24"/>
          <w:szCs w:val="24"/>
        </w:rPr>
        <w:t>millones</w:t>
      </w:r>
      <w:r>
        <w:rPr>
          <w:rFonts w:ascii="Arial" w:hAnsi="Arial" w:cs="Arial"/>
          <w:sz w:val="24"/>
          <w:szCs w:val="24"/>
        </w:rPr>
        <w:t>, sector salud con $44</w:t>
      </w:r>
      <w:r w:rsidR="00A012C9">
        <w:rPr>
          <w:rFonts w:ascii="Arial" w:hAnsi="Arial" w:cs="Arial"/>
          <w:sz w:val="24"/>
          <w:szCs w:val="24"/>
        </w:rPr>
        <w:t>.</w:t>
      </w:r>
      <w:r>
        <w:rPr>
          <w:rFonts w:ascii="Arial" w:hAnsi="Arial" w:cs="Arial"/>
          <w:sz w:val="24"/>
          <w:szCs w:val="24"/>
        </w:rPr>
        <w:t>293</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sector de agua potable y saneamiento básico c</w:t>
      </w:r>
      <w:r>
        <w:rPr>
          <w:rFonts w:ascii="Arial" w:hAnsi="Arial" w:cs="Arial"/>
          <w:sz w:val="24"/>
          <w:szCs w:val="24"/>
        </w:rPr>
        <w:t>on $17</w:t>
      </w:r>
      <w:r w:rsidR="00A012C9">
        <w:rPr>
          <w:rFonts w:ascii="Arial" w:hAnsi="Arial" w:cs="Arial"/>
          <w:sz w:val="24"/>
          <w:szCs w:val="24"/>
        </w:rPr>
        <w:t>.</w:t>
      </w:r>
      <w:r>
        <w:rPr>
          <w:rFonts w:ascii="Arial" w:hAnsi="Arial" w:cs="Arial"/>
          <w:sz w:val="24"/>
          <w:szCs w:val="24"/>
        </w:rPr>
        <w:t>968</w:t>
      </w:r>
      <w:r w:rsidR="0003158B">
        <w:rPr>
          <w:rFonts w:ascii="Arial" w:hAnsi="Arial" w:cs="Arial"/>
          <w:sz w:val="24"/>
          <w:szCs w:val="24"/>
        </w:rPr>
        <w:t xml:space="preserve"> </w:t>
      </w:r>
      <w:r w:rsidR="00A012C9">
        <w:rPr>
          <w:rFonts w:ascii="Arial" w:hAnsi="Arial" w:cs="Arial"/>
          <w:sz w:val="24"/>
          <w:szCs w:val="24"/>
        </w:rPr>
        <w:t>millones</w:t>
      </w:r>
      <w:r>
        <w:rPr>
          <w:rFonts w:ascii="Arial" w:hAnsi="Arial" w:cs="Arial"/>
          <w:sz w:val="24"/>
          <w:szCs w:val="24"/>
        </w:rPr>
        <w:t>, sector de vivienda $</w:t>
      </w:r>
      <w:r w:rsidRPr="00FD5567">
        <w:rPr>
          <w:rFonts w:ascii="Arial" w:hAnsi="Arial" w:cs="Arial"/>
          <w:sz w:val="24"/>
          <w:szCs w:val="24"/>
        </w:rPr>
        <w:t>7</w:t>
      </w:r>
      <w:r w:rsidR="00A012C9">
        <w:rPr>
          <w:rFonts w:ascii="Arial" w:hAnsi="Arial" w:cs="Arial"/>
          <w:sz w:val="24"/>
          <w:szCs w:val="24"/>
        </w:rPr>
        <w:t>.</w:t>
      </w:r>
      <w:r w:rsidRPr="00FD5567">
        <w:rPr>
          <w:rFonts w:ascii="Arial" w:hAnsi="Arial" w:cs="Arial"/>
          <w:sz w:val="24"/>
          <w:szCs w:val="24"/>
        </w:rPr>
        <w:t>742</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xml:space="preserve"> y otros sectores con $4</w:t>
      </w:r>
      <w:r w:rsidR="00A012C9">
        <w:rPr>
          <w:rFonts w:ascii="Arial" w:hAnsi="Arial" w:cs="Arial"/>
          <w:sz w:val="24"/>
          <w:szCs w:val="24"/>
        </w:rPr>
        <w:t>.</w:t>
      </w:r>
      <w:r w:rsidRPr="00FD5567">
        <w:rPr>
          <w:rFonts w:ascii="Arial" w:hAnsi="Arial" w:cs="Arial"/>
          <w:sz w:val="24"/>
          <w:szCs w:val="24"/>
        </w:rPr>
        <w:t>702</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w:t>
      </w:r>
    </w:p>
    <w:p w:rsidR="00D8155C" w:rsidRDefault="00D8155C" w:rsidP="006E45D8">
      <w:pPr>
        <w:spacing w:line="360" w:lineRule="auto"/>
        <w:jc w:val="both"/>
        <w:rPr>
          <w:rFonts w:ascii="Arial" w:hAnsi="Arial" w:cs="Arial"/>
          <w:sz w:val="24"/>
          <w:szCs w:val="24"/>
        </w:rPr>
      </w:pPr>
      <w:r>
        <w:rPr>
          <w:rFonts w:ascii="Arial" w:hAnsi="Arial" w:cs="Arial"/>
          <w:sz w:val="24"/>
          <w:szCs w:val="24"/>
        </w:rPr>
        <w:t xml:space="preserve">Se aclara que los gastos por aportes patronales del fondo de educación y salud en lo que hace relación a ICBF e Institutos técnicos fueron reclasificados a gastos </w:t>
      </w:r>
      <w:r>
        <w:rPr>
          <w:rFonts w:ascii="Arial" w:hAnsi="Arial" w:cs="Arial"/>
          <w:sz w:val="24"/>
          <w:szCs w:val="24"/>
        </w:rPr>
        <w:lastRenderedPageBreak/>
        <w:t>administrativos por los esquemas de validación de operaciones recíprocas de la Contaduría General de la Nación.</w:t>
      </w:r>
    </w:p>
    <w:p w:rsidR="00D8155C" w:rsidRPr="00FD5567" w:rsidRDefault="00D8155C" w:rsidP="006E45D8">
      <w:pPr>
        <w:spacing w:line="360" w:lineRule="auto"/>
        <w:jc w:val="both"/>
        <w:rPr>
          <w:rFonts w:ascii="Arial" w:hAnsi="Arial" w:cs="Arial"/>
          <w:sz w:val="24"/>
          <w:szCs w:val="24"/>
        </w:rPr>
      </w:pPr>
      <w:r w:rsidRPr="00FD5567">
        <w:rPr>
          <w:rFonts w:ascii="Arial" w:hAnsi="Arial" w:cs="Arial"/>
          <w:sz w:val="24"/>
          <w:szCs w:val="24"/>
        </w:rPr>
        <w:t>De acuerdo con la gráfica, El gasto público social, viene con una tendencia de crecimiento sostenido, mostrando con ello, la Administración Departamental su capacidad para maximizar los recursos y canalizarlos hacia los sectores prioritarios del Plan de Desarrollo.</w:t>
      </w:r>
    </w:p>
    <w:p w:rsidR="00D8155C" w:rsidRPr="00FD5567" w:rsidRDefault="00D8155C" w:rsidP="006E45D8">
      <w:pPr>
        <w:spacing w:line="360" w:lineRule="auto"/>
        <w:jc w:val="both"/>
        <w:rPr>
          <w:rFonts w:ascii="Arial" w:hAnsi="Arial" w:cs="Arial"/>
          <w:sz w:val="24"/>
          <w:szCs w:val="24"/>
        </w:rPr>
      </w:pPr>
      <w:r w:rsidRPr="00FD5567">
        <w:rPr>
          <w:rFonts w:ascii="Arial" w:hAnsi="Arial" w:cs="Arial"/>
          <w:b/>
          <w:sz w:val="24"/>
          <w:szCs w:val="24"/>
        </w:rPr>
        <w:t>Otros gastos</w:t>
      </w:r>
      <w:r w:rsidRPr="00FD5567">
        <w:rPr>
          <w:rFonts w:ascii="Arial" w:hAnsi="Arial" w:cs="Arial"/>
          <w:sz w:val="24"/>
          <w:szCs w:val="24"/>
        </w:rPr>
        <w:t>: Comprende aquellos gastos que no encajan en los anteriores rubros. Este rubro cerró con una cifra de $6</w:t>
      </w:r>
      <w:r w:rsidR="00A012C9">
        <w:rPr>
          <w:rFonts w:ascii="Arial" w:hAnsi="Arial" w:cs="Arial"/>
          <w:sz w:val="24"/>
          <w:szCs w:val="24"/>
        </w:rPr>
        <w:t>.</w:t>
      </w:r>
      <w:r w:rsidRPr="00FD5567">
        <w:rPr>
          <w:rFonts w:ascii="Arial" w:hAnsi="Arial" w:cs="Arial"/>
          <w:sz w:val="24"/>
          <w:szCs w:val="24"/>
        </w:rPr>
        <w:t>728</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Este grupo comprende los gastos por interés financieros, comisiones, financieros por gestión de portafolio de fiducias, otros como pérdidas por retiro de activos, pago de sentencias judiciales y otros.</w:t>
      </w:r>
    </w:p>
    <w:p w:rsidR="00D8155C" w:rsidRDefault="00D8155C" w:rsidP="006E45D8">
      <w:pPr>
        <w:spacing w:line="360" w:lineRule="auto"/>
        <w:jc w:val="both"/>
        <w:rPr>
          <w:rFonts w:ascii="Arial" w:hAnsi="Arial" w:cs="Arial"/>
          <w:sz w:val="24"/>
          <w:szCs w:val="24"/>
        </w:rPr>
      </w:pPr>
      <w:r w:rsidRPr="00FD5567">
        <w:rPr>
          <w:rFonts w:ascii="Arial" w:hAnsi="Arial" w:cs="Arial"/>
          <w:b/>
          <w:sz w:val="24"/>
          <w:szCs w:val="24"/>
        </w:rPr>
        <w:t>Excedente</w:t>
      </w:r>
      <w:r w:rsidRPr="00FD5567">
        <w:rPr>
          <w:rFonts w:ascii="Arial" w:hAnsi="Arial" w:cs="Arial"/>
          <w:sz w:val="24"/>
          <w:szCs w:val="24"/>
        </w:rPr>
        <w:t>: Finalmente, como producto de la diferencia entre los ingresos totales y los gastos totales quedó un saldo de excedente acumulado c</w:t>
      </w:r>
      <w:r>
        <w:rPr>
          <w:rFonts w:ascii="Arial" w:hAnsi="Arial" w:cs="Arial"/>
          <w:sz w:val="24"/>
          <w:szCs w:val="24"/>
        </w:rPr>
        <w:t>onsolida</w:t>
      </w:r>
      <w:r w:rsidR="00A6658B">
        <w:rPr>
          <w:rFonts w:ascii="Arial" w:hAnsi="Arial" w:cs="Arial"/>
          <w:sz w:val="24"/>
          <w:szCs w:val="24"/>
        </w:rPr>
        <w:t xml:space="preserve">do </w:t>
      </w:r>
      <w:r>
        <w:rPr>
          <w:rFonts w:ascii="Arial" w:hAnsi="Arial" w:cs="Arial"/>
          <w:sz w:val="24"/>
          <w:szCs w:val="24"/>
        </w:rPr>
        <w:t>en la suma de $27</w:t>
      </w:r>
      <w:r w:rsidR="00A012C9">
        <w:rPr>
          <w:rFonts w:ascii="Arial" w:hAnsi="Arial" w:cs="Arial"/>
          <w:sz w:val="24"/>
          <w:szCs w:val="24"/>
        </w:rPr>
        <w:t>.</w:t>
      </w:r>
      <w:r>
        <w:rPr>
          <w:rFonts w:ascii="Arial" w:hAnsi="Arial" w:cs="Arial"/>
          <w:sz w:val="24"/>
          <w:szCs w:val="24"/>
        </w:rPr>
        <w:t>761</w:t>
      </w:r>
      <w:r w:rsidR="0003158B">
        <w:rPr>
          <w:rFonts w:ascii="Arial" w:hAnsi="Arial" w:cs="Arial"/>
          <w:sz w:val="24"/>
          <w:szCs w:val="24"/>
        </w:rPr>
        <w:t xml:space="preserve"> </w:t>
      </w:r>
      <w:r w:rsidR="00A012C9">
        <w:rPr>
          <w:rFonts w:ascii="Arial" w:hAnsi="Arial" w:cs="Arial"/>
          <w:sz w:val="24"/>
          <w:szCs w:val="24"/>
        </w:rPr>
        <w:t>millones</w:t>
      </w:r>
      <w:r w:rsidRPr="00FD5567">
        <w:rPr>
          <w:rFonts w:ascii="Arial" w:hAnsi="Arial" w:cs="Arial"/>
          <w:sz w:val="24"/>
          <w:szCs w:val="24"/>
        </w:rPr>
        <w:t xml:space="preserve"> con una variación </w:t>
      </w:r>
      <w:r>
        <w:rPr>
          <w:rFonts w:ascii="Arial" w:hAnsi="Arial" w:cs="Arial"/>
          <w:sz w:val="24"/>
          <w:szCs w:val="24"/>
        </w:rPr>
        <w:t>positiva de 131</w:t>
      </w:r>
      <w:r w:rsidRPr="00FD5567">
        <w:rPr>
          <w:rFonts w:ascii="Arial" w:hAnsi="Arial" w:cs="Arial"/>
          <w:sz w:val="24"/>
          <w:szCs w:val="24"/>
        </w:rPr>
        <w:t>%, en relación al periodo anterior, cuyo resultado fue negativo.</w:t>
      </w:r>
      <w:r w:rsidRPr="00C77A44">
        <w:rPr>
          <w:rFonts w:ascii="Arial" w:hAnsi="Arial" w:cs="Arial"/>
          <w:sz w:val="24"/>
          <w:szCs w:val="24"/>
        </w:rPr>
        <w:t xml:space="preserve"> </w:t>
      </w:r>
    </w:p>
    <w:p w:rsidR="007E0444" w:rsidRDefault="007E0444" w:rsidP="006E45D8">
      <w:pPr>
        <w:spacing w:line="360" w:lineRule="auto"/>
        <w:jc w:val="both"/>
        <w:rPr>
          <w:rFonts w:ascii="Arial" w:hAnsi="Arial" w:cs="Arial"/>
          <w:sz w:val="24"/>
          <w:szCs w:val="24"/>
        </w:rPr>
      </w:pPr>
    </w:p>
    <w:p w:rsidR="00472594" w:rsidRDefault="00A6658B" w:rsidP="006E45D8">
      <w:pPr>
        <w:spacing w:line="360" w:lineRule="auto"/>
        <w:rPr>
          <w:rFonts w:ascii="Arial" w:hAnsi="Arial" w:cs="Arial"/>
          <w:b/>
          <w:sz w:val="28"/>
          <w:szCs w:val="28"/>
          <w:lang w:val="es-ES" w:eastAsia="es-ES"/>
        </w:rPr>
      </w:pPr>
      <w:r>
        <w:rPr>
          <w:rFonts w:ascii="Arial" w:hAnsi="Arial" w:cs="Arial"/>
          <w:b/>
          <w:sz w:val="28"/>
          <w:szCs w:val="28"/>
          <w:lang w:val="es-ES" w:eastAsia="es-ES"/>
        </w:rPr>
        <w:t>LIQUIDEZ Y SOLVENCIA SEGÚN</w:t>
      </w:r>
      <w:r w:rsidR="009867FA">
        <w:rPr>
          <w:rFonts w:ascii="Arial" w:hAnsi="Arial" w:cs="Arial"/>
          <w:b/>
          <w:sz w:val="28"/>
          <w:szCs w:val="28"/>
          <w:lang w:val="es-ES" w:eastAsia="es-ES"/>
        </w:rPr>
        <w:t xml:space="preserve"> INFORME DE VIABILIDAD DE DEPARTAMENTOS 2016 </w:t>
      </w:r>
    </w:p>
    <w:p w:rsidR="00375F6A" w:rsidRDefault="003E1FD9" w:rsidP="006E45D8">
      <w:pPr>
        <w:spacing w:line="360" w:lineRule="auto"/>
        <w:jc w:val="both"/>
        <w:rPr>
          <w:rFonts w:ascii="Arial" w:hAnsi="Arial" w:cs="Arial"/>
          <w:sz w:val="24"/>
          <w:szCs w:val="28"/>
          <w:lang w:val="es-ES" w:eastAsia="es-ES"/>
        </w:rPr>
      </w:pPr>
      <w:r w:rsidRPr="003E1FD9">
        <w:rPr>
          <w:rFonts w:ascii="Arial" w:hAnsi="Arial" w:cs="Arial"/>
          <w:sz w:val="24"/>
          <w:szCs w:val="28"/>
          <w:lang w:val="es-ES" w:eastAsia="es-ES"/>
        </w:rPr>
        <w:t>El informe de cierre de Tesorería del Departamento del Quindío</w:t>
      </w:r>
      <w:r>
        <w:rPr>
          <w:rFonts w:ascii="Arial" w:hAnsi="Arial" w:cs="Arial"/>
          <w:sz w:val="24"/>
          <w:szCs w:val="28"/>
          <w:lang w:val="es-ES" w:eastAsia="es-ES"/>
        </w:rPr>
        <w:t xml:space="preserve"> muestra un tot</w:t>
      </w:r>
      <w:r w:rsidR="009867FA">
        <w:rPr>
          <w:rFonts w:ascii="Arial" w:hAnsi="Arial" w:cs="Arial"/>
          <w:sz w:val="24"/>
          <w:szCs w:val="28"/>
          <w:lang w:val="es-ES" w:eastAsia="es-ES"/>
        </w:rPr>
        <w:t>al de recursos disponibles al final de 2016 de $67.660</w:t>
      </w:r>
      <w:r w:rsidR="0003158B">
        <w:rPr>
          <w:rFonts w:ascii="Arial" w:hAnsi="Arial" w:cs="Arial"/>
          <w:sz w:val="24"/>
          <w:szCs w:val="28"/>
          <w:lang w:val="es-ES" w:eastAsia="es-ES"/>
        </w:rPr>
        <w:t xml:space="preserve"> </w:t>
      </w:r>
      <w:r w:rsidR="009867FA">
        <w:rPr>
          <w:rFonts w:ascii="Arial" w:hAnsi="Arial" w:cs="Arial"/>
          <w:sz w:val="24"/>
          <w:szCs w:val="28"/>
          <w:lang w:val="es-ES" w:eastAsia="es-ES"/>
        </w:rPr>
        <w:t xml:space="preserve">millones representado por saldo en bancos e inversiones temporales dentro de las cuales 17% libre destinación y 83% destinación específica.. </w:t>
      </w:r>
    </w:p>
    <w:p w:rsidR="003A16D8" w:rsidRDefault="009867FA" w:rsidP="006E45D8">
      <w:pPr>
        <w:spacing w:line="360" w:lineRule="auto"/>
        <w:jc w:val="both"/>
        <w:rPr>
          <w:rFonts w:ascii="Arial" w:hAnsi="Arial" w:cs="Arial"/>
          <w:sz w:val="24"/>
          <w:szCs w:val="28"/>
          <w:lang w:val="es-ES" w:eastAsia="es-ES"/>
        </w:rPr>
      </w:pPr>
      <w:r>
        <w:rPr>
          <w:rFonts w:ascii="Arial" w:hAnsi="Arial" w:cs="Arial"/>
          <w:sz w:val="24"/>
          <w:szCs w:val="28"/>
          <w:lang w:val="es-ES" w:eastAsia="es-ES"/>
        </w:rPr>
        <w:t>Si se comparan estos excedentes con los ingresos recibidos durante el periodo anual diferentes al SGR se tiene que fueron equivalentes al 22% mientras que en 2015 representaban el 11%.</w:t>
      </w:r>
    </w:p>
    <w:p w:rsidR="007E3D1A" w:rsidRDefault="007E3D1A" w:rsidP="003D2835">
      <w:pPr>
        <w:pStyle w:val="Ttulo3"/>
        <w:rPr>
          <w:rFonts w:cs="Arial"/>
          <w:i/>
          <w:iCs/>
          <w:color w:val="000000"/>
          <w:szCs w:val="24"/>
          <w:lang w:val="es-ES" w:eastAsia="es-ES"/>
        </w:rPr>
      </w:pPr>
    </w:p>
    <w:p w:rsidR="00577BDB" w:rsidRDefault="00577BDB" w:rsidP="00577BDB">
      <w:pPr>
        <w:rPr>
          <w:lang w:val="es-ES" w:eastAsia="es-ES"/>
        </w:rPr>
      </w:pPr>
    </w:p>
    <w:p w:rsidR="00577BDB" w:rsidRDefault="00577BDB" w:rsidP="00577BDB">
      <w:pPr>
        <w:rPr>
          <w:lang w:val="es-ES" w:eastAsia="es-ES"/>
        </w:rPr>
      </w:pPr>
    </w:p>
    <w:p w:rsidR="00577BDB" w:rsidRDefault="00577BDB" w:rsidP="00577BDB">
      <w:pPr>
        <w:rPr>
          <w:lang w:val="es-ES" w:eastAsia="es-ES"/>
        </w:rPr>
      </w:pPr>
    </w:p>
    <w:p w:rsidR="001B268A" w:rsidRDefault="001B268A">
      <w:pPr>
        <w:rPr>
          <w:lang w:val="es-ES" w:eastAsia="es-ES"/>
        </w:rPr>
      </w:pPr>
    </w:p>
    <w:p w:rsidR="000345A5" w:rsidRPr="000345A5" w:rsidRDefault="000345A5" w:rsidP="00A6658B">
      <w:pPr>
        <w:pStyle w:val="Ttulo2"/>
        <w:numPr>
          <w:ilvl w:val="0"/>
          <w:numId w:val="0"/>
        </w:numPr>
        <w:jc w:val="both"/>
      </w:pPr>
      <w:bookmarkStart w:id="28" w:name="_Toc495334910"/>
      <w:r>
        <w:t xml:space="preserve">3.2 </w:t>
      </w:r>
      <w:r w:rsidR="00A6658B">
        <w:t xml:space="preserve">  </w:t>
      </w:r>
      <w:r w:rsidR="00A6656A">
        <w:t xml:space="preserve">SECTOR </w:t>
      </w:r>
      <w:r>
        <w:t>D</w:t>
      </w:r>
      <w:r w:rsidR="00A6656A">
        <w:t>ESCENTRALIZADO</w:t>
      </w:r>
      <w:bookmarkEnd w:id="28"/>
    </w:p>
    <w:p w:rsidR="00FD686B" w:rsidRDefault="00FD686B" w:rsidP="00A6658B">
      <w:pPr>
        <w:pStyle w:val="Ttulo3"/>
        <w:rPr>
          <w:lang w:val="es-ES" w:eastAsia="es-ES"/>
        </w:rPr>
      </w:pPr>
      <w:bookmarkStart w:id="29" w:name="_Toc495334911"/>
      <w:r>
        <w:rPr>
          <w:lang w:val="es-ES" w:eastAsia="es-ES"/>
        </w:rPr>
        <w:t xml:space="preserve">3.2.1 </w:t>
      </w:r>
      <w:r w:rsidRPr="002916C6">
        <w:rPr>
          <w:lang w:val="es-ES" w:eastAsia="es-ES"/>
        </w:rPr>
        <w:t>Hospital San Juan De Dios</w:t>
      </w:r>
      <w:bookmarkEnd w:id="29"/>
      <w:r w:rsidRPr="002916C6">
        <w:rPr>
          <w:lang w:val="es-ES" w:eastAsia="es-ES"/>
        </w:rPr>
        <w:t xml:space="preserve"> </w:t>
      </w:r>
    </w:p>
    <w:p w:rsidR="00FD686B" w:rsidRPr="00FD686B" w:rsidRDefault="00FD686B" w:rsidP="00FD686B">
      <w:pPr>
        <w:pStyle w:val="Ttulo4"/>
        <w:rPr>
          <w:lang w:val="es-ES" w:eastAsia="es-ES"/>
        </w:rPr>
      </w:pPr>
      <w:r>
        <w:rPr>
          <w:lang w:val="es-ES" w:eastAsia="es-ES"/>
        </w:rPr>
        <w:t xml:space="preserve">3.2.1.1 Balance General </w:t>
      </w:r>
    </w:p>
    <w:p w:rsidR="00916713" w:rsidRDefault="00A6656A" w:rsidP="004E73AA">
      <w:pPr>
        <w:spacing w:before="100" w:beforeAutospacing="1" w:after="100" w:afterAutospacing="1" w:line="360" w:lineRule="auto"/>
        <w:jc w:val="both"/>
        <w:rPr>
          <w:rFonts w:ascii="Arial" w:hAnsi="Arial" w:cs="Arial"/>
          <w:b/>
          <w:sz w:val="28"/>
          <w:szCs w:val="28"/>
          <w:lang w:eastAsia="es-ES"/>
        </w:rPr>
      </w:pPr>
      <w:r w:rsidRPr="00A623F8">
        <w:rPr>
          <w:noProof/>
          <w:lang w:eastAsia="es-CO"/>
        </w:rPr>
        <w:drawing>
          <wp:inline distT="0" distB="0" distL="0" distR="0" wp14:anchorId="7EE3DD16" wp14:editId="06A59FC3">
            <wp:extent cx="5569527" cy="15906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0625" cy="1602398"/>
                    </a:xfrm>
                    <a:prstGeom prst="rect">
                      <a:avLst/>
                    </a:prstGeom>
                    <a:noFill/>
                    <a:ln>
                      <a:noFill/>
                    </a:ln>
                  </pic:spPr>
                </pic:pic>
              </a:graphicData>
            </a:graphic>
          </wp:inline>
        </w:drawing>
      </w:r>
      <w:r w:rsidR="00577BDB">
        <w:rPr>
          <w:rFonts w:ascii="Arial" w:hAnsi="Arial" w:cs="Arial"/>
          <w:b/>
          <w:sz w:val="28"/>
          <w:szCs w:val="28"/>
          <w:lang w:eastAsia="es-ES"/>
        </w:rPr>
        <w:t xml:space="preserve"> </w:t>
      </w:r>
    </w:p>
    <w:p w:rsidR="00916713" w:rsidRDefault="00916713" w:rsidP="00916713">
      <w:pPr>
        <w:pStyle w:val="Ttulo4"/>
        <w:rPr>
          <w:rFonts w:cs="Arial"/>
          <w:sz w:val="28"/>
          <w:szCs w:val="28"/>
          <w:lang w:eastAsia="es-ES"/>
        </w:rPr>
      </w:pPr>
      <w:r>
        <w:rPr>
          <w:lang w:eastAsia="es-ES"/>
        </w:rPr>
        <w:t>3.2.1.2 Estado de Actividad Financiera, Económica, Social y Ambiental</w:t>
      </w:r>
    </w:p>
    <w:p w:rsidR="00A6656A" w:rsidRPr="00FD686B" w:rsidRDefault="00916713" w:rsidP="00454725">
      <w:pPr>
        <w:spacing w:before="100" w:beforeAutospacing="1" w:after="100" w:afterAutospacing="1" w:line="360" w:lineRule="auto"/>
        <w:jc w:val="both"/>
        <w:rPr>
          <w:lang w:eastAsia="es-ES"/>
        </w:rPr>
      </w:pPr>
      <w:r w:rsidRPr="00916713">
        <w:rPr>
          <w:noProof/>
          <w:lang w:eastAsia="es-CO"/>
        </w:rPr>
        <w:drawing>
          <wp:inline distT="0" distB="0" distL="0" distR="0" wp14:anchorId="1AEEBE9B" wp14:editId="5412EDB7">
            <wp:extent cx="5581650" cy="222059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2220595"/>
                    </a:xfrm>
                    <a:prstGeom prst="rect">
                      <a:avLst/>
                    </a:prstGeom>
                    <a:noFill/>
                    <a:ln>
                      <a:noFill/>
                    </a:ln>
                  </pic:spPr>
                </pic:pic>
              </a:graphicData>
            </a:graphic>
          </wp:inline>
        </w:drawing>
      </w:r>
      <w:r w:rsidR="00FD686B">
        <w:rPr>
          <w:lang w:eastAsia="es-ES"/>
        </w:rPr>
        <w:t xml:space="preserve"> </w:t>
      </w:r>
    </w:p>
    <w:p w:rsidR="00A6658B" w:rsidRPr="00916713" w:rsidRDefault="00A6658B" w:rsidP="0060166F">
      <w:pPr>
        <w:pStyle w:val="Ttulo4"/>
        <w:rPr>
          <w:lang w:eastAsia="es-ES"/>
        </w:rPr>
      </w:pPr>
    </w:p>
    <w:p w:rsidR="00572FD2" w:rsidRDefault="0060166F" w:rsidP="0060166F">
      <w:pPr>
        <w:pStyle w:val="Ttulo4"/>
        <w:rPr>
          <w:lang w:val="es-ES" w:eastAsia="es-ES"/>
        </w:rPr>
      </w:pPr>
      <w:r>
        <w:rPr>
          <w:lang w:val="es-ES" w:eastAsia="es-ES"/>
        </w:rPr>
        <w:t xml:space="preserve">3.2.1.3 Ejecución Presupuestal </w:t>
      </w:r>
    </w:p>
    <w:p w:rsidR="00A6658B" w:rsidRDefault="0031473E" w:rsidP="00151B0D">
      <w:pPr>
        <w:pStyle w:val="Ttulo4"/>
        <w:rPr>
          <w:noProof/>
          <w:lang w:eastAsia="es-CO"/>
        </w:rPr>
      </w:pPr>
      <w:r w:rsidRPr="00CC5701">
        <w:rPr>
          <w:noProof/>
          <w:lang w:eastAsia="es-CO"/>
        </w:rPr>
        <w:drawing>
          <wp:anchor distT="0" distB="0" distL="114300" distR="114300" simplePos="0" relativeHeight="251686400" behindDoc="1" locked="0" layoutInCell="1" allowOverlap="1" wp14:anchorId="7536622A" wp14:editId="4260D98C">
            <wp:simplePos x="0" y="0"/>
            <wp:positionH relativeFrom="margin">
              <wp:posOffset>0</wp:posOffset>
            </wp:positionH>
            <wp:positionV relativeFrom="paragraph">
              <wp:posOffset>313690</wp:posOffset>
            </wp:positionV>
            <wp:extent cx="5610225" cy="2781300"/>
            <wp:effectExtent l="0" t="0" r="9525" b="0"/>
            <wp:wrapTopAndBottom/>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14:sizeRelV relativeFrom="margin">
              <wp14:pctHeight>0</wp14:pctHeight>
            </wp14:sizeRelV>
          </wp:anchor>
        </w:drawing>
      </w:r>
    </w:p>
    <w:p w:rsidR="00A6656A" w:rsidRPr="00CC5701" w:rsidRDefault="00151B0D" w:rsidP="00151B0D">
      <w:pPr>
        <w:pStyle w:val="Ttulo4"/>
        <w:rPr>
          <w:lang w:eastAsia="es-ES"/>
        </w:rPr>
      </w:pPr>
      <w:r>
        <w:rPr>
          <w:lang w:val="es-ES" w:eastAsia="es-ES"/>
        </w:rPr>
        <w:tab/>
      </w:r>
    </w:p>
    <w:p w:rsidR="00E31619" w:rsidRDefault="00151B0D" w:rsidP="00151B0D">
      <w:pPr>
        <w:pStyle w:val="Ttulo4"/>
        <w:rPr>
          <w:lang w:val="es-ES" w:eastAsia="es-ES"/>
        </w:rPr>
      </w:pPr>
      <w:r w:rsidRPr="0060166F">
        <w:rPr>
          <w:lang w:val="es-ES" w:eastAsia="es-ES"/>
        </w:rPr>
        <w:t xml:space="preserve">3.2.1.4 Resultados Último Informe De Contraloría </w:t>
      </w:r>
    </w:p>
    <w:p w:rsidR="00151B0D" w:rsidRPr="00151B0D" w:rsidRDefault="00151B0D" w:rsidP="00151B0D">
      <w:pPr>
        <w:rPr>
          <w:lang w:val="es-ES" w:eastAsia="es-ES"/>
        </w:rPr>
      </w:pPr>
    </w:p>
    <w:p w:rsidR="00E31619" w:rsidRDefault="0060166F" w:rsidP="0071608E">
      <w:pPr>
        <w:tabs>
          <w:tab w:val="left" w:pos="1827"/>
        </w:tabs>
        <w:spacing w:line="360" w:lineRule="auto"/>
        <w:jc w:val="both"/>
        <w:rPr>
          <w:rFonts w:ascii="Arial" w:hAnsi="Arial" w:cs="Arial"/>
          <w:sz w:val="24"/>
          <w:szCs w:val="28"/>
          <w:lang w:val="es-ES" w:eastAsia="es-ES"/>
        </w:rPr>
      </w:pPr>
      <w:r w:rsidRPr="0056090C">
        <w:rPr>
          <w:rFonts w:ascii="Arial" w:hAnsi="Arial" w:cs="Arial"/>
          <w:sz w:val="24"/>
          <w:szCs w:val="28"/>
          <w:lang w:val="es-ES" w:eastAsia="es-ES"/>
        </w:rPr>
        <w:t>Seg</w:t>
      </w:r>
      <w:r>
        <w:rPr>
          <w:rFonts w:ascii="Arial" w:hAnsi="Arial" w:cs="Arial"/>
          <w:sz w:val="24"/>
          <w:szCs w:val="28"/>
          <w:lang w:val="es-ES" w:eastAsia="es-ES"/>
        </w:rPr>
        <w:t>ún el informe de la Contraloría el concepto de fenecimiento sobre Evaluación de Gestión de Resultados, la cuen</w:t>
      </w:r>
      <w:r w:rsidR="0071608E">
        <w:rPr>
          <w:rFonts w:ascii="Arial" w:hAnsi="Arial" w:cs="Arial"/>
          <w:sz w:val="24"/>
          <w:szCs w:val="28"/>
          <w:lang w:val="es-ES" w:eastAsia="es-ES"/>
        </w:rPr>
        <w:t>ta del ESE Hospital Universitario San Juan de Dios</w:t>
      </w:r>
      <w:r>
        <w:rPr>
          <w:rFonts w:ascii="Arial" w:hAnsi="Arial" w:cs="Arial"/>
          <w:sz w:val="24"/>
          <w:szCs w:val="28"/>
          <w:lang w:val="es-ES" w:eastAsia="es-ES"/>
        </w:rPr>
        <w:t xml:space="preserve"> “NO FENECE” por la vigencia fiscal 2016; </w:t>
      </w:r>
      <w:r w:rsidR="0071608E">
        <w:rPr>
          <w:rFonts w:ascii="Arial" w:hAnsi="Arial" w:cs="Arial"/>
          <w:sz w:val="24"/>
          <w:szCs w:val="28"/>
          <w:lang w:val="es-ES" w:eastAsia="es-ES"/>
        </w:rPr>
        <w:t>SE ABSTUVO de emitir concepto sobre el factor Control de Resultados, en razón a que el gerente encargado no se desempeñó en la totalidad de la vigencia auditada; conceptúa</w:t>
      </w:r>
      <w:r>
        <w:rPr>
          <w:rFonts w:ascii="Arial" w:hAnsi="Arial" w:cs="Arial"/>
          <w:sz w:val="24"/>
          <w:szCs w:val="28"/>
          <w:lang w:val="es-ES" w:eastAsia="es-ES"/>
        </w:rPr>
        <w:t xml:space="preserve"> como </w:t>
      </w:r>
      <w:r w:rsidR="0071608E">
        <w:rPr>
          <w:rFonts w:ascii="Arial" w:hAnsi="Arial" w:cs="Arial"/>
          <w:sz w:val="24"/>
          <w:szCs w:val="28"/>
          <w:lang w:val="es-ES" w:eastAsia="es-ES"/>
        </w:rPr>
        <w:t>“DES</w:t>
      </w:r>
      <w:r>
        <w:rPr>
          <w:rFonts w:ascii="Arial" w:hAnsi="Arial" w:cs="Arial"/>
          <w:sz w:val="24"/>
          <w:szCs w:val="28"/>
          <w:lang w:val="es-ES" w:eastAsia="es-ES"/>
        </w:rPr>
        <w:t>FAVORABLE</w:t>
      </w:r>
      <w:r w:rsidR="0071608E">
        <w:rPr>
          <w:rFonts w:ascii="Arial" w:hAnsi="Arial" w:cs="Arial"/>
          <w:sz w:val="24"/>
          <w:szCs w:val="28"/>
          <w:lang w:val="es-ES" w:eastAsia="es-ES"/>
        </w:rPr>
        <w:t>”</w:t>
      </w:r>
      <w:r>
        <w:rPr>
          <w:rFonts w:ascii="Arial" w:hAnsi="Arial" w:cs="Arial"/>
          <w:sz w:val="24"/>
          <w:szCs w:val="28"/>
          <w:lang w:val="es-ES" w:eastAsia="es-ES"/>
        </w:rPr>
        <w:t xml:space="preserve"> el factor de Control de Gestión; y el factor </w:t>
      </w:r>
      <w:r w:rsidR="0071608E">
        <w:rPr>
          <w:rFonts w:ascii="Arial" w:hAnsi="Arial" w:cs="Arial"/>
          <w:sz w:val="24"/>
          <w:szCs w:val="28"/>
          <w:lang w:val="es-ES" w:eastAsia="es-ES"/>
        </w:rPr>
        <w:t>Control Financiero como “FAVORABLE”</w:t>
      </w:r>
      <w:r w:rsidR="00151B0D">
        <w:rPr>
          <w:rFonts w:ascii="Arial" w:hAnsi="Arial" w:cs="Arial"/>
          <w:sz w:val="24"/>
          <w:szCs w:val="28"/>
          <w:lang w:val="es-ES" w:eastAsia="es-ES"/>
        </w:rPr>
        <w:t>.</w:t>
      </w:r>
    </w:p>
    <w:p w:rsidR="00151B0D" w:rsidRDefault="00151B0D" w:rsidP="00151B0D">
      <w:pPr>
        <w:pStyle w:val="Ttulo3"/>
        <w:rPr>
          <w:lang w:val="es-ES" w:eastAsia="es-ES"/>
        </w:rPr>
      </w:pPr>
      <w:bookmarkStart w:id="30" w:name="_Toc495334912"/>
      <w:r>
        <w:rPr>
          <w:lang w:val="es-ES" w:eastAsia="es-ES"/>
        </w:rPr>
        <w:lastRenderedPageBreak/>
        <w:t xml:space="preserve">3.2.2 </w:t>
      </w:r>
      <w:r w:rsidRPr="00623A7F">
        <w:rPr>
          <w:lang w:val="es-ES" w:eastAsia="es-ES"/>
        </w:rPr>
        <w:t>Hospital La Misericordia De Calarcá</w:t>
      </w:r>
      <w:bookmarkEnd w:id="30"/>
    </w:p>
    <w:p w:rsidR="00151B0D" w:rsidRPr="0048487D" w:rsidRDefault="0031473E" w:rsidP="00A9644C">
      <w:pPr>
        <w:pStyle w:val="Ttulo4"/>
        <w:rPr>
          <w:lang w:eastAsia="es-ES"/>
        </w:rPr>
      </w:pPr>
      <w:r w:rsidRPr="00577BDB">
        <w:rPr>
          <w:noProof/>
          <w:lang w:eastAsia="es-CO"/>
        </w:rPr>
        <w:drawing>
          <wp:anchor distT="0" distB="0" distL="114300" distR="114300" simplePos="0" relativeHeight="251680256" behindDoc="1" locked="0" layoutInCell="1" allowOverlap="1" wp14:anchorId="1886A61B" wp14:editId="009F0FE9">
            <wp:simplePos x="0" y="0"/>
            <wp:positionH relativeFrom="column">
              <wp:posOffset>-108585</wp:posOffset>
            </wp:positionH>
            <wp:positionV relativeFrom="paragraph">
              <wp:posOffset>310515</wp:posOffset>
            </wp:positionV>
            <wp:extent cx="5619750" cy="1914525"/>
            <wp:effectExtent l="0" t="0" r="0" b="9525"/>
            <wp:wrapTopAndBottom/>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9750" cy="1914525"/>
                    </a:xfrm>
                    <a:prstGeom prst="rect">
                      <a:avLst/>
                    </a:prstGeom>
                    <a:noFill/>
                    <a:ln>
                      <a:noFill/>
                    </a:ln>
                  </pic:spPr>
                </pic:pic>
              </a:graphicData>
            </a:graphic>
            <wp14:sizeRelV relativeFrom="margin">
              <wp14:pctHeight>0</wp14:pctHeight>
            </wp14:sizeRelV>
          </wp:anchor>
        </w:drawing>
      </w:r>
      <w:r w:rsidR="00151B0D" w:rsidRPr="0048487D">
        <w:rPr>
          <w:lang w:eastAsia="es-ES"/>
        </w:rPr>
        <w:t xml:space="preserve">3.2.2.1  Balance General </w:t>
      </w:r>
    </w:p>
    <w:p w:rsidR="00A6656A" w:rsidRDefault="0031473E" w:rsidP="00577BDB">
      <w:pPr>
        <w:pStyle w:val="Ttulo4"/>
        <w:rPr>
          <w:lang w:eastAsia="es-ES"/>
        </w:rPr>
      </w:pPr>
      <w:r w:rsidRPr="00577BDB">
        <w:rPr>
          <w:noProof/>
          <w:lang w:eastAsia="es-CO"/>
        </w:rPr>
        <w:drawing>
          <wp:anchor distT="0" distB="0" distL="114300" distR="114300" simplePos="0" relativeHeight="251682304" behindDoc="0" locked="0" layoutInCell="1" allowOverlap="1" wp14:anchorId="713216AA" wp14:editId="299C5A5E">
            <wp:simplePos x="0" y="0"/>
            <wp:positionH relativeFrom="margin">
              <wp:align>right</wp:align>
            </wp:positionH>
            <wp:positionV relativeFrom="paragraph">
              <wp:posOffset>2404110</wp:posOffset>
            </wp:positionV>
            <wp:extent cx="5695950" cy="2393315"/>
            <wp:effectExtent l="0" t="0" r="0" b="6985"/>
            <wp:wrapTopAndBottom/>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95950"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B0D">
        <w:rPr>
          <w:lang w:eastAsia="es-ES"/>
        </w:rPr>
        <w:t xml:space="preserve">3.2.2.2 Estado de la Actividad Financiera, Económica y Social </w:t>
      </w:r>
    </w:p>
    <w:p w:rsidR="00595A11" w:rsidRDefault="001978A7" w:rsidP="00595A11">
      <w:pPr>
        <w:pStyle w:val="Ttulo4"/>
        <w:rPr>
          <w:lang w:val="es-ES" w:eastAsia="es-ES"/>
        </w:rPr>
      </w:pPr>
      <w:r>
        <w:rPr>
          <w:rFonts w:cs="Arial"/>
          <w:szCs w:val="28"/>
          <w:lang w:val="es-ES" w:eastAsia="es-ES"/>
        </w:rPr>
        <w:t xml:space="preserve"> </w:t>
      </w:r>
      <w:r w:rsidR="00151B0D">
        <w:rPr>
          <w:lang w:val="es-ES" w:eastAsia="es-ES"/>
        </w:rPr>
        <w:t xml:space="preserve">3.2.2.3. Ejecución Presupuestal </w:t>
      </w:r>
    </w:p>
    <w:p w:rsidR="00151B0D" w:rsidRDefault="00595A11" w:rsidP="00595A11">
      <w:pPr>
        <w:tabs>
          <w:tab w:val="left" w:pos="3480"/>
        </w:tabs>
        <w:rPr>
          <w:rFonts w:ascii="Arial" w:hAnsi="Arial" w:cs="Arial"/>
          <w:sz w:val="24"/>
          <w:szCs w:val="28"/>
          <w:lang w:val="es-ES" w:eastAsia="es-ES"/>
        </w:rPr>
      </w:pPr>
      <w:r>
        <w:rPr>
          <w:lang w:val="es-ES" w:eastAsia="es-ES"/>
        </w:rPr>
        <w:lastRenderedPageBreak/>
        <w:tab/>
      </w:r>
      <w:r w:rsidRPr="00595A11">
        <w:rPr>
          <w:noProof/>
          <w:lang w:eastAsia="es-CO"/>
        </w:rPr>
        <w:drawing>
          <wp:inline distT="0" distB="0" distL="0" distR="0" wp14:anchorId="6E4388A9" wp14:editId="2FDEA44C">
            <wp:extent cx="5613400" cy="3963455"/>
            <wp:effectExtent l="0" t="0" r="6350" b="0"/>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3400" cy="3963455"/>
                    </a:xfrm>
                    <a:prstGeom prst="rect">
                      <a:avLst/>
                    </a:prstGeom>
                    <a:noFill/>
                    <a:ln>
                      <a:noFill/>
                    </a:ln>
                  </pic:spPr>
                </pic:pic>
              </a:graphicData>
            </a:graphic>
          </wp:inline>
        </w:drawing>
      </w:r>
    </w:p>
    <w:p w:rsidR="00151B0D" w:rsidRPr="00151B0D" w:rsidRDefault="00151B0D" w:rsidP="00151B0D">
      <w:pPr>
        <w:pStyle w:val="Ttulo4"/>
      </w:pPr>
      <w:r w:rsidRPr="00151B0D">
        <w:t>3.2.</w:t>
      </w:r>
      <w:r w:rsidR="005904B1">
        <w:t>2</w:t>
      </w:r>
      <w:r w:rsidRPr="00151B0D">
        <w:t xml:space="preserve">.4 Resultados Último Informe De Contraloría </w:t>
      </w:r>
    </w:p>
    <w:p w:rsidR="00151B0D" w:rsidRDefault="00151B0D" w:rsidP="006E45D8">
      <w:pPr>
        <w:tabs>
          <w:tab w:val="left" w:pos="1827"/>
        </w:tabs>
        <w:spacing w:line="360" w:lineRule="auto"/>
        <w:jc w:val="both"/>
        <w:rPr>
          <w:rFonts w:ascii="Arial" w:hAnsi="Arial" w:cs="Arial"/>
          <w:sz w:val="24"/>
          <w:szCs w:val="28"/>
          <w:lang w:val="es-ES" w:eastAsia="es-ES"/>
        </w:rPr>
      </w:pPr>
    </w:p>
    <w:p w:rsidR="0031473E" w:rsidRDefault="002212EB" w:rsidP="006E45D8">
      <w:pPr>
        <w:tabs>
          <w:tab w:val="left" w:pos="1827"/>
        </w:tabs>
        <w:spacing w:line="360" w:lineRule="auto"/>
        <w:jc w:val="both"/>
        <w:rPr>
          <w:rFonts w:ascii="Arial" w:hAnsi="Arial" w:cs="Arial"/>
          <w:sz w:val="24"/>
          <w:szCs w:val="28"/>
          <w:lang w:val="es-ES" w:eastAsia="es-ES"/>
        </w:rPr>
      </w:pPr>
      <w:r w:rsidRPr="0056090C">
        <w:rPr>
          <w:rFonts w:ascii="Arial" w:hAnsi="Arial" w:cs="Arial"/>
          <w:sz w:val="24"/>
          <w:szCs w:val="28"/>
          <w:lang w:val="es-ES" w:eastAsia="es-ES"/>
        </w:rPr>
        <w:t>Seg</w:t>
      </w:r>
      <w:r>
        <w:rPr>
          <w:rFonts w:ascii="Arial" w:hAnsi="Arial" w:cs="Arial"/>
          <w:sz w:val="24"/>
          <w:szCs w:val="28"/>
          <w:lang w:val="es-ES" w:eastAsia="es-ES"/>
        </w:rPr>
        <w:t xml:space="preserve">ún el informe de la </w:t>
      </w:r>
      <w:r w:rsidR="001978A7">
        <w:rPr>
          <w:rFonts w:ascii="Arial" w:hAnsi="Arial" w:cs="Arial"/>
          <w:sz w:val="24"/>
          <w:szCs w:val="28"/>
          <w:lang w:val="es-ES" w:eastAsia="es-ES"/>
        </w:rPr>
        <w:t>Contraloría el concepto de fenecimiento sobre Evaluación de Gestión de Resultados, la cuenta del Hospital la Misericordia de Calarcá “NO FENECE” por la vigencia fiscal 2016; conceptúa como FAVORABLE el factor de Control de Gestión; Conceptúa el factor Control de Resultados como SATISFACTORIO y el factor CONTROL FINANCIERO como DESFAVORABLE</w:t>
      </w:r>
    </w:p>
    <w:p w:rsidR="00916713" w:rsidRDefault="00916713" w:rsidP="006E45D8">
      <w:pPr>
        <w:tabs>
          <w:tab w:val="left" w:pos="1827"/>
        </w:tabs>
        <w:spacing w:line="360" w:lineRule="auto"/>
        <w:jc w:val="both"/>
        <w:rPr>
          <w:rFonts w:ascii="Arial" w:hAnsi="Arial" w:cs="Arial"/>
          <w:sz w:val="24"/>
          <w:szCs w:val="28"/>
          <w:lang w:val="es-ES" w:eastAsia="es-ES"/>
        </w:rPr>
      </w:pPr>
    </w:p>
    <w:p w:rsidR="00916713" w:rsidRDefault="00916713" w:rsidP="006E45D8">
      <w:pPr>
        <w:tabs>
          <w:tab w:val="left" w:pos="1827"/>
        </w:tabs>
        <w:spacing w:line="360" w:lineRule="auto"/>
        <w:jc w:val="both"/>
        <w:rPr>
          <w:rFonts w:ascii="Arial" w:hAnsi="Arial" w:cs="Arial"/>
          <w:sz w:val="24"/>
          <w:szCs w:val="28"/>
          <w:lang w:val="es-ES" w:eastAsia="es-ES"/>
        </w:rPr>
      </w:pPr>
    </w:p>
    <w:p w:rsidR="00916713" w:rsidRDefault="00916713" w:rsidP="006E45D8">
      <w:pPr>
        <w:tabs>
          <w:tab w:val="left" w:pos="1827"/>
        </w:tabs>
        <w:spacing w:line="360" w:lineRule="auto"/>
        <w:jc w:val="both"/>
        <w:rPr>
          <w:rFonts w:ascii="Arial" w:hAnsi="Arial" w:cs="Arial"/>
          <w:sz w:val="24"/>
          <w:szCs w:val="28"/>
          <w:lang w:val="es-ES" w:eastAsia="es-ES"/>
        </w:rPr>
      </w:pPr>
    </w:p>
    <w:p w:rsidR="00916713" w:rsidRDefault="00916713" w:rsidP="006E45D8">
      <w:pPr>
        <w:tabs>
          <w:tab w:val="left" w:pos="1827"/>
        </w:tabs>
        <w:spacing w:line="360" w:lineRule="auto"/>
        <w:jc w:val="both"/>
        <w:rPr>
          <w:rFonts w:ascii="Arial" w:hAnsi="Arial" w:cs="Arial"/>
          <w:sz w:val="24"/>
          <w:szCs w:val="28"/>
          <w:lang w:val="es-ES" w:eastAsia="es-ES"/>
        </w:rPr>
      </w:pPr>
    </w:p>
    <w:p w:rsidR="00A9644C" w:rsidRDefault="001978A7" w:rsidP="006E45D8">
      <w:pPr>
        <w:tabs>
          <w:tab w:val="left" w:pos="1827"/>
        </w:tabs>
        <w:spacing w:line="360" w:lineRule="auto"/>
        <w:jc w:val="both"/>
        <w:rPr>
          <w:rFonts w:ascii="Arial" w:hAnsi="Arial" w:cs="Arial"/>
          <w:sz w:val="24"/>
          <w:szCs w:val="28"/>
          <w:lang w:val="es-ES" w:eastAsia="es-ES"/>
        </w:rPr>
      </w:pPr>
      <w:r>
        <w:rPr>
          <w:rFonts w:ascii="Arial" w:hAnsi="Arial" w:cs="Arial"/>
          <w:sz w:val="24"/>
          <w:szCs w:val="28"/>
          <w:lang w:val="es-ES" w:eastAsia="es-ES"/>
        </w:rPr>
        <w:t xml:space="preserve"> </w:t>
      </w:r>
    </w:p>
    <w:p w:rsidR="00A6656A" w:rsidRDefault="00151B0D" w:rsidP="00151B0D">
      <w:pPr>
        <w:pStyle w:val="Ttulo3"/>
        <w:rPr>
          <w:lang w:val="es-ES" w:eastAsia="es-ES"/>
        </w:rPr>
      </w:pPr>
      <w:bookmarkStart w:id="31" w:name="_Toc495334913"/>
      <w:r>
        <w:rPr>
          <w:lang w:val="es-ES" w:eastAsia="es-ES"/>
        </w:rPr>
        <w:lastRenderedPageBreak/>
        <w:t>3.2.3 Lotería Del Quindío</w:t>
      </w:r>
      <w:bookmarkEnd w:id="31"/>
      <w:r>
        <w:rPr>
          <w:lang w:val="es-ES" w:eastAsia="es-ES"/>
        </w:rPr>
        <w:t xml:space="preserve"> </w:t>
      </w:r>
    </w:p>
    <w:p w:rsidR="00151B0D" w:rsidRDefault="00151B0D" w:rsidP="00151B0D">
      <w:pPr>
        <w:rPr>
          <w:lang w:val="es-ES" w:eastAsia="es-ES"/>
        </w:rPr>
      </w:pPr>
    </w:p>
    <w:p w:rsidR="00151B0D" w:rsidRDefault="0031473E" w:rsidP="00151B0D">
      <w:pPr>
        <w:pStyle w:val="Ttulo4"/>
        <w:rPr>
          <w:lang w:val="es-ES" w:eastAsia="es-ES"/>
        </w:rPr>
      </w:pPr>
      <w:r w:rsidRPr="00AC029A">
        <w:rPr>
          <w:noProof/>
          <w:lang w:eastAsia="es-CO"/>
        </w:rPr>
        <w:drawing>
          <wp:anchor distT="0" distB="0" distL="114300" distR="114300" simplePos="0" relativeHeight="251632128" behindDoc="0" locked="0" layoutInCell="1" allowOverlap="1" wp14:anchorId="0B51B67A" wp14:editId="58D22901">
            <wp:simplePos x="0" y="0"/>
            <wp:positionH relativeFrom="column">
              <wp:posOffset>-35560</wp:posOffset>
            </wp:positionH>
            <wp:positionV relativeFrom="paragraph">
              <wp:posOffset>393700</wp:posOffset>
            </wp:positionV>
            <wp:extent cx="5118100" cy="1804670"/>
            <wp:effectExtent l="0" t="0" r="6350" b="508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1810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B0D">
        <w:rPr>
          <w:lang w:val="es-ES" w:eastAsia="es-ES"/>
        </w:rPr>
        <w:t xml:space="preserve">3.2.3.1 Balance General </w:t>
      </w:r>
    </w:p>
    <w:p w:rsidR="00151B0D" w:rsidRDefault="00151B0D" w:rsidP="00151B0D">
      <w:pPr>
        <w:pStyle w:val="Ttulo4"/>
        <w:rPr>
          <w:lang w:val="es-ES" w:eastAsia="es-ES"/>
        </w:rPr>
      </w:pPr>
      <w:r>
        <w:rPr>
          <w:lang w:val="es-ES" w:eastAsia="es-ES"/>
        </w:rPr>
        <w:t xml:space="preserve">3.2.3.2 Estado de Actividad Financiera Económica y Social </w:t>
      </w:r>
    </w:p>
    <w:p w:rsidR="0031473E" w:rsidRPr="0031473E" w:rsidRDefault="0031473E" w:rsidP="0031473E">
      <w:pPr>
        <w:rPr>
          <w:lang w:val="es-ES" w:eastAsia="es-ES"/>
        </w:rPr>
      </w:pPr>
      <w:r w:rsidRPr="00673635">
        <w:rPr>
          <w:noProof/>
          <w:lang w:eastAsia="es-CO"/>
        </w:rPr>
        <w:drawing>
          <wp:anchor distT="0" distB="0" distL="114300" distR="114300" simplePos="0" relativeHeight="251688448" behindDoc="1" locked="0" layoutInCell="1" allowOverlap="1" wp14:anchorId="117BFE88" wp14:editId="5CE061D9">
            <wp:simplePos x="0" y="0"/>
            <wp:positionH relativeFrom="margin">
              <wp:align>left</wp:align>
            </wp:positionH>
            <wp:positionV relativeFrom="paragraph">
              <wp:posOffset>283210</wp:posOffset>
            </wp:positionV>
            <wp:extent cx="5106035" cy="2054225"/>
            <wp:effectExtent l="0" t="0" r="0" b="317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06035"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1B0D" w:rsidRDefault="00151B0D" w:rsidP="00151B0D">
      <w:pPr>
        <w:pStyle w:val="Ttulo4"/>
        <w:rPr>
          <w:lang w:val="es-ES" w:eastAsia="es-ES"/>
        </w:rPr>
      </w:pPr>
      <w:r>
        <w:rPr>
          <w:lang w:val="es-ES" w:eastAsia="es-ES"/>
        </w:rPr>
        <w:lastRenderedPageBreak/>
        <w:t xml:space="preserve">3.2.3.3 Ejecución Presupuestal </w:t>
      </w:r>
    </w:p>
    <w:p w:rsidR="002212EB" w:rsidRDefault="0031473E" w:rsidP="006E45D8">
      <w:pPr>
        <w:tabs>
          <w:tab w:val="left" w:pos="1827"/>
        </w:tabs>
        <w:spacing w:line="360" w:lineRule="auto"/>
        <w:jc w:val="both"/>
        <w:rPr>
          <w:rFonts w:ascii="Arial" w:hAnsi="Arial" w:cs="Arial"/>
          <w:sz w:val="24"/>
          <w:szCs w:val="28"/>
          <w:lang w:val="es-ES" w:eastAsia="es-ES"/>
        </w:rPr>
      </w:pPr>
      <w:r w:rsidRPr="00AC029A">
        <w:rPr>
          <w:noProof/>
          <w:lang w:eastAsia="es-CO"/>
        </w:rPr>
        <w:drawing>
          <wp:anchor distT="0" distB="0" distL="114300" distR="114300" simplePos="0" relativeHeight="251634176" behindDoc="1" locked="0" layoutInCell="1" allowOverlap="1" wp14:anchorId="2716B5BF" wp14:editId="2D473A27">
            <wp:simplePos x="0" y="0"/>
            <wp:positionH relativeFrom="column">
              <wp:posOffset>-46990</wp:posOffset>
            </wp:positionH>
            <wp:positionV relativeFrom="paragraph">
              <wp:posOffset>204470</wp:posOffset>
            </wp:positionV>
            <wp:extent cx="5610225" cy="3621405"/>
            <wp:effectExtent l="0" t="0" r="9525" b="0"/>
            <wp:wrapTight wrapText="bothSides">
              <wp:wrapPolygon edited="0">
                <wp:start x="0" y="0"/>
                <wp:lineTo x="0" y="21475"/>
                <wp:lineTo x="21563" y="21475"/>
                <wp:lineTo x="21563"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0225" cy="3621405"/>
                    </a:xfrm>
                    <a:prstGeom prst="rect">
                      <a:avLst/>
                    </a:prstGeom>
                    <a:noFill/>
                    <a:ln>
                      <a:noFill/>
                    </a:ln>
                  </pic:spPr>
                </pic:pic>
              </a:graphicData>
            </a:graphic>
            <wp14:sizeRelV relativeFrom="margin">
              <wp14:pctHeight>0</wp14:pctHeight>
            </wp14:sizeRelV>
          </wp:anchor>
        </w:drawing>
      </w:r>
    </w:p>
    <w:p w:rsidR="00151B0D" w:rsidRPr="00151B0D" w:rsidRDefault="00151B0D" w:rsidP="00151B0D">
      <w:pPr>
        <w:pStyle w:val="Ttulo4"/>
      </w:pPr>
      <w:r w:rsidRPr="00151B0D">
        <w:t>3.2.</w:t>
      </w:r>
      <w:r w:rsidR="005904B1">
        <w:t>3</w:t>
      </w:r>
      <w:r w:rsidRPr="00151B0D">
        <w:t xml:space="preserve">.4 Resultados Último Informe De Contraloría </w:t>
      </w:r>
    </w:p>
    <w:p w:rsidR="00151B0D" w:rsidRPr="00151B0D" w:rsidRDefault="00151B0D" w:rsidP="006E45D8">
      <w:pPr>
        <w:tabs>
          <w:tab w:val="left" w:pos="1827"/>
        </w:tabs>
        <w:spacing w:line="360" w:lineRule="auto"/>
        <w:jc w:val="both"/>
        <w:rPr>
          <w:rFonts w:ascii="Arial" w:hAnsi="Arial" w:cs="Arial"/>
          <w:sz w:val="24"/>
          <w:szCs w:val="28"/>
          <w:lang w:eastAsia="es-ES"/>
        </w:rPr>
      </w:pPr>
    </w:p>
    <w:p w:rsidR="001978A7" w:rsidRDefault="001978A7" w:rsidP="006E45D8">
      <w:pPr>
        <w:tabs>
          <w:tab w:val="left" w:pos="1827"/>
        </w:tabs>
        <w:spacing w:line="360" w:lineRule="auto"/>
        <w:jc w:val="both"/>
        <w:rPr>
          <w:rFonts w:ascii="Arial" w:hAnsi="Arial" w:cs="Arial"/>
          <w:sz w:val="24"/>
          <w:szCs w:val="28"/>
          <w:lang w:val="es-ES" w:eastAsia="es-ES"/>
        </w:rPr>
      </w:pPr>
      <w:r w:rsidRPr="0056090C">
        <w:rPr>
          <w:rFonts w:ascii="Arial" w:hAnsi="Arial" w:cs="Arial"/>
          <w:sz w:val="24"/>
          <w:szCs w:val="28"/>
          <w:lang w:val="es-ES" w:eastAsia="es-ES"/>
        </w:rPr>
        <w:t>Seg</w:t>
      </w:r>
      <w:r>
        <w:rPr>
          <w:rFonts w:ascii="Arial" w:hAnsi="Arial" w:cs="Arial"/>
          <w:sz w:val="24"/>
          <w:szCs w:val="28"/>
          <w:lang w:val="es-ES" w:eastAsia="es-ES"/>
        </w:rPr>
        <w:t xml:space="preserve">ún el informe de la Contraloría el concepto de fenecimiento sobre Evaluación de Gestión de Resultados, la cuenta de la Lotería del Quindío “FENECE” por la vigencia fiscal 2015; conceptúa como FAVORABLE el factor de Control de Gestión; Conceptúa el factor Control de Resultados como FAVORABLE y el factor CONTROL FINANCIERO como FAVORABLE. </w:t>
      </w:r>
    </w:p>
    <w:p w:rsidR="00A6656A" w:rsidRDefault="003E1577" w:rsidP="003E1577">
      <w:pPr>
        <w:pStyle w:val="Ttulo3"/>
      </w:pPr>
      <w:bookmarkStart w:id="32" w:name="_Toc495334914"/>
      <w:r w:rsidRPr="003E1577">
        <w:lastRenderedPageBreak/>
        <w:t>3.2.4 Instituto Departamental de Deporte y Recreación del Quindío</w:t>
      </w:r>
      <w:bookmarkEnd w:id="32"/>
    </w:p>
    <w:p w:rsidR="003E1577" w:rsidRPr="003E1577" w:rsidRDefault="003E1577" w:rsidP="003E1577">
      <w:pPr>
        <w:pStyle w:val="Ttulo4"/>
      </w:pPr>
      <w:r>
        <w:t xml:space="preserve">3.2.4.1 Balance General </w:t>
      </w:r>
    </w:p>
    <w:p w:rsidR="003E1577" w:rsidRDefault="00835528" w:rsidP="003E1577">
      <w:pPr>
        <w:pStyle w:val="Ttulo4"/>
        <w:rPr>
          <w:lang w:val="es-ES" w:eastAsia="es-ES"/>
        </w:rPr>
      </w:pPr>
      <w:r w:rsidRPr="00835528">
        <w:rPr>
          <w:noProof/>
          <w:lang w:eastAsia="es-CO"/>
        </w:rPr>
        <w:drawing>
          <wp:inline distT="0" distB="0" distL="0" distR="0" wp14:anchorId="208EB4E0" wp14:editId="1DBDAC86">
            <wp:extent cx="5611840" cy="1615044"/>
            <wp:effectExtent l="0" t="0" r="8255" b="4445"/>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0255" cy="1620344"/>
                    </a:xfrm>
                    <a:prstGeom prst="rect">
                      <a:avLst/>
                    </a:prstGeom>
                    <a:noFill/>
                    <a:ln>
                      <a:noFill/>
                    </a:ln>
                  </pic:spPr>
                </pic:pic>
              </a:graphicData>
            </a:graphic>
          </wp:inline>
        </w:drawing>
      </w:r>
    </w:p>
    <w:p w:rsidR="003E1577" w:rsidRDefault="003E1577" w:rsidP="00835528">
      <w:pPr>
        <w:pStyle w:val="Ttulo4"/>
        <w:rPr>
          <w:rFonts w:cs="Arial"/>
          <w:b w:val="0"/>
          <w:sz w:val="28"/>
          <w:szCs w:val="28"/>
          <w:lang w:val="es-ES" w:eastAsia="es-ES"/>
        </w:rPr>
      </w:pPr>
      <w:r>
        <w:rPr>
          <w:lang w:val="es-ES" w:eastAsia="es-ES"/>
        </w:rPr>
        <w:t xml:space="preserve">3.2.4.2 Estado de Actividad Financiera, Económica y Social </w:t>
      </w:r>
      <w:r w:rsidRPr="006743C4">
        <w:rPr>
          <w:noProof/>
          <w:lang w:eastAsia="es-CO"/>
        </w:rPr>
        <w:drawing>
          <wp:anchor distT="0" distB="0" distL="114300" distR="114300" simplePos="0" relativeHeight="251659776" behindDoc="0" locked="0" layoutInCell="1" allowOverlap="1" wp14:anchorId="10905E89" wp14:editId="0D8756AF">
            <wp:simplePos x="0" y="0"/>
            <wp:positionH relativeFrom="column">
              <wp:posOffset>1905</wp:posOffset>
            </wp:positionH>
            <wp:positionV relativeFrom="paragraph">
              <wp:posOffset>548005</wp:posOffset>
            </wp:positionV>
            <wp:extent cx="5610225" cy="2857500"/>
            <wp:effectExtent l="0" t="0" r="952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0225" cy="2857500"/>
                    </a:xfrm>
                    <a:prstGeom prst="rect">
                      <a:avLst/>
                    </a:prstGeom>
                    <a:noFill/>
                    <a:ln>
                      <a:noFill/>
                    </a:ln>
                  </pic:spPr>
                </pic:pic>
              </a:graphicData>
            </a:graphic>
          </wp:anchor>
        </w:drawing>
      </w:r>
    </w:p>
    <w:p w:rsidR="003E1577" w:rsidRDefault="003E1577" w:rsidP="003E1577">
      <w:pPr>
        <w:pStyle w:val="Ttulo4"/>
        <w:rPr>
          <w:lang w:val="es-ES" w:eastAsia="es-ES"/>
        </w:rPr>
      </w:pPr>
      <w:r>
        <w:rPr>
          <w:lang w:val="es-ES" w:eastAsia="es-ES"/>
        </w:rPr>
        <w:t>3.2.4.3 Ejecución Presupuestal</w:t>
      </w:r>
    </w:p>
    <w:p w:rsidR="00835528" w:rsidRPr="00835528" w:rsidRDefault="00835528" w:rsidP="00835528">
      <w:pPr>
        <w:rPr>
          <w:lang w:val="es-ES" w:eastAsia="es-ES"/>
        </w:rPr>
      </w:pPr>
    </w:p>
    <w:p w:rsidR="002212EB" w:rsidRDefault="00835528" w:rsidP="006E45D8">
      <w:pPr>
        <w:spacing w:line="360" w:lineRule="auto"/>
        <w:rPr>
          <w:rFonts w:ascii="Arial" w:hAnsi="Arial" w:cs="Arial"/>
          <w:b/>
          <w:sz w:val="28"/>
          <w:szCs w:val="28"/>
          <w:lang w:val="es-ES" w:eastAsia="es-ES"/>
        </w:rPr>
      </w:pPr>
      <w:r w:rsidRPr="00835528">
        <w:rPr>
          <w:noProof/>
          <w:lang w:eastAsia="es-CO"/>
        </w:rPr>
        <w:lastRenderedPageBreak/>
        <w:drawing>
          <wp:inline distT="0" distB="0" distL="0" distR="0" wp14:anchorId="1C1531CC" wp14:editId="742417C1">
            <wp:extent cx="5610225" cy="4219575"/>
            <wp:effectExtent l="0" t="0" r="9525" b="9525"/>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3400" cy="4221963"/>
                    </a:xfrm>
                    <a:prstGeom prst="rect">
                      <a:avLst/>
                    </a:prstGeom>
                    <a:noFill/>
                    <a:ln>
                      <a:noFill/>
                    </a:ln>
                  </pic:spPr>
                </pic:pic>
              </a:graphicData>
            </a:graphic>
          </wp:inline>
        </w:drawing>
      </w:r>
    </w:p>
    <w:p w:rsidR="003E1577" w:rsidRDefault="003E1577" w:rsidP="003E1577">
      <w:pPr>
        <w:pStyle w:val="Ttulo4"/>
        <w:rPr>
          <w:rFonts w:cs="Arial"/>
          <w:sz w:val="28"/>
          <w:szCs w:val="28"/>
          <w:lang w:val="es-ES" w:eastAsia="es-ES"/>
        </w:rPr>
      </w:pPr>
      <w:r>
        <w:t xml:space="preserve">3.2.4.4 </w:t>
      </w:r>
      <w:r w:rsidRPr="00151B0D">
        <w:t>Resultados Último Informe De Contraloría</w:t>
      </w:r>
    </w:p>
    <w:p w:rsidR="003E1577" w:rsidRDefault="003E1577" w:rsidP="003E1577">
      <w:pPr>
        <w:tabs>
          <w:tab w:val="left" w:pos="1827"/>
        </w:tabs>
        <w:spacing w:line="360" w:lineRule="auto"/>
        <w:jc w:val="both"/>
        <w:rPr>
          <w:rFonts w:ascii="Arial" w:hAnsi="Arial" w:cs="Arial"/>
          <w:sz w:val="24"/>
          <w:szCs w:val="28"/>
          <w:lang w:val="es-ES" w:eastAsia="es-ES"/>
        </w:rPr>
      </w:pPr>
      <w:r w:rsidRPr="0056090C">
        <w:rPr>
          <w:rFonts w:ascii="Arial" w:hAnsi="Arial" w:cs="Arial"/>
          <w:sz w:val="24"/>
          <w:szCs w:val="28"/>
          <w:lang w:val="es-ES" w:eastAsia="es-ES"/>
        </w:rPr>
        <w:t>Seg</w:t>
      </w:r>
      <w:r>
        <w:rPr>
          <w:rFonts w:ascii="Arial" w:hAnsi="Arial" w:cs="Arial"/>
          <w:sz w:val="24"/>
          <w:szCs w:val="28"/>
          <w:lang w:val="es-ES" w:eastAsia="es-ES"/>
        </w:rPr>
        <w:t>ún el informe de la Contraloría el concepto de fenecimiento sobre Evaluación de Gestión de Resultados, la cuenta del Instituto Departamental de Deporte y Recreación I</w:t>
      </w:r>
      <w:r w:rsidR="00A9644C">
        <w:rPr>
          <w:rFonts w:ascii="Arial" w:hAnsi="Arial" w:cs="Arial"/>
          <w:sz w:val="24"/>
          <w:szCs w:val="28"/>
          <w:lang w:val="es-ES" w:eastAsia="es-ES"/>
        </w:rPr>
        <w:t>N</w:t>
      </w:r>
      <w:r>
        <w:rPr>
          <w:rFonts w:ascii="Arial" w:hAnsi="Arial" w:cs="Arial"/>
          <w:sz w:val="24"/>
          <w:szCs w:val="28"/>
          <w:lang w:val="es-ES" w:eastAsia="es-ES"/>
        </w:rPr>
        <w:t xml:space="preserve">DEPORTES Q. “FENECE” por la vigencia fiscal 2016; conceptúa como FAVORABLE el factor de Control de Gestión; Conceptúa el factor Control de Resultados como FAVORABLE y el factor Control Financiero como FAVORABLE. </w:t>
      </w:r>
    </w:p>
    <w:p w:rsidR="0031473E" w:rsidRDefault="0031473E" w:rsidP="003E1577">
      <w:pPr>
        <w:pStyle w:val="Ttulo3"/>
        <w:rPr>
          <w:lang w:val="es-ES" w:eastAsia="es-ES"/>
        </w:rPr>
      </w:pPr>
    </w:p>
    <w:p w:rsidR="00916713" w:rsidRDefault="00916713">
      <w:pPr>
        <w:rPr>
          <w:rFonts w:ascii="Arial" w:eastAsiaTheme="majorEastAsia" w:hAnsi="Arial" w:cstheme="majorBidi"/>
          <w:b/>
          <w:bCs/>
          <w:sz w:val="24"/>
          <w:lang w:val="es-ES" w:eastAsia="es-ES"/>
        </w:rPr>
      </w:pPr>
      <w:r>
        <w:rPr>
          <w:lang w:val="es-ES" w:eastAsia="es-ES"/>
        </w:rPr>
        <w:br w:type="page"/>
      </w:r>
    </w:p>
    <w:p w:rsidR="00A6656A" w:rsidRDefault="003E1577" w:rsidP="003E1577">
      <w:pPr>
        <w:pStyle w:val="Ttulo3"/>
        <w:rPr>
          <w:lang w:val="es-ES" w:eastAsia="es-ES"/>
        </w:rPr>
      </w:pPr>
      <w:bookmarkStart w:id="33" w:name="_Toc495334915"/>
      <w:r>
        <w:rPr>
          <w:lang w:val="es-ES" w:eastAsia="es-ES"/>
        </w:rPr>
        <w:lastRenderedPageBreak/>
        <w:t>3.2.5 Hospital Mental de Filandia</w:t>
      </w:r>
      <w:bookmarkEnd w:id="33"/>
    </w:p>
    <w:p w:rsidR="003E1577" w:rsidRDefault="003E1577" w:rsidP="003E1577">
      <w:pPr>
        <w:rPr>
          <w:lang w:val="es-ES" w:eastAsia="es-ES"/>
        </w:rPr>
      </w:pPr>
    </w:p>
    <w:p w:rsidR="003E1577" w:rsidRPr="003E1577" w:rsidRDefault="003E1577" w:rsidP="003E1577">
      <w:pPr>
        <w:pStyle w:val="Ttulo4"/>
        <w:rPr>
          <w:lang w:val="es-ES" w:eastAsia="es-ES"/>
        </w:rPr>
      </w:pPr>
      <w:r>
        <w:rPr>
          <w:lang w:val="es-ES" w:eastAsia="es-ES"/>
        </w:rPr>
        <w:t xml:space="preserve">3.2.5.1 Balance General </w:t>
      </w:r>
    </w:p>
    <w:p w:rsidR="00A6656A" w:rsidRDefault="0049522F" w:rsidP="004E73AA">
      <w:pPr>
        <w:spacing w:before="100" w:beforeAutospacing="1" w:after="100" w:afterAutospacing="1" w:line="360" w:lineRule="auto"/>
        <w:rPr>
          <w:rFonts w:ascii="Arial" w:hAnsi="Arial" w:cs="Arial"/>
          <w:b/>
          <w:sz w:val="28"/>
          <w:szCs w:val="28"/>
          <w:lang w:val="es-ES" w:eastAsia="es-ES"/>
        </w:rPr>
      </w:pPr>
      <w:r>
        <w:rPr>
          <w:rFonts w:ascii="Arial" w:hAnsi="Arial" w:cs="Arial"/>
          <w:b/>
          <w:noProof/>
          <w:sz w:val="28"/>
          <w:szCs w:val="28"/>
          <w:lang w:eastAsia="es-CO"/>
        </w:rPr>
        <w:drawing>
          <wp:inline distT="0" distB="0" distL="0" distR="0" wp14:anchorId="27B02D3E" wp14:editId="2CC46D2E">
            <wp:extent cx="5046980" cy="2018806"/>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1001" cy="2056415"/>
                    </a:xfrm>
                    <a:prstGeom prst="rect">
                      <a:avLst/>
                    </a:prstGeom>
                    <a:noFill/>
                  </pic:spPr>
                </pic:pic>
              </a:graphicData>
            </a:graphic>
          </wp:inline>
        </w:drawing>
      </w:r>
    </w:p>
    <w:p w:rsidR="00A6656A" w:rsidRDefault="0049522F" w:rsidP="0049522F">
      <w:pPr>
        <w:pStyle w:val="Ttulo4"/>
        <w:rPr>
          <w:lang w:val="es-ES" w:eastAsia="es-ES"/>
        </w:rPr>
      </w:pPr>
      <w:r>
        <w:rPr>
          <w:lang w:val="es-ES" w:eastAsia="es-ES"/>
        </w:rPr>
        <w:t xml:space="preserve">3.2.5.2 </w:t>
      </w:r>
      <w:r w:rsidR="002569F7">
        <w:rPr>
          <w:lang w:val="es-ES" w:eastAsia="es-ES"/>
        </w:rPr>
        <w:t>Estado de Actividad Financiera, Económica y Social</w:t>
      </w:r>
    </w:p>
    <w:p w:rsidR="002212EB" w:rsidRDefault="0031473E" w:rsidP="006E45D8">
      <w:pPr>
        <w:tabs>
          <w:tab w:val="left" w:pos="1827"/>
        </w:tabs>
        <w:spacing w:line="360" w:lineRule="auto"/>
        <w:jc w:val="both"/>
        <w:rPr>
          <w:rFonts w:ascii="Arial" w:hAnsi="Arial" w:cs="Arial"/>
          <w:sz w:val="24"/>
          <w:szCs w:val="28"/>
          <w:lang w:val="es-ES" w:eastAsia="es-ES"/>
        </w:rPr>
      </w:pPr>
      <w:r w:rsidRPr="00641BF2">
        <w:rPr>
          <w:noProof/>
          <w:lang w:eastAsia="es-CO"/>
        </w:rPr>
        <w:drawing>
          <wp:anchor distT="0" distB="0" distL="114300" distR="114300" simplePos="0" relativeHeight="251638272" behindDoc="1" locked="0" layoutInCell="1" allowOverlap="1" wp14:anchorId="069D4665" wp14:editId="5AA24B82">
            <wp:simplePos x="0" y="0"/>
            <wp:positionH relativeFrom="margin">
              <wp:align>left</wp:align>
            </wp:positionH>
            <wp:positionV relativeFrom="paragraph">
              <wp:posOffset>327660</wp:posOffset>
            </wp:positionV>
            <wp:extent cx="5022215" cy="1745615"/>
            <wp:effectExtent l="0" t="0" r="6985" b="6985"/>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221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473E" w:rsidRDefault="0031473E" w:rsidP="003B790A">
      <w:pPr>
        <w:pStyle w:val="Ttulo4"/>
        <w:rPr>
          <w:lang w:val="es-ES" w:eastAsia="es-ES"/>
        </w:rPr>
      </w:pPr>
    </w:p>
    <w:p w:rsidR="002212EB" w:rsidRDefault="0031473E" w:rsidP="003B790A">
      <w:pPr>
        <w:pStyle w:val="Ttulo4"/>
        <w:rPr>
          <w:lang w:val="es-ES" w:eastAsia="es-ES"/>
        </w:rPr>
      </w:pPr>
      <w:r w:rsidRPr="003B790A">
        <w:rPr>
          <w:noProof/>
          <w:lang w:eastAsia="es-CO"/>
        </w:rPr>
        <w:drawing>
          <wp:anchor distT="0" distB="0" distL="114300" distR="114300" simplePos="0" relativeHeight="251661824" behindDoc="0" locked="0" layoutInCell="1" allowOverlap="1" wp14:anchorId="1F37AA9F" wp14:editId="35995AEC">
            <wp:simplePos x="0" y="0"/>
            <wp:positionH relativeFrom="column">
              <wp:posOffset>139065</wp:posOffset>
            </wp:positionH>
            <wp:positionV relativeFrom="paragraph">
              <wp:posOffset>469710</wp:posOffset>
            </wp:positionV>
            <wp:extent cx="5613400" cy="3710940"/>
            <wp:effectExtent l="0" t="0" r="6350" b="381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3400" cy="3710940"/>
                    </a:xfrm>
                    <a:prstGeom prst="rect">
                      <a:avLst/>
                    </a:prstGeom>
                    <a:noFill/>
                    <a:ln>
                      <a:noFill/>
                    </a:ln>
                  </pic:spPr>
                </pic:pic>
              </a:graphicData>
            </a:graphic>
          </wp:anchor>
        </w:drawing>
      </w:r>
      <w:r w:rsidR="003B790A">
        <w:rPr>
          <w:lang w:val="es-ES" w:eastAsia="es-ES"/>
        </w:rPr>
        <w:t xml:space="preserve">3.2.5.3 Ejecución Presupuestal </w:t>
      </w:r>
    </w:p>
    <w:p w:rsidR="003B790A" w:rsidRDefault="003B790A" w:rsidP="003B790A"/>
    <w:p w:rsidR="0031473E" w:rsidRDefault="0031473E" w:rsidP="0031473E">
      <w:pPr>
        <w:pStyle w:val="Ttulo4"/>
      </w:pPr>
      <w:r>
        <w:rPr>
          <w:rFonts w:cs="Arial"/>
          <w:szCs w:val="28"/>
          <w:lang w:val="es-ES" w:eastAsia="es-ES"/>
        </w:rPr>
        <w:t xml:space="preserve">3.2.5.4 </w:t>
      </w:r>
      <w:r w:rsidRPr="00151B0D">
        <w:t>Resultados Último Informe De Contraloría</w:t>
      </w:r>
    </w:p>
    <w:p w:rsidR="0031473E" w:rsidRPr="003B790A" w:rsidRDefault="0031473E" w:rsidP="003B790A"/>
    <w:p w:rsidR="00A6656A" w:rsidRDefault="00A6656A" w:rsidP="006E45D8">
      <w:pPr>
        <w:tabs>
          <w:tab w:val="left" w:pos="1827"/>
        </w:tabs>
        <w:spacing w:line="360" w:lineRule="auto"/>
        <w:jc w:val="both"/>
        <w:rPr>
          <w:rFonts w:ascii="Arial" w:hAnsi="Arial" w:cs="Arial"/>
          <w:sz w:val="24"/>
          <w:szCs w:val="28"/>
          <w:lang w:val="es-ES" w:eastAsia="es-ES"/>
        </w:rPr>
      </w:pPr>
      <w:r w:rsidRPr="0056090C">
        <w:rPr>
          <w:rFonts w:ascii="Arial" w:hAnsi="Arial" w:cs="Arial"/>
          <w:sz w:val="24"/>
          <w:szCs w:val="28"/>
          <w:lang w:val="es-ES" w:eastAsia="es-ES"/>
        </w:rPr>
        <w:t>Seg</w:t>
      </w:r>
      <w:r>
        <w:rPr>
          <w:rFonts w:ascii="Arial" w:hAnsi="Arial" w:cs="Arial"/>
          <w:sz w:val="24"/>
          <w:szCs w:val="28"/>
          <w:lang w:val="es-ES" w:eastAsia="es-ES"/>
        </w:rPr>
        <w:t xml:space="preserve">ún el informe de la Contraloría el concepto de fenecimiento sobre Evaluación de Gestión de Resultados, </w:t>
      </w:r>
      <w:r w:rsidRPr="001978A7">
        <w:rPr>
          <w:rFonts w:ascii="Arial" w:hAnsi="Arial" w:cs="Arial"/>
          <w:sz w:val="24"/>
          <w:szCs w:val="28"/>
          <w:lang w:val="es-ES" w:eastAsia="es-ES"/>
        </w:rPr>
        <w:t>la cuenta del Hospital Mental de Filandia “NO FENECE” por la vigencia fiscal 2015;</w:t>
      </w:r>
      <w:r>
        <w:rPr>
          <w:rFonts w:ascii="Arial" w:hAnsi="Arial" w:cs="Arial"/>
          <w:sz w:val="24"/>
          <w:szCs w:val="28"/>
          <w:lang w:val="es-ES" w:eastAsia="es-ES"/>
        </w:rPr>
        <w:t xml:space="preserve"> conceptúa como DESFAVORABLE el factor de Control de Gestión; Conceptúa el factor Control de Resultados como SATISFACTORIO y el factor CONTROL FINANCIERO como FAVORABLE. </w:t>
      </w:r>
    </w:p>
    <w:p w:rsidR="0031473E" w:rsidRDefault="0031473E" w:rsidP="002569F7">
      <w:pPr>
        <w:pStyle w:val="Ttulo3"/>
        <w:rPr>
          <w:lang w:val="es-ES" w:eastAsia="es-ES"/>
        </w:rPr>
      </w:pPr>
    </w:p>
    <w:p w:rsidR="00916713" w:rsidRDefault="00916713">
      <w:pPr>
        <w:rPr>
          <w:rFonts w:ascii="Arial" w:eastAsiaTheme="majorEastAsia" w:hAnsi="Arial" w:cstheme="majorBidi"/>
          <w:b/>
          <w:bCs/>
          <w:sz w:val="24"/>
          <w:lang w:val="es-ES" w:eastAsia="es-ES"/>
        </w:rPr>
      </w:pPr>
      <w:r>
        <w:rPr>
          <w:lang w:val="es-ES" w:eastAsia="es-ES"/>
        </w:rPr>
        <w:br w:type="page"/>
      </w:r>
    </w:p>
    <w:p w:rsidR="00A6656A" w:rsidRDefault="002569F7" w:rsidP="002569F7">
      <w:pPr>
        <w:pStyle w:val="Ttulo3"/>
        <w:rPr>
          <w:lang w:val="es-ES" w:eastAsia="es-ES"/>
        </w:rPr>
      </w:pPr>
      <w:bookmarkStart w:id="34" w:name="_Toc495334916"/>
      <w:r>
        <w:rPr>
          <w:lang w:val="es-ES" w:eastAsia="es-ES"/>
        </w:rPr>
        <w:lastRenderedPageBreak/>
        <w:t xml:space="preserve">3.2.6 </w:t>
      </w:r>
      <w:r w:rsidRPr="00AB0570">
        <w:rPr>
          <w:lang w:val="es-ES" w:eastAsia="es-ES"/>
        </w:rPr>
        <w:t xml:space="preserve">Promotora </w:t>
      </w:r>
      <w:r>
        <w:rPr>
          <w:lang w:val="es-ES" w:eastAsia="es-ES"/>
        </w:rPr>
        <w:t>de Vivienda y Desarrollo del Quindío</w:t>
      </w:r>
      <w:bookmarkEnd w:id="34"/>
      <w:r>
        <w:rPr>
          <w:lang w:val="es-ES" w:eastAsia="es-ES"/>
        </w:rPr>
        <w:t xml:space="preserve"> </w:t>
      </w:r>
    </w:p>
    <w:p w:rsidR="002569F7" w:rsidRDefault="002569F7" w:rsidP="002569F7">
      <w:pPr>
        <w:rPr>
          <w:lang w:val="es-ES" w:eastAsia="es-ES"/>
        </w:rPr>
      </w:pPr>
    </w:p>
    <w:p w:rsidR="002569F7" w:rsidRDefault="002569F7" w:rsidP="002569F7">
      <w:pPr>
        <w:pStyle w:val="Ttulo4"/>
        <w:rPr>
          <w:lang w:val="es-ES" w:eastAsia="es-ES"/>
        </w:rPr>
      </w:pPr>
      <w:r>
        <w:rPr>
          <w:lang w:val="es-ES" w:eastAsia="es-ES"/>
        </w:rPr>
        <w:t xml:space="preserve">3.2.6.1 Balance General </w:t>
      </w:r>
    </w:p>
    <w:p w:rsidR="001B268A" w:rsidRDefault="001B268A" w:rsidP="001B268A">
      <w:pPr>
        <w:rPr>
          <w:lang w:val="es-ES" w:eastAsia="es-ES"/>
        </w:rPr>
      </w:pPr>
    </w:p>
    <w:p w:rsidR="001B268A" w:rsidRPr="001B268A" w:rsidRDefault="001B268A" w:rsidP="001B268A">
      <w:pPr>
        <w:rPr>
          <w:lang w:val="es-ES" w:eastAsia="es-ES"/>
        </w:rPr>
      </w:pPr>
      <w:r w:rsidRPr="00081BA6">
        <w:rPr>
          <w:noProof/>
          <w:lang w:eastAsia="es-CO"/>
        </w:rPr>
        <w:drawing>
          <wp:inline distT="0" distB="0" distL="0" distR="0" wp14:anchorId="5741DC4F" wp14:editId="14ADB4F8">
            <wp:extent cx="5613400" cy="221178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3400" cy="2211781"/>
                    </a:xfrm>
                    <a:prstGeom prst="rect">
                      <a:avLst/>
                    </a:prstGeom>
                    <a:noFill/>
                    <a:ln>
                      <a:noFill/>
                    </a:ln>
                  </pic:spPr>
                </pic:pic>
              </a:graphicData>
            </a:graphic>
          </wp:inline>
        </w:drawing>
      </w:r>
    </w:p>
    <w:p w:rsidR="002569F7" w:rsidRDefault="002569F7" w:rsidP="00ED7084">
      <w:pPr>
        <w:pStyle w:val="Ttulo4"/>
        <w:rPr>
          <w:rStyle w:val="Ttulo4Car"/>
          <w:b/>
          <w:bCs/>
          <w:i/>
          <w:iCs/>
        </w:rPr>
      </w:pPr>
      <w:r w:rsidRPr="002569F7">
        <w:t xml:space="preserve">3.2.6.2 </w:t>
      </w:r>
      <w:r w:rsidRPr="002569F7">
        <w:rPr>
          <w:rStyle w:val="Ttulo4Car"/>
          <w:b/>
          <w:bCs/>
          <w:i/>
          <w:iCs/>
        </w:rPr>
        <w:t>Estado de Actividad Financiera, Económica y Social</w:t>
      </w:r>
    </w:p>
    <w:p w:rsidR="00916713" w:rsidRDefault="00916713" w:rsidP="00916713"/>
    <w:p w:rsidR="00916713" w:rsidRDefault="00916713" w:rsidP="00916713">
      <w:r w:rsidRPr="00916713">
        <w:rPr>
          <w:noProof/>
          <w:lang w:eastAsia="es-CO"/>
        </w:rPr>
        <w:drawing>
          <wp:inline distT="0" distB="0" distL="0" distR="0" wp14:anchorId="670441A4" wp14:editId="29572F95">
            <wp:extent cx="5593080" cy="223266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3080" cy="2232660"/>
                    </a:xfrm>
                    <a:prstGeom prst="rect">
                      <a:avLst/>
                    </a:prstGeom>
                    <a:noFill/>
                    <a:ln>
                      <a:noFill/>
                    </a:ln>
                  </pic:spPr>
                </pic:pic>
              </a:graphicData>
            </a:graphic>
          </wp:inline>
        </w:drawing>
      </w:r>
    </w:p>
    <w:p w:rsidR="00916713" w:rsidRPr="00916713" w:rsidRDefault="00916713" w:rsidP="00916713"/>
    <w:p w:rsidR="002569F7" w:rsidRDefault="002569F7" w:rsidP="002569F7">
      <w:pPr>
        <w:pStyle w:val="Ttulo4"/>
        <w:rPr>
          <w:lang w:val="es-ES" w:eastAsia="es-ES"/>
        </w:rPr>
      </w:pPr>
      <w:r>
        <w:rPr>
          <w:lang w:val="es-ES" w:eastAsia="es-ES"/>
        </w:rPr>
        <w:t xml:space="preserve">3.2.6.3 Ejecución  Presupuestal </w:t>
      </w:r>
    </w:p>
    <w:p w:rsidR="00916713" w:rsidRDefault="00916713" w:rsidP="00916713">
      <w:pPr>
        <w:rPr>
          <w:lang w:val="es-ES" w:eastAsia="es-ES"/>
        </w:rPr>
      </w:pPr>
    </w:p>
    <w:p w:rsidR="00916713" w:rsidRPr="00916713" w:rsidRDefault="00916713" w:rsidP="00916713">
      <w:pPr>
        <w:rPr>
          <w:lang w:val="es-ES" w:eastAsia="es-ES"/>
        </w:rPr>
      </w:pPr>
      <w:r w:rsidRPr="00916713">
        <w:rPr>
          <w:noProof/>
          <w:lang w:eastAsia="es-CO"/>
        </w:rPr>
        <w:lastRenderedPageBreak/>
        <w:drawing>
          <wp:inline distT="0" distB="0" distL="0" distR="0" wp14:anchorId="10C93C67" wp14:editId="131EE3A8">
            <wp:extent cx="5612130" cy="3265652"/>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3265652"/>
                    </a:xfrm>
                    <a:prstGeom prst="rect">
                      <a:avLst/>
                    </a:prstGeom>
                    <a:noFill/>
                    <a:ln>
                      <a:noFill/>
                    </a:ln>
                  </pic:spPr>
                </pic:pic>
              </a:graphicData>
            </a:graphic>
          </wp:inline>
        </w:drawing>
      </w:r>
    </w:p>
    <w:p w:rsidR="002569F7" w:rsidRDefault="002569F7" w:rsidP="006E45D8">
      <w:pPr>
        <w:tabs>
          <w:tab w:val="left" w:pos="1827"/>
        </w:tabs>
        <w:spacing w:line="360" w:lineRule="auto"/>
        <w:jc w:val="both"/>
        <w:rPr>
          <w:lang w:val="es-ES"/>
        </w:rPr>
      </w:pPr>
    </w:p>
    <w:p w:rsidR="002569F7" w:rsidRDefault="002569F7" w:rsidP="002569F7">
      <w:pPr>
        <w:pStyle w:val="Ttulo4"/>
      </w:pPr>
      <w:r>
        <w:t xml:space="preserve">3.2.6.4 </w:t>
      </w:r>
      <w:r w:rsidRPr="00151B0D">
        <w:t>Resultados Último Informe De Contraloría</w:t>
      </w:r>
    </w:p>
    <w:p w:rsidR="002569F7" w:rsidRPr="002569F7" w:rsidRDefault="002569F7" w:rsidP="002569F7"/>
    <w:p w:rsidR="00A6656A" w:rsidRPr="0056090C" w:rsidRDefault="00A6656A" w:rsidP="006E45D8">
      <w:pPr>
        <w:tabs>
          <w:tab w:val="left" w:pos="1827"/>
        </w:tabs>
        <w:spacing w:line="360" w:lineRule="auto"/>
        <w:jc w:val="both"/>
        <w:rPr>
          <w:rFonts w:ascii="Arial" w:hAnsi="Arial" w:cs="Arial"/>
          <w:sz w:val="24"/>
          <w:szCs w:val="28"/>
          <w:lang w:val="es-ES" w:eastAsia="es-ES"/>
        </w:rPr>
      </w:pPr>
      <w:r w:rsidRPr="00030841">
        <w:rPr>
          <w:rFonts w:ascii="Arial" w:hAnsi="Arial" w:cs="Arial"/>
          <w:sz w:val="24"/>
          <w:szCs w:val="28"/>
          <w:lang w:val="es-ES" w:eastAsia="es-ES"/>
        </w:rPr>
        <w:t>Según el informe de la Contraloría el concepto de fenecimiento sobre Evaluación de Gestión de Resultados, la cuenta de la PROMOTORA DE VIVIENDA “FENECE” por la vigencia fiscal 2015; conceptúa como “FAVORABLE” el factor de Control de Gestión; Conceptúa el factor Control de Resultados como “FAVORABLE” y el factor CONTROL FINANCIERO como “FAVORABLE”.</w:t>
      </w:r>
      <w:r>
        <w:rPr>
          <w:rFonts w:ascii="Arial" w:hAnsi="Arial" w:cs="Arial"/>
          <w:sz w:val="24"/>
          <w:szCs w:val="28"/>
          <w:lang w:val="es-ES" w:eastAsia="es-ES"/>
        </w:rPr>
        <w:t xml:space="preserve"> </w:t>
      </w:r>
    </w:p>
    <w:p w:rsidR="0031473E" w:rsidRDefault="0031473E" w:rsidP="002569F7">
      <w:pPr>
        <w:pStyle w:val="Ttulo3"/>
        <w:rPr>
          <w:lang w:val="es-ES" w:eastAsia="es-ES"/>
        </w:rPr>
      </w:pPr>
    </w:p>
    <w:p w:rsidR="00A6656A" w:rsidRDefault="002569F7" w:rsidP="002569F7">
      <w:pPr>
        <w:pStyle w:val="Ttulo3"/>
        <w:rPr>
          <w:lang w:val="es-ES" w:eastAsia="es-ES"/>
        </w:rPr>
      </w:pPr>
      <w:bookmarkStart w:id="35" w:name="_Toc495334917"/>
      <w:r>
        <w:rPr>
          <w:lang w:val="es-ES" w:eastAsia="es-ES"/>
        </w:rPr>
        <w:t xml:space="preserve">3.2.7 </w:t>
      </w:r>
      <w:r w:rsidR="0031473E">
        <w:rPr>
          <w:lang w:val="es-ES" w:eastAsia="es-ES"/>
        </w:rPr>
        <w:t>Instituto Departamental de Tránsito del Quindío</w:t>
      </w:r>
      <w:bookmarkEnd w:id="35"/>
    </w:p>
    <w:p w:rsidR="002569F7" w:rsidRPr="005928DC" w:rsidRDefault="002569F7" w:rsidP="002569F7">
      <w:pPr>
        <w:pStyle w:val="Ttulo4"/>
        <w:rPr>
          <w:lang w:val="es-ES" w:eastAsia="es-ES"/>
        </w:rPr>
      </w:pPr>
      <w:r>
        <w:rPr>
          <w:lang w:val="es-ES" w:eastAsia="es-ES"/>
        </w:rPr>
        <w:t xml:space="preserve">3.2.7.1 Balance General </w:t>
      </w:r>
    </w:p>
    <w:p w:rsidR="00A054E3" w:rsidRDefault="00A6656A" w:rsidP="00A054E3">
      <w:pPr>
        <w:spacing w:before="100" w:beforeAutospacing="1" w:after="100" w:afterAutospacing="1" w:line="360" w:lineRule="auto"/>
        <w:jc w:val="both"/>
      </w:pPr>
      <w:r w:rsidRPr="007D7435">
        <w:rPr>
          <w:noProof/>
          <w:lang w:eastAsia="es-CO"/>
        </w:rPr>
        <w:drawing>
          <wp:inline distT="0" distB="0" distL="0" distR="0" wp14:anchorId="23106C44" wp14:editId="48162413">
            <wp:extent cx="5224145" cy="1591294"/>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69586" cy="1605135"/>
                    </a:xfrm>
                    <a:prstGeom prst="rect">
                      <a:avLst/>
                    </a:prstGeom>
                    <a:noFill/>
                    <a:ln>
                      <a:noFill/>
                    </a:ln>
                  </pic:spPr>
                </pic:pic>
              </a:graphicData>
            </a:graphic>
          </wp:inline>
        </w:drawing>
      </w:r>
    </w:p>
    <w:p w:rsidR="00A054E3" w:rsidRPr="00A054E3" w:rsidRDefault="00A054E3" w:rsidP="00454725">
      <w:pPr>
        <w:spacing w:before="100" w:beforeAutospacing="1" w:after="100" w:afterAutospacing="1" w:line="360" w:lineRule="auto"/>
        <w:jc w:val="both"/>
        <w:rPr>
          <w:rFonts w:ascii="Arial" w:hAnsi="Arial" w:cs="Arial"/>
          <w:b/>
          <w:sz w:val="28"/>
          <w:szCs w:val="28"/>
          <w:lang w:val="es-ES" w:eastAsia="es-ES"/>
        </w:rPr>
      </w:pPr>
      <w:r>
        <w:rPr>
          <w:rFonts w:cs="Arial"/>
          <w:b/>
          <w:noProof/>
          <w:sz w:val="28"/>
          <w:szCs w:val="28"/>
          <w:lang w:eastAsia="es-CO"/>
        </w:rPr>
        <w:drawing>
          <wp:anchor distT="0" distB="0" distL="114300" distR="114300" simplePos="0" relativeHeight="251694592" behindDoc="0" locked="0" layoutInCell="1" allowOverlap="1" wp14:anchorId="1472CFA9" wp14:editId="1395494F">
            <wp:simplePos x="0" y="0"/>
            <wp:positionH relativeFrom="column">
              <wp:posOffset>-59055</wp:posOffset>
            </wp:positionH>
            <wp:positionV relativeFrom="paragraph">
              <wp:posOffset>417830</wp:posOffset>
            </wp:positionV>
            <wp:extent cx="5389245" cy="2885440"/>
            <wp:effectExtent l="0" t="0" r="1905"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89245" cy="2885440"/>
                    </a:xfrm>
                    <a:prstGeom prst="rect">
                      <a:avLst/>
                    </a:prstGeom>
                    <a:noFill/>
                  </pic:spPr>
                </pic:pic>
              </a:graphicData>
            </a:graphic>
            <wp14:sizeRelV relativeFrom="margin">
              <wp14:pctHeight>0</wp14:pctHeight>
            </wp14:sizeRelV>
          </wp:anchor>
        </w:drawing>
      </w:r>
      <w:r w:rsidRPr="002569F7">
        <w:t>3</w:t>
      </w:r>
      <w:r>
        <w:t>.2.7</w:t>
      </w:r>
      <w:r w:rsidRPr="002569F7">
        <w:t xml:space="preserve">.2 </w:t>
      </w:r>
      <w:r w:rsidRPr="002569F7">
        <w:rPr>
          <w:rStyle w:val="Ttulo4Car"/>
          <w:b w:val="0"/>
          <w:bCs w:val="0"/>
          <w:i w:val="0"/>
          <w:iCs w:val="0"/>
        </w:rPr>
        <w:t>Estado de Actividad Financiera, Económica y Social</w:t>
      </w:r>
    </w:p>
    <w:p w:rsidR="00A054E3" w:rsidRDefault="00A054E3" w:rsidP="00A054E3">
      <w:pPr>
        <w:pStyle w:val="Ttulo4"/>
        <w:rPr>
          <w:lang w:val="es-ES" w:eastAsia="es-ES"/>
        </w:rPr>
      </w:pPr>
      <w:r>
        <w:rPr>
          <w:lang w:val="es-ES" w:eastAsia="es-ES"/>
        </w:rPr>
        <w:lastRenderedPageBreak/>
        <w:t xml:space="preserve">3.2.7.3 Ejecución Presupuestal </w:t>
      </w:r>
    </w:p>
    <w:p w:rsidR="00A054E3" w:rsidRDefault="00A054E3" w:rsidP="00A054E3">
      <w:pPr>
        <w:tabs>
          <w:tab w:val="left" w:pos="1827"/>
        </w:tabs>
        <w:spacing w:line="360" w:lineRule="auto"/>
        <w:jc w:val="both"/>
        <w:rPr>
          <w:rFonts w:ascii="Arial" w:hAnsi="Arial" w:cs="Arial"/>
          <w:b/>
          <w:sz w:val="28"/>
          <w:szCs w:val="28"/>
          <w:lang w:val="es-ES" w:eastAsia="es-ES"/>
        </w:rPr>
      </w:pPr>
      <w:r w:rsidRPr="00764C43">
        <w:rPr>
          <w:noProof/>
          <w:lang w:eastAsia="es-CO"/>
        </w:rPr>
        <w:drawing>
          <wp:anchor distT="0" distB="0" distL="114300" distR="114300" simplePos="0" relativeHeight="251692544" behindDoc="0" locked="0" layoutInCell="1" allowOverlap="1" wp14:anchorId="612A170A" wp14:editId="26C2D571">
            <wp:simplePos x="0" y="0"/>
            <wp:positionH relativeFrom="column">
              <wp:posOffset>-59055</wp:posOffset>
            </wp:positionH>
            <wp:positionV relativeFrom="paragraph">
              <wp:posOffset>205930</wp:posOffset>
            </wp:positionV>
            <wp:extent cx="5398135" cy="2933065"/>
            <wp:effectExtent l="0" t="0" r="0" b="635"/>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8135" cy="2933065"/>
                    </a:xfrm>
                    <a:prstGeom prst="rect">
                      <a:avLst/>
                    </a:prstGeom>
                    <a:noFill/>
                    <a:ln>
                      <a:noFill/>
                    </a:ln>
                  </pic:spPr>
                </pic:pic>
              </a:graphicData>
            </a:graphic>
            <wp14:sizeRelV relativeFrom="margin">
              <wp14:pctHeight>0</wp14:pctHeight>
            </wp14:sizeRelV>
          </wp:anchor>
        </w:drawing>
      </w:r>
    </w:p>
    <w:p w:rsidR="002569F7" w:rsidRDefault="002569F7" w:rsidP="006E45D8">
      <w:pPr>
        <w:tabs>
          <w:tab w:val="left" w:pos="1827"/>
        </w:tabs>
        <w:spacing w:line="360" w:lineRule="auto"/>
        <w:jc w:val="both"/>
        <w:rPr>
          <w:rFonts w:ascii="Arial" w:hAnsi="Arial" w:cs="Arial"/>
          <w:sz w:val="24"/>
          <w:szCs w:val="28"/>
          <w:lang w:val="es-ES" w:eastAsia="es-ES"/>
        </w:rPr>
      </w:pPr>
    </w:p>
    <w:p w:rsidR="000763A2" w:rsidRPr="000763A2" w:rsidRDefault="000763A2" w:rsidP="000763A2">
      <w:pPr>
        <w:pStyle w:val="Ttulo4"/>
      </w:pPr>
      <w:r w:rsidRPr="000763A2">
        <w:t>3.2.7.4 Resultados Último Informe De Contraloría</w:t>
      </w:r>
    </w:p>
    <w:p w:rsidR="000763A2" w:rsidRPr="000763A2" w:rsidRDefault="000763A2" w:rsidP="000763A2"/>
    <w:p w:rsidR="00030841" w:rsidRPr="0056090C" w:rsidRDefault="00030841" w:rsidP="006E45D8">
      <w:pPr>
        <w:tabs>
          <w:tab w:val="left" w:pos="1827"/>
        </w:tabs>
        <w:spacing w:line="360" w:lineRule="auto"/>
        <w:jc w:val="both"/>
        <w:rPr>
          <w:rFonts w:ascii="Arial" w:hAnsi="Arial" w:cs="Arial"/>
          <w:sz w:val="24"/>
          <w:szCs w:val="28"/>
          <w:lang w:val="es-ES" w:eastAsia="es-ES"/>
        </w:rPr>
      </w:pPr>
      <w:r w:rsidRPr="00030841">
        <w:rPr>
          <w:rFonts w:ascii="Arial" w:hAnsi="Arial" w:cs="Arial"/>
          <w:sz w:val="24"/>
          <w:szCs w:val="28"/>
          <w:lang w:val="es-ES" w:eastAsia="es-ES"/>
        </w:rPr>
        <w:t>Según el informe de la Contraloría el concepto de fenecimiento sobre Evaluación de Gestión de Resultados, la cuenta de la PROMOTORA DE VIVIENDA “FENECE” por la vigencia fiscal 2015; conceptúa como “FAVORABLE” el factor de Control de Gestión; Conceptúa el factor Control de Resultados como “FAVORABLE” y el factor CONTROL FINANCIERO como “FAVORABLE”.</w:t>
      </w:r>
      <w:r>
        <w:rPr>
          <w:rFonts w:ascii="Arial" w:hAnsi="Arial" w:cs="Arial"/>
          <w:sz w:val="24"/>
          <w:szCs w:val="28"/>
          <w:lang w:val="es-ES" w:eastAsia="es-ES"/>
        </w:rPr>
        <w:t xml:space="preserve"> </w:t>
      </w:r>
    </w:p>
    <w:p w:rsidR="00030841" w:rsidRDefault="00030841" w:rsidP="006E45D8">
      <w:pPr>
        <w:spacing w:line="360" w:lineRule="auto"/>
        <w:rPr>
          <w:rFonts w:ascii="Arial" w:hAnsi="Arial" w:cs="Arial"/>
          <w:b/>
          <w:color w:val="000000"/>
          <w:sz w:val="24"/>
          <w:szCs w:val="24"/>
          <w:lang w:val="es-ES" w:eastAsia="es-ES"/>
        </w:rPr>
      </w:pPr>
    </w:p>
    <w:p w:rsidR="00A054E3" w:rsidRDefault="00A054E3">
      <w:pPr>
        <w:rPr>
          <w:rFonts w:ascii="Arial" w:hAnsi="Arial" w:cs="Arial"/>
          <w:b/>
          <w:color w:val="000000"/>
          <w:sz w:val="24"/>
          <w:szCs w:val="24"/>
          <w:lang w:val="es-ES" w:eastAsia="es-ES"/>
        </w:rPr>
      </w:pPr>
      <w:r>
        <w:rPr>
          <w:rFonts w:ascii="Arial" w:hAnsi="Arial" w:cs="Arial"/>
          <w:b/>
          <w:color w:val="000000"/>
          <w:sz w:val="24"/>
          <w:szCs w:val="24"/>
          <w:lang w:val="es-ES" w:eastAsia="es-ES"/>
        </w:rPr>
        <w:br w:type="page"/>
      </w:r>
    </w:p>
    <w:p w:rsidR="00112554" w:rsidRPr="00466020" w:rsidRDefault="00466020" w:rsidP="006E45D8">
      <w:pPr>
        <w:spacing w:line="360" w:lineRule="auto"/>
        <w:rPr>
          <w:rFonts w:ascii="Arial" w:hAnsi="Arial" w:cs="Arial"/>
          <w:b/>
          <w:color w:val="000000"/>
          <w:sz w:val="24"/>
          <w:szCs w:val="24"/>
          <w:lang w:val="es-ES" w:eastAsia="es-ES"/>
        </w:rPr>
      </w:pPr>
      <w:r w:rsidRPr="00466020">
        <w:rPr>
          <w:rFonts w:ascii="Arial" w:hAnsi="Arial" w:cs="Arial"/>
          <w:b/>
          <w:color w:val="000000"/>
          <w:sz w:val="24"/>
          <w:szCs w:val="24"/>
          <w:lang w:val="es-ES" w:eastAsia="es-ES"/>
        </w:rPr>
        <w:lastRenderedPageBreak/>
        <w:t>SITUACIÓN FINANCIERA DEL SECTOR DESCENTRALIZADO SEGÚN EL INFORME DE VIABILIDAD FISCAL DE LOS DEPARTAMENTOS.</w:t>
      </w:r>
    </w:p>
    <w:p w:rsidR="003D45A5" w:rsidRDefault="00112554" w:rsidP="006E45D8">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 xml:space="preserve">De acuerdo con los datos consignados por las EDS a la CGR a través del CHIP, correspondientes al CGR presupuestal, al cierre de 2016 los ingresos totales </w:t>
      </w:r>
      <w:r w:rsidR="003D45A5">
        <w:rPr>
          <w:rFonts w:ascii="Arial" w:hAnsi="Arial" w:cs="Arial"/>
          <w:color w:val="000000"/>
          <w:sz w:val="24"/>
          <w:szCs w:val="24"/>
          <w:lang w:val="es-ES" w:eastAsia="es-ES"/>
        </w:rPr>
        <w:t>del sector descentralizado EDS distintos al SGR representaron 111% de los ingresos corrientes de la administración central, cifra que revela la importancia relativa de este tipo de entidades en las finanzas del Departamento.</w:t>
      </w:r>
    </w:p>
    <w:p w:rsidR="00CB041D" w:rsidRDefault="003D45A5" w:rsidP="006E45D8">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 xml:space="preserve">Las EDS cerraron 2016 </w:t>
      </w:r>
      <w:r w:rsidR="00B5264A">
        <w:rPr>
          <w:rFonts w:ascii="Arial" w:hAnsi="Arial" w:cs="Arial"/>
          <w:color w:val="000000"/>
          <w:sz w:val="24"/>
          <w:szCs w:val="24"/>
          <w:lang w:val="es-ES" w:eastAsia="es-ES"/>
        </w:rPr>
        <w:t xml:space="preserve">con </w:t>
      </w:r>
      <w:r>
        <w:rPr>
          <w:rFonts w:ascii="Arial" w:hAnsi="Arial" w:cs="Arial"/>
          <w:color w:val="000000"/>
          <w:sz w:val="24"/>
          <w:szCs w:val="24"/>
          <w:lang w:val="es-ES" w:eastAsia="es-ES"/>
        </w:rPr>
        <w:t>superávit fiscal</w:t>
      </w:r>
      <w:r w:rsidR="00B5264A">
        <w:rPr>
          <w:rFonts w:ascii="Arial" w:hAnsi="Arial" w:cs="Arial"/>
          <w:color w:val="000000"/>
          <w:sz w:val="24"/>
          <w:szCs w:val="24"/>
          <w:lang w:val="es-ES" w:eastAsia="es-ES"/>
        </w:rPr>
        <w:t>, sin embargo, continúan en situación deficitaria</w:t>
      </w:r>
      <w:r w:rsidR="00E3241C">
        <w:rPr>
          <w:rFonts w:ascii="Arial" w:hAnsi="Arial" w:cs="Arial"/>
          <w:color w:val="000000"/>
          <w:sz w:val="24"/>
          <w:szCs w:val="24"/>
          <w:lang w:val="es-ES" w:eastAsia="es-ES"/>
        </w:rPr>
        <w:t>, la ESE Hospital la Misericordia-Calarcá,</w:t>
      </w:r>
      <w:r w:rsidR="00B5264A">
        <w:rPr>
          <w:rFonts w:ascii="Arial" w:hAnsi="Arial" w:cs="Arial"/>
          <w:color w:val="000000"/>
          <w:sz w:val="24"/>
          <w:szCs w:val="24"/>
          <w:lang w:val="es-ES" w:eastAsia="es-ES"/>
        </w:rPr>
        <w:t xml:space="preserve"> la</w:t>
      </w:r>
      <w:r w:rsidR="00E3241C">
        <w:rPr>
          <w:rFonts w:ascii="Arial" w:hAnsi="Arial" w:cs="Arial"/>
          <w:color w:val="000000"/>
          <w:sz w:val="24"/>
          <w:szCs w:val="24"/>
          <w:lang w:val="es-ES" w:eastAsia="es-ES"/>
        </w:rPr>
        <w:t xml:space="preserve"> ESE Hospital Mental y la Promotora de Vivienda del Quindío que no fue compensado por el resultado fiscal positivo de entidades como la Lotería del Quindío, la ESE Hospital San Juan de Dios de Armenia y el Instituto Departamental del Quindío.</w:t>
      </w:r>
    </w:p>
    <w:p w:rsidR="00174721" w:rsidRDefault="00466020" w:rsidP="006E45D8">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 xml:space="preserve">En conclusión llama la atención los resultados fiscales negativos </w:t>
      </w:r>
      <w:r w:rsidR="00B5264A">
        <w:rPr>
          <w:rFonts w:ascii="Arial" w:hAnsi="Arial" w:cs="Arial"/>
          <w:color w:val="000000"/>
          <w:sz w:val="24"/>
          <w:szCs w:val="24"/>
          <w:lang w:val="es-ES" w:eastAsia="es-ES"/>
        </w:rPr>
        <w:t xml:space="preserve">y </w:t>
      </w:r>
      <w:r>
        <w:rPr>
          <w:rFonts w:ascii="Arial" w:hAnsi="Arial" w:cs="Arial"/>
          <w:color w:val="000000"/>
          <w:sz w:val="24"/>
          <w:szCs w:val="24"/>
          <w:lang w:val="es-ES" w:eastAsia="es-ES"/>
        </w:rPr>
        <w:t>el deterioro financiero persistente de los Hospitales la</w:t>
      </w:r>
      <w:r w:rsidR="00B5264A">
        <w:rPr>
          <w:rFonts w:ascii="Arial" w:hAnsi="Arial" w:cs="Arial"/>
          <w:color w:val="000000"/>
          <w:sz w:val="24"/>
          <w:szCs w:val="24"/>
          <w:lang w:val="es-ES" w:eastAsia="es-ES"/>
        </w:rPr>
        <w:t xml:space="preserve"> Misericordia y Mental</w:t>
      </w:r>
      <w:r>
        <w:rPr>
          <w:rFonts w:ascii="Arial" w:hAnsi="Arial" w:cs="Arial"/>
          <w:color w:val="000000"/>
          <w:sz w:val="24"/>
          <w:szCs w:val="24"/>
          <w:lang w:val="es-ES" w:eastAsia="es-ES"/>
        </w:rPr>
        <w:t>, la situación de Esaquin, entidad que en vigencias anteriores recibió un buen aporte de recursos por parte de la administración central, pero que mantiene indicadores financieros desalentadores, sit</w:t>
      </w:r>
      <w:r w:rsidR="00B5264A">
        <w:rPr>
          <w:rFonts w:ascii="Arial" w:hAnsi="Arial" w:cs="Arial"/>
          <w:color w:val="000000"/>
          <w:sz w:val="24"/>
          <w:szCs w:val="24"/>
          <w:lang w:val="es-ES" w:eastAsia="es-ES"/>
        </w:rPr>
        <w:t xml:space="preserve">uación que igualmente comparte, la Promotora de Vivienda. </w:t>
      </w:r>
      <w:r>
        <w:rPr>
          <w:rFonts w:ascii="Arial" w:hAnsi="Arial" w:cs="Arial"/>
          <w:color w:val="000000"/>
          <w:sz w:val="24"/>
          <w:szCs w:val="24"/>
          <w:lang w:val="es-ES" w:eastAsia="es-ES"/>
        </w:rPr>
        <w:t xml:space="preserve">Por </w:t>
      </w:r>
      <w:r w:rsidR="00984CDC">
        <w:rPr>
          <w:rFonts w:ascii="Arial" w:hAnsi="Arial" w:cs="Arial"/>
          <w:color w:val="000000"/>
          <w:sz w:val="24"/>
          <w:szCs w:val="24"/>
          <w:lang w:val="es-ES" w:eastAsia="es-ES"/>
        </w:rPr>
        <w:t>tanto,</w:t>
      </w:r>
      <w:r>
        <w:rPr>
          <w:rFonts w:ascii="Arial" w:hAnsi="Arial" w:cs="Arial"/>
          <w:color w:val="000000"/>
          <w:sz w:val="24"/>
          <w:szCs w:val="24"/>
          <w:lang w:val="es-ES" w:eastAsia="es-ES"/>
        </w:rPr>
        <w:t xml:space="preserve"> </w:t>
      </w:r>
      <w:r w:rsidR="00174721">
        <w:rPr>
          <w:rFonts w:ascii="Arial" w:hAnsi="Arial" w:cs="Arial"/>
          <w:color w:val="000000"/>
          <w:sz w:val="24"/>
          <w:szCs w:val="24"/>
          <w:lang w:val="es-ES" w:eastAsia="es-ES"/>
        </w:rPr>
        <w:t>en análisis de desempeño fiscal de las EDS departamentales aquí presentada alerta nuevamente sobre la necesidad de adoptar medidas de saneamiento fiscal  financiero en este sector teniendo en cuenta que las leyes 617 de 2000 y 819 de 2003 prevén que las EDS sean financieramente autosuficientes, no generen déficits fiscales recurrentes y cuenten con una calificación de riesgo crediticio para realizar operaciones de endeudamiento público.</w:t>
      </w:r>
    </w:p>
    <w:p w:rsidR="000763A2" w:rsidRDefault="000763A2">
      <w:pPr>
        <w:rPr>
          <w:rFonts w:ascii="Arial" w:hAnsi="Arial" w:cs="Arial"/>
          <w:b/>
          <w:color w:val="000000"/>
          <w:sz w:val="32"/>
          <w:szCs w:val="24"/>
          <w:lang w:val="es-ES" w:eastAsia="es-ES"/>
        </w:rPr>
      </w:pPr>
      <w:r>
        <w:rPr>
          <w:rFonts w:ascii="Arial" w:hAnsi="Arial" w:cs="Arial"/>
          <w:b/>
          <w:color w:val="000000"/>
          <w:sz w:val="32"/>
          <w:szCs w:val="24"/>
          <w:lang w:val="es-ES" w:eastAsia="es-ES"/>
        </w:rPr>
        <w:br w:type="page"/>
      </w:r>
    </w:p>
    <w:p w:rsidR="008D28DA" w:rsidRDefault="008D28DA" w:rsidP="000763A2">
      <w:pPr>
        <w:pStyle w:val="Ttulo2"/>
      </w:pPr>
      <w:bookmarkStart w:id="36" w:name="_Toc495334918"/>
      <w:r w:rsidRPr="000763A2">
        <w:lastRenderedPageBreak/>
        <w:t>PLAN FINANCIERO</w:t>
      </w:r>
      <w:bookmarkEnd w:id="36"/>
    </w:p>
    <w:p w:rsidR="000763A2" w:rsidRPr="000763A2" w:rsidRDefault="000763A2" w:rsidP="000763A2"/>
    <w:p w:rsidR="008D28DA" w:rsidRPr="00BF3D72" w:rsidRDefault="008D28DA" w:rsidP="006E45D8">
      <w:pPr>
        <w:spacing w:line="360" w:lineRule="auto"/>
        <w:jc w:val="both"/>
        <w:rPr>
          <w:rFonts w:ascii="Arial" w:hAnsi="Arial" w:cs="Arial"/>
          <w:color w:val="000000"/>
          <w:sz w:val="24"/>
          <w:szCs w:val="24"/>
          <w:lang w:val="es-ES" w:eastAsia="es-ES"/>
        </w:rPr>
      </w:pPr>
      <w:r w:rsidRPr="00BF3D72">
        <w:rPr>
          <w:rFonts w:ascii="Arial" w:hAnsi="Arial" w:cs="Arial"/>
          <w:color w:val="000000"/>
          <w:sz w:val="24"/>
          <w:szCs w:val="24"/>
          <w:lang w:val="es-ES" w:eastAsia="es-ES"/>
        </w:rPr>
        <w:t xml:space="preserve">El plan financiero es un </w:t>
      </w:r>
      <w:r w:rsidR="00A11771">
        <w:rPr>
          <w:rFonts w:ascii="Arial" w:hAnsi="Arial" w:cs="Arial"/>
          <w:color w:val="000000"/>
          <w:sz w:val="24"/>
          <w:szCs w:val="24"/>
          <w:lang w:val="es-ES" w:eastAsia="es-ES"/>
        </w:rPr>
        <w:t>00</w:t>
      </w:r>
      <w:r w:rsidRPr="00BF3D72">
        <w:rPr>
          <w:rFonts w:ascii="Arial" w:hAnsi="Arial" w:cs="Arial"/>
          <w:color w:val="000000"/>
          <w:sz w:val="24"/>
          <w:szCs w:val="24"/>
          <w:lang w:val="es-ES" w:eastAsia="es-ES"/>
        </w:rPr>
        <w:t>instrumento de Planificación y gestión financiera de la Administración Departamental y sus entes descentralizados, que tiene como base las operaciones efectivas de todas las entidades públicas departamentales, tomando en consideración las previsiones de ingresos, gastos, déficit y su financiación, compatibles con el programa Anual de Caja y el Plan de Desarrollo.</w:t>
      </w:r>
    </w:p>
    <w:p w:rsidR="008D28DA" w:rsidRPr="00BF3D72" w:rsidRDefault="008D28DA" w:rsidP="008A5244">
      <w:pPr>
        <w:spacing w:before="100" w:beforeAutospacing="1" w:after="100" w:afterAutospacing="1" w:line="360" w:lineRule="auto"/>
        <w:jc w:val="both"/>
        <w:rPr>
          <w:rFonts w:ascii="Arial" w:eastAsia="Times New Roman" w:hAnsi="Arial" w:cs="Arial"/>
          <w:sz w:val="24"/>
        </w:rPr>
      </w:pPr>
      <w:r w:rsidRPr="00BF3D72">
        <w:rPr>
          <w:rFonts w:ascii="Arial" w:eastAsia="Times New Roman" w:hAnsi="Arial" w:cs="Arial"/>
          <w:sz w:val="24"/>
          <w:lang w:val="es-ES"/>
        </w:rPr>
        <w:t>El Plan Financiero se enmarca dentro de las normas de disciplina fiscal compuestas por las Leyes 358 de 1997</w:t>
      </w:r>
      <w:r w:rsidRPr="00BF3D72">
        <w:rPr>
          <w:rStyle w:val="Refdenotaalpie"/>
          <w:rFonts w:ascii="Arial" w:eastAsia="Times New Roman" w:hAnsi="Arial" w:cs="Arial"/>
          <w:sz w:val="24"/>
          <w:lang w:val="es-ES"/>
        </w:rPr>
        <w:footnoteReference w:id="26"/>
      </w:r>
      <w:r w:rsidRPr="00BF3D72">
        <w:rPr>
          <w:rFonts w:ascii="Arial" w:eastAsia="Times New Roman" w:hAnsi="Arial" w:cs="Arial"/>
          <w:sz w:val="24"/>
          <w:lang w:val="es-ES"/>
        </w:rPr>
        <w:t>, 549 de 1999</w:t>
      </w:r>
      <w:r w:rsidRPr="00BF3D72">
        <w:rPr>
          <w:rStyle w:val="Refdenotaalpie"/>
          <w:rFonts w:ascii="Arial" w:eastAsia="Times New Roman" w:hAnsi="Arial" w:cs="Arial"/>
          <w:sz w:val="24"/>
          <w:lang w:val="es-ES"/>
        </w:rPr>
        <w:footnoteReference w:id="27"/>
      </w:r>
      <w:r w:rsidRPr="00BF3D72">
        <w:rPr>
          <w:rFonts w:ascii="Arial" w:eastAsia="Times New Roman" w:hAnsi="Arial" w:cs="Arial"/>
          <w:sz w:val="24"/>
          <w:lang w:val="es-ES"/>
        </w:rPr>
        <w:t>, 617 de 2000</w:t>
      </w:r>
      <w:r w:rsidRPr="00BF3D72">
        <w:rPr>
          <w:rStyle w:val="Refdenotaalpie"/>
          <w:rFonts w:ascii="Arial" w:eastAsia="Times New Roman" w:hAnsi="Arial" w:cs="Arial"/>
          <w:sz w:val="24"/>
          <w:lang w:val="es-ES"/>
        </w:rPr>
        <w:footnoteReference w:id="28"/>
      </w:r>
      <w:r w:rsidRPr="00BF3D72">
        <w:rPr>
          <w:rFonts w:ascii="Arial" w:eastAsia="Times New Roman" w:hAnsi="Arial" w:cs="Arial"/>
          <w:sz w:val="24"/>
          <w:lang w:val="es-ES"/>
        </w:rPr>
        <w:t>, 715 de 2001</w:t>
      </w:r>
      <w:r w:rsidRPr="00BF3D72">
        <w:rPr>
          <w:rStyle w:val="Refdenotaalpie"/>
          <w:rFonts w:ascii="Arial" w:eastAsia="Times New Roman" w:hAnsi="Arial" w:cs="Arial"/>
          <w:sz w:val="24"/>
          <w:lang w:val="es-ES"/>
        </w:rPr>
        <w:footnoteReference w:id="29"/>
      </w:r>
      <w:r w:rsidRPr="00BF3D72">
        <w:rPr>
          <w:rFonts w:ascii="Arial" w:eastAsia="Times New Roman" w:hAnsi="Arial" w:cs="Arial"/>
          <w:sz w:val="24"/>
          <w:lang w:val="es-ES"/>
        </w:rPr>
        <w:t>, 819 de 2003</w:t>
      </w:r>
      <w:r w:rsidRPr="00BF3D72">
        <w:rPr>
          <w:rStyle w:val="Refdenotaalpie"/>
          <w:rFonts w:ascii="Arial" w:eastAsia="Times New Roman" w:hAnsi="Arial" w:cs="Arial"/>
          <w:sz w:val="24"/>
          <w:lang w:val="es-ES"/>
        </w:rPr>
        <w:footnoteReference w:id="30"/>
      </w:r>
      <w:r w:rsidRPr="00BF3D72">
        <w:rPr>
          <w:rFonts w:ascii="Arial" w:eastAsia="Times New Roman" w:hAnsi="Arial" w:cs="Arial"/>
          <w:sz w:val="24"/>
          <w:lang w:val="es-ES"/>
        </w:rPr>
        <w:t xml:space="preserve"> y 1176 de 2007</w:t>
      </w:r>
      <w:r w:rsidRPr="00BF3D72">
        <w:rPr>
          <w:rStyle w:val="Refdenotaalpie"/>
          <w:rFonts w:ascii="Arial" w:eastAsia="Times New Roman" w:hAnsi="Arial" w:cs="Arial"/>
          <w:sz w:val="24"/>
          <w:lang w:val="es-ES"/>
        </w:rPr>
        <w:footnoteReference w:id="31"/>
      </w:r>
      <w:r w:rsidRPr="00BF3D72">
        <w:rPr>
          <w:rFonts w:ascii="Arial" w:eastAsia="Times New Roman" w:hAnsi="Arial" w:cs="Arial"/>
          <w:sz w:val="24"/>
          <w:lang w:val="es-ES"/>
        </w:rPr>
        <w:t>.</w:t>
      </w:r>
    </w:p>
    <w:p w:rsidR="008D28DA" w:rsidRPr="00203DD8" w:rsidRDefault="008D28DA" w:rsidP="008A5244">
      <w:pPr>
        <w:spacing w:before="100" w:beforeAutospacing="1" w:after="100" w:afterAutospacing="1" w:line="360" w:lineRule="auto"/>
        <w:jc w:val="both"/>
        <w:rPr>
          <w:rFonts w:ascii="Arial" w:eastAsia="Times New Roman" w:hAnsi="Arial" w:cs="Arial"/>
          <w:lang w:val="es-ES"/>
        </w:rPr>
      </w:pPr>
      <w:r w:rsidRPr="00BF3D72">
        <w:rPr>
          <w:rFonts w:ascii="Arial" w:eastAsia="Times New Roman" w:hAnsi="Arial" w:cs="Arial"/>
          <w:sz w:val="24"/>
          <w:lang w:val="es-ES"/>
        </w:rPr>
        <w:t xml:space="preserve">Por lo tanto, el Plan Financiero Departamental, es un programa de ingresos y gastos de caja, con sus posibilidades de financiamiento, lo que implica que su medición se basa en transacciones de caja, ingresos efectivamente recaudados y pagos realizados, como base para medir el déficit y las necesidades de financiamiento del sector público, para </w:t>
      </w:r>
      <w:r w:rsidRPr="00203DD8">
        <w:rPr>
          <w:rFonts w:ascii="Arial" w:eastAsia="Times New Roman" w:hAnsi="Arial" w:cs="Arial"/>
          <w:lang w:val="es-ES"/>
        </w:rPr>
        <w:t xml:space="preserve">determinar el grado de compatibilidad con el Programa Anual de Caja (PAC) y con las políticas económicas. </w:t>
      </w:r>
    </w:p>
    <w:p w:rsidR="008D28DA" w:rsidRPr="00BF3D72" w:rsidRDefault="008D28DA" w:rsidP="008A5244">
      <w:pPr>
        <w:spacing w:before="100" w:beforeAutospacing="1" w:after="100" w:afterAutospacing="1" w:line="360" w:lineRule="auto"/>
        <w:jc w:val="both"/>
        <w:rPr>
          <w:rFonts w:ascii="Arial" w:eastAsia="Times New Roman" w:hAnsi="Arial" w:cs="Arial"/>
          <w:sz w:val="24"/>
          <w:lang w:val="es-ES"/>
        </w:rPr>
      </w:pPr>
      <w:r w:rsidRPr="00BF3D72">
        <w:rPr>
          <w:rFonts w:ascii="Arial" w:eastAsia="Times New Roman" w:hAnsi="Arial" w:cs="Arial"/>
          <w:sz w:val="24"/>
          <w:lang w:val="es-ES"/>
        </w:rPr>
        <w:t xml:space="preserve">Es así como el Plan Financiero define las metas máximas de pagos a efectuarse durante el periodo de un año, las cuales servirán de base Plan Operativo Anual de Inversiones, el presupuesto y el programa anual de caja. </w:t>
      </w:r>
    </w:p>
    <w:p w:rsidR="008D28DA" w:rsidRDefault="008D28DA" w:rsidP="008A5244">
      <w:pPr>
        <w:spacing w:before="100" w:beforeAutospacing="1" w:after="100" w:afterAutospacing="1" w:line="360" w:lineRule="auto"/>
        <w:jc w:val="both"/>
        <w:rPr>
          <w:rFonts w:ascii="Arial" w:hAnsi="Arial" w:cs="Arial"/>
          <w:color w:val="000000"/>
          <w:sz w:val="24"/>
          <w:lang w:eastAsia="es-CO"/>
        </w:rPr>
      </w:pPr>
      <w:r w:rsidRPr="00BF3D72">
        <w:rPr>
          <w:rFonts w:ascii="Arial" w:eastAsia="Times New Roman" w:hAnsi="Arial" w:cs="Arial"/>
          <w:sz w:val="24"/>
          <w:lang w:val="es-ES"/>
        </w:rPr>
        <w:t xml:space="preserve">Además puede ser visto de una manera más amplia, como un instrumento financiero, que partiendo del diagnóstico, determina objetivos, estrategias y metas </w:t>
      </w:r>
      <w:r w:rsidRPr="00BF3D72">
        <w:rPr>
          <w:rFonts w:ascii="Arial" w:eastAsia="Times New Roman" w:hAnsi="Arial" w:cs="Arial"/>
          <w:sz w:val="24"/>
          <w:lang w:val="es-ES"/>
        </w:rPr>
        <w:lastRenderedPageBreak/>
        <w:t xml:space="preserve">de ingresos y gastos para sanear las finanzas territoriales y así lograr los objetivos del </w:t>
      </w:r>
      <w:r w:rsidRPr="00BF3D72">
        <w:rPr>
          <w:rFonts w:ascii="Arial" w:hAnsi="Arial" w:cs="Arial"/>
          <w:color w:val="000000"/>
          <w:sz w:val="24"/>
          <w:lang w:eastAsia="es-CO"/>
        </w:rPr>
        <w:t>Plan de Desarrollo 2016-2019 “En Defensa del Bien Común”.</w:t>
      </w:r>
      <w:r w:rsidRPr="00BF3D72">
        <w:rPr>
          <w:rStyle w:val="Refdenotaalpie"/>
          <w:rFonts w:ascii="Arial" w:eastAsia="Times New Roman" w:hAnsi="Arial" w:cs="Arial"/>
          <w:sz w:val="24"/>
          <w:lang w:val="es-ES"/>
        </w:rPr>
        <w:footnoteReference w:id="32"/>
      </w:r>
    </w:p>
    <w:p w:rsidR="008A5244" w:rsidRDefault="008A5244" w:rsidP="001E0D65">
      <w:pPr>
        <w:pStyle w:val="Ttulo2"/>
        <w:numPr>
          <w:ilvl w:val="0"/>
          <w:numId w:val="0"/>
        </w:numPr>
      </w:pPr>
    </w:p>
    <w:p w:rsidR="00767C3A" w:rsidRPr="00D11CF3" w:rsidRDefault="000763A2" w:rsidP="001E0D65">
      <w:pPr>
        <w:pStyle w:val="Ttulo2"/>
        <w:numPr>
          <w:ilvl w:val="0"/>
          <w:numId w:val="0"/>
        </w:numPr>
      </w:pPr>
      <w:bookmarkStart w:id="37" w:name="_Toc495334919"/>
      <w:r>
        <w:t xml:space="preserve">4.1 </w:t>
      </w:r>
      <w:r w:rsidR="00D11CF3" w:rsidRPr="00D11CF3">
        <w:t>SUPUESTOS ECONOMICOS PARA LA PROYECCION</w:t>
      </w:r>
      <w:r w:rsidR="002357A5">
        <w:t xml:space="preserve"> VIGENCIA 2018-2027</w:t>
      </w:r>
      <w:bookmarkEnd w:id="37"/>
      <w:r w:rsidR="00D11CF3" w:rsidRPr="00D11CF3">
        <w:t xml:space="preserve"> </w:t>
      </w:r>
    </w:p>
    <w:p w:rsidR="00D11CF3" w:rsidRDefault="00D11CF3" w:rsidP="008A5244">
      <w:pPr>
        <w:spacing w:before="100" w:beforeAutospacing="1" w:after="100" w:afterAutospacing="1" w:line="360" w:lineRule="auto"/>
        <w:jc w:val="both"/>
        <w:rPr>
          <w:rFonts w:ascii="Arial" w:hAnsi="Arial" w:cs="Arial"/>
          <w:color w:val="000000"/>
          <w:sz w:val="24"/>
          <w:lang w:eastAsia="es-CO"/>
        </w:rPr>
      </w:pPr>
      <w:r>
        <w:rPr>
          <w:rFonts w:ascii="Arial" w:hAnsi="Arial" w:cs="Arial"/>
          <w:color w:val="000000"/>
          <w:sz w:val="24"/>
          <w:lang w:eastAsia="es-CO"/>
        </w:rPr>
        <w:t>Para la proyección se tuvo en cuenta las cifras publicadas en el Marco Fiscal de Mediano Plazo de la Nación 2017 en donde supone que según el Fondo Monetario Internacional espera que la economía mundial  crezca 3.5% lo que significaría una aceleración  de 0.4 pp respecto a 2016</w:t>
      </w:r>
      <w:r w:rsidR="00B463EB">
        <w:rPr>
          <w:rFonts w:ascii="Arial" w:hAnsi="Arial" w:cs="Arial"/>
          <w:color w:val="000000"/>
          <w:sz w:val="24"/>
          <w:lang w:eastAsia="es-CO"/>
        </w:rPr>
        <w:t>, por su parte espera que América Latina crezca 1.1% en 2017, lo cual representaría una recuperación tras seis años de desaceleración económica, aceleración económica jalonada entre otras, por países como Colombia que proyecta un crecimiento de 2.3%</w:t>
      </w:r>
      <w:r w:rsidR="0093445D">
        <w:rPr>
          <w:rFonts w:ascii="Arial" w:hAnsi="Arial" w:cs="Arial"/>
          <w:color w:val="000000"/>
          <w:sz w:val="24"/>
          <w:lang w:eastAsia="es-CO"/>
        </w:rPr>
        <w:t>, 0.3 pp por encima del dato observado en 2016 pero 0.2pp por debajo de la proyección incluida para la revisión del Plan Financiero de 2016. Se espera que el bajo crecimiento observado en el primer trimestre de 1.1% se acelere en el segundo semestre a niveles cercanos del 2% y que entre junio y diciembre la economía se expanda a tasas alrededor del 3%</w:t>
      </w:r>
      <w:r w:rsidR="003517A3">
        <w:rPr>
          <w:rFonts w:ascii="Arial" w:hAnsi="Arial" w:cs="Arial"/>
          <w:color w:val="000000"/>
          <w:sz w:val="24"/>
          <w:lang w:eastAsia="es-CO"/>
        </w:rPr>
        <w:t>.</w:t>
      </w:r>
      <w:r w:rsidR="00B463EB">
        <w:rPr>
          <w:rFonts w:ascii="Arial" w:hAnsi="Arial" w:cs="Arial"/>
          <w:color w:val="000000"/>
          <w:sz w:val="24"/>
          <w:lang w:eastAsia="es-CO"/>
        </w:rPr>
        <w:t xml:space="preserve">  </w:t>
      </w:r>
    </w:p>
    <w:p w:rsidR="00454019" w:rsidRDefault="00454019" w:rsidP="008A5244">
      <w:pPr>
        <w:spacing w:before="100" w:beforeAutospacing="1" w:after="100" w:afterAutospacing="1" w:line="360" w:lineRule="auto"/>
        <w:jc w:val="both"/>
        <w:rPr>
          <w:rFonts w:ascii="Arial" w:hAnsi="Arial" w:cs="Arial"/>
          <w:color w:val="000000"/>
          <w:sz w:val="24"/>
          <w:lang w:eastAsia="es-CO"/>
        </w:rPr>
      </w:pPr>
      <w:r>
        <w:rPr>
          <w:rFonts w:ascii="Arial" w:hAnsi="Arial" w:cs="Arial"/>
          <w:color w:val="000000"/>
          <w:sz w:val="24"/>
          <w:lang w:eastAsia="es-CO"/>
        </w:rPr>
        <w:t>El crecimiento en Colombia para 2016 fue del 2% en línea con lo que proyectaban en el Gobierno y los analistas encuestados por Latin Focus Consensus Forecast en diciembre de 2016, aunque por debajo de lo estimado por el Fondo Monetario Internacional en octubre de ese mismo año  (2.2%)  y lo esperado por la mayoría de los agentes económicos (en junio apuntaba a un crecimiento de 2.4% por los analistas y un 3% del Gobierno).</w:t>
      </w:r>
    </w:p>
    <w:p w:rsidR="004469E6" w:rsidRDefault="004469E6">
      <w:pPr>
        <w:rPr>
          <w:rFonts w:ascii="Arial" w:hAnsi="Arial" w:cs="Arial"/>
          <w:color w:val="000000"/>
          <w:sz w:val="24"/>
          <w:lang w:eastAsia="es-CO"/>
        </w:rPr>
      </w:pPr>
      <w:r>
        <w:rPr>
          <w:rFonts w:ascii="Arial" w:hAnsi="Arial" w:cs="Arial"/>
          <w:color w:val="000000"/>
          <w:sz w:val="24"/>
          <w:lang w:eastAsia="es-CO"/>
        </w:rPr>
        <w:br w:type="page"/>
      </w:r>
    </w:p>
    <w:p w:rsidR="004469E6" w:rsidRDefault="004469E6" w:rsidP="008A5244">
      <w:pPr>
        <w:spacing w:before="100" w:beforeAutospacing="1" w:after="100" w:afterAutospacing="1" w:line="360" w:lineRule="auto"/>
        <w:jc w:val="both"/>
        <w:rPr>
          <w:rFonts w:ascii="Arial" w:hAnsi="Arial" w:cs="Arial"/>
          <w:color w:val="000000"/>
          <w:sz w:val="24"/>
          <w:lang w:eastAsia="es-CO"/>
        </w:rPr>
      </w:pPr>
    </w:p>
    <w:tbl>
      <w:tblPr>
        <w:tblW w:w="7960" w:type="dxa"/>
        <w:jc w:val="center"/>
        <w:tblCellMar>
          <w:left w:w="70" w:type="dxa"/>
          <w:right w:w="70" w:type="dxa"/>
        </w:tblCellMar>
        <w:tblLook w:val="04A0" w:firstRow="1" w:lastRow="0" w:firstColumn="1" w:lastColumn="0" w:noHBand="0" w:noVBand="1"/>
      </w:tblPr>
      <w:tblGrid>
        <w:gridCol w:w="5560"/>
        <w:gridCol w:w="1200"/>
        <w:gridCol w:w="1200"/>
      </w:tblGrid>
      <w:tr w:rsidR="007A5E16" w:rsidRPr="007A5E16" w:rsidTr="007A5E16">
        <w:trPr>
          <w:trHeight w:val="300"/>
          <w:jc w:val="center"/>
        </w:trPr>
        <w:tc>
          <w:tcPr>
            <w:tcW w:w="5560" w:type="dxa"/>
            <w:tcBorders>
              <w:top w:val="single" w:sz="8" w:space="0" w:color="auto"/>
              <w:left w:val="single" w:sz="8" w:space="0" w:color="auto"/>
              <w:bottom w:val="single" w:sz="4" w:space="0" w:color="auto"/>
              <w:right w:val="single" w:sz="4" w:space="0" w:color="auto"/>
            </w:tcBorders>
            <w:shd w:val="clear" w:color="000000" w:fill="CCC0DA"/>
            <w:vAlign w:val="center"/>
            <w:hideMark/>
          </w:tcPr>
          <w:p w:rsidR="007A5E16" w:rsidRPr="007A5E16" w:rsidRDefault="007A5E16" w:rsidP="006E45D8">
            <w:pPr>
              <w:spacing w:after="0" w:line="360" w:lineRule="auto"/>
              <w:rPr>
                <w:rFonts w:ascii="Arial" w:eastAsia="Times New Roman" w:hAnsi="Arial" w:cs="Arial"/>
                <w:b/>
                <w:bCs/>
                <w:color w:val="000000"/>
                <w:sz w:val="24"/>
                <w:szCs w:val="24"/>
                <w:lang w:eastAsia="es-CO"/>
              </w:rPr>
            </w:pPr>
            <w:r w:rsidRPr="007A5E16">
              <w:rPr>
                <w:rFonts w:ascii="Arial" w:eastAsia="Times New Roman" w:hAnsi="Arial" w:cs="Arial"/>
                <w:b/>
                <w:bCs/>
                <w:color w:val="000000"/>
                <w:sz w:val="24"/>
                <w:szCs w:val="24"/>
                <w:lang w:eastAsia="es-CO"/>
              </w:rPr>
              <w:t>Resumen Principales Supuesto Macroeconómicos 2017</w:t>
            </w:r>
          </w:p>
        </w:tc>
        <w:tc>
          <w:tcPr>
            <w:tcW w:w="1200" w:type="dxa"/>
            <w:tcBorders>
              <w:top w:val="single" w:sz="8" w:space="0" w:color="auto"/>
              <w:left w:val="nil"/>
              <w:bottom w:val="single" w:sz="4" w:space="0" w:color="auto"/>
              <w:right w:val="single" w:sz="4" w:space="0" w:color="auto"/>
            </w:tcBorders>
            <w:shd w:val="clear" w:color="000000" w:fill="CCC0DA"/>
            <w:noWrap/>
            <w:vAlign w:val="center"/>
            <w:hideMark/>
          </w:tcPr>
          <w:p w:rsidR="007A5E16" w:rsidRPr="007A5E16" w:rsidRDefault="007A5E16" w:rsidP="006E45D8">
            <w:pPr>
              <w:spacing w:after="0" w:line="360" w:lineRule="auto"/>
              <w:jc w:val="center"/>
              <w:rPr>
                <w:rFonts w:ascii="Arial" w:eastAsia="Times New Roman" w:hAnsi="Arial" w:cs="Arial"/>
                <w:b/>
                <w:bCs/>
                <w:color w:val="000000"/>
                <w:sz w:val="24"/>
                <w:szCs w:val="24"/>
                <w:lang w:eastAsia="es-CO"/>
              </w:rPr>
            </w:pPr>
            <w:r w:rsidRPr="007A5E16">
              <w:rPr>
                <w:rFonts w:ascii="Arial" w:eastAsia="Times New Roman" w:hAnsi="Arial" w:cs="Arial"/>
                <w:b/>
                <w:bCs/>
                <w:color w:val="000000"/>
                <w:sz w:val="24"/>
                <w:szCs w:val="24"/>
                <w:lang w:eastAsia="es-CO"/>
              </w:rPr>
              <w:t>2016</w:t>
            </w:r>
          </w:p>
        </w:tc>
        <w:tc>
          <w:tcPr>
            <w:tcW w:w="1200" w:type="dxa"/>
            <w:tcBorders>
              <w:top w:val="single" w:sz="8" w:space="0" w:color="auto"/>
              <w:left w:val="nil"/>
              <w:bottom w:val="single" w:sz="4" w:space="0" w:color="auto"/>
              <w:right w:val="single" w:sz="8" w:space="0" w:color="auto"/>
            </w:tcBorders>
            <w:shd w:val="clear" w:color="000000" w:fill="CCC0DA"/>
            <w:noWrap/>
            <w:vAlign w:val="center"/>
            <w:hideMark/>
          </w:tcPr>
          <w:p w:rsidR="007A5E16" w:rsidRPr="007A5E16" w:rsidRDefault="007A5E16" w:rsidP="006E45D8">
            <w:pPr>
              <w:spacing w:after="0" w:line="360" w:lineRule="auto"/>
              <w:jc w:val="center"/>
              <w:rPr>
                <w:rFonts w:ascii="Arial" w:eastAsia="Times New Roman" w:hAnsi="Arial" w:cs="Arial"/>
                <w:b/>
                <w:bCs/>
                <w:color w:val="000000"/>
                <w:sz w:val="24"/>
                <w:szCs w:val="24"/>
                <w:lang w:eastAsia="es-CO"/>
              </w:rPr>
            </w:pPr>
            <w:r w:rsidRPr="007A5E16">
              <w:rPr>
                <w:rFonts w:ascii="Arial" w:eastAsia="Times New Roman" w:hAnsi="Arial" w:cs="Arial"/>
                <w:b/>
                <w:bCs/>
                <w:color w:val="000000"/>
                <w:sz w:val="24"/>
                <w:szCs w:val="24"/>
                <w:lang w:eastAsia="es-CO"/>
              </w:rPr>
              <w:t>2017p</w:t>
            </w:r>
          </w:p>
        </w:tc>
      </w:tr>
      <w:tr w:rsidR="007A5E16" w:rsidRPr="007A5E16" w:rsidTr="007A5E16">
        <w:trPr>
          <w:trHeight w:val="300"/>
          <w:jc w:val="center"/>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 xml:space="preserve">PIB real (Variación anual, %) </w:t>
            </w:r>
          </w:p>
        </w:tc>
        <w:tc>
          <w:tcPr>
            <w:tcW w:w="1200" w:type="dxa"/>
            <w:tcBorders>
              <w:top w:val="nil"/>
              <w:left w:val="nil"/>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2</w:t>
            </w:r>
          </w:p>
        </w:tc>
        <w:tc>
          <w:tcPr>
            <w:tcW w:w="1200" w:type="dxa"/>
            <w:tcBorders>
              <w:top w:val="nil"/>
              <w:left w:val="nil"/>
              <w:bottom w:val="single" w:sz="4"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2.3</w:t>
            </w:r>
          </w:p>
        </w:tc>
      </w:tr>
      <w:tr w:rsidR="007A5E16" w:rsidRPr="007A5E16" w:rsidTr="007A5E16">
        <w:trPr>
          <w:trHeight w:val="300"/>
          <w:jc w:val="center"/>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 xml:space="preserve">Inflación (Fin de periodo, %)  </w:t>
            </w:r>
          </w:p>
        </w:tc>
        <w:tc>
          <w:tcPr>
            <w:tcW w:w="1200" w:type="dxa"/>
            <w:tcBorders>
              <w:top w:val="nil"/>
              <w:left w:val="nil"/>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5.8</w:t>
            </w:r>
          </w:p>
        </w:tc>
        <w:tc>
          <w:tcPr>
            <w:tcW w:w="1200" w:type="dxa"/>
            <w:tcBorders>
              <w:top w:val="nil"/>
              <w:left w:val="nil"/>
              <w:bottom w:val="single" w:sz="4"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4.1</w:t>
            </w:r>
          </w:p>
        </w:tc>
      </w:tr>
      <w:tr w:rsidR="007A5E16" w:rsidRPr="007A5E16" w:rsidTr="007A5E16">
        <w:trPr>
          <w:trHeight w:val="300"/>
          <w:jc w:val="center"/>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 xml:space="preserve">PIB Nominal($ billones) </w:t>
            </w:r>
          </w:p>
        </w:tc>
        <w:tc>
          <w:tcPr>
            <w:tcW w:w="1200" w:type="dxa"/>
            <w:tcBorders>
              <w:top w:val="nil"/>
              <w:left w:val="nil"/>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862.7</w:t>
            </w:r>
          </w:p>
        </w:tc>
        <w:tc>
          <w:tcPr>
            <w:tcW w:w="1200" w:type="dxa"/>
            <w:tcBorders>
              <w:top w:val="nil"/>
              <w:left w:val="nil"/>
              <w:bottom w:val="single" w:sz="4"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916.9</w:t>
            </w:r>
          </w:p>
        </w:tc>
      </w:tr>
      <w:tr w:rsidR="007A5E16" w:rsidRPr="007A5E16" w:rsidTr="007A5E16">
        <w:trPr>
          <w:trHeight w:val="300"/>
          <w:jc w:val="center"/>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 xml:space="preserve">TRM (promedio periodo) </w:t>
            </w:r>
          </w:p>
        </w:tc>
        <w:tc>
          <w:tcPr>
            <w:tcW w:w="1200" w:type="dxa"/>
            <w:tcBorders>
              <w:top w:val="nil"/>
              <w:left w:val="nil"/>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3,052</w:t>
            </w:r>
          </w:p>
        </w:tc>
        <w:tc>
          <w:tcPr>
            <w:tcW w:w="1200" w:type="dxa"/>
            <w:tcBorders>
              <w:top w:val="nil"/>
              <w:left w:val="nil"/>
              <w:bottom w:val="single" w:sz="4"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2,977</w:t>
            </w:r>
          </w:p>
        </w:tc>
      </w:tr>
      <w:tr w:rsidR="007A5E16" w:rsidRPr="007A5E16" w:rsidTr="007A5E16">
        <w:trPr>
          <w:trHeight w:val="300"/>
          <w:jc w:val="center"/>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 xml:space="preserve">Brent (Precio promedio, USD/barril) </w:t>
            </w:r>
          </w:p>
        </w:tc>
        <w:tc>
          <w:tcPr>
            <w:tcW w:w="1200" w:type="dxa"/>
            <w:tcBorders>
              <w:top w:val="nil"/>
              <w:left w:val="nil"/>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45.1</w:t>
            </w:r>
          </w:p>
        </w:tc>
        <w:tc>
          <w:tcPr>
            <w:tcW w:w="1200" w:type="dxa"/>
            <w:tcBorders>
              <w:top w:val="nil"/>
              <w:left w:val="nil"/>
              <w:bottom w:val="single" w:sz="4"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51</w:t>
            </w:r>
          </w:p>
        </w:tc>
      </w:tr>
      <w:tr w:rsidR="007A5E16" w:rsidRPr="007A5E16" w:rsidTr="007A5E16">
        <w:trPr>
          <w:trHeight w:val="300"/>
          <w:jc w:val="center"/>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 xml:space="preserve">Canasta Colombiana (Precio promedio, USD/barril) </w:t>
            </w:r>
          </w:p>
        </w:tc>
        <w:tc>
          <w:tcPr>
            <w:tcW w:w="1200" w:type="dxa"/>
            <w:tcBorders>
              <w:top w:val="nil"/>
              <w:left w:val="nil"/>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35.7</w:t>
            </w:r>
          </w:p>
        </w:tc>
        <w:tc>
          <w:tcPr>
            <w:tcW w:w="1200" w:type="dxa"/>
            <w:tcBorders>
              <w:top w:val="nil"/>
              <w:left w:val="nil"/>
              <w:bottom w:val="single" w:sz="4"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41.5</w:t>
            </w:r>
          </w:p>
        </w:tc>
      </w:tr>
      <w:tr w:rsidR="007A5E16" w:rsidRPr="007A5E16" w:rsidTr="007A5E16">
        <w:trPr>
          <w:trHeight w:val="300"/>
          <w:jc w:val="center"/>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Producción de petróleo (KBPD)</w:t>
            </w:r>
          </w:p>
        </w:tc>
        <w:tc>
          <w:tcPr>
            <w:tcW w:w="1200" w:type="dxa"/>
            <w:tcBorders>
              <w:top w:val="nil"/>
              <w:left w:val="nil"/>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886</w:t>
            </w:r>
          </w:p>
        </w:tc>
        <w:tc>
          <w:tcPr>
            <w:tcW w:w="1200" w:type="dxa"/>
            <w:tcBorders>
              <w:top w:val="nil"/>
              <w:left w:val="nil"/>
              <w:bottom w:val="single" w:sz="4"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840</w:t>
            </w:r>
          </w:p>
        </w:tc>
      </w:tr>
      <w:tr w:rsidR="007A5E16" w:rsidRPr="007A5E16" w:rsidTr="007A5E16">
        <w:trPr>
          <w:trHeight w:val="300"/>
          <w:jc w:val="center"/>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 xml:space="preserve">Exportaciones FOB (USD, Variación anual, %)  </w:t>
            </w:r>
          </w:p>
        </w:tc>
        <w:tc>
          <w:tcPr>
            <w:tcW w:w="1200" w:type="dxa"/>
            <w:tcBorders>
              <w:top w:val="nil"/>
              <w:left w:val="nil"/>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-13.4</w:t>
            </w:r>
          </w:p>
        </w:tc>
        <w:tc>
          <w:tcPr>
            <w:tcW w:w="1200" w:type="dxa"/>
            <w:tcBorders>
              <w:top w:val="nil"/>
              <w:left w:val="nil"/>
              <w:bottom w:val="single" w:sz="4"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13.9</w:t>
            </w:r>
          </w:p>
        </w:tc>
      </w:tr>
      <w:tr w:rsidR="007A5E16" w:rsidRPr="007A5E16" w:rsidTr="007A5E16">
        <w:trPr>
          <w:trHeight w:val="300"/>
          <w:jc w:val="center"/>
        </w:trPr>
        <w:tc>
          <w:tcPr>
            <w:tcW w:w="5560" w:type="dxa"/>
            <w:tcBorders>
              <w:top w:val="nil"/>
              <w:left w:val="single" w:sz="8" w:space="0" w:color="auto"/>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Importaciones FOB (variación anual, %)</w:t>
            </w:r>
          </w:p>
        </w:tc>
        <w:tc>
          <w:tcPr>
            <w:tcW w:w="1200" w:type="dxa"/>
            <w:tcBorders>
              <w:top w:val="nil"/>
              <w:left w:val="nil"/>
              <w:bottom w:val="single" w:sz="4"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-17</w:t>
            </w:r>
          </w:p>
        </w:tc>
        <w:tc>
          <w:tcPr>
            <w:tcW w:w="1200" w:type="dxa"/>
            <w:tcBorders>
              <w:top w:val="nil"/>
              <w:left w:val="nil"/>
              <w:bottom w:val="single" w:sz="4"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5.9</w:t>
            </w:r>
          </w:p>
        </w:tc>
      </w:tr>
      <w:tr w:rsidR="007A5E16" w:rsidRPr="007A5E16" w:rsidTr="007A5E16">
        <w:trPr>
          <w:trHeight w:val="315"/>
          <w:jc w:val="center"/>
        </w:trPr>
        <w:tc>
          <w:tcPr>
            <w:tcW w:w="5560" w:type="dxa"/>
            <w:tcBorders>
              <w:top w:val="nil"/>
              <w:left w:val="single" w:sz="8" w:space="0" w:color="auto"/>
              <w:bottom w:val="single" w:sz="8" w:space="0" w:color="auto"/>
              <w:right w:val="single" w:sz="4" w:space="0" w:color="auto"/>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Balance Cuenta Corriente (% PIB)</w:t>
            </w:r>
          </w:p>
        </w:tc>
        <w:tc>
          <w:tcPr>
            <w:tcW w:w="1200" w:type="dxa"/>
            <w:tcBorders>
              <w:top w:val="nil"/>
              <w:left w:val="nil"/>
              <w:bottom w:val="single" w:sz="8" w:space="0" w:color="auto"/>
              <w:right w:val="single" w:sz="4"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-4.4</w:t>
            </w:r>
          </w:p>
        </w:tc>
        <w:tc>
          <w:tcPr>
            <w:tcW w:w="1200" w:type="dxa"/>
            <w:tcBorders>
              <w:top w:val="nil"/>
              <w:left w:val="nil"/>
              <w:bottom w:val="single" w:sz="8" w:space="0" w:color="auto"/>
              <w:right w:val="single" w:sz="8" w:space="0" w:color="auto"/>
            </w:tcBorders>
            <w:shd w:val="clear" w:color="auto" w:fill="auto"/>
            <w:noWrap/>
            <w:vAlign w:val="bottom"/>
            <w:hideMark/>
          </w:tcPr>
          <w:p w:rsidR="007A5E16" w:rsidRPr="007A5E16" w:rsidRDefault="007A5E16" w:rsidP="006E45D8">
            <w:pPr>
              <w:spacing w:after="0" w:line="360" w:lineRule="auto"/>
              <w:jc w:val="right"/>
              <w:rPr>
                <w:rFonts w:ascii="Arial" w:eastAsia="Times New Roman" w:hAnsi="Arial" w:cs="Arial"/>
                <w:color w:val="000000"/>
                <w:sz w:val="24"/>
                <w:szCs w:val="24"/>
                <w:lang w:eastAsia="es-CO"/>
              </w:rPr>
            </w:pPr>
            <w:r w:rsidRPr="007A5E16">
              <w:rPr>
                <w:rFonts w:ascii="Arial" w:eastAsia="Times New Roman" w:hAnsi="Arial" w:cs="Arial"/>
                <w:color w:val="000000"/>
                <w:sz w:val="24"/>
                <w:szCs w:val="24"/>
                <w:lang w:eastAsia="es-CO"/>
              </w:rPr>
              <w:t>-3.6</w:t>
            </w:r>
          </w:p>
        </w:tc>
      </w:tr>
      <w:tr w:rsidR="007A5E16" w:rsidRPr="007A5E16" w:rsidTr="007A5E16">
        <w:trPr>
          <w:trHeight w:val="315"/>
          <w:jc w:val="center"/>
        </w:trPr>
        <w:tc>
          <w:tcPr>
            <w:tcW w:w="79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A5E16" w:rsidRPr="007A5E16" w:rsidRDefault="007A5E16" w:rsidP="006E45D8">
            <w:pPr>
              <w:spacing w:after="0" w:line="360" w:lineRule="auto"/>
              <w:rPr>
                <w:rFonts w:ascii="Arial" w:eastAsia="Times New Roman" w:hAnsi="Arial" w:cs="Arial"/>
                <w:b/>
                <w:bCs/>
                <w:color w:val="000000"/>
                <w:sz w:val="24"/>
                <w:szCs w:val="24"/>
                <w:lang w:eastAsia="es-CO"/>
              </w:rPr>
            </w:pPr>
            <w:r w:rsidRPr="007A5E16">
              <w:rPr>
                <w:rFonts w:ascii="Arial" w:eastAsia="Times New Roman" w:hAnsi="Arial" w:cs="Arial"/>
                <w:b/>
                <w:bCs/>
                <w:color w:val="000000"/>
                <w:sz w:val="24"/>
                <w:szCs w:val="24"/>
                <w:lang w:eastAsia="es-CO"/>
              </w:rPr>
              <w:t>DANE y cálculos Ministerio de Hacienda y Crédito Público.</w:t>
            </w:r>
          </w:p>
        </w:tc>
      </w:tr>
    </w:tbl>
    <w:p w:rsidR="009C45CE" w:rsidRDefault="009C45CE" w:rsidP="008A5244">
      <w:pPr>
        <w:spacing w:before="100" w:beforeAutospacing="1" w:after="100" w:afterAutospacing="1" w:line="360" w:lineRule="auto"/>
        <w:jc w:val="both"/>
        <w:rPr>
          <w:rFonts w:ascii="Arial" w:hAnsi="Arial" w:cs="Arial"/>
          <w:color w:val="000000"/>
          <w:sz w:val="24"/>
          <w:lang w:eastAsia="es-CO"/>
        </w:rPr>
      </w:pPr>
    </w:p>
    <w:p w:rsidR="00903552" w:rsidRPr="00217E99" w:rsidRDefault="00217E99" w:rsidP="006E45D8">
      <w:pPr>
        <w:spacing w:line="360" w:lineRule="auto"/>
        <w:jc w:val="both"/>
        <w:rPr>
          <w:rFonts w:ascii="Arial" w:hAnsi="Arial" w:cs="Arial"/>
          <w:b/>
          <w:sz w:val="24"/>
        </w:rPr>
      </w:pPr>
      <w:r w:rsidRPr="00217E99">
        <w:rPr>
          <w:rFonts w:ascii="Arial" w:hAnsi="Arial" w:cs="Arial"/>
          <w:b/>
          <w:color w:val="000000"/>
          <w:sz w:val="24"/>
          <w:lang w:eastAsia="es-CO"/>
        </w:rPr>
        <w:t>Ver Tabla Anexa denominada “BALANCE FINANCIERO DEPARTAMENTO DEL QUINDÍO”</w:t>
      </w:r>
    </w:p>
    <w:p w:rsidR="007763B3" w:rsidRDefault="007763B3" w:rsidP="006E45D8">
      <w:pPr>
        <w:spacing w:line="360" w:lineRule="auto"/>
        <w:rPr>
          <w:rFonts w:ascii="Arial" w:hAnsi="Arial" w:cs="Arial"/>
          <w:b/>
          <w:sz w:val="32"/>
        </w:rPr>
      </w:pPr>
      <w:r>
        <w:rPr>
          <w:rFonts w:ascii="Arial" w:hAnsi="Arial" w:cs="Arial"/>
          <w:b/>
          <w:sz w:val="32"/>
        </w:rPr>
        <w:br w:type="page"/>
      </w:r>
    </w:p>
    <w:p w:rsidR="008D28DA" w:rsidRPr="001E0D65" w:rsidRDefault="008D28DA" w:rsidP="001E0D65">
      <w:pPr>
        <w:pStyle w:val="Ttulo2"/>
        <w:ind w:left="0" w:firstLine="0"/>
      </w:pPr>
      <w:bookmarkStart w:id="38" w:name="_Toc495334920"/>
      <w:r w:rsidRPr="001E0D65">
        <w:lastRenderedPageBreak/>
        <w:t>METAS DE SUPERÁVIT PRIMARIO</w:t>
      </w:r>
      <w:bookmarkEnd w:id="38"/>
    </w:p>
    <w:p w:rsidR="001E0D65" w:rsidRPr="001E0D65" w:rsidRDefault="001E0D65" w:rsidP="001E0D65"/>
    <w:p w:rsidR="009968B5" w:rsidRPr="00BF3D72" w:rsidRDefault="009968B5" w:rsidP="006E45D8">
      <w:pPr>
        <w:spacing w:line="360" w:lineRule="auto"/>
        <w:jc w:val="both"/>
        <w:rPr>
          <w:rFonts w:ascii="Arial" w:hAnsi="Arial" w:cs="Arial"/>
          <w:sz w:val="24"/>
        </w:rPr>
      </w:pPr>
      <w:r w:rsidRPr="00BF3D72">
        <w:rPr>
          <w:rFonts w:ascii="Arial" w:hAnsi="Arial" w:cs="Arial"/>
          <w:sz w:val="24"/>
        </w:rPr>
        <w:t>De conformidad con la ley 819 de 2003 se entiende por Superávit primario es aquel valor positivo que resulta de la diferencia entre la suma de los ingresos corrientes y los recursos de capital, diferentes a desembolsos de crédito y la suma de los gastos de funcionamiento, inversión y gastos de operación comercial.</w:t>
      </w:r>
    </w:p>
    <w:p w:rsidR="009968B5" w:rsidRPr="00BF3D72" w:rsidRDefault="009968B5" w:rsidP="006E45D8">
      <w:pPr>
        <w:spacing w:after="240" w:line="360" w:lineRule="auto"/>
        <w:jc w:val="both"/>
        <w:rPr>
          <w:rFonts w:ascii="Arial" w:hAnsi="Arial" w:cs="Arial"/>
          <w:sz w:val="24"/>
        </w:rPr>
      </w:pPr>
      <w:r w:rsidRPr="00BF3D72">
        <w:rPr>
          <w:rFonts w:ascii="Arial" w:hAnsi="Arial" w:cs="Arial"/>
          <w:sz w:val="24"/>
        </w:rPr>
        <w:t>El Departamento determinó para la vigencia fiscal siguiente, una meta de superávit primario para el sector público no financiero consistente con el programa macroeconómico y metas indicati</w:t>
      </w:r>
      <w:r w:rsidR="00F74F6B">
        <w:rPr>
          <w:rFonts w:ascii="Arial" w:hAnsi="Arial" w:cs="Arial"/>
          <w:sz w:val="24"/>
        </w:rPr>
        <w:t>vas para el superávit primario</w:t>
      </w:r>
      <w:r w:rsidRPr="00BF3D72">
        <w:rPr>
          <w:rFonts w:ascii="Arial" w:hAnsi="Arial" w:cs="Arial"/>
          <w:sz w:val="24"/>
        </w:rPr>
        <w:t xml:space="preserve"> de las 10 (diez) vigencias fiscales siguientes tal cual como se presenta en el cuadro.</w:t>
      </w:r>
    </w:p>
    <w:p w:rsidR="009968B5" w:rsidRPr="00BF3D72" w:rsidRDefault="009968B5" w:rsidP="006E45D8">
      <w:pPr>
        <w:spacing w:after="240" w:line="360" w:lineRule="auto"/>
        <w:jc w:val="both"/>
        <w:rPr>
          <w:rFonts w:ascii="Arial" w:hAnsi="Arial" w:cs="Arial"/>
          <w:sz w:val="24"/>
        </w:rPr>
      </w:pPr>
      <w:r w:rsidRPr="00BF3D72">
        <w:rPr>
          <w:rFonts w:ascii="Arial" w:hAnsi="Arial" w:cs="Arial"/>
          <w:sz w:val="24"/>
        </w:rPr>
        <w:t xml:space="preserve">El superávit primario desde la estructura presupuestal es entendido como el cálculo de: </w:t>
      </w:r>
    </w:p>
    <w:p w:rsidR="009968B5" w:rsidRPr="007E435F" w:rsidRDefault="009968B5" w:rsidP="006E45D8">
      <w:pPr>
        <w:pStyle w:val="Descripcin"/>
        <w:keepNext/>
        <w:spacing w:line="360" w:lineRule="auto"/>
        <w:jc w:val="center"/>
        <w:rPr>
          <w:rFonts w:ascii="Arial" w:hAnsi="Arial" w:cs="Arial"/>
          <w:color w:val="auto"/>
        </w:rPr>
      </w:pPr>
      <w:bookmarkStart w:id="39" w:name="_Toc464053897"/>
      <w:r w:rsidRPr="007E435F">
        <w:rPr>
          <w:rFonts w:ascii="Arial" w:hAnsi="Arial" w:cs="Arial"/>
          <w:color w:val="auto"/>
        </w:rPr>
        <w:t xml:space="preserve">Tabla </w:t>
      </w:r>
      <w:r w:rsidR="000D362A" w:rsidRPr="007E435F">
        <w:rPr>
          <w:rFonts w:ascii="Arial" w:hAnsi="Arial" w:cs="Arial"/>
          <w:color w:val="auto"/>
        </w:rPr>
        <w:fldChar w:fldCharType="begin"/>
      </w:r>
      <w:r w:rsidRPr="007E435F">
        <w:rPr>
          <w:rFonts w:ascii="Arial" w:hAnsi="Arial" w:cs="Arial"/>
          <w:color w:val="auto"/>
        </w:rPr>
        <w:instrText xml:space="preserve"> SEQ Tabla \* ARABIC </w:instrText>
      </w:r>
      <w:r w:rsidR="000D362A" w:rsidRPr="007E435F">
        <w:rPr>
          <w:rFonts w:ascii="Arial" w:hAnsi="Arial" w:cs="Arial"/>
          <w:color w:val="auto"/>
        </w:rPr>
        <w:fldChar w:fldCharType="separate"/>
      </w:r>
      <w:r w:rsidR="00A43F21">
        <w:rPr>
          <w:rFonts w:ascii="Arial" w:hAnsi="Arial" w:cs="Arial"/>
          <w:noProof/>
          <w:color w:val="auto"/>
        </w:rPr>
        <w:t>1</w:t>
      </w:r>
      <w:r w:rsidR="000D362A" w:rsidRPr="007E435F">
        <w:rPr>
          <w:rFonts w:ascii="Arial" w:hAnsi="Arial" w:cs="Arial"/>
          <w:color w:val="auto"/>
        </w:rPr>
        <w:fldChar w:fldCharType="end"/>
      </w:r>
      <w:r w:rsidRPr="007E435F">
        <w:rPr>
          <w:rFonts w:ascii="Arial" w:hAnsi="Arial" w:cs="Arial"/>
          <w:color w:val="auto"/>
        </w:rPr>
        <w:t>. Estructura para cálculo del Superávit Primario</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283"/>
        <w:gridCol w:w="2232"/>
        <w:gridCol w:w="333"/>
        <w:gridCol w:w="1700"/>
      </w:tblGrid>
      <w:tr w:rsidR="009968B5" w:rsidRPr="00203DD8" w:rsidTr="009C45CE">
        <w:trPr>
          <w:trHeight w:val="964"/>
        </w:trPr>
        <w:tc>
          <w:tcPr>
            <w:tcW w:w="0" w:type="auto"/>
            <w:vAlign w:val="center"/>
          </w:tcPr>
          <w:p w:rsidR="009968B5" w:rsidRPr="00203DD8" w:rsidRDefault="009968B5" w:rsidP="009C45CE">
            <w:pPr>
              <w:spacing w:after="240" w:line="240" w:lineRule="auto"/>
              <w:jc w:val="center"/>
              <w:rPr>
                <w:rFonts w:ascii="Arial" w:eastAsia="Times New Roman" w:hAnsi="Arial" w:cs="Arial"/>
                <w:sz w:val="20"/>
                <w:lang w:eastAsia="es-CO"/>
              </w:rPr>
            </w:pPr>
            <w:r w:rsidRPr="00203DD8">
              <w:rPr>
                <w:rFonts w:ascii="Arial" w:eastAsia="Times New Roman" w:hAnsi="Arial" w:cs="Arial"/>
                <w:sz w:val="20"/>
                <w:lang w:eastAsia="es-CO"/>
              </w:rPr>
              <w:t>Ingresos Corrientes</w:t>
            </w:r>
          </w:p>
        </w:tc>
        <w:tc>
          <w:tcPr>
            <w:tcW w:w="0" w:type="auto"/>
            <w:vMerge w:val="restart"/>
            <w:vAlign w:val="center"/>
          </w:tcPr>
          <w:p w:rsidR="009968B5" w:rsidRPr="00203DD8" w:rsidRDefault="009968B5" w:rsidP="009C45CE">
            <w:pPr>
              <w:spacing w:after="240" w:line="240" w:lineRule="auto"/>
              <w:jc w:val="center"/>
              <w:rPr>
                <w:rFonts w:ascii="Arial" w:eastAsia="Times New Roman" w:hAnsi="Arial" w:cs="Arial"/>
                <w:sz w:val="20"/>
                <w:lang w:eastAsia="es-CO"/>
              </w:rPr>
            </w:pPr>
            <w:r w:rsidRPr="00203DD8">
              <w:rPr>
                <w:rFonts w:ascii="Arial" w:eastAsia="Times New Roman" w:hAnsi="Arial" w:cs="Arial"/>
                <w:sz w:val="20"/>
                <w:lang w:eastAsia="es-CO"/>
              </w:rPr>
              <w:t>-</w:t>
            </w:r>
          </w:p>
        </w:tc>
        <w:tc>
          <w:tcPr>
            <w:tcW w:w="0" w:type="auto"/>
            <w:vAlign w:val="center"/>
          </w:tcPr>
          <w:p w:rsidR="009968B5" w:rsidRPr="00203DD8" w:rsidRDefault="009968B5" w:rsidP="009C45CE">
            <w:pPr>
              <w:spacing w:after="240" w:line="240" w:lineRule="auto"/>
              <w:jc w:val="center"/>
              <w:rPr>
                <w:rFonts w:ascii="Arial" w:eastAsia="Times New Roman" w:hAnsi="Arial" w:cs="Arial"/>
                <w:sz w:val="20"/>
                <w:lang w:eastAsia="es-CO"/>
              </w:rPr>
            </w:pPr>
            <w:r w:rsidRPr="00203DD8">
              <w:rPr>
                <w:rFonts w:ascii="Arial" w:eastAsia="Times New Roman" w:hAnsi="Arial" w:cs="Arial"/>
                <w:sz w:val="20"/>
                <w:lang w:eastAsia="es-CO"/>
              </w:rPr>
              <w:t>Gastos de funcionamiento</w:t>
            </w:r>
          </w:p>
        </w:tc>
        <w:tc>
          <w:tcPr>
            <w:tcW w:w="0" w:type="auto"/>
            <w:vMerge w:val="restart"/>
            <w:vAlign w:val="center"/>
          </w:tcPr>
          <w:p w:rsidR="009968B5" w:rsidRPr="00203DD8" w:rsidRDefault="009968B5" w:rsidP="006E45D8">
            <w:pPr>
              <w:spacing w:after="240" w:line="360" w:lineRule="auto"/>
              <w:jc w:val="center"/>
              <w:rPr>
                <w:rFonts w:ascii="Arial" w:eastAsia="Times New Roman" w:hAnsi="Arial" w:cs="Arial"/>
                <w:sz w:val="20"/>
                <w:lang w:eastAsia="es-CO"/>
              </w:rPr>
            </w:pPr>
            <w:r w:rsidRPr="00203DD8">
              <w:rPr>
                <w:rFonts w:ascii="Arial" w:eastAsia="Times New Roman" w:hAnsi="Arial" w:cs="Arial"/>
                <w:sz w:val="20"/>
                <w:lang w:eastAsia="es-CO"/>
              </w:rPr>
              <w:t>=</w:t>
            </w:r>
          </w:p>
        </w:tc>
        <w:tc>
          <w:tcPr>
            <w:tcW w:w="0" w:type="auto"/>
            <w:vMerge w:val="restart"/>
            <w:vAlign w:val="center"/>
          </w:tcPr>
          <w:p w:rsidR="009968B5" w:rsidRPr="00203DD8" w:rsidRDefault="009968B5" w:rsidP="006E45D8">
            <w:pPr>
              <w:spacing w:after="240" w:line="360" w:lineRule="auto"/>
              <w:jc w:val="center"/>
              <w:rPr>
                <w:rFonts w:ascii="Arial" w:eastAsia="Times New Roman" w:hAnsi="Arial" w:cs="Arial"/>
                <w:sz w:val="20"/>
                <w:lang w:eastAsia="es-CO"/>
              </w:rPr>
            </w:pPr>
            <w:r w:rsidRPr="00203DD8">
              <w:rPr>
                <w:rFonts w:ascii="Arial" w:eastAsia="Times New Roman" w:hAnsi="Arial" w:cs="Arial"/>
                <w:sz w:val="20"/>
                <w:lang w:eastAsia="es-CO"/>
              </w:rPr>
              <w:t>Meta de Superávit primario</w:t>
            </w:r>
          </w:p>
        </w:tc>
      </w:tr>
      <w:tr w:rsidR="009968B5" w:rsidRPr="00203DD8" w:rsidTr="00F77E98">
        <w:tc>
          <w:tcPr>
            <w:tcW w:w="0" w:type="auto"/>
            <w:vMerge w:val="restart"/>
            <w:vAlign w:val="center"/>
          </w:tcPr>
          <w:p w:rsidR="009968B5" w:rsidRPr="00203DD8" w:rsidRDefault="009968B5" w:rsidP="009C45CE">
            <w:pPr>
              <w:spacing w:after="240" w:line="240" w:lineRule="auto"/>
              <w:jc w:val="center"/>
              <w:rPr>
                <w:rFonts w:ascii="Arial" w:eastAsia="Times New Roman" w:hAnsi="Arial" w:cs="Arial"/>
                <w:sz w:val="20"/>
                <w:lang w:eastAsia="es-CO"/>
              </w:rPr>
            </w:pPr>
            <w:r w:rsidRPr="00203DD8">
              <w:rPr>
                <w:rFonts w:ascii="Arial" w:eastAsia="Times New Roman" w:hAnsi="Arial" w:cs="Arial"/>
                <w:sz w:val="20"/>
                <w:lang w:eastAsia="es-CO"/>
              </w:rPr>
              <w:t>+ Recursos de Capital (- Desembolsos de Crédito, Privatizaciones, y/o capitalizaciones)</w:t>
            </w:r>
          </w:p>
        </w:tc>
        <w:tc>
          <w:tcPr>
            <w:tcW w:w="0" w:type="auto"/>
            <w:vMerge/>
            <w:vAlign w:val="center"/>
          </w:tcPr>
          <w:p w:rsidR="009968B5" w:rsidRPr="00203DD8" w:rsidRDefault="009968B5" w:rsidP="009C45CE">
            <w:pPr>
              <w:spacing w:after="240" w:line="240" w:lineRule="auto"/>
              <w:jc w:val="center"/>
              <w:rPr>
                <w:rFonts w:ascii="Arial" w:eastAsia="Times New Roman" w:hAnsi="Arial" w:cs="Arial"/>
                <w:sz w:val="20"/>
                <w:lang w:eastAsia="es-CO"/>
              </w:rPr>
            </w:pPr>
          </w:p>
        </w:tc>
        <w:tc>
          <w:tcPr>
            <w:tcW w:w="0" w:type="auto"/>
            <w:vAlign w:val="center"/>
          </w:tcPr>
          <w:p w:rsidR="009968B5" w:rsidRPr="00203DD8" w:rsidRDefault="009968B5" w:rsidP="009C45CE">
            <w:pPr>
              <w:spacing w:after="240" w:line="240" w:lineRule="auto"/>
              <w:jc w:val="center"/>
              <w:rPr>
                <w:rFonts w:ascii="Arial" w:eastAsia="Times New Roman" w:hAnsi="Arial" w:cs="Arial"/>
                <w:sz w:val="20"/>
                <w:lang w:eastAsia="es-CO"/>
              </w:rPr>
            </w:pPr>
            <w:r w:rsidRPr="00203DD8">
              <w:rPr>
                <w:rFonts w:ascii="Arial" w:eastAsia="Times New Roman" w:hAnsi="Arial" w:cs="Arial"/>
                <w:sz w:val="20"/>
                <w:lang w:eastAsia="es-CO"/>
              </w:rPr>
              <w:t>+Gastos De inversión</w:t>
            </w:r>
          </w:p>
        </w:tc>
        <w:tc>
          <w:tcPr>
            <w:tcW w:w="0" w:type="auto"/>
            <w:vMerge/>
            <w:vAlign w:val="center"/>
          </w:tcPr>
          <w:p w:rsidR="009968B5" w:rsidRPr="00203DD8" w:rsidRDefault="009968B5" w:rsidP="006E45D8">
            <w:pPr>
              <w:spacing w:after="240" w:line="360" w:lineRule="auto"/>
              <w:jc w:val="center"/>
              <w:rPr>
                <w:rFonts w:ascii="Arial" w:eastAsia="Times New Roman" w:hAnsi="Arial" w:cs="Arial"/>
                <w:sz w:val="20"/>
                <w:lang w:eastAsia="es-CO"/>
              </w:rPr>
            </w:pPr>
          </w:p>
        </w:tc>
        <w:tc>
          <w:tcPr>
            <w:tcW w:w="0" w:type="auto"/>
            <w:vMerge/>
            <w:vAlign w:val="center"/>
          </w:tcPr>
          <w:p w:rsidR="009968B5" w:rsidRPr="00203DD8" w:rsidRDefault="009968B5" w:rsidP="006E45D8">
            <w:pPr>
              <w:spacing w:after="240" w:line="360" w:lineRule="auto"/>
              <w:jc w:val="center"/>
              <w:rPr>
                <w:rFonts w:ascii="Arial" w:eastAsia="Times New Roman" w:hAnsi="Arial" w:cs="Arial"/>
                <w:sz w:val="20"/>
                <w:lang w:eastAsia="es-CO"/>
              </w:rPr>
            </w:pPr>
          </w:p>
        </w:tc>
      </w:tr>
      <w:tr w:rsidR="009968B5" w:rsidRPr="00203DD8" w:rsidTr="00F77E98">
        <w:trPr>
          <w:trHeight w:val="556"/>
        </w:trPr>
        <w:tc>
          <w:tcPr>
            <w:tcW w:w="0" w:type="auto"/>
            <w:vMerge/>
            <w:vAlign w:val="center"/>
          </w:tcPr>
          <w:p w:rsidR="009968B5" w:rsidRPr="00203DD8" w:rsidRDefault="009968B5" w:rsidP="009C45CE">
            <w:pPr>
              <w:spacing w:after="240" w:line="240" w:lineRule="auto"/>
              <w:jc w:val="center"/>
              <w:rPr>
                <w:rFonts w:ascii="Arial" w:eastAsia="Times New Roman" w:hAnsi="Arial" w:cs="Arial"/>
                <w:sz w:val="20"/>
                <w:lang w:eastAsia="es-CO"/>
              </w:rPr>
            </w:pPr>
          </w:p>
        </w:tc>
        <w:tc>
          <w:tcPr>
            <w:tcW w:w="0" w:type="auto"/>
            <w:vMerge/>
            <w:vAlign w:val="center"/>
          </w:tcPr>
          <w:p w:rsidR="009968B5" w:rsidRPr="00203DD8" w:rsidRDefault="009968B5" w:rsidP="009C45CE">
            <w:pPr>
              <w:spacing w:after="240" w:line="240" w:lineRule="auto"/>
              <w:jc w:val="center"/>
              <w:rPr>
                <w:rFonts w:ascii="Arial" w:eastAsia="Times New Roman" w:hAnsi="Arial" w:cs="Arial"/>
                <w:sz w:val="20"/>
                <w:lang w:eastAsia="es-CO"/>
              </w:rPr>
            </w:pPr>
          </w:p>
        </w:tc>
        <w:tc>
          <w:tcPr>
            <w:tcW w:w="0" w:type="auto"/>
            <w:vAlign w:val="center"/>
          </w:tcPr>
          <w:p w:rsidR="009968B5" w:rsidRPr="00203DD8" w:rsidRDefault="009968B5" w:rsidP="009C45CE">
            <w:pPr>
              <w:spacing w:after="240" w:line="240" w:lineRule="auto"/>
              <w:jc w:val="center"/>
              <w:rPr>
                <w:rFonts w:ascii="Arial" w:eastAsia="Times New Roman" w:hAnsi="Arial" w:cs="Arial"/>
                <w:sz w:val="20"/>
                <w:lang w:eastAsia="es-CO"/>
              </w:rPr>
            </w:pPr>
            <w:r w:rsidRPr="00203DD8">
              <w:rPr>
                <w:rFonts w:ascii="Arial" w:eastAsia="Times New Roman" w:hAnsi="Arial" w:cs="Arial"/>
                <w:sz w:val="20"/>
                <w:lang w:eastAsia="es-CO"/>
              </w:rPr>
              <w:t>+Gastos de Operación Comercial</w:t>
            </w:r>
          </w:p>
        </w:tc>
        <w:tc>
          <w:tcPr>
            <w:tcW w:w="0" w:type="auto"/>
            <w:vMerge/>
            <w:vAlign w:val="center"/>
          </w:tcPr>
          <w:p w:rsidR="009968B5" w:rsidRPr="00203DD8" w:rsidRDefault="009968B5" w:rsidP="006E45D8">
            <w:pPr>
              <w:spacing w:after="240" w:line="360" w:lineRule="auto"/>
              <w:jc w:val="center"/>
              <w:rPr>
                <w:rFonts w:ascii="Arial" w:eastAsia="Times New Roman" w:hAnsi="Arial" w:cs="Arial"/>
                <w:sz w:val="20"/>
                <w:lang w:eastAsia="es-CO"/>
              </w:rPr>
            </w:pPr>
          </w:p>
        </w:tc>
        <w:tc>
          <w:tcPr>
            <w:tcW w:w="0" w:type="auto"/>
            <w:vMerge/>
            <w:vAlign w:val="center"/>
          </w:tcPr>
          <w:p w:rsidR="009968B5" w:rsidRPr="00203DD8" w:rsidRDefault="009968B5" w:rsidP="006E45D8">
            <w:pPr>
              <w:spacing w:after="240" w:line="360" w:lineRule="auto"/>
              <w:jc w:val="center"/>
              <w:rPr>
                <w:rFonts w:ascii="Arial" w:eastAsia="Times New Roman" w:hAnsi="Arial" w:cs="Arial"/>
                <w:sz w:val="20"/>
                <w:lang w:eastAsia="es-CO"/>
              </w:rPr>
            </w:pPr>
          </w:p>
        </w:tc>
      </w:tr>
      <w:tr w:rsidR="009968B5" w:rsidRPr="00203DD8" w:rsidTr="00F77E98">
        <w:trPr>
          <w:trHeight w:val="242"/>
        </w:trPr>
        <w:tc>
          <w:tcPr>
            <w:tcW w:w="0" w:type="auto"/>
            <w:vAlign w:val="center"/>
          </w:tcPr>
          <w:p w:rsidR="009968B5" w:rsidRPr="00203DD8" w:rsidRDefault="009968B5" w:rsidP="009C45CE">
            <w:pPr>
              <w:spacing w:after="240" w:line="240" w:lineRule="auto"/>
              <w:jc w:val="center"/>
              <w:rPr>
                <w:rFonts w:ascii="Arial" w:eastAsia="Times New Roman" w:hAnsi="Arial" w:cs="Arial"/>
                <w:sz w:val="20"/>
                <w:lang w:eastAsia="es-CO"/>
              </w:rPr>
            </w:pPr>
            <w:r w:rsidRPr="00203DD8">
              <w:rPr>
                <w:rFonts w:ascii="Arial" w:eastAsia="Times New Roman" w:hAnsi="Arial" w:cs="Arial"/>
                <w:sz w:val="20"/>
                <w:lang w:eastAsia="es-CO"/>
              </w:rPr>
              <w:t>Total Ingresos</w:t>
            </w:r>
          </w:p>
        </w:tc>
        <w:tc>
          <w:tcPr>
            <w:tcW w:w="0" w:type="auto"/>
            <w:vMerge/>
            <w:vAlign w:val="center"/>
          </w:tcPr>
          <w:p w:rsidR="009968B5" w:rsidRPr="00203DD8" w:rsidRDefault="009968B5" w:rsidP="009C45CE">
            <w:pPr>
              <w:spacing w:after="240" w:line="240" w:lineRule="auto"/>
              <w:jc w:val="center"/>
              <w:rPr>
                <w:rFonts w:ascii="Arial" w:eastAsia="Times New Roman" w:hAnsi="Arial" w:cs="Arial"/>
                <w:sz w:val="20"/>
                <w:lang w:eastAsia="es-CO"/>
              </w:rPr>
            </w:pPr>
          </w:p>
        </w:tc>
        <w:tc>
          <w:tcPr>
            <w:tcW w:w="0" w:type="auto"/>
            <w:vAlign w:val="center"/>
          </w:tcPr>
          <w:p w:rsidR="009968B5" w:rsidRPr="00203DD8" w:rsidRDefault="009968B5" w:rsidP="009C45CE">
            <w:pPr>
              <w:spacing w:after="240" w:line="240" w:lineRule="auto"/>
              <w:jc w:val="center"/>
              <w:rPr>
                <w:rFonts w:ascii="Arial" w:eastAsia="Times New Roman" w:hAnsi="Arial" w:cs="Arial"/>
                <w:sz w:val="20"/>
                <w:lang w:eastAsia="es-CO"/>
              </w:rPr>
            </w:pPr>
            <w:r w:rsidRPr="00203DD8">
              <w:rPr>
                <w:rFonts w:ascii="Arial" w:eastAsia="Times New Roman" w:hAnsi="Arial" w:cs="Arial"/>
                <w:sz w:val="20"/>
                <w:lang w:eastAsia="es-CO"/>
              </w:rPr>
              <w:t>Total Gastos</w:t>
            </w:r>
          </w:p>
        </w:tc>
        <w:tc>
          <w:tcPr>
            <w:tcW w:w="0" w:type="auto"/>
            <w:vMerge/>
            <w:vAlign w:val="center"/>
          </w:tcPr>
          <w:p w:rsidR="009968B5" w:rsidRPr="00203DD8" w:rsidRDefault="009968B5" w:rsidP="006E45D8">
            <w:pPr>
              <w:spacing w:after="240" w:line="360" w:lineRule="auto"/>
              <w:jc w:val="center"/>
              <w:rPr>
                <w:rFonts w:ascii="Arial" w:eastAsia="Times New Roman" w:hAnsi="Arial" w:cs="Arial"/>
                <w:sz w:val="20"/>
                <w:lang w:eastAsia="es-CO"/>
              </w:rPr>
            </w:pPr>
          </w:p>
        </w:tc>
        <w:tc>
          <w:tcPr>
            <w:tcW w:w="0" w:type="auto"/>
            <w:vMerge/>
            <w:vAlign w:val="center"/>
          </w:tcPr>
          <w:p w:rsidR="009968B5" w:rsidRPr="00203DD8" w:rsidRDefault="009968B5" w:rsidP="006E45D8">
            <w:pPr>
              <w:spacing w:after="240" w:line="360" w:lineRule="auto"/>
              <w:jc w:val="center"/>
              <w:rPr>
                <w:rFonts w:ascii="Arial" w:eastAsia="Times New Roman" w:hAnsi="Arial" w:cs="Arial"/>
                <w:sz w:val="20"/>
                <w:lang w:eastAsia="es-CO"/>
              </w:rPr>
            </w:pPr>
          </w:p>
        </w:tc>
      </w:tr>
    </w:tbl>
    <w:p w:rsidR="009968B5" w:rsidRPr="00203DD8" w:rsidRDefault="009968B5" w:rsidP="006E45D8">
      <w:pPr>
        <w:spacing w:after="240" w:line="360" w:lineRule="auto"/>
        <w:jc w:val="both"/>
        <w:rPr>
          <w:rFonts w:ascii="Arial" w:hAnsi="Arial" w:cs="Arial"/>
        </w:rPr>
      </w:pPr>
    </w:p>
    <w:p w:rsidR="008D28DA" w:rsidRDefault="00217E99" w:rsidP="00217E99">
      <w:pPr>
        <w:spacing w:after="240" w:line="360" w:lineRule="auto"/>
        <w:jc w:val="both"/>
      </w:pPr>
      <w:r>
        <w:rPr>
          <w:rFonts w:ascii="Arial" w:hAnsi="Arial" w:cs="Arial"/>
          <w:sz w:val="24"/>
        </w:rPr>
        <w:t xml:space="preserve">En la Tabla anexa denominada </w:t>
      </w:r>
      <w:r w:rsidRPr="00217E99">
        <w:rPr>
          <w:rFonts w:ascii="Arial" w:hAnsi="Arial" w:cs="Arial"/>
          <w:b/>
          <w:sz w:val="24"/>
        </w:rPr>
        <w:t>“METAS DE SUPERÁVIT PRIMARIO DEPARTAMENTO DEL QUINDIO</w:t>
      </w:r>
      <w:r>
        <w:rPr>
          <w:rFonts w:ascii="Arial" w:hAnsi="Arial" w:cs="Arial"/>
          <w:sz w:val="24"/>
        </w:rPr>
        <w:t>”</w:t>
      </w:r>
      <w:r w:rsidR="009968B5" w:rsidRPr="00BF3D72">
        <w:rPr>
          <w:rFonts w:ascii="Arial" w:hAnsi="Arial" w:cs="Arial"/>
          <w:sz w:val="24"/>
        </w:rPr>
        <w:t xml:space="preserve"> se presenta la proyección del superávit primario teniendo en cuenta la es</w:t>
      </w:r>
      <w:r>
        <w:rPr>
          <w:rFonts w:ascii="Arial" w:hAnsi="Arial" w:cs="Arial"/>
          <w:sz w:val="24"/>
        </w:rPr>
        <w:t>tructura descrita anteriormente.</w:t>
      </w:r>
    </w:p>
    <w:p w:rsidR="00DC2867" w:rsidRDefault="00DC2867" w:rsidP="00DC2867"/>
    <w:p w:rsidR="00DC2867" w:rsidRDefault="00DC2867" w:rsidP="00DC2867"/>
    <w:p w:rsidR="00DC2867" w:rsidRDefault="00DC2867" w:rsidP="00DC2867"/>
    <w:p w:rsidR="00DC2867" w:rsidRDefault="00DC2867" w:rsidP="00DC2867"/>
    <w:p w:rsidR="00DC2867" w:rsidRPr="00DC2867" w:rsidRDefault="00DC2867" w:rsidP="00DC2867"/>
    <w:p w:rsidR="00D8155C" w:rsidRDefault="001E0D65" w:rsidP="001E0D65">
      <w:pPr>
        <w:pStyle w:val="Ttulo2"/>
        <w:numPr>
          <w:ilvl w:val="0"/>
          <w:numId w:val="0"/>
        </w:numPr>
        <w:jc w:val="both"/>
      </w:pPr>
      <w:bookmarkStart w:id="40" w:name="_Toc464053786"/>
      <w:bookmarkStart w:id="41" w:name="_Toc495334921"/>
      <w:r>
        <w:lastRenderedPageBreak/>
        <w:t xml:space="preserve">5.2 </w:t>
      </w:r>
      <w:r w:rsidR="009968B5" w:rsidRPr="00BF3D72">
        <w:t>NIVEL DE DEUDA PÚBLICA Y ANÁLISIS DE SU SOSTENIBILIDAD</w:t>
      </w:r>
      <w:bookmarkEnd w:id="40"/>
      <w:bookmarkEnd w:id="41"/>
    </w:p>
    <w:p w:rsidR="00D8155C" w:rsidRDefault="00D8155C" w:rsidP="00CB64B6">
      <w:pPr>
        <w:pStyle w:val="Ttulo3"/>
      </w:pPr>
    </w:p>
    <w:p w:rsidR="00CB64B6" w:rsidRDefault="00CB64B6" w:rsidP="00CB64B6">
      <w:pPr>
        <w:pStyle w:val="Ttulo3"/>
        <w:numPr>
          <w:ilvl w:val="2"/>
          <w:numId w:val="2"/>
        </w:numPr>
        <w:rPr>
          <w:rFonts w:eastAsia="Times New Roman"/>
          <w:szCs w:val="24"/>
          <w:lang w:eastAsia="es-ES"/>
        </w:rPr>
      </w:pPr>
      <w:bookmarkStart w:id="42" w:name="_Toc495334922"/>
      <w:r>
        <w:rPr>
          <w:rFonts w:eastAsia="Times New Roman"/>
          <w:szCs w:val="24"/>
          <w:lang w:eastAsia="es-ES"/>
        </w:rPr>
        <w:t xml:space="preserve">Cuadro </w:t>
      </w:r>
      <w:r w:rsidRPr="00106C81">
        <w:rPr>
          <w:rFonts w:eastAsia="Times New Roman"/>
          <w:szCs w:val="24"/>
          <w:lang w:eastAsia="es-ES"/>
        </w:rPr>
        <w:t xml:space="preserve">Saldo </w:t>
      </w:r>
      <w:r>
        <w:rPr>
          <w:rFonts w:eastAsia="Times New Roman"/>
          <w:szCs w:val="24"/>
          <w:lang w:eastAsia="es-ES"/>
        </w:rPr>
        <w:t>y</w:t>
      </w:r>
      <w:r w:rsidRPr="00106C81">
        <w:rPr>
          <w:rFonts w:eastAsia="Times New Roman"/>
          <w:szCs w:val="24"/>
          <w:lang w:eastAsia="es-ES"/>
        </w:rPr>
        <w:t xml:space="preserve"> Composició</w:t>
      </w:r>
      <w:r>
        <w:rPr>
          <w:rFonts w:eastAsia="Times New Roman"/>
          <w:szCs w:val="24"/>
          <w:lang w:eastAsia="es-ES"/>
        </w:rPr>
        <w:t>n de la Deuda, diciembre 31 /</w:t>
      </w:r>
      <w:r w:rsidRPr="00106C81">
        <w:rPr>
          <w:rFonts w:eastAsia="Times New Roman"/>
          <w:szCs w:val="24"/>
          <w:lang w:eastAsia="es-ES"/>
        </w:rPr>
        <w:t>2016</w:t>
      </w:r>
      <w:bookmarkEnd w:id="42"/>
    </w:p>
    <w:p w:rsidR="00CB64B6" w:rsidRPr="00CB64B6" w:rsidRDefault="00CB64B6" w:rsidP="00CB64B6">
      <w:pPr>
        <w:pStyle w:val="Prrafodelista"/>
        <w:ind w:left="1080"/>
        <w:jc w:val="left"/>
        <w:rPr>
          <w:lang w:val="es-CO" w:eastAsia="es-ES"/>
        </w:rPr>
      </w:pPr>
    </w:p>
    <w:p w:rsidR="00CB64B6" w:rsidRPr="00B6380F" w:rsidRDefault="00CB64B6" w:rsidP="00CB64B6">
      <w:pPr>
        <w:pStyle w:val="Prrafodelista"/>
        <w:tabs>
          <w:tab w:val="left" w:pos="284"/>
        </w:tabs>
        <w:spacing w:line="360" w:lineRule="auto"/>
        <w:ind w:left="0"/>
        <w:rPr>
          <w:rFonts w:ascii="Arial" w:eastAsia="Times New Roman" w:hAnsi="Arial"/>
          <w:b/>
          <w:sz w:val="24"/>
          <w:szCs w:val="24"/>
          <w:lang w:val="es-CO" w:eastAsia="es-ES"/>
        </w:rPr>
      </w:pPr>
      <w:r w:rsidRPr="00081BA6">
        <w:rPr>
          <w:noProof/>
          <w:lang w:val="es-CO" w:eastAsia="es-CO"/>
        </w:rPr>
        <w:drawing>
          <wp:inline distT="0" distB="0" distL="0" distR="0" wp14:anchorId="0C404C92" wp14:editId="19C64559">
            <wp:extent cx="5120640" cy="1558281"/>
            <wp:effectExtent l="0" t="0" r="381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20670" cy="1558290"/>
                    </a:xfrm>
                    <a:prstGeom prst="rect">
                      <a:avLst/>
                    </a:prstGeom>
                    <a:noFill/>
                    <a:ln>
                      <a:noFill/>
                    </a:ln>
                  </pic:spPr>
                </pic:pic>
              </a:graphicData>
            </a:graphic>
          </wp:inline>
        </w:drawing>
      </w:r>
    </w:p>
    <w:p w:rsidR="00CB64B6" w:rsidRDefault="00CB64B6" w:rsidP="00CB64B6">
      <w:pPr>
        <w:pStyle w:val="Prrafodelista"/>
        <w:tabs>
          <w:tab w:val="left" w:pos="284"/>
        </w:tabs>
        <w:spacing w:line="360" w:lineRule="auto"/>
        <w:ind w:left="0"/>
        <w:jc w:val="both"/>
        <w:rPr>
          <w:rFonts w:ascii="Arial" w:eastAsia="Times New Roman" w:hAnsi="Arial"/>
          <w:sz w:val="24"/>
          <w:szCs w:val="24"/>
          <w:lang w:eastAsia="es-ES"/>
        </w:rPr>
      </w:pPr>
      <w:r>
        <w:rPr>
          <w:rFonts w:ascii="Arial" w:eastAsia="Times New Roman" w:hAnsi="Arial"/>
          <w:sz w:val="24"/>
          <w:szCs w:val="24"/>
          <w:lang w:eastAsia="es-ES"/>
        </w:rPr>
        <w:t>De acuerdo al informe de Viabilidad Fiscal de los Departamentos 2016 de la DAF, a 31 de Diciembre de 2016 el saldo de la deuda fue de $41.200millones, se redujo 7% con respecto a 2015 y 89% se encontraba contratada con la banca comercial. Durante el 2016 el Departamento termino de pagar el crédito suscrito con el Banco de Bogotá, inicialmente por $6.800millones para el sector deporte ya que realizó la correspondiente conciliación y depuración del saldo adecuado ($26millones) quedando con 6 créditos cuyo servicio de la deuda se financia con sobretasa al ACPM, impuesto al consumo de licores y cerveza.</w:t>
      </w:r>
    </w:p>
    <w:p w:rsidR="00CB64B6" w:rsidRDefault="00CB64B6" w:rsidP="00CB64B6">
      <w:pPr>
        <w:pStyle w:val="Prrafodelista"/>
        <w:tabs>
          <w:tab w:val="left" w:pos="284"/>
        </w:tabs>
        <w:spacing w:line="360" w:lineRule="auto"/>
        <w:ind w:left="0"/>
        <w:jc w:val="both"/>
        <w:rPr>
          <w:rFonts w:ascii="Arial" w:eastAsia="Times New Roman" w:hAnsi="Arial"/>
          <w:sz w:val="24"/>
          <w:szCs w:val="24"/>
          <w:lang w:eastAsia="es-ES"/>
        </w:rPr>
      </w:pPr>
    </w:p>
    <w:p w:rsidR="00CB64B6" w:rsidRPr="00CB64B6" w:rsidRDefault="00CB64B6" w:rsidP="00CB64B6">
      <w:pPr>
        <w:pStyle w:val="Ttulo3"/>
      </w:pPr>
      <w:bookmarkStart w:id="43" w:name="_Toc495334923"/>
      <w:r w:rsidRPr="00CB64B6">
        <w:t xml:space="preserve">5.2.2. Capacidad </w:t>
      </w:r>
      <w:r>
        <w:t>d</w:t>
      </w:r>
      <w:r w:rsidRPr="00CB64B6">
        <w:t>e Endeudamiento (Ley 358 De 1997)</w:t>
      </w:r>
      <w:bookmarkEnd w:id="43"/>
    </w:p>
    <w:p w:rsidR="00CB64B6" w:rsidRDefault="00CB64B6" w:rsidP="006E45D8">
      <w:pPr>
        <w:spacing w:line="360" w:lineRule="auto"/>
        <w:jc w:val="both"/>
        <w:rPr>
          <w:rFonts w:ascii="Arial" w:hAnsi="Arial" w:cs="Arial"/>
          <w:sz w:val="24"/>
        </w:rPr>
      </w:pPr>
    </w:p>
    <w:p w:rsidR="009968B5" w:rsidRPr="00BF3D72" w:rsidRDefault="009968B5" w:rsidP="006E45D8">
      <w:pPr>
        <w:spacing w:line="360" w:lineRule="auto"/>
        <w:jc w:val="both"/>
        <w:rPr>
          <w:rFonts w:ascii="Arial" w:hAnsi="Arial" w:cs="Arial"/>
          <w:sz w:val="24"/>
        </w:rPr>
      </w:pPr>
      <w:r w:rsidRPr="00BF3D72">
        <w:rPr>
          <w:rFonts w:ascii="Arial" w:hAnsi="Arial" w:cs="Arial"/>
          <w:sz w:val="24"/>
        </w:rPr>
        <w:t>En concorda</w:t>
      </w:r>
      <w:r w:rsidR="0003158B">
        <w:rPr>
          <w:rFonts w:ascii="Arial" w:hAnsi="Arial" w:cs="Arial"/>
          <w:sz w:val="24"/>
        </w:rPr>
        <w:t>ncia con el artículo 354 de la C</w:t>
      </w:r>
      <w:r w:rsidRPr="00BF3D72">
        <w:rPr>
          <w:rFonts w:ascii="Arial" w:hAnsi="Arial" w:cs="Arial"/>
          <w:sz w:val="24"/>
        </w:rPr>
        <w:t xml:space="preserve">onstitución </w:t>
      </w:r>
      <w:r w:rsidR="0003158B">
        <w:rPr>
          <w:rFonts w:ascii="Arial" w:hAnsi="Arial" w:cs="Arial"/>
          <w:sz w:val="24"/>
        </w:rPr>
        <w:t>P</w:t>
      </w:r>
      <w:r w:rsidRPr="00BF3D72">
        <w:rPr>
          <w:rFonts w:ascii="Arial" w:hAnsi="Arial" w:cs="Arial"/>
          <w:sz w:val="24"/>
        </w:rPr>
        <w:t xml:space="preserve">olítica, el endeudamiento de las entidades territoriales, no podrá exceder su capacidad de pago. </w:t>
      </w:r>
      <w:r w:rsidR="00AF36F7">
        <w:rPr>
          <w:rFonts w:ascii="Arial" w:hAnsi="Arial" w:cs="Arial"/>
          <w:sz w:val="24"/>
        </w:rPr>
        <w:t xml:space="preserve"> </w:t>
      </w:r>
      <w:r w:rsidRPr="00BF3D72">
        <w:rPr>
          <w:rFonts w:ascii="Arial" w:hAnsi="Arial" w:cs="Arial"/>
          <w:sz w:val="24"/>
        </w:rPr>
        <w:t>Para efectos de la ley 358 de 1997 se entiende por capacidad de pago, el flujo mínimo de ahorro operacional que permite efectuar cumplidamente el servicio de la deuda, además cuando los intereses de la deuda al momento de celebrar una nueva operación de crédito, no superan el 40% del ahorro operacional.</w:t>
      </w:r>
    </w:p>
    <w:p w:rsidR="009968B5" w:rsidRPr="00BF3D72" w:rsidRDefault="009968B5" w:rsidP="006E45D8">
      <w:pPr>
        <w:spacing w:line="360" w:lineRule="auto"/>
        <w:jc w:val="both"/>
        <w:rPr>
          <w:rFonts w:ascii="Arial" w:hAnsi="Arial" w:cs="Arial"/>
          <w:sz w:val="24"/>
        </w:rPr>
      </w:pPr>
      <w:r w:rsidRPr="00BF3D72">
        <w:rPr>
          <w:rFonts w:ascii="Arial" w:hAnsi="Arial" w:cs="Arial"/>
          <w:sz w:val="24"/>
        </w:rPr>
        <w:lastRenderedPageBreak/>
        <w:t>El ahorro operacional es el resultado de restar los ingresos corrientes, los gastos de funcionamiento y las transferencias pagadas por el Departamento y los Intereses de la deuda son entendidos como los intereses pagados durante la vigencia más los causados, incluidos los del nuevo crédito.</w:t>
      </w:r>
    </w:p>
    <w:p w:rsidR="009968B5" w:rsidRPr="00203DD8" w:rsidRDefault="009968B5" w:rsidP="008A5244">
      <w:pPr>
        <w:widowControl w:val="0"/>
        <w:overflowPunct w:val="0"/>
        <w:autoSpaceDE w:val="0"/>
        <w:autoSpaceDN w:val="0"/>
        <w:adjustRightInd w:val="0"/>
        <w:spacing w:before="100" w:beforeAutospacing="1" w:after="100" w:afterAutospacing="1" w:line="360" w:lineRule="auto"/>
        <w:jc w:val="both"/>
        <w:rPr>
          <w:rFonts w:ascii="Arial" w:hAnsi="Arial" w:cs="Arial"/>
        </w:rPr>
      </w:pPr>
      <w:r w:rsidRPr="00BF3D72">
        <w:rPr>
          <w:rFonts w:ascii="Arial" w:hAnsi="Arial" w:cs="Arial"/>
          <w:sz w:val="24"/>
        </w:rPr>
        <w:t xml:space="preserve">Para establecer la existencia de capacidad de pago se calcularon los dos indicadores de la ley 358 de 1997 que junto al de superávit primario de la ley 819 de 2003, </w:t>
      </w:r>
      <w:r w:rsidRPr="00BF3D72">
        <w:rPr>
          <w:rFonts w:ascii="Arial" w:hAnsi="Arial" w:cs="Arial"/>
          <w:sz w:val="24"/>
          <w:szCs w:val="24"/>
        </w:rPr>
        <w:t xml:space="preserve">determinan la capacidad de endeudamiento del Ente Territorial, </w:t>
      </w:r>
      <w:r w:rsidR="00390B6F">
        <w:rPr>
          <w:rFonts w:ascii="Arial" w:hAnsi="Arial" w:cs="Arial"/>
          <w:sz w:val="24"/>
          <w:szCs w:val="24"/>
        </w:rPr>
        <w:t>e</w:t>
      </w:r>
      <w:r w:rsidRPr="00BF3D72">
        <w:rPr>
          <w:rFonts w:ascii="Arial" w:hAnsi="Arial" w:cs="Arial"/>
          <w:sz w:val="24"/>
          <w:szCs w:val="24"/>
        </w:rPr>
        <w:t>l servicio de la deuda planteado no podrá exceder el superávit primario.</w:t>
      </w:r>
      <w:r w:rsidRPr="00BF3D72">
        <w:rPr>
          <w:rStyle w:val="Refdenotaalpie"/>
          <w:rFonts w:ascii="Arial" w:hAnsi="Arial" w:cs="Arial"/>
          <w:sz w:val="24"/>
          <w:szCs w:val="24"/>
        </w:rPr>
        <w:footnoteReference w:id="33"/>
      </w:r>
    </w:p>
    <w:p w:rsidR="009968B5" w:rsidRDefault="009968B5" w:rsidP="006E45D8">
      <w:pPr>
        <w:spacing w:line="360" w:lineRule="auto"/>
        <w:jc w:val="both"/>
        <w:rPr>
          <w:rFonts w:ascii="Arial" w:hAnsi="Arial" w:cs="Arial"/>
          <w:sz w:val="24"/>
          <w:szCs w:val="24"/>
        </w:rPr>
      </w:pPr>
      <w:r w:rsidRPr="00BF3D72">
        <w:rPr>
          <w:rFonts w:ascii="Arial" w:hAnsi="Arial" w:cs="Arial"/>
          <w:sz w:val="24"/>
          <w:szCs w:val="24"/>
        </w:rPr>
        <w:t>La ley 358 de 1997, establece el cumplimiento de dos indicadores; uno de ellos mide la Solvencia (los intereses de la deuda con el ahorro operacional) y el otro la Sostenibilidad (Saldo de la Deuda sobre Ingresos Corrientes)</w:t>
      </w:r>
      <w:r w:rsidR="00AF36F7">
        <w:rPr>
          <w:rFonts w:ascii="Arial" w:hAnsi="Arial" w:cs="Arial"/>
          <w:sz w:val="24"/>
          <w:szCs w:val="24"/>
        </w:rPr>
        <w:t>, así:</w:t>
      </w:r>
    </w:p>
    <w:p w:rsidR="00AF36F7" w:rsidRPr="00DF2C62" w:rsidRDefault="00AF36F7" w:rsidP="00AF36F7">
      <w:pPr>
        <w:spacing w:line="360" w:lineRule="auto"/>
        <w:jc w:val="both"/>
        <w:rPr>
          <w:rFonts w:ascii="Arial" w:hAnsi="Arial"/>
          <w:color w:val="000000"/>
          <w:sz w:val="24"/>
          <w:lang w:val="es-ES" w:eastAsia="es-ES"/>
        </w:rPr>
      </w:pPr>
      <w:r w:rsidRPr="00DF2C62">
        <w:rPr>
          <w:rFonts w:ascii="Arial" w:hAnsi="Arial"/>
          <w:color w:val="000000"/>
          <w:sz w:val="24"/>
          <w:lang w:val="es-ES" w:eastAsia="es-ES"/>
        </w:rPr>
        <w:t>Los parámetros e indicadores de la Ley 358 de 1997, nos indican que un ente territorial tiene capacidad de endeudamiento si cumple con los indicadores de solvencia</w:t>
      </w:r>
      <w:r w:rsidRPr="00DF2C62">
        <w:rPr>
          <w:rStyle w:val="Refdenotaalpie"/>
          <w:rFonts w:ascii="Arial" w:hAnsi="Arial"/>
          <w:color w:val="000000"/>
          <w:sz w:val="24"/>
          <w:lang w:val="es-ES" w:eastAsia="es-ES"/>
        </w:rPr>
        <w:footnoteReference w:id="34"/>
      </w:r>
      <w:r w:rsidRPr="00DF2C62">
        <w:rPr>
          <w:rFonts w:ascii="Arial" w:hAnsi="Arial"/>
          <w:color w:val="000000"/>
          <w:sz w:val="24"/>
          <w:lang w:val="es-ES" w:eastAsia="es-ES"/>
        </w:rPr>
        <w:t xml:space="preserve"> y sostenibilidad</w:t>
      </w:r>
      <w:r w:rsidRPr="00DF2C62">
        <w:rPr>
          <w:rStyle w:val="Refdenotaalpie"/>
          <w:rFonts w:ascii="Arial" w:hAnsi="Arial"/>
          <w:color w:val="000000"/>
          <w:sz w:val="24"/>
          <w:lang w:val="es-ES" w:eastAsia="es-ES"/>
        </w:rPr>
        <w:footnoteReference w:id="35"/>
      </w:r>
      <w:r w:rsidRPr="00DF2C62">
        <w:rPr>
          <w:rFonts w:ascii="Arial" w:hAnsi="Arial"/>
          <w:color w:val="000000"/>
          <w:sz w:val="24"/>
          <w:lang w:val="es-ES" w:eastAsia="es-ES"/>
        </w:rPr>
        <w:t>.</w:t>
      </w:r>
    </w:p>
    <w:p w:rsidR="00AF36F7" w:rsidRPr="00A054F4" w:rsidRDefault="00AF36F7" w:rsidP="00AF36F7">
      <w:pPr>
        <w:spacing w:line="360" w:lineRule="auto"/>
        <w:jc w:val="both"/>
        <w:rPr>
          <w:rFonts w:ascii="Arial" w:hAnsi="Arial"/>
          <w:color w:val="000000"/>
          <w:sz w:val="24"/>
          <w:lang w:val="es-ES" w:eastAsia="es-ES"/>
        </w:rPr>
      </w:pPr>
      <w:r w:rsidRPr="00A054F4">
        <w:rPr>
          <w:rFonts w:ascii="Arial" w:hAnsi="Arial"/>
          <w:color w:val="000000"/>
          <w:sz w:val="24"/>
          <w:lang w:val="es-ES" w:eastAsia="es-ES"/>
        </w:rPr>
        <w:t>De conformidad con la Ley 358 de 1997, el Departamento del Quindío ha contado con Capacidad Legal de Endeudamiento, como se logra evidenciar a continuación:</w:t>
      </w:r>
    </w:p>
    <w:p w:rsidR="00AF36F7" w:rsidRDefault="00AF36F7" w:rsidP="00AF36F7">
      <w:pPr>
        <w:spacing w:line="360" w:lineRule="auto"/>
        <w:jc w:val="both"/>
      </w:pPr>
      <w:r w:rsidRPr="00AD0EC4">
        <w:rPr>
          <w:noProof/>
          <w:lang w:eastAsia="es-CO"/>
        </w:rPr>
        <w:lastRenderedPageBreak/>
        <w:drawing>
          <wp:inline distT="0" distB="0" distL="0" distR="0" wp14:anchorId="665F25AC" wp14:editId="6B35161E">
            <wp:extent cx="5582093" cy="2410460"/>
            <wp:effectExtent l="0" t="0" r="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4412" cy="2411461"/>
                    </a:xfrm>
                    <a:prstGeom prst="rect">
                      <a:avLst/>
                    </a:prstGeom>
                    <a:noFill/>
                    <a:ln>
                      <a:noFill/>
                    </a:ln>
                  </pic:spPr>
                </pic:pic>
              </a:graphicData>
            </a:graphic>
          </wp:inline>
        </w:drawing>
      </w:r>
    </w:p>
    <w:p w:rsidR="00CB64B6" w:rsidRPr="007A6FA4" w:rsidRDefault="00CB64B6" w:rsidP="00CB64B6">
      <w:pPr>
        <w:spacing w:line="360" w:lineRule="auto"/>
        <w:jc w:val="both"/>
        <w:rPr>
          <w:rFonts w:ascii="Arial" w:hAnsi="Arial" w:cs="Arial"/>
          <w:color w:val="000000"/>
          <w:sz w:val="24"/>
          <w:lang w:val="es-ES" w:eastAsia="es-ES"/>
        </w:rPr>
      </w:pPr>
      <w:r w:rsidRPr="007A6FA4">
        <w:rPr>
          <w:rFonts w:ascii="Arial" w:hAnsi="Arial" w:cs="Arial"/>
          <w:color w:val="000000"/>
          <w:sz w:val="24"/>
          <w:lang w:val="es-ES" w:eastAsia="es-ES"/>
        </w:rPr>
        <w:t>Por medio de la Ordenanza 005 del 23 de Mayo de 2017 se concedió al gobernador autorización para  realizar operaciones de crédito público por $33.000 millones  en donde se verificó la capacidad de pago durante el plazo del crédito solicitado y se observó que se cumplen los indicadores establecidos por la Ley 358 de 1997 para el endeudamiento autónomo; por tanto, no es necesario solicitar las autorizaciones de que trata la Ley 819 del 2003.</w:t>
      </w:r>
    </w:p>
    <w:p w:rsidR="00AF36F7" w:rsidRPr="007A6FA4" w:rsidRDefault="00AF36F7" w:rsidP="00AF36F7">
      <w:pPr>
        <w:spacing w:line="360" w:lineRule="auto"/>
        <w:jc w:val="both"/>
        <w:rPr>
          <w:rFonts w:ascii="Arial" w:hAnsi="Arial" w:cs="Arial"/>
          <w:color w:val="000000"/>
          <w:sz w:val="24"/>
          <w:lang w:val="es-ES" w:eastAsia="es-ES"/>
        </w:rPr>
      </w:pPr>
      <w:r w:rsidRPr="007A6FA4">
        <w:rPr>
          <w:rFonts w:ascii="Arial" w:hAnsi="Arial" w:cs="Arial"/>
          <w:color w:val="000000"/>
          <w:sz w:val="24"/>
          <w:lang w:val="es-ES" w:eastAsia="es-ES"/>
        </w:rPr>
        <w:t xml:space="preserve">Por otra parte, la misma Ley 819 de 2003 en su artículo 16 establece que a partir del 1 de enero de 2005, los Departamentos que pretendan tomar un nuevo crédito deberán presentar ante la entidad financiera prestamista un certificado expedido por una calificadora de riesgo vigilada por la Superintendencia Financiera de Colombia, en el cual conste que la entidad territorial tiene capacidad de endeudamiento.  </w:t>
      </w:r>
    </w:p>
    <w:p w:rsidR="00106C81" w:rsidRDefault="00AF36F7" w:rsidP="00AF36F7">
      <w:pPr>
        <w:spacing w:line="360" w:lineRule="auto"/>
        <w:jc w:val="both"/>
        <w:rPr>
          <w:rFonts w:ascii="Arial" w:hAnsi="Arial" w:cs="Arial"/>
          <w:sz w:val="24"/>
          <w:szCs w:val="24"/>
        </w:rPr>
      </w:pPr>
      <w:r w:rsidRPr="007A6FA4">
        <w:rPr>
          <w:rFonts w:ascii="Arial" w:hAnsi="Arial" w:cs="Arial"/>
          <w:color w:val="000000"/>
          <w:sz w:val="24"/>
          <w:lang w:val="es-ES" w:eastAsia="es-ES"/>
        </w:rPr>
        <w:t>El Departamento del Quindío tiene la calificación de riesgo crediticio de capacidad de pago otorgada por la empresa Fitch Ratings de Colombia de A-(Col) en el largo plazo y F1(Col), lo cual significa que el Departamento se fundamenta en la adopción de políticas de mejora de recaudo, la evolución favorable de sus métricas financieras y la posición competitiva frente a Departamentos similares, un adecuado comportamiento del gasto y niveles de deuda acordes a su capacidad financiera</w:t>
      </w:r>
    </w:p>
    <w:p w:rsidR="00106C81" w:rsidRDefault="00106C81" w:rsidP="00F46B25">
      <w:pPr>
        <w:pStyle w:val="Ttulo4"/>
        <w:rPr>
          <w:highlight w:val="yellow"/>
        </w:rPr>
      </w:pPr>
      <w:bookmarkStart w:id="46" w:name="_Toc464053787"/>
    </w:p>
    <w:p w:rsidR="00AF36F7" w:rsidRPr="00850348" w:rsidRDefault="00AF36F7" w:rsidP="00AF36F7">
      <w:pPr>
        <w:pStyle w:val="Prrafodelista"/>
        <w:tabs>
          <w:tab w:val="left" w:pos="284"/>
        </w:tabs>
        <w:spacing w:line="360" w:lineRule="auto"/>
        <w:ind w:left="0"/>
        <w:jc w:val="both"/>
        <w:rPr>
          <w:rFonts w:ascii="Arial" w:eastAsia="Times New Roman" w:hAnsi="Arial"/>
          <w:b/>
          <w:sz w:val="24"/>
          <w:szCs w:val="24"/>
          <w:lang w:eastAsia="es-ES"/>
        </w:rPr>
      </w:pPr>
      <w:r>
        <w:rPr>
          <w:rFonts w:ascii="Arial" w:eastAsia="Times New Roman" w:hAnsi="Arial"/>
          <w:b/>
          <w:sz w:val="24"/>
          <w:szCs w:val="24"/>
          <w:lang w:eastAsia="es-ES"/>
        </w:rPr>
        <w:t xml:space="preserve">5.2.2 </w:t>
      </w:r>
      <w:r w:rsidRPr="00850348">
        <w:rPr>
          <w:rFonts w:ascii="Arial" w:eastAsia="Times New Roman" w:hAnsi="Arial"/>
          <w:b/>
          <w:sz w:val="24"/>
          <w:szCs w:val="24"/>
          <w:lang w:eastAsia="es-ES"/>
        </w:rPr>
        <w:t>INFORME CALIFICADORA DE RIESGO CREDIT</w:t>
      </w:r>
      <w:r>
        <w:rPr>
          <w:rFonts w:ascii="Arial" w:eastAsia="Times New Roman" w:hAnsi="Arial"/>
          <w:b/>
          <w:sz w:val="24"/>
          <w:szCs w:val="24"/>
          <w:lang w:eastAsia="es-ES"/>
        </w:rPr>
        <w:t>ÍCIO</w:t>
      </w:r>
    </w:p>
    <w:p w:rsidR="00AF36F7" w:rsidRDefault="00AF36F7" w:rsidP="00AF36F7">
      <w:pPr>
        <w:pStyle w:val="Prrafodelista"/>
        <w:spacing w:line="360" w:lineRule="auto"/>
        <w:ind w:left="0"/>
        <w:jc w:val="both"/>
        <w:rPr>
          <w:rFonts w:ascii="Arial" w:eastAsia="Times New Roman" w:hAnsi="Arial"/>
          <w:sz w:val="24"/>
          <w:szCs w:val="24"/>
          <w:lang w:eastAsia="es-ES"/>
        </w:rPr>
      </w:pPr>
      <w:r w:rsidRPr="005A63FE">
        <w:rPr>
          <w:rFonts w:ascii="Arial" w:eastAsia="Times New Roman" w:hAnsi="Arial"/>
          <w:sz w:val="24"/>
          <w:szCs w:val="24"/>
          <w:lang w:eastAsia="es-ES"/>
        </w:rPr>
        <w:lastRenderedPageBreak/>
        <w:t xml:space="preserve">El </w:t>
      </w:r>
      <w:r>
        <w:rPr>
          <w:rFonts w:ascii="Arial" w:eastAsia="Times New Roman" w:hAnsi="Arial"/>
          <w:sz w:val="24"/>
          <w:szCs w:val="24"/>
          <w:lang w:eastAsia="es-ES"/>
        </w:rPr>
        <w:t xml:space="preserve">Departamento del Quindío en cumplimiento de la Ley 819 de 2003 contrató los servicios de una firma calificadora de Riesgos Fitch Ratings con un resultado de calificaciones a largo y corto plazo (documento anexo) así: </w:t>
      </w:r>
    </w:p>
    <w:p w:rsidR="00AF36F7" w:rsidRDefault="00AF36F7" w:rsidP="00AF36F7">
      <w:pPr>
        <w:pStyle w:val="Prrafodelista"/>
        <w:numPr>
          <w:ilvl w:val="0"/>
          <w:numId w:val="9"/>
        </w:numPr>
        <w:spacing w:line="360" w:lineRule="auto"/>
        <w:jc w:val="both"/>
        <w:rPr>
          <w:rFonts w:ascii="Arial" w:eastAsia="Times New Roman" w:hAnsi="Arial"/>
          <w:sz w:val="24"/>
          <w:szCs w:val="24"/>
          <w:lang w:eastAsia="es-ES"/>
        </w:rPr>
      </w:pPr>
      <w:r>
        <w:rPr>
          <w:rFonts w:ascii="Arial" w:eastAsia="Times New Roman" w:hAnsi="Arial"/>
          <w:sz w:val="24"/>
          <w:szCs w:val="24"/>
          <w:lang w:eastAsia="es-ES"/>
        </w:rPr>
        <w:t>(col) Largo Plazo</w:t>
      </w:r>
    </w:p>
    <w:p w:rsidR="00AF36F7" w:rsidRDefault="00AF36F7" w:rsidP="00AF36F7">
      <w:pPr>
        <w:pStyle w:val="Prrafodelista"/>
        <w:spacing w:line="360" w:lineRule="auto"/>
        <w:ind w:left="360"/>
        <w:jc w:val="both"/>
        <w:rPr>
          <w:rFonts w:ascii="Arial" w:eastAsia="Times New Roman" w:hAnsi="Arial"/>
          <w:sz w:val="24"/>
          <w:szCs w:val="24"/>
          <w:lang w:eastAsia="es-ES"/>
        </w:rPr>
      </w:pPr>
      <w:r>
        <w:rPr>
          <w:rFonts w:ascii="Arial" w:eastAsia="Times New Roman" w:hAnsi="Arial"/>
          <w:sz w:val="24"/>
          <w:szCs w:val="24"/>
          <w:lang w:eastAsia="es-ES"/>
        </w:rPr>
        <w:t>F1 (col) Corto Plazo</w:t>
      </w:r>
    </w:p>
    <w:p w:rsidR="00AF36F7" w:rsidRPr="00066BAD" w:rsidRDefault="00AF36F7" w:rsidP="00AF36F7">
      <w:pPr>
        <w:pStyle w:val="Prrafodelista"/>
        <w:spacing w:line="360" w:lineRule="auto"/>
        <w:ind w:left="360"/>
        <w:jc w:val="both"/>
        <w:rPr>
          <w:rFonts w:ascii="Arial" w:eastAsia="Times New Roman" w:hAnsi="Arial"/>
          <w:sz w:val="24"/>
          <w:szCs w:val="24"/>
          <w:lang w:eastAsia="es-ES"/>
        </w:rPr>
      </w:pPr>
      <w:r>
        <w:rPr>
          <w:rFonts w:ascii="Arial" w:eastAsia="Times New Roman" w:hAnsi="Arial"/>
          <w:sz w:val="24"/>
          <w:szCs w:val="24"/>
          <w:lang w:eastAsia="es-ES"/>
        </w:rPr>
        <w:t>La perspectiva de la califica</w:t>
      </w:r>
      <w:r w:rsidRPr="00066BAD">
        <w:rPr>
          <w:rFonts w:ascii="Arial" w:eastAsia="Times New Roman" w:hAnsi="Arial"/>
          <w:sz w:val="24"/>
          <w:szCs w:val="24"/>
          <w:lang w:eastAsia="es-ES"/>
        </w:rPr>
        <w:t>ción de largo Plazo es Estable.</w:t>
      </w:r>
    </w:p>
    <w:p w:rsidR="00AF36F7" w:rsidRDefault="00AF36F7" w:rsidP="00AF36F7">
      <w:pPr>
        <w:pStyle w:val="Prrafodelista"/>
        <w:spacing w:line="360" w:lineRule="auto"/>
        <w:ind w:left="360"/>
        <w:jc w:val="both"/>
        <w:rPr>
          <w:rFonts w:ascii="Arial" w:eastAsia="Times New Roman" w:hAnsi="Arial"/>
          <w:sz w:val="24"/>
          <w:szCs w:val="24"/>
          <w:lang w:eastAsia="es-ES"/>
        </w:rPr>
      </w:pPr>
      <w:r>
        <w:rPr>
          <w:rFonts w:ascii="Arial" w:eastAsia="Times New Roman" w:hAnsi="Arial"/>
          <w:sz w:val="24"/>
          <w:szCs w:val="24"/>
          <w:lang w:eastAsia="es-ES"/>
        </w:rPr>
        <w:t>Estas calificaciones son definidas por la firma Fitch Ratings:</w:t>
      </w:r>
      <w:r w:rsidRPr="00066BAD">
        <w:rPr>
          <w:rFonts w:ascii="Arial" w:eastAsia="Times New Roman" w:hAnsi="Arial"/>
          <w:sz w:val="24"/>
          <w:szCs w:val="24"/>
          <w:lang w:eastAsia="es-ES"/>
        </w:rPr>
        <w:t xml:space="preserve"> </w:t>
      </w:r>
    </w:p>
    <w:p w:rsidR="00AF36F7" w:rsidRDefault="00AF36F7" w:rsidP="00AF36F7">
      <w:pPr>
        <w:pStyle w:val="Prrafodelista"/>
        <w:spacing w:line="360" w:lineRule="auto"/>
        <w:ind w:left="360"/>
        <w:jc w:val="both"/>
        <w:rPr>
          <w:rFonts w:ascii="Arial" w:eastAsia="Times New Roman" w:hAnsi="Arial"/>
          <w:i/>
          <w:sz w:val="24"/>
          <w:szCs w:val="24"/>
          <w:lang w:eastAsia="es-ES"/>
        </w:rPr>
      </w:pPr>
      <w:r w:rsidRPr="00066BAD">
        <w:rPr>
          <w:rFonts w:ascii="Arial" w:eastAsia="Times New Roman" w:hAnsi="Arial"/>
          <w:b/>
          <w:i/>
          <w:sz w:val="24"/>
          <w:szCs w:val="24"/>
          <w:lang w:eastAsia="es-ES"/>
        </w:rPr>
        <w:t>“Definición de Calificación</w:t>
      </w:r>
      <w:r w:rsidRPr="00066BAD">
        <w:rPr>
          <w:rFonts w:ascii="Arial" w:eastAsia="Times New Roman" w:hAnsi="Arial"/>
          <w:i/>
          <w:sz w:val="24"/>
          <w:szCs w:val="24"/>
          <w:lang w:eastAsia="es-ES"/>
        </w:rPr>
        <w:t>: La Calificación “A-(col)” corresponde a una alta calidad crediticia. Corresponde a una sólida calidad crediticia respecto de otros emisores o emisiones del país…”</w:t>
      </w:r>
    </w:p>
    <w:p w:rsidR="00AF36F7" w:rsidRPr="00066BAD" w:rsidRDefault="00AF36F7" w:rsidP="00AF36F7">
      <w:pPr>
        <w:pStyle w:val="Prrafodelista"/>
        <w:spacing w:line="360" w:lineRule="auto"/>
        <w:ind w:left="360"/>
        <w:jc w:val="both"/>
        <w:rPr>
          <w:rFonts w:ascii="Arial" w:eastAsia="Times New Roman" w:hAnsi="Arial"/>
          <w:i/>
          <w:sz w:val="24"/>
          <w:szCs w:val="24"/>
          <w:lang w:eastAsia="es-ES"/>
        </w:rPr>
      </w:pPr>
      <w:r w:rsidRPr="00066BAD">
        <w:rPr>
          <w:rFonts w:ascii="Arial" w:eastAsia="Times New Roman" w:hAnsi="Arial"/>
          <w:i/>
          <w:sz w:val="24"/>
          <w:szCs w:val="24"/>
          <w:lang w:eastAsia="es-ES"/>
        </w:rPr>
        <w:t xml:space="preserve">Por su </w:t>
      </w:r>
      <w:r>
        <w:rPr>
          <w:rFonts w:ascii="Arial" w:eastAsia="Times New Roman" w:hAnsi="Arial"/>
          <w:i/>
          <w:sz w:val="24"/>
          <w:szCs w:val="24"/>
          <w:lang w:eastAsia="es-ES"/>
        </w:rPr>
        <w:t xml:space="preserve">parte, la calificación de corto plazo F1 (col) corresponde a una alta calidad crediticia. Indica la más sólida capacidad de pago oportuno de los compromisos financieros respecto de otros emisores o emisiones domésticas. Bajo la escala de calificaciones domésticas de Fitch Colombia, </w:t>
      </w:r>
      <w:r w:rsidRPr="00066BAD">
        <w:rPr>
          <w:rFonts w:ascii="Arial" w:eastAsia="Times New Roman" w:hAnsi="Arial"/>
          <w:b/>
          <w:i/>
          <w:sz w:val="24"/>
          <w:szCs w:val="24"/>
          <w:lang w:eastAsia="es-ES"/>
        </w:rPr>
        <w:t>esta categoría se asigna a la mejor calidad crediticia respecto de todo otro riesgo en el país</w:t>
      </w:r>
      <w:r>
        <w:rPr>
          <w:rFonts w:ascii="Arial" w:eastAsia="Times New Roman" w:hAnsi="Arial"/>
          <w:i/>
          <w:sz w:val="24"/>
          <w:szCs w:val="24"/>
          <w:lang w:eastAsia="es-ES"/>
        </w:rPr>
        <w:t xml:space="preserve"> y normalmente se asigna a los compromisos financieros emitidos o garantizados por el gobierno federal….”</w:t>
      </w:r>
    </w:p>
    <w:p w:rsidR="00AF36F7" w:rsidRDefault="00AF36F7" w:rsidP="00AF36F7">
      <w:pPr>
        <w:pStyle w:val="Prrafodelista"/>
        <w:spacing w:line="360" w:lineRule="auto"/>
        <w:ind w:left="360"/>
        <w:jc w:val="both"/>
        <w:rPr>
          <w:rFonts w:ascii="Arial" w:eastAsia="Times New Roman" w:hAnsi="Arial"/>
          <w:sz w:val="24"/>
          <w:szCs w:val="24"/>
          <w:lang w:eastAsia="es-ES"/>
        </w:rPr>
      </w:pPr>
      <w:r>
        <w:rPr>
          <w:rFonts w:ascii="Arial" w:eastAsia="Times New Roman" w:hAnsi="Arial"/>
          <w:sz w:val="24"/>
          <w:szCs w:val="24"/>
          <w:lang w:eastAsia="es-ES"/>
        </w:rPr>
        <w:t xml:space="preserve">Para la Entidad la calificación tuvo en consideración el desempeño fiscal de la entidad que se refleja en el comportamiento positivo de sus ingresos tributarios, que estuvo acompañado de incrementos sobre los gastos corrientes que estrecharon la generación de balance corriente. </w:t>
      </w:r>
    </w:p>
    <w:p w:rsidR="00AF36F7" w:rsidRDefault="00AF36F7" w:rsidP="00AF36F7">
      <w:pPr>
        <w:pStyle w:val="Prrafodelista"/>
        <w:spacing w:line="360" w:lineRule="auto"/>
        <w:ind w:left="360"/>
        <w:jc w:val="both"/>
        <w:rPr>
          <w:rFonts w:ascii="Arial" w:eastAsia="Times New Roman" w:hAnsi="Arial"/>
          <w:sz w:val="24"/>
          <w:szCs w:val="24"/>
          <w:lang w:eastAsia="es-ES"/>
        </w:rPr>
      </w:pPr>
      <w:r>
        <w:rPr>
          <w:rFonts w:ascii="Arial" w:eastAsia="Times New Roman" w:hAnsi="Arial"/>
          <w:sz w:val="24"/>
          <w:szCs w:val="24"/>
          <w:lang w:eastAsia="es-ES"/>
        </w:rPr>
        <w:t>La calificación realizada por la Fitch, contemplo el endeudamiento actual y el prospectivo lo que presiona los indicadores de sostenibilidad, pero sus indicadores de cobertura aún se mantienen dentro de la categoría de riesgo asignada.</w:t>
      </w:r>
    </w:p>
    <w:p w:rsidR="00AF36F7" w:rsidRDefault="00AF36F7" w:rsidP="00AF36F7">
      <w:pPr>
        <w:pStyle w:val="Prrafodelista"/>
        <w:spacing w:line="360" w:lineRule="auto"/>
        <w:ind w:left="360"/>
        <w:jc w:val="both"/>
        <w:rPr>
          <w:rFonts w:ascii="Arial" w:eastAsia="Times New Roman" w:hAnsi="Arial"/>
          <w:sz w:val="24"/>
          <w:szCs w:val="24"/>
          <w:lang w:eastAsia="es-ES"/>
        </w:rPr>
      </w:pPr>
      <w:r>
        <w:rPr>
          <w:rFonts w:ascii="Arial" w:eastAsia="Times New Roman" w:hAnsi="Arial"/>
          <w:sz w:val="24"/>
          <w:szCs w:val="24"/>
          <w:lang w:eastAsia="es-ES"/>
        </w:rPr>
        <w:t xml:space="preserve">Según la Fitch, el desempeño financiero del Departamento del Quindío es considerado como neutro con tendencia estable, donde se evidencia el </w:t>
      </w:r>
      <w:r>
        <w:rPr>
          <w:rFonts w:ascii="Arial" w:eastAsia="Times New Roman" w:hAnsi="Arial"/>
          <w:sz w:val="24"/>
          <w:szCs w:val="24"/>
          <w:lang w:eastAsia="es-ES"/>
        </w:rPr>
        <w:lastRenderedPageBreak/>
        <w:t>fortalecimiento de sus rentas propias que ha venido acompañado de un crecimiento sostenido del gasto corriente.</w:t>
      </w:r>
    </w:p>
    <w:p w:rsidR="00AF36F7" w:rsidRDefault="00AF36F7" w:rsidP="00AF36F7">
      <w:pPr>
        <w:pStyle w:val="Prrafodelista"/>
        <w:spacing w:line="360" w:lineRule="auto"/>
        <w:ind w:left="360"/>
        <w:jc w:val="both"/>
        <w:rPr>
          <w:rFonts w:ascii="Arial" w:eastAsia="Times New Roman" w:hAnsi="Arial"/>
          <w:sz w:val="24"/>
          <w:szCs w:val="24"/>
          <w:lang w:eastAsia="es-ES"/>
        </w:rPr>
      </w:pPr>
      <w:r>
        <w:rPr>
          <w:rFonts w:ascii="Arial" w:eastAsia="Times New Roman" w:hAnsi="Arial"/>
          <w:sz w:val="24"/>
          <w:szCs w:val="24"/>
          <w:lang w:eastAsia="es-ES"/>
        </w:rPr>
        <w:t>De igual manera la entidad calificadora considera que el atributo de deuda, contingencias y liquidez como neutro con tendencia estable.</w:t>
      </w:r>
    </w:p>
    <w:p w:rsidR="00AF36F7" w:rsidRDefault="00AF36F7" w:rsidP="00AF36F7">
      <w:pPr>
        <w:pStyle w:val="Prrafodelista"/>
        <w:spacing w:line="360" w:lineRule="auto"/>
        <w:ind w:left="360"/>
        <w:jc w:val="both"/>
        <w:rPr>
          <w:rFonts w:ascii="Arial" w:eastAsia="Times New Roman" w:hAnsi="Arial"/>
          <w:sz w:val="24"/>
          <w:szCs w:val="24"/>
          <w:lang w:eastAsia="es-ES"/>
        </w:rPr>
      </w:pPr>
      <w:r>
        <w:rPr>
          <w:rFonts w:ascii="Arial" w:eastAsia="Times New Roman" w:hAnsi="Arial"/>
          <w:sz w:val="24"/>
          <w:szCs w:val="24"/>
          <w:lang w:eastAsia="es-ES"/>
        </w:rPr>
        <w:t xml:space="preserve">Respecto al nuevo crédito la Fitch expresó: </w:t>
      </w:r>
      <w:r w:rsidRPr="00302E37">
        <w:rPr>
          <w:rFonts w:ascii="Arial" w:eastAsia="Times New Roman" w:hAnsi="Arial"/>
          <w:b/>
          <w:i/>
          <w:sz w:val="24"/>
          <w:szCs w:val="24"/>
          <w:lang w:eastAsia="es-ES"/>
        </w:rPr>
        <w:t>…“La administración actual proyecta contratar un cr</w:t>
      </w:r>
      <w:r>
        <w:rPr>
          <w:rFonts w:ascii="Arial" w:eastAsia="Times New Roman" w:hAnsi="Arial"/>
          <w:b/>
          <w:i/>
          <w:sz w:val="24"/>
          <w:szCs w:val="24"/>
          <w:lang w:eastAsia="es-ES"/>
        </w:rPr>
        <w:t xml:space="preserve">édito nuevo </w:t>
      </w:r>
      <w:r w:rsidRPr="00302E37">
        <w:rPr>
          <w:rFonts w:ascii="Arial" w:eastAsia="Times New Roman" w:hAnsi="Arial"/>
          <w:b/>
          <w:i/>
          <w:sz w:val="24"/>
          <w:szCs w:val="24"/>
          <w:lang w:eastAsia="es-ES"/>
        </w:rPr>
        <w:t>con la banca local por COP33.000</w:t>
      </w:r>
      <w:r>
        <w:rPr>
          <w:rFonts w:ascii="Arial" w:eastAsia="Times New Roman" w:hAnsi="Arial"/>
          <w:b/>
          <w:i/>
          <w:sz w:val="24"/>
          <w:szCs w:val="24"/>
          <w:lang w:eastAsia="es-ES"/>
        </w:rPr>
        <w:t xml:space="preserve"> </w:t>
      </w:r>
      <w:r w:rsidRPr="00302E37">
        <w:rPr>
          <w:rFonts w:ascii="Arial" w:eastAsia="Times New Roman" w:hAnsi="Arial"/>
          <w:b/>
          <w:i/>
          <w:sz w:val="24"/>
          <w:szCs w:val="24"/>
          <w:lang w:eastAsia="es-ES"/>
        </w:rPr>
        <w:t>millones para financiar inversiones de su Plan de Desarrollo, que serán desembolsados entre los años 2017 a 2019. Fitch modeló la situación financiera de la entidad y la sometió a escenarios adversos y obtuvo que indicadores de cobertura y servicio a la deuda están presionados altamente, pero acordes con el rango de la calificación”…</w:t>
      </w:r>
    </w:p>
    <w:p w:rsidR="00AF36F7" w:rsidRDefault="00AF36F7" w:rsidP="00AF36F7">
      <w:pPr>
        <w:pStyle w:val="Prrafodelista"/>
        <w:spacing w:line="360" w:lineRule="auto"/>
        <w:ind w:left="0"/>
        <w:jc w:val="both"/>
        <w:rPr>
          <w:rFonts w:ascii="Arial" w:eastAsia="Times New Roman" w:hAnsi="Arial"/>
          <w:sz w:val="24"/>
          <w:szCs w:val="24"/>
          <w:lang w:eastAsia="es-ES"/>
        </w:rPr>
      </w:pPr>
      <w:r>
        <w:rPr>
          <w:rFonts w:ascii="Arial" w:eastAsia="Times New Roman" w:hAnsi="Arial"/>
          <w:sz w:val="24"/>
          <w:szCs w:val="24"/>
          <w:lang w:eastAsia="es-ES"/>
        </w:rPr>
        <w:t>El día 25 de abril de 2017 la empresa FitchRatings afirmó las calificaciones del Departamento del Quindío, así:</w:t>
      </w:r>
    </w:p>
    <w:p w:rsidR="00AF36F7" w:rsidRPr="0091435A" w:rsidRDefault="00AF36F7" w:rsidP="00AF36F7">
      <w:pPr>
        <w:pStyle w:val="Prrafodelista"/>
        <w:spacing w:line="360" w:lineRule="auto"/>
        <w:ind w:left="0"/>
        <w:jc w:val="both"/>
        <w:rPr>
          <w:rFonts w:ascii="Arial" w:eastAsia="Times New Roman" w:hAnsi="Arial"/>
          <w:i/>
          <w:sz w:val="24"/>
          <w:szCs w:val="24"/>
          <w:lang w:val="es-CO" w:eastAsia="es-ES"/>
        </w:rPr>
      </w:pPr>
      <w:r w:rsidRPr="0091435A">
        <w:rPr>
          <w:rFonts w:ascii="Arial" w:eastAsia="Times New Roman" w:hAnsi="Arial"/>
          <w:i/>
          <w:sz w:val="24"/>
          <w:szCs w:val="24"/>
          <w:lang w:val="es-CO" w:eastAsia="es-ES"/>
        </w:rPr>
        <w:t xml:space="preserve">“Fitch Ratings- Bogotá-(abril 25, 2017) Fitch </w:t>
      </w:r>
      <w:r w:rsidRPr="0091435A">
        <w:rPr>
          <w:rFonts w:ascii="Arial" w:eastAsia="Times New Roman" w:hAnsi="Arial"/>
          <w:b/>
          <w:i/>
          <w:sz w:val="24"/>
          <w:szCs w:val="24"/>
          <w:lang w:val="es-CO" w:eastAsia="es-ES"/>
        </w:rPr>
        <w:t>Ratings afirmó las calificaciones nacionales de largo y corto plazo del Departamento del Quindío en “A-(col)” y “F1(col)”, respectivamente. La Perspectiva es Estable</w:t>
      </w:r>
      <w:r w:rsidRPr="0091435A">
        <w:rPr>
          <w:rFonts w:ascii="Arial" w:eastAsia="Times New Roman" w:hAnsi="Arial"/>
          <w:i/>
          <w:sz w:val="24"/>
          <w:szCs w:val="24"/>
          <w:lang w:val="es-CO" w:eastAsia="es-ES"/>
        </w:rPr>
        <w:t>.”</w:t>
      </w:r>
    </w:p>
    <w:p w:rsidR="00AF36F7" w:rsidRDefault="00AF36F7" w:rsidP="00F46B25">
      <w:pPr>
        <w:pStyle w:val="Ttulo4"/>
        <w:rPr>
          <w:highlight w:val="yellow"/>
        </w:rPr>
      </w:pPr>
    </w:p>
    <w:p w:rsidR="00B01B30" w:rsidRDefault="00F46B25" w:rsidP="00F46B25">
      <w:pPr>
        <w:pStyle w:val="Ttulo4"/>
      </w:pPr>
      <w:r w:rsidRPr="00D71F9C">
        <w:t xml:space="preserve">5.2.1.2 </w:t>
      </w:r>
      <w:r w:rsidR="001E0D65" w:rsidRPr="00D71F9C">
        <w:t xml:space="preserve">PROYECCIÓN </w:t>
      </w:r>
      <w:bookmarkEnd w:id="46"/>
      <w:r w:rsidR="00A24B3D">
        <w:t>CAPACIDAD DE ENDEUDAMIENTO</w:t>
      </w:r>
    </w:p>
    <w:p w:rsidR="00106C81" w:rsidRDefault="00106C81" w:rsidP="00106C81"/>
    <w:p w:rsidR="00A24B3D" w:rsidRDefault="00106C81" w:rsidP="00106C81">
      <w:pPr>
        <w:spacing w:line="360" w:lineRule="auto"/>
        <w:jc w:val="both"/>
        <w:rPr>
          <w:rFonts w:ascii="Arial" w:hAnsi="Arial" w:cs="Arial"/>
          <w:sz w:val="24"/>
          <w:szCs w:val="24"/>
          <w:lang w:val="es-ES" w:eastAsia="es-ES"/>
        </w:rPr>
      </w:pPr>
      <w:r w:rsidRPr="00BF3D72">
        <w:rPr>
          <w:rFonts w:ascii="Arial" w:hAnsi="Arial" w:cs="Arial"/>
          <w:color w:val="000000"/>
          <w:sz w:val="24"/>
          <w:szCs w:val="24"/>
          <w:lang w:val="es-ES" w:eastAsia="es-ES"/>
        </w:rPr>
        <w:t xml:space="preserve">La Dirección Financiera de la Secretaría de Hacienda, realizó </w:t>
      </w:r>
      <w:r>
        <w:rPr>
          <w:rFonts w:ascii="Arial" w:hAnsi="Arial" w:cs="Arial"/>
          <w:color w:val="000000"/>
          <w:sz w:val="24"/>
          <w:szCs w:val="24"/>
          <w:lang w:val="es-ES" w:eastAsia="es-ES"/>
        </w:rPr>
        <w:t>el</w:t>
      </w:r>
      <w:r w:rsidRPr="00BF3D72">
        <w:rPr>
          <w:rFonts w:ascii="Arial" w:hAnsi="Arial" w:cs="Arial"/>
          <w:color w:val="000000"/>
          <w:sz w:val="24"/>
          <w:szCs w:val="24"/>
          <w:lang w:val="es-ES" w:eastAsia="es-ES"/>
        </w:rPr>
        <w:t xml:space="preserve"> ejercicio de proyección del Servicio a la Deuda, teniendo en cuenta, la actual deuda del Departamento del Quindío</w:t>
      </w:r>
      <w:r>
        <w:rPr>
          <w:rFonts w:ascii="Arial" w:hAnsi="Arial" w:cs="Arial"/>
          <w:color w:val="000000"/>
          <w:sz w:val="24"/>
          <w:szCs w:val="24"/>
          <w:lang w:val="es-ES" w:eastAsia="es-ES"/>
        </w:rPr>
        <w:t xml:space="preserve"> a 2017 que alcanza la suma de $</w:t>
      </w:r>
      <w:r w:rsidR="00A24B3D">
        <w:rPr>
          <w:rFonts w:ascii="Arial" w:hAnsi="Arial" w:cs="Arial"/>
          <w:color w:val="000000"/>
          <w:sz w:val="24"/>
          <w:szCs w:val="24"/>
          <w:lang w:val="es-ES" w:eastAsia="es-ES"/>
        </w:rPr>
        <w:t>36.555millones</w:t>
      </w:r>
      <w:r w:rsidRPr="00BF3D72">
        <w:rPr>
          <w:rFonts w:ascii="Arial" w:hAnsi="Arial" w:cs="Arial"/>
          <w:color w:val="000000"/>
          <w:sz w:val="24"/>
          <w:szCs w:val="24"/>
          <w:lang w:val="es-ES" w:eastAsia="es-ES"/>
        </w:rPr>
        <w:t xml:space="preserve"> y las proyecciones presentadas para el nuevo endeudamiento </w:t>
      </w:r>
      <w:r>
        <w:rPr>
          <w:rFonts w:ascii="Arial" w:hAnsi="Arial" w:cs="Arial"/>
          <w:color w:val="000000"/>
          <w:sz w:val="24"/>
          <w:szCs w:val="24"/>
          <w:lang w:val="es-ES" w:eastAsia="es-ES"/>
        </w:rPr>
        <w:t>en</w:t>
      </w:r>
      <w:r w:rsidRPr="00BF3D72">
        <w:rPr>
          <w:rFonts w:ascii="Arial" w:hAnsi="Arial" w:cs="Arial"/>
          <w:color w:val="000000"/>
          <w:sz w:val="24"/>
          <w:szCs w:val="24"/>
          <w:lang w:val="es-ES" w:eastAsia="es-ES"/>
        </w:rPr>
        <w:t xml:space="preserve"> la vigencia 201</w:t>
      </w:r>
      <w:r>
        <w:rPr>
          <w:rFonts w:ascii="Arial" w:hAnsi="Arial" w:cs="Arial"/>
          <w:color w:val="000000"/>
          <w:sz w:val="24"/>
          <w:szCs w:val="24"/>
          <w:lang w:val="es-ES" w:eastAsia="es-ES"/>
        </w:rPr>
        <w:t>8 por $25</w:t>
      </w:r>
      <w:r w:rsidRPr="00BF3D72">
        <w:rPr>
          <w:rFonts w:ascii="Arial" w:hAnsi="Arial" w:cs="Arial"/>
          <w:color w:val="000000"/>
          <w:sz w:val="24"/>
          <w:szCs w:val="24"/>
          <w:lang w:val="es-ES" w:eastAsia="es-ES"/>
        </w:rPr>
        <w:t xml:space="preserve">.000 millones </w:t>
      </w:r>
      <w:r>
        <w:rPr>
          <w:rFonts w:ascii="Arial" w:hAnsi="Arial" w:cs="Arial"/>
          <w:color w:val="000000"/>
          <w:sz w:val="24"/>
          <w:szCs w:val="24"/>
          <w:lang w:val="es-ES" w:eastAsia="es-ES"/>
        </w:rPr>
        <w:t>y de $8</w:t>
      </w:r>
      <w:r w:rsidRPr="00BF3D72">
        <w:rPr>
          <w:rFonts w:ascii="Arial" w:hAnsi="Arial" w:cs="Arial"/>
          <w:color w:val="000000"/>
          <w:sz w:val="24"/>
          <w:szCs w:val="24"/>
          <w:lang w:val="es-ES" w:eastAsia="es-ES"/>
        </w:rPr>
        <w:t>.000 millone</w:t>
      </w:r>
      <w:r>
        <w:rPr>
          <w:rFonts w:ascii="Arial" w:hAnsi="Arial" w:cs="Arial"/>
          <w:color w:val="000000"/>
          <w:sz w:val="24"/>
          <w:szCs w:val="24"/>
          <w:lang w:val="es-ES" w:eastAsia="es-ES"/>
        </w:rPr>
        <w:t>s para la vigencia 2019, proyectadas hast</w:t>
      </w:r>
      <w:r w:rsidRPr="00106C81">
        <w:rPr>
          <w:rFonts w:ascii="Arial" w:hAnsi="Arial" w:cs="Arial"/>
          <w:sz w:val="24"/>
          <w:szCs w:val="24"/>
          <w:lang w:val="es-ES" w:eastAsia="es-ES"/>
        </w:rPr>
        <w:t>a la vigencia 2028.</w:t>
      </w:r>
      <w:r w:rsidR="00A24B3D">
        <w:rPr>
          <w:rFonts w:ascii="Arial" w:hAnsi="Arial" w:cs="Arial"/>
          <w:sz w:val="24"/>
          <w:szCs w:val="24"/>
          <w:lang w:val="es-ES" w:eastAsia="es-ES"/>
        </w:rPr>
        <w:t xml:space="preserve"> </w:t>
      </w:r>
    </w:p>
    <w:p w:rsidR="00106C81" w:rsidRPr="00106C81" w:rsidRDefault="00A24B3D" w:rsidP="00106C81">
      <w:pPr>
        <w:spacing w:line="360" w:lineRule="auto"/>
        <w:jc w:val="both"/>
        <w:rPr>
          <w:rFonts w:ascii="Arial" w:hAnsi="Arial" w:cs="Arial"/>
          <w:sz w:val="24"/>
          <w:szCs w:val="24"/>
          <w:lang w:val="es-ES" w:eastAsia="es-ES"/>
        </w:rPr>
      </w:pPr>
      <w:r>
        <w:rPr>
          <w:rFonts w:ascii="Arial" w:hAnsi="Arial" w:cs="Arial"/>
          <w:sz w:val="24"/>
          <w:szCs w:val="24"/>
          <w:lang w:val="es-ES" w:eastAsia="es-ES"/>
        </w:rPr>
        <w:t>Durante la vigencia 2017, no hubo desembolso de la autorización de endeudamiento aprobado por la Asamblea Departamental por valor de $33.000millones.</w:t>
      </w:r>
    </w:p>
    <w:p w:rsidR="00CB64B6" w:rsidRDefault="00CB64B6" w:rsidP="00CB64B6">
      <w:pPr>
        <w:spacing w:line="360" w:lineRule="auto"/>
        <w:jc w:val="both"/>
        <w:rPr>
          <w:rFonts w:ascii="Arial" w:hAnsi="Arial" w:cs="Arial"/>
          <w:color w:val="000000"/>
          <w:sz w:val="24"/>
          <w:lang w:val="es-ES" w:eastAsia="es-ES"/>
        </w:rPr>
      </w:pPr>
      <w:r w:rsidRPr="007A6FA4">
        <w:rPr>
          <w:rFonts w:ascii="Arial" w:hAnsi="Arial" w:cs="Arial"/>
          <w:color w:val="000000"/>
          <w:sz w:val="24"/>
          <w:lang w:val="es-ES" w:eastAsia="es-ES"/>
        </w:rPr>
        <w:lastRenderedPageBreak/>
        <w:t xml:space="preserve">Una vez efectuadas las proyecciones financieras con el actual servicio a la deuda del Departamento y los desembolsos de créditos proyectados de TREINTA Y TRES MIL MILLONES DE PESOS M/Cte. ($33.000’000.000), para los próximos años, se obtiene como resultado que los indicadores de Ley 358 de 1997, se mantienen </w:t>
      </w:r>
      <w:r w:rsidRPr="00CB64B6">
        <w:rPr>
          <w:rFonts w:ascii="Arial" w:hAnsi="Arial" w:cs="Arial"/>
          <w:color w:val="000000"/>
          <w:sz w:val="24"/>
          <w:lang w:val="es-ES" w:eastAsia="es-ES"/>
        </w:rPr>
        <w:t>dentro de los parámetros permitidos.</w:t>
      </w:r>
    </w:p>
    <w:p w:rsidR="00997F6E" w:rsidRDefault="00997F6E" w:rsidP="00CB64B6">
      <w:pPr>
        <w:spacing w:line="360" w:lineRule="auto"/>
        <w:jc w:val="both"/>
        <w:rPr>
          <w:rFonts w:ascii="Arial" w:hAnsi="Arial" w:cs="Arial"/>
          <w:color w:val="000000"/>
          <w:sz w:val="24"/>
          <w:lang w:val="es-ES" w:eastAsia="es-ES"/>
        </w:rPr>
      </w:pPr>
    </w:p>
    <w:p w:rsidR="00106C81" w:rsidRPr="00106C81" w:rsidRDefault="00106C81" w:rsidP="00106C81">
      <w:pPr>
        <w:spacing w:line="360" w:lineRule="auto"/>
        <w:jc w:val="both"/>
        <w:rPr>
          <w:rFonts w:ascii="Arial" w:hAnsi="Arial" w:cs="Arial"/>
          <w:sz w:val="24"/>
          <w:szCs w:val="24"/>
          <w:lang w:val="es-ES" w:eastAsia="es-ES"/>
        </w:rPr>
      </w:pPr>
      <w:r w:rsidRPr="00106C81">
        <w:rPr>
          <w:rFonts w:ascii="Arial" w:hAnsi="Arial" w:cs="Arial"/>
          <w:sz w:val="24"/>
          <w:szCs w:val="24"/>
          <w:lang w:val="es-ES" w:eastAsia="es-ES"/>
        </w:rPr>
        <w:t>Ver Anexo denominado “</w:t>
      </w:r>
      <w:r w:rsidRPr="00106C81">
        <w:rPr>
          <w:rFonts w:ascii="Arial" w:hAnsi="Arial" w:cs="Arial"/>
          <w:b/>
          <w:sz w:val="24"/>
          <w:szCs w:val="24"/>
          <w:lang w:val="es-ES" w:eastAsia="es-ES"/>
        </w:rPr>
        <w:t>REFERENTE DE LA CAPACIDAD DE ENDEUDAMIENTO DEPARTAMENTO DEL QUINDIO”</w:t>
      </w:r>
    </w:p>
    <w:p w:rsidR="00407C85" w:rsidRDefault="00407C85" w:rsidP="00407C85">
      <w:pPr>
        <w:pStyle w:val="Ttulo2"/>
        <w:numPr>
          <w:ilvl w:val="0"/>
          <w:numId w:val="0"/>
        </w:numPr>
        <w:ind w:left="786"/>
        <w:rPr>
          <w:lang w:val="es-ES" w:eastAsia="es-ES"/>
        </w:rPr>
      </w:pPr>
    </w:p>
    <w:p w:rsidR="00407C85" w:rsidRDefault="00997F6E" w:rsidP="00407C85">
      <w:pPr>
        <w:pStyle w:val="Ttulo2"/>
        <w:numPr>
          <w:ilvl w:val="1"/>
          <w:numId w:val="2"/>
        </w:numPr>
        <w:ind w:left="426" w:hanging="426"/>
        <w:rPr>
          <w:lang w:val="es-ES" w:eastAsia="es-ES"/>
        </w:rPr>
      </w:pPr>
      <w:r>
        <w:rPr>
          <w:lang w:val="es-ES" w:eastAsia="es-ES"/>
        </w:rPr>
        <w:t xml:space="preserve"> </w:t>
      </w:r>
      <w:bookmarkStart w:id="47" w:name="_Toc495334924"/>
      <w:r w:rsidR="009D01BF" w:rsidRPr="00407C85">
        <w:rPr>
          <w:lang w:val="es-ES" w:eastAsia="es-ES"/>
        </w:rPr>
        <w:t>LEY 617 DE 2000</w:t>
      </w:r>
      <w:bookmarkEnd w:id="47"/>
    </w:p>
    <w:p w:rsidR="00407C85" w:rsidRDefault="00407C85" w:rsidP="00407C85">
      <w:pPr>
        <w:pStyle w:val="Ttulo2"/>
        <w:numPr>
          <w:ilvl w:val="0"/>
          <w:numId w:val="0"/>
        </w:numPr>
        <w:rPr>
          <w:lang w:val="es-ES" w:eastAsia="es-ES"/>
        </w:rPr>
      </w:pPr>
    </w:p>
    <w:p w:rsidR="009D01BF" w:rsidRPr="00407C85" w:rsidRDefault="00407C85" w:rsidP="00407C85">
      <w:pPr>
        <w:pStyle w:val="Ttulo3"/>
        <w:rPr>
          <w:lang w:val="es-ES" w:eastAsia="es-ES"/>
        </w:rPr>
      </w:pPr>
      <w:bookmarkStart w:id="48" w:name="_Toc495334925"/>
      <w:r>
        <w:rPr>
          <w:lang w:val="es-ES" w:eastAsia="es-ES"/>
        </w:rPr>
        <w:t xml:space="preserve">5.3.1 </w:t>
      </w:r>
      <w:r w:rsidRPr="00407C85">
        <w:rPr>
          <w:lang w:val="es-ES" w:eastAsia="es-ES"/>
        </w:rPr>
        <w:t xml:space="preserve">Cumplimiento </w:t>
      </w:r>
      <w:r>
        <w:rPr>
          <w:lang w:val="es-ES" w:eastAsia="es-ES"/>
        </w:rPr>
        <w:t>de l</w:t>
      </w:r>
      <w:r w:rsidRPr="00407C85">
        <w:rPr>
          <w:lang w:val="es-ES" w:eastAsia="es-ES"/>
        </w:rPr>
        <w:t xml:space="preserve">a Ley 617 </w:t>
      </w:r>
      <w:r>
        <w:rPr>
          <w:lang w:val="es-ES" w:eastAsia="es-ES"/>
        </w:rPr>
        <w:t>d</w:t>
      </w:r>
      <w:r w:rsidRPr="00407C85">
        <w:rPr>
          <w:lang w:val="es-ES" w:eastAsia="es-ES"/>
        </w:rPr>
        <w:t>e 2000</w:t>
      </w:r>
      <w:bookmarkEnd w:id="48"/>
      <w:r w:rsidRPr="00407C85">
        <w:rPr>
          <w:lang w:val="es-ES" w:eastAsia="es-ES"/>
        </w:rPr>
        <w:t xml:space="preserve">  </w:t>
      </w:r>
    </w:p>
    <w:p w:rsidR="00407C85" w:rsidRDefault="00407C85" w:rsidP="006E45D8">
      <w:pPr>
        <w:spacing w:line="360" w:lineRule="auto"/>
        <w:jc w:val="both"/>
        <w:rPr>
          <w:rFonts w:ascii="Arial" w:hAnsi="Arial"/>
          <w:color w:val="000000"/>
          <w:sz w:val="24"/>
          <w:szCs w:val="24"/>
          <w:lang w:val="es-ES" w:eastAsia="es-ES"/>
        </w:rPr>
      </w:pPr>
    </w:p>
    <w:p w:rsidR="009D01BF" w:rsidRPr="00C7295C" w:rsidRDefault="009D01BF" w:rsidP="006E45D8">
      <w:pPr>
        <w:spacing w:line="360" w:lineRule="auto"/>
        <w:jc w:val="both"/>
        <w:rPr>
          <w:rFonts w:ascii="Arial" w:hAnsi="Arial"/>
          <w:color w:val="000000"/>
          <w:sz w:val="24"/>
          <w:szCs w:val="24"/>
          <w:lang w:val="es-ES" w:eastAsia="es-ES"/>
        </w:rPr>
      </w:pPr>
      <w:r w:rsidRPr="00C7295C">
        <w:rPr>
          <w:rFonts w:ascii="Arial" w:hAnsi="Arial"/>
          <w:color w:val="000000"/>
          <w:sz w:val="24"/>
          <w:szCs w:val="24"/>
          <w:lang w:val="es-ES" w:eastAsia="es-ES"/>
        </w:rPr>
        <w:t>El Departamento del Quindío actualmente continúa en Tercera Categoría,  por lo tanto en cumplimiento del artículo 5° de la Ley 617 de 2000</w:t>
      </w:r>
      <w:r w:rsidRPr="00C7295C">
        <w:rPr>
          <w:rStyle w:val="Refdenotaalpie"/>
          <w:rFonts w:ascii="Arial" w:hAnsi="Arial"/>
          <w:color w:val="000000"/>
          <w:sz w:val="24"/>
          <w:szCs w:val="24"/>
          <w:lang w:val="es-ES" w:eastAsia="es-ES"/>
        </w:rPr>
        <w:footnoteReference w:id="36"/>
      </w:r>
      <w:r w:rsidRPr="00C7295C">
        <w:rPr>
          <w:rFonts w:ascii="Arial" w:hAnsi="Arial"/>
          <w:color w:val="000000"/>
          <w:sz w:val="24"/>
          <w:szCs w:val="24"/>
          <w:lang w:val="es-ES" w:eastAsia="es-ES"/>
        </w:rPr>
        <w:t xml:space="preserve"> tiene como límite superior de Gastos de Funcionamiento sobre los Ingresos Corrientes de libre destinación el 70% para la vigencia 201</w:t>
      </w:r>
      <w:r w:rsidR="00997F6E">
        <w:rPr>
          <w:rFonts w:ascii="Arial" w:hAnsi="Arial"/>
          <w:color w:val="000000"/>
          <w:sz w:val="24"/>
          <w:szCs w:val="24"/>
          <w:lang w:val="es-ES" w:eastAsia="es-ES"/>
        </w:rPr>
        <w:t>6 se ubicó en el 68</w:t>
      </w:r>
      <w:r w:rsidRPr="00C7295C">
        <w:rPr>
          <w:rFonts w:ascii="Arial" w:hAnsi="Arial"/>
          <w:color w:val="000000"/>
          <w:sz w:val="24"/>
          <w:szCs w:val="24"/>
          <w:lang w:val="es-ES" w:eastAsia="es-ES"/>
        </w:rPr>
        <w:t>%.</w:t>
      </w:r>
    </w:p>
    <w:p w:rsidR="009D01BF" w:rsidRPr="00C7295C" w:rsidRDefault="009D01BF" w:rsidP="006E45D8">
      <w:pPr>
        <w:spacing w:line="360" w:lineRule="auto"/>
        <w:jc w:val="both"/>
        <w:rPr>
          <w:rFonts w:ascii="Arial" w:hAnsi="Arial"/>
          <w:color w:val="000000"/>
          <w:sz w:val="24"/>
          <w:szCs w:val="24"/>
          <w:lang w:val="es-ES" w:eastAsia="es-ES"/>
        </w:rPr>
      </w:pPr>
      <w:r w:rsidRPr="00C7295C">
        <w:rPr>
          <w:rFonts w:ascii="Arial" w:hAnsi="Arial"/>
          <w:color w:val="000000"/>
          <w:sz w:val="24"/>
          <w:szCs w:val="24"/>
          <w:lang w:val="es-ES" w:eastAsia="es-ES"/>
        </w:rPr>
        <w:t>En las siguientes tablas podemos observar el comportamiento de éste indicador:</w:t>
      </w:r>
    </w:p>
    <w:p w:rsidR="009D01BF" w:rsidRPr="00B065C7" w:rsidRDefault="007A2348" w:rsidP="006E45D8">
      <w:pPr>
        <w:spacing w:line="360" w:lineRule="auto"/>
        <w:jc w:val="center"/>
        <w:rPr>
          <w:rFonts w:ascii="Arial" w:hAnsi="Arial"/>
          <w:i/>
          <w:color w:val="FF0000"/>
          <w:lang w:val="es-ES" w:eastAsia="es-ES"/>
        </w:rPr>
      </w:pPr>
      <w:r w:rsidRPr="007A2348">
        <w:rPr>
          <w:noProof/>
          <w:lang w:eastAsia="es-CO"/>
        </w:rPr>
        <w:drawing>
          <wp:inline distT="0" distB="0" distL="0" distR="0" wp14:anchorId="6E9E668B" wp14:editId="4DD0E732">
            <wp:extent cx="5634990" cy="1254642"/>
            <wp:effectExtent l="0" t="0" r="3810" b="317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03232" cy="1269836"/>
                    </a:xfrm>
                    <a:prstGeom prst="rect">
                      <a:avLst/>
                    </a:prstGeom>
                    <a:noFill/>
                    <a:ln>
                      <a:noFill/>
                    </a:ln>
                  </pic:spPr>
                </pic:pic>
              </a:graphicData>
            </a:graphic>
          </wp:inline>
        </w:drawing>
      </w:r>
    </w:p>
    <w:p w:rsidR="00AF36F7" w:rsidRDefault="00AF36F7" w:rsidP="007A2348">
      <w:pPr>
        <w:pStyle w:val="Ttulo3"/>
        <w:rPr>
          <w:lang w:val="es-ES" w:eastAsia="es-ES"/>
        </w:rPr>
      </w:pPr>
    </w:p>
    <w:p w:rsidR="009D01BF" w:rsidRPr="00997F6E" w:rsidRDefault="001E0D65" w:rsidP="00997F6E">
      <w:pPr>
        <w:pStyle w:val="Ttulo3"/>
      </w:pPr>
      <w:bookmarkStart w:id="50" w:name="_Toc495334926"/>
      <w:r w:rsidRPr="00997F6E">
        <w:t>5.</w:t>
      </w:r>
      <w:r w:rsidR="00997F6E">
        <w:t>3.2</w:t>
      </w:r>
      <w:r w:rsidRPr="00997F6E">
        <w:t xml:space="preserve"> </w:t>
      </w:r>
      <w:r w:rsidR="00997F6E">
        <w:t>Proyecció</w:t>
      </w:r>
      <w:r w:rsidR="00997F6E" w:rsidRPr="00997F6E">
        <w:t xml:space="preserve">n Ley 617 </w:t>
      </w:r>
      <w:r w:rsidR="00997F6E">
        <w:t>d</w:t>
      </w:r>
      <w:r w:rsidR="00997F6E" w:rsidRPr="00997F6E">
        <w:t>e 2000</w:t>
      </w:r>
      <w:bookmarkEnd w:id="50"/>
    </w:p>
    <w:p w:rsidR="007A2348" w:rsidRPr="007A2348" w:rsidRDefault="007A2348" w:rsidP="007A2348">
      <w:pPr>
        <w:rPr>
          <w:lang w:val="es-ES" w:eastAsia="es-ES"/>
        </w:rPr>
      </w:pPr>
    </w:p>
    <w:p w:rsidR="001E0D65" w:rsidRPr="001E0D65" w:rsidRDefault="008153F2" w:rsidP="006E45D8">
      <w:pPr>
        <w:pStyle w:val="Prrafodelista"/>
        <w:tabs>
          <w:tab w:val="left" w:pos="284"/>
        </w:tabs>
        <w:spacing w:line="360" w:lineRule="auto"/>
        <w:ind w:left="0"/>
        <w:jc w:val="both"/>
        <w:rPr>
          <w:rFonts w:ascii="Arial" w:eastAsia="Times New Roman" w:hAnsi="Arial"/>
          <w:noProof/>
          <w:color w:val="FF0000"/>
          <w:sz w:val="22"/>
          <w:szCs w:val="24"/>
          <w:lang w:eastAsia="es-ES"/>
        </w:rPr>
      </w:pPr>
      <w:r w:rsidRPr="00EB28CE">
        <w:rPr>
          <w:noProof/>
          <w:lang w:val="es-CO" w:eastAsia="es-CO"/>
        </w:rPr>
        <w:drawing>
          <wp:inline distT="0" distB="0" distL="0" distR="0" wp14:anchorId="62423703" wp14:editId="214563BB">
            <wp:extent cx="6095308" cy="2264735"/>
            <wp:effectExtent l="0" t="0" r="127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41445" cy="2281877"/>
                    </a:xfrm>
                    <a:prstGeom prst="rect">
                      <a:avLst/>
                    </a:prstGeom>
                    <a:noFill/>
                    <a:ln>
                      <a:noFill/>
                    </a:ln>
                  </pic:spPr>
                </pic:pic>
              </a:graphicData>
            </a:graphic>
          </wp:inline>
        </w:drawing>
      </w:r>
    </w:p>
    <w:p w:rsidR="00390B6F" w:rsidRDefault="00390B6F" w:rsidP="006D3004">
      <w:pPr>
        <w:pStyle w:val="Ttulo3"/>
        <w:rPr>
          <w:lang w:val="es-ES" w:eastAsia="es-ES"/>
        </w:rPr>
      </w:pPr>
    </w:p>
    <w:p w:rsidR="007763B3" w:rsidRDefault="007763B3" w:rsidP="006E45D8">
      <w:pPr>
        <w:spacing w:line="360" w:lineRule="auto"/>
        <w:rPr>
          <w:rFonts w:ascii="Arial" w:hAnsi="Arial" w:cs="Arial"/>
          <w:b/>
          <w:color w:val="000000"/>
          <w:sz w:val="32"/>
          <w:highlight w:val="yellow"/>
          <w:lang w:eastAsia="es-CO"/>
        </w:rPr>
      </w:pPr>
      <w:r>
        <w:rPr>
          <w:rFonts w:ascii="Arial" w:hAnsi="Arial" w:cs="Arial"/>
          <w:b/>
          <w:color w:val="000000"/>
          <w:sz w:val="32"/>
          <w:highlight w:val="yellow"/>
          <w:lang w:eastAsia="es-CO"/>
        </w:rPr>
        <w:br w:type="page"/>
      </w:r>
    </w:p>
    <w:p w:rsidR="00390B6F" w:rsidRDefault="00390B6F" w:rsidP="00390B6F">
      <w:pPr>
        <w:pStyle w:val="Ttulo2"/>
        <w:numPr>
          <w:ilvl w:val="0"/>
          <w:numId w:val="0"/>
        </w:numPr>
        <w:ind w:left="786"/>
        <w:jc w:val="both"/>
      </w:pPr>
    </w:p>
    <w:p w:rsidR="0003158B" w:rsidRDefault="0003158B" w:rsidP="0003158B">
      <w:pPr>
        <w:pStyle w:val="Ttulo2"/>
        <w:numPr>
          <w:ilvl w:val="0"/>
          <w:numId w:val="0"/>
        </w:numPr>
        <w:ind w:left="786"/>
        <w:jc w:val="both"/>
      </w:pPr>
    </w:p>
    <w:p w:rsidR="00F77E98" w:rsidRPr="006D3004" w:rsidRDefault="00F77E98" w:rsidP="006D3004">
      <w:pPr>
        <w:pStyle w:val="Ttulo2"/>
        <w:jc w:val="both"/>
      </w:pPr>
      <w:bookmarkStart w:id="51" w:name="_Toc495334927"/>
      <w:r w:rsidRPr="006D3004">
        <w:t>ACCIONES Y MEDIDAS QUE SUSTENTAN EL CUMPLIMIENTO DE METAS</w:t>
      </w:r>
      <w:bookmarkEnd w:id="51"/>
    </w:p>
    <w:p w:rsidR="006D3004" w:rsidRPr="00390B6F" w:rsidRDefault="006D3004" w:rsidP="006E4590">
      <w:pPr>
        <w:spacing w:line="360" w:lineRule="auto"/>
        <w:jc w:val="both"/>
        <w:rPr>
          <w:rFonts w:ascii="Arial" w:hAnsi="Arial" w:cs="Arial"/>
          <w:sz w:val="24"/>
          <w:szCs w:val="24"/>
        </w:rPr>
      </w:pPr>
    </w:p>
    <w:p w:rsidR="006E4590" w:rsidRPr="006E4590" w:rsidRDefault="006E4590" w:rsidP="006E4590">
      <w:pPr>
        <w:spacing w:line="360" w:lineRule="auto"/>
        <w:jc w:val="both"/>
        <w:rPr>
          <w:rFonts w:ascii="Arial" w:hAnsi="Arial" w:cs="Arial"/>
          <w:sz w:val="24"/>
          <w:szCs w:val="24"/>
          <w:lang w:val="es-MX"/>
        </w:rPr>
      </w:pPr>
      <w:r w:rsidRPr="006E4590">
        <w:rPr>
          <w:rFonts w:ascii="Arial" w:hAnsi="Arial" w:cs="Arial"/>
          <w:sz w:val="24"/>
          <w:szCs w:val="24"/>
          <w:lang w:val="es-MX"/>
        </w:rPr>
        <w:t>Con la finalidad de dar cumplimiento a lo dispuesto por el Numeral C del Artículo 5 de la Ley 819 de 2003, a continuación se determinan las Acciones y Medidas específicas en las que se sustenta el cumplimiento de las metas en lo que corresponde con la Secretaría de Hacienda de la siguiente manera:</w:t>
      </w:r>
    </w:p>
    <w:p w:rsidR="006E4590" w:rsidRPr="006E4590" w:rsidRDefault="006E4590" w:rsidP="006E4590">
      <w:pPr>
        <w:spacing w:line="360" w:lineRule="auto"/>
        <w:jc w:val="both"/>
        <w:rPr>
          <w:rFonts w:ascii="Arial" w:hAnsi="Arial" w:cs="Arial"/>
          <w:sz w:val="24"/>
          <w:szCs w:val="24"/>
          <w:lang w:val="es-MX"/>
        </w:rPr>
      </w:pPr>
      <w:r w:rsidRPr="006E4590">
        <w:rPr>
          <w:rFonts w:ascii="Arial" w:hAnsi="Arial" w:cs="Arial"/>
          <w:sz w:val="24"/>
          <w:szCs w:val="24"/>
          <w:lang w:val="es-MX"/>
        </w:rPr>
        <w:t xml:space="preserve">La Ordenanza 08 del 26 de mayo de 2016,  Por medio de la cual se aprobó y adoptó el Plan de Desarrollo del Departamento del Quindío 2016 - 2019 </w:t>
      </w:r>
      <w:r w:rsidRPr="006E4590">
        <w:rPr>
          <w:rFonts w:ascii="Arial" w:hAnsi="Arial" w:cs="Arial"/>
          <w:i/>
          <w:sz w:val="24"/>
          <w:szCs w:val="24"/>
          <w:lang w:val="es-MX"/>
        </w:rPr>
        <w:t>“En Defensa del Bien Común”</w:t>
      </w:r>
      <w:r w:rsidRPr="006E4590">
        <w:rPr>
          <w:rFonts w:ascii="Arial" w:hAnsi="Arial" w:cs="Arial"/>
          <w:sz w:val="24"/>
          <w:szCs w:val="24"/>
          <w:lang w:val="es-MX"/>
        </w:rPr>
        <w:t>, establece dentro de la ESTRATEGIA DE BUEN GOBIERNO, PROGRAMA DE GESTIÓN TERRITORIAL, y SUBPROGRAMA GESTIÓN TRIBUTARIA Y FINANCIERA, desde el punto de vista de Inversión los objetivos adscritos a la Secretaría de Hacienda, que contribuirán al incremento de los ingresos del Departamento con la implementación de procesos de fiscalización y cobro de las Rentas, dirigidos a los contribuyentes que presenten algún tipo de mora en sus liquidaciones tributarias.</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lang w:val="es-MX"/>
        </w:rPr>
        <w:t xml:space="preserve">Dicho subprograma tiene como objetivo </w:t>
      </w:r>
      <w:r w:rsidRPr="006E4590">
        <w:rPr>
          <w:rFonts w:ascii="Arial" w:hAnsi="Arial" w:cs="Arial"/>
          <w:sz w:val="24"/>
          <w:szCs w:val="24"/>
        </w:rPr>
        <w:t>incrementar los ingresos, mediante la fiscalización, liquidación y cobro, consolidando una cultura Tributaria; así mismo pretende el fortalecimiento de la Gestión Financiera mediante la consolidación de los sistemas de información, implementación de Normas Internacionales de Información Financiera NIIF, crecimiento real de ingresos, sostenibilidad de la deuda y el manejo de pasivos, a fin de garantizar la confiabilidad de la información financiera y aplicación de normas en la finanzas públicas.</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t>En los cuadros incluidos a continuación, se puede observar a nivel de metas producto, los criterios que la Secretaria de Hacienda deberá tener en cuenta durante la Actual Administración a efectos de generar un incremento en el recaudo de sus ingresos:</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lastRenderedPageBreak/>
        <w:t>Las actividades concernientes a los procesos de Fiscalización  y Cobro Coactivo, así como la ejecución del Programa Anticontrabando suscrito con la Federación Nacional de Departamentos, serán ejecutados durante los cuatro años de duración del actual Plan de Desarrollo, lo que permitirá un mejoramiento en los procedimientos ya existentes en aras de incrementar el Recaudo del Departamento sobre sus ingresos propios.</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t>Lo anterior, en concordancia con la ESTRATEGIA FINANCIERA DEL PLAN DE DESARROLLO, señalada en el  Artículo  12° de la Ordenanza 08 de 2016:</w:t>
      </w:r>
    </w:p>
    <w:p w:rsidR="006E4590" w:rsidRPr="0003158B" w:rsidRDefault="006E4590" w:rsidP="006E4590">
      <w:pPr>
        <w:pStyle w:val="Default"/>
        <w:spacing w:line="360" w:lineRule="auto"/>
        <w:ind w:left="708"/>
        <w:jc w:val="both"/>
        <w:rPr>
          <w:rFonts w:ascii="Times New Roman" w:hAnsi="Times New Roman" w:cs="Times New Roman"/>
          <w:i/>
        </w:rPr>
      </w:pPr>
      <w:r w:rsidRPr="006E4590">
        <w:rPr>
          <w:i/>
        </w:rPr>
        <w:t>“</w:t>
      </w:r>
      <w:r w:rsidRPr="0003158B">
        <w:rPr>
          <w:rFonts w:ascii="Times New Roman" w:hAnsi="Times New Roman" w:cs="Times New Roman"/>
          <w:i/>
        </w:rPr>
        <w:t xml:space="preserve">Para lograr el cumplimiento de los objetivos trazados en el Plan de Desarrollo, la Administración Departamental ha diseñado una estrategia financiera que tiene como fundamento un análisis de la situación fiscal y financiera del Departamento, partiendo de las posibilidades de generación de ingresos producto de sus recursos propios, utilizando al máximo el potencial que, desde el punto de vista de la capacidad tributaria, puedan brindar los contribuyentes y la racionalización del gasto que al interior de la administración es necesario implementar. </w:t>
      </w:r>
    </w:p>
    <w:p w:rsidR="006E4590" w:rsidRPr="0003158B" w:rsidRDefault="006E4590" w:rsidP="006E4590">
      <w:pPr>
        <w:pStyle w:val="Default"/>
        <w:spacing w:line="360" w:lineRule="auto"/>
        <w:ind w:left="708"/>
        <w:jc w:val="both"/>
        <w:rPr>
          <w:rFonts w:ascii="Times New Roman" w:hAnsi="Times New Roman" w:cs="Times New Roman"/>
          <w:i/>
        </w:rPr>
      </w:pPr>
    </w:p>
    <w:p w:rsidR="006E4590" w:rsidRPr="0003158B" w:rsidRDefault="006E4590" w:rsidP="006E4590">
      <w:pPr>
        <w:pStyle w:val="Default"/>
        <w:spacing w:line="360" w:lineRule="auto"/>
        <w:ind w:left="708"/>
        <w:jc w:val="both"/>
        <w:rPr>
          <w:rFonts w:ascii="Times New Roman" w:hAnsi="Times New Roman" w:cs="Times New Roman"/>
          <w:i/>
        </w:rPr>
      </w:pPr>
      <w:r w:rsidRPr="0003158B">
        <w:rPr>
          <w:rFonts w:ascii="Times New Roman" w:hAnsi="Times New Roman" w:cs="Times New Roman"/>
          <w:i/>
        </w:rPr>
        <w:t>La financiación de los proyectos contenidos en el Plan de Desarrollo, requiere de fuentes ciertas de ingresos y de la implementación de nuevos mecanismos de participación-como los acuerdos sociales, las alianzas público privadas, gestión de recursos ante el Fondo Nacional de Regalías, Estructurar proyectos productivos, para acceder a cofinanciación de recursos en los fondos establecidos por el Gobierno Nacional para los diferentes sectores, entre otros, para hacer posible su ejecución.</w:t>
      </w:r>
    </w:p>
    <w:p w:rsidR="006E4590" w:rsidRPr="0003158B" w:rsidRDefault="006E4590" w:rsidP="006E4590">
      <w:pPr>
        <w:pStyle w:val="Default"/>
        <w:spacing w:line="360" w:lineRule="auto"/>
        <w:ind w:left="708"/>
        <w:jc w:val="both"/>
        <w:rPr>
          <w:rFonts w:ascii="Times New Roman" w:hAnsi="Times New Roman" w:cs="Times New Roman"/>
          <w:i/>
        </w:rPr>
      </w:pPr>
    </w:p>
    <w:p w:rsidR="006E4590" w:rsidRPr="006E4590" w:rsidRDefault="006E4590" w:rsidP="006E4590">
      <w:pPr>
        <w:pStyle w:val="Default"/>
        <w:spacing w:line="360" w:lineRule="auto"/>
        <w:ind w:left="708"/>
        <w:jc w:val="both"/>
        <w:rPr>
          <w:i/>
        </w:rPr>
      </w:pPr>
      <w:r w:rsidRPr="0003158B">
        <w:rPr>
          <w:rFonts w:ascii="Times New Roman" w:hAnsi="Times New Roman" w:cs="Times New Roman"/>
          <w:i/>
          <w:color w:val="auto"/>
        </w:rPr>
        <w:t>Se estimulará la consolidación y profundización de una cultura tributaria orientada a incrementar los recaudos obtenidos en las últimas vigencias fiscales a través de procesos de sensibilización, educación y transparencia de la información; facilidad para la consulta, diligenciamiento y pago, apoyado en medios electrónicos; con promoción en los medios masivos de comunicación y rendición de cuentas a los contribuyentes</w:t>
      </w:r>
      <w:r w:rsidRPr="006E4590">
        <w:rPr>
          <w:i/>
          <w:color w:val="auto"/>
        </w:rPr>
        <w:t>.”</w:t>
      </w:r>
    </w:p>
    <w:tbl>
      <w:tblPr>
        <w:tblStyle w:val="Tablaconcuadrcula"/>
        <w:tblpPr w:leftFromText="141" w:rightFromText="141" w:vertAnchor="text" w:horzAnchor="margin" w:tblpY="303"/>
        <w:tblW w:w="9056" w:type="dxa"/>
        <w:tblLook w:val="04A0" w:firstRow="1" w:lastRow="0" w:firstColumn="1" w:lastColumn="0" w:noHBand="0" w:noVBand="1"/>
      </w:tblPr>
      <w:tblGrid>
        <w:gridCol w:w="2881"/>
        <w:gridCol w:w="1075"/>
        <w:gridCol w:w="1843"/>
        <w:gridCol w:w="3257"/>
      </w:tblGrid>
      <w:tr w:rsidR="00096426" w:rsidRPr="0003158B" w:rsidTr="00D71F9C">
        <w:trPr>
          <w:trHeight w:val="144"/>
        </w:trPr>
        <w:tc>
          <w:tcPr>
            <w:tcW w:w="2881" w:type="dxa"/>
            <w:shd w:val="clear" w:color="auto" w:fill="D9E2F3" w:themeFill="accent5" w:themeFillTint="33"/>
            <w:vAlign w:val="center"/>
          </w:tcPr>
          <w:p w:rsidR="00096426" w:rsidRPr="0003158B" w:rsidRDefault="00096426" w:rsidP="00D71F9C">
            <w:pPr>
              <w:spacing w:line="360" w:lineRule="auto"/>
              <w:jc w:val="center"/>
              <w:rPr>
                <w:rFonts w:ascii="Arial" w:hAnsi="Arial" w:cs="Arial"/>
                <w:b/>
                <w:sz w:val="20"/>
                <w:szCs w:val="24"/>
              </w:rPr>
            </w:pPr>
            <w:r w:rsidRPr="0003158B">
              <w:rPr>
                <w:rFonts w:ascii="Arial" w:hAnsi="Arial" w:cs="Arial"/>
                <w:b/>
                <w:sz w:val="20"/>
                <w:szCs w:val="24"/>
              </w:rPr>
              <w:lastRenderedPageBreak/>
              <w:t>META PRODUCTO</w:t>
            </w:r>
          </w:p>
        </w:tc>
        <w:tc>
          <w:tcPr>
            <w:tcW w:w="1075" w:type="dxa"/>
            <w:shd w:val="clear" w:color="auto" w:fill="D9E2F3" w:themeFill="accent5" w:themeFillTint="33"/>
            <w:vAlign w:val="center"/>
          </w:tcPr>
          <w:p w:rsidR="00096426" w:rsidRPr="0003158B" w:rsidRDefault="00096426" w:rsidP="00D71F9C">
            <w:pPr>
              <w:spacing w:line="360" w:lineRule="auto"/>
              <w:jc w:val="center"/>
              <w:rPr>
                <w:rFonts w:ascii="Arial" w:hAnsi="Arial" w:cs="Arial"/>
                <w:b/>
                <w:sz w:val="20"/>
                <w:szCs w:val="24"/>
              </w:rPr>
            </w:pPr>
            <w:r w:rsidRPr="0003158B">
              <w:rPr>
                <w:rFonts w:ascii="Arial" w:hAnsi="Arial" w:cs="Arial"/>
                <w:b/>
                <w:sz w:val="20"/>
                <w:szCs w:val="24"/>
              </w:rPr>
              <w:t>LINEA BASE</w:t>
            </w:r>
          </w:p>
        </w:tc>
        <w:tc>
          <w:tcPr>
            <w:tcW w:w="1843" w:type="dxa"/>
            <w:shd w:val="clear" w:color="auto" w:fill="D9E2F3" w:themeFill="accent5" w:themeFillTint="33"/>
            <w:vAlign w:val="center"/>
          </w:tcPr>
          <w:p w:rsidR="00096426" w:rsidRPr="0003158B" w:rsidRDefault="00096426" w:rsidP="00D71F9C">
            <w:pPr>
              <w:spacing w:line="360" w:lineRule="auto"/>
              <w:jc w:val="center"/>
              <w:rPr>
                <w:rFonts w:ascii="Arial" w:hAnsi="Arial" w:cs="Arial"/>
                <w:b/>
                <w:sz w:val="20"/>
                <w:szCs w:val="24"/>
              </w:rPr>
            </w:pPr>
            <w:r w:rsidRPr="0003158B">
              <w:rPr>
                <w:rFonts w:ascii="Arial" w:hAnsi="Arial" w:cs="Arial"/>
                <w:b/>
                <w:sz w:val="20"/>
                <w:szCs w:val="24"/>
              </w:rPr>
              <w:t>LINEA ESPERADA</w:t>
            </w:r>
          </w:p>
        </w:tc>
        <w:tc>
          <w:tcPr>
            <w:tcW w:w="3257" w:type="dxa"/>
            <w:shd w:val="clear" w:color="auto" w:fill="D9E2F3" w:themeFill="accent5" w:themeFillTint="33"/>
            <w:vAlign w:val="center"/>
          </w:tcPr>
          <w:p w:rsidR="00096426" w:rsidRPr="0003158B" w:rsidRDefault="00096426" w:rsidP="00D71F9C">
            <w:pPr>
              <w:spacing w:line="360" w:lineRule="auto"/>
              <w:jc w:val="center"/>
              <w:rPr>
                <w:rFonts w:ascii="Arial" w:hAnsi="Arial" w:cs="Arial"/>
                <w:b/>
                <w:sz w:val="20"/>
                <w:szCs w:val="24"/>
              </w:rPr>
            </w:pPr>
            <w:r w:rsidRPr="0003158B">
              <w:rPr>
                <w:rFonts w:ascii="Arial" w:hAnsi="Arial" w:cs="Arial"/>
                <w:b/>
                <w:sz w:val="20"/>
                <w:szCs w:val="24"/>
              </w:rPr>
              <w:t>INDICADOR</w:t>
            </w:r>
          </w:p>
        </w:tc>
      </w:tr>
      <w:tr w:rsidR="00096426" w:rsidRPr="006E4590" w:rsidTr="00D71F9C">
        <w:trPr>
          <w:trHeight w:val="1132"/>
        </w:trPr>
        <w:tc>
          <w:tcPr>
            <w:tcW w:w="2881"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bCs/>
                <w:sz w:val="24"/>
                <w:szCs w:val="24"/>
              </w:rPr>
              <w:t xml:space="preserve">Implementar </w:t>
            </w:r>
            <w:r w:rsidRPr="006E4590">
              <w:rPr>
                <w:rFonts w:ascii="Arial" w:hAnsi="Arial" w:cs="Arial"/>
                <w:sz w:val="24"/>
                <w:szCs w:val="24"/>
              </w:rPr>
              <w:t>4 procesos de fiscalización de las Rentas Departamentales</w:t>
            </w:r>
          </w:p>
        </w:tc>
        <w:tc>
          <w:tcPr>
            <w:tcW w:w="1075"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0</w:t>
            </w:r>
          </w:p>
        </w:tc>
        <w:tc>
          <w:tcPr>
            <w:tcW w:w="1843"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4</w:t>
            </w:r>
          </w:p>
        </w:tc>
        <w:tc>
          <w:tcPr>
            <w:tcW w:w="3257"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Procesos de Fiscalización Implementados</w:t>
            </w:r>
          </w:p>
        </w:tc>
      </w:tr>
      <w:tr w:rsidR="00096426" w:rsidRPr="006E4590" w:rsidTr="00D71F9C">
        <w:trPr>
          <w:trHeight w:val="2001"/>
        </w:trPr>
        <w:tc>
          <w:tcPr>
            <w:tcW w:w="2881" w:type="dxa"/>
            <w:vAlign w:val="center"/>
          </w:tcPr>
          <w:p w:rsidR="00096426" w:rsidRPr="006E4590" w:rsidRDefault="00096426" w:rsidP="00D71F9C">
            <w:pPr>
              <w:pStyle w:val="Default"/>
              <w:spacing w:line="360" w:lineRule="auto"/>
              <w:jc w:val="center"/>
            </w:pPr>
            <w:r w:rsidRPr="006E4590">
              <w:rPr>
                <w:color w:val="auto"/>
              </w:rPr>
              <w:t>Implementar una estrategia de cobro coactivo sobre la cartera morosa de las Rentas Departamentales</w:t>
            </w:r>
          </w:p>
        </w:tc>
        <w:tc>
          <w:tcPr>
            <w:tcW w:w="1075"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1</w:t>
            </w:r>
          </w:p>
        </w:tc>
        <w:tc>
          <w:tcPr>
            <w:tcW w:w="1843"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1</w:t>
            </w:r>
          </w:p>
        </w:tc>
        <w:tc>
          <w:tcPr>
            <w:tcW w:w="3257"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Estrategia de Cobro Coactivo Implementada</w:t>
            </w:r>
          </w:p>
        </w:tc>
      </w:tr>
      <w:tr w:rsidR="00096426" w:rsidRPr="006E4590" w:rsidTr="00D71F9C">
        <w:trPr>
          <w:trHeight w:val="1950"/>
        </w:trPr>
        <w:tc>
          <w:tcPr>
            <w:tcW w:w="2881" w:type="dxa"/>
            <w:vAlign w:val="center"/>
          </w:tcPr>
          <w:p w:rsidR="00096426" w:rsidRPr="006E4590" w:rsidRDefault="00096426" w:rsidP="00D71F9C">
            <w:pPr>
              <w:pStyle w:val="Default"/>
              <w:spacing w:line="360" w:lineRule="auto"/>
              <w:jc w:val="center"/>
            </w:pPr>
            <w:r w:rsidRPr="006E4590">
              <w:rPr>
                <w:color w:val="auto"/>
              </w:rPr>
              <w:t>Ejecutar el programa Anti contrabando suscrito con la Federación Nacional de Departamentos.</w:t>
            </w:r>
          </w:p>
        </w:tc>
        <w:tc>
          <w:tcPr>
            <w:tcW w:w="1075"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0</w:t>
            </w:r>
          </w:p>
        </w:tc>
        <w:tc>
          <w:tcPr>
            <w:tcW w:w="1843"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1</w:t>
            </w:r>
          </w:p>
        </w:tc>
        <w:tc>
          <w:tcPr>
            <w:tcW w:w="3257"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Programa Anticontrabando Ejecutado</w:t>
            </w:r>
          </w:p>
        </w:tc>
      </w:tr>
      <w:tr w:rsidR="00096426" w:rsidRPr="006E4590" w:rsidTr="00D71F9C">
        <w:trPr>
          <w:trHeight w:val="1427"/>
        </w:trPr>
        <w:tc>
          <w:tcPr>
            <w:tcW w:w="2881" w:type="dxa"/>
            <w:vAlign w:val="center"/>
          </w:tcPr>
          <w:p w:rsidR="00096426" w:rsidRPr="006E4590" w:rsidRDefault="00096426" w:rsidP="00D71F9C">
            <w:pPr>
              <w:pStyle w:val="Default"/>
              <w:spacing w:line="360" w:lineRule="auto"/>
              <w:jc w:val="center"/>
            </w:pPr>
            <w:r w:rsidRPr="006E4590">
              <w:t>Elaborar el Diagnóstico del Sistema de Información Tributaria y Financiera</w:t>
            </w:r>
          </w:p>
        </w:tc>
        <w:tc>
          <w:tcPr>
            <w:tcW w:w="1075"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0</w:t>
            </w:r>
          </w:p>
        </w:tc>
        <w:tc>
          <w:tcPr>
            <w:tcW w:w="1843"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1</w:t>
            </w:r>
          </w:p>
        </w:tc>
        <w:tc>
          <w:tcPr>
            <w:tcW w:w="3257" w:type="dxa"/>
            <w:vAlign w:val="center"/>
          </w:tcPr>
          <w:p w:rsidR="00096426" w:rsidRPr="006E4590" w:rsidRDefault="00096426" w:rsidP="00D71F9C">
            <w:pPr>
              <w:pStyle w:val="Default"/>
              <w:spacing w:line="360" w:lineRule="auto"/>
              <w:jc w:val="center"/>
            </w:pPr>
          </w:p>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Diagnóstico del Sistema de Información Tributaria y Financiero elaborado</w:t>
            </w:r>
          </w:p>
        </w:tc>
      </w:tr>
      <w:tr w:rsidR="00096426" w:rsidRPr="006E4590" w:rsidTr="00D71F9C">
        <w:trPr>
          <w:trHeight w:val="1046"/>
        </w:trPr>
        <w:tc>
          <w:tcPr>
            <w:tcW w:w="2881" w:type="dxa"/>
            <w:vAlign w:val="center"/>
          </w:tcPr>
          <w:p w:rsidR="00096426" w:rsidRPr="006E4590" w:rsidRDefault="00096426" w:rsidP="00D71F9C">
            <w:pPr>
              <w:pStyle w:val="Default"/>
              <w:spacing w:line="360" w:lineRule="auto"/>
              <w:jc w:val="center"/>
            </w:pPr>
            <w:r w:rsidRPr="006E4590">
              <w:rPr>
                <w:color w:val="auto"/>
              </w:rPr>
              <w:t>Implementar un programa para el cumplimiento de las políticas y prácticas contables para la Administración Departamental</w:t>
            </w:r>
          </w:p>
        </w:tc>
        <w:tc>
          <w:tcPr>
            <w:tcW w:w="1075"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0</w:t>
            </w:r>
          </w:p>
        </w:tc>
        <w:tc>
          <w:tcPr>
            <w:tcW w:w="1843" w:type="dxa"/>
            <w:vAlign w:val="center"/>
          </w:tcPr>
          <w:p w:rsidR="00096426" w:rsidRPr="006E4590" w:rsidRDefault="00096426" w:rsidP="00D71F9C">
            <w:pPr>
              <w:spacing w:line="360" w:lineRule="auto"/>
              <w:jc w:val="center"/>
              <w:rPr>
                <w:rFonts w:ascii="Arial" w:hAnsi="Arial" w:cs="Arial"/>
                <w:sz w:val="24"/>
                <w:szCs w:val="24"/>
              </w:rPr>
            </w:pPr>
            <w:r w:rsidRPr="006E4590">
              <w:rPr>
                <w:rFonts w:ascii="Arial" w:hAnsi="Arial" w:cs="Arial"/>
                <w:sz w:val="24"/>
                <w:szCs w:val="24"/>
              </w:rPr>
              <w:t>1</w:t>
            </w:r>
          </w:p>
        </w:tc>
        <w:tc>
          <w:tcPr>
            <w:tcW w:w="3257" w:type="dxa"/>
            <w:vAlign w:val="center"/>
          </w:tcPr>
          <w:p w:rsidR="00096426" w:rsidRPr="006E4590" w:rsidRDefault="00096426" w:rsidP="00D71F9C">
            <w:pPr>
              <w:pStyle w:val="Default"/>
              <w:spacing w:line="360" w:lineRule="auto"/>
              <w:jc w:val="center"/>
            </w:pPr>
          </w:p>
          <w:p w:rsidR="00096426" w:rsidRPr="006E4590" w:rsidRDefault="00096426" w:rsidP="00D71F9C">
            <w:pPr>
              <w:pStyle w:val="Default"/>
              <w:spacing w:line="360" w:lineRule="auto"/>
              <w:jc w:val="center"/>
            </w:pPr>
            <w:r w:rsidRPr="006E4590">
              <w:rPr>
                <w:color w:val="auto"/>
              </w:rPr>
              <w:t>Programa para el cumplimiento de políticas contables implementado</w:t>
            </w:r>
          </w:p>
        </w:tc>
      </w:tr>
    </w:tbl>
    <w:p w:rsidR="006E4590" w:rsidRPr="00096426" w:rsidRDefault="006E4590" w:rsidP="006E4590">
      <w:pPr>
        <w:pStyle w:val="Default"/>
        <w:spacing w:line="360" w:lineRule="auto"/>
        <w:jc w:val="both"/>
        <w:rPr>
          <w:color w:val="auto"/>
          <w:lang w:val="es-CO"/>
        </w:rPr>
      </w:pPr>
    </w:p>
    <w:p w:rsidR="00096426" w:rsidRDefault="00096426" w:rsidP="006E4590">
      <w:pPr>
        <w:pStyle w:val="Default"/>
        <w:spacing w:line="360" w:lineRule="auto"/>
        <w:jc w:val="both"/>
        <w:rPr>
          <w:b/>
          <w:bCs/>
          <w:color w:val="auto"/>
        </w:rPr>
      </w:pPr>
    </w:p>
    <w:p w:rsidR="00096426" w:rsidRDefault="00096426" w:rsidP="006E4590">
      <w:pPr>
        <w:pStyle w:val="Default"/>
        <w:spacing w:line="360" w:lineRule="auto"/>
        <w:jc w:val="both"/>
        <w:rPr>
          <w:b/>
          <w:bCs/>
          <w:color w:val="auto"/>
        </w:rPr>
      </w:pPr>
    </w:p>
    <w:p w:rsidR="00096426" w:rsidRDefault="00096426" w:rsidP="006E4590">
      <w:pPr>
        <w:pStyle w:val="Default"/>
        <w:spacing w:line="360" w:lineRule="auto"/>
        <w:jc w:val="both"/>
        <w:rPr>
          <w:b/>
          <w:bCs/>
          <w:color w:val="auto"/>
        </w:rPr>
      </w:pPr>
    </w:p>
    <w:p w:rsidR="00096426" w:rsidRDefault="00096426">
      <w:pPr>
        <w:rPr>
          <w:rFonts w:ascii="Arial" w:eastAsia="Calibri" w:hAnsi="Arial" w:cs="Arial"/>
          <w:b/>
          <w:bCs/>
          <w:sz w:val="24"/>
          <w:szCs w:val="24"/>
          <w:lang w:val="es-ES"/>
        </w:rPr>
      </w:pPr>
      <w:r>
        <w:rPr>
          <w:b/>
          <w:bCs/>
        </w:rPr>
        <w:br w:type="page"/>
      </w:r>
    </w:p>
    <w:p w:rsidR="00096426" w:rsidRDefault="00096426" w:rsidP="006E4590">
      <w:pPr>
        <w:pStyle w:val="Default"/>
        <w:spacing w:line="360" w:lineRule="auto"/>
        <w:jc w:val="both"/>
        <w:rPr>
          <w:b/>
          <w:bCs/>
          <w:color w:val="auto"/>
        </w:rPr>
      </w:pPr>
    </w:p>
    <w:p w:rsidR="00096426" w:rsidRDefault="00096426" w:rsidP="006E4590">
      <w:pPr>
        <w:pStyle w:val="Default"/>
        <w:spacing w:line="360" w:lineRule="auto"/>
        <w:jc w:val="both"/>
        <w:rPr>
          <w:b/>
          <w:bCs/>
          <w:color w:val="auto"/>
        </w:rPr>
      </w:pPr>
      <w:r>
        <w:rPr>
          <w:b/>
          <w:bCs/>
          <w:color w:val="auto"/>
        </w:rPr>
        <w:t>PROCESOS DE FISCALIZACION</w:t>
      </w:r>
    </w:p>
    <w:p w:rsidR="00096426" w:rsidRDefault="00096426" w:rsidP="006E4590">
      <w:pPr>
        <w:pStyle w:val="Default"/>
        <w:spacing w:line="360" w:lineRule="auto"/>
        <w:jc w:val="both"/>
        <w:rPr>
          <w:b/>
          <w:bCs/>
          <w:color w:val="auto"/>
        </w:rPr>
      </w:pPr>
    </w:p>
    <w:p w:rsidR="006E4590" w:rsidRPr="006E4590" w:rsidRDefault="006E4590" w:rsidP="006E4590">
      <w:pPr>
        <w:pStyle w:val="Default"/>
        <w:spacing w:line="360" w:lineRule="auto"/>
        <w:jc w:val="both"/>
        <w:rPr>
          <w:color w:val="auto"/>
        </w:rPr>
      </w:pPr>
      <w:r w:rsidRPr="006E4590">
        <w:rPr>
          <w:b/>
          <w:bCs/>
          <w:color w:val="auto"/>
        </w:rPr>
        <w:t xml:space="preserve">IMPUESTO DE VEHÍCULOS AUTOMOTORES </w:t>
      </w:r>
      <w:r w:rsidRPr="006E4590">
        <w:rPr>
          <w:color w:val="auto"/>
        </w:rPr>
        <w:t xml:space="preserve">Implementación de un Programa de Fiscalización Tributaria con las siguientes actividades: </w:t>
      </w:r>
    </w:p>
    <w:p w:rsidR="006E4590" w:rsidRPr="006E4590" w:rsidRDefault="006E4590" w:rsidP="006E4590">
      <w:pPr>
        <w:pStyle w:val="Default"/>
        <w:numPr>
          <w:ilvl w:val="0"/>
          <w:numId w:val="17"/>
        </w:numPr>
        <w:spacing w:line="360" w:lineRule="auto"/>
        <w:jc w:val="both"/>
        <w:rPr>
          <w:color w:val="auto"/>
        </w:rPr>
      </w:pPr>
      <w:r w:rsidRPr="006E4590">
        <w:rPr>
          <w:color w:val="auto"/>
        </w:rPr>
        <w:t>Emplazamientos para Declarar</w:t>
      </w:r>
    </w:p>
    <w:p w:rsidR="006E4590" w:rsidRPr="006E4590" w:rsidRDefault="006E4590" w:rsidP="006E4590">
      <w:pPr>
        <w:pStyle w:val="Default"/>
        <w:numPr>
          <w:ilvl w:val="0"/>
          <w:numId w:val="17"/>
        </w:numPr>
        <w:spacing w:line="360" w:lineRule="auto"/>
        <w:jc w:val="both"/>
        <w:rPr>
          <w:color w:val="auto"/>
        </w:rPr>
      </w:pPr>
      <w:r w:rsidRPr="006E4590">
        <w:rPr>
          <w:color w:val="auto"/>
        </w:rPr>
        <w:t xml:space="preserve">Resoluciones por las cuales se Impone una Sanción por No Declarar </w:t>
      </w:r>
    </w:p>
    <w:p w:rsidR="006E4590" w:rsidRPr="006E4590" w:rsidRDefault="006E4590" w:rsidP="006E4590">
      <w:pPr>
        <w:pStyle w:val="Default"/>
        <w:numPr>
          <w:ilvl w:val="0"/>
          <w:numId w:val="17"/>
        </w:numPr>
        <w:spacing w:line="360" w:lineRule="auto"/>
        <w:jc w:val="both"/>
        <w:rPr>
          <w:color w:val="auto"/>
        </w:rPr>
      </w:pPr>
      <w:r w:rsidRPr="006E4590">
        <w:rPr>
          <w:color w:val="auto"/>
        </w:rPr>
        <w:t>Liquidaciones Oficiales de Aforo</w:t>
      </w:r>
    </w:p>
    <w:p w:rsidR="006E4590" w:rsidRPr="006E4590" w:rsidRDefault="006E4590" w:rsidP="006E4590">
      <w:pPr>
        <w:pStyle w:val="Default"/>
        <w:numPr>
          <w:ilvl w:val="0"/>
          <w:numId w:val="17"/>
        </w:numPr>
        <w:spacing w:line="360" w:lineRule="auto"/>
        <w:jc w:val="both"/>
        <w:rPr>
          <w:color w:val="auto"/>
        </w:rPr>
      </w:pPr>
      <w:r w:rsidRPr="006E4590">
        <w:rPr>
          <w:color w:val="auto"/>
        </w:rPr>
        <w:t>Cobros persuasivos a deudores del impuesto</w:t>
      </w:r>
    </w:p>
    <w:p w:rsidR="006E4590" w:rsidRPr="006E4590" w:rsidRDefault="006E4590" w:rsidP="006E4590">
      <w:pPr>
        <w:pStyle w:val="Default"/>
        <w:numPr>
          <w:ilvl w:val="0"/>
          <w:numId w:val="17"/>
        </w:numPr>
        <w:spacing w:line="360" w:lineRule="auto"/>
        <w:jc w:val="both"/>
        <w:rPr>
          <w:color w:val="auto"/>
        </w:rPr>
      </w:pPr>
      <w:r w:rsidRPr="006E4590">
        <w:rPr>
          <w:color w:val="auto"/>
        </w:rPr>
        <w:t>Priorización de cartera morosa</w:t>
      </w:r>
    </w:p>
    <w:p w:rsidR="006E4590" w:rsidRPr="006E4590" w:rsidRDefault="006E4590" w:rsidP="006E4590">
      <w:pPr>
        <w:pStyle w:val="Default"/>
        <w:numPr>
          <w:ilvl w:val="0"/>
          <w:numId w:val="17"/>
        </w:numPr>
        <w:spacing w:line="360" w:lineRule="auto"/>
        <w:jc w:val="both"/>
        <w:rPr>
          <w:color w:val="auto"/>
        </w:rPr>
      </w:pPr>
      <w:r w:rsidRPr="006E4590">
        <w:rPr>
          <w:color w:val="auto"/>
        </w:rPr>
        <w:t>Mandamientos de Pago</w:t>
      </w:r>
    </w:p>
    <w:p w:rsidR="006E4590" w:rsidRPr="006E4590" w:rsidRDefault="006E4590" w:rsidP="006E4590">
      <w:pPr>
        <w:pStyle w:val="Default"/>
        <w:numPr>
          <w:ilvl w:val="0"/>
          <w:numId w:val="17"/>
        </w:numPr>
        <w:spacing w:line="360" w:lineRule="auto"/>
        <w:jc w:val="both"/>
        <w:rPr>
          <w:color w:val="auto"/>
        </w:rPr>
      </w:pPr>
      <w:r w:rsidRPr="006E4590">
        <w:rPr>
          <w:color w:val="auto"/>
        </w:rPr>
        <w:t>Investigación de bienes a propietarios de vehículos en estado de morosidad.</w:t>
      </w:r>
    </w:p>
    <w:p w:rsidR="006E4590" w:rsidRPr="006E4590" w:rsidRDefault="006E4590" w:rsidP="006E4590">
      <w:pPr>
        <w:pStyle w:val="Default"/>
        <w:numPr>
          <w:ilvl w:val="0"/>
          <w:numId w:val="17"/>
        </w:numPr>
        <w:spacing w:line="360" w:lineRule="auto"/>
        <w:jc w:val="both"/>
        <w:rPr>
          <w:color w:val="auto"/>
        </w:rPr>
      </w:pPr>
      <w:r w:rsidRPr="006E4590">
        <w:rPr>
          <w:color w:val="auto"/>
        </w:rPr>
        <w:t>Aplicación de medidas cautelares sobre cuentas bancarias y bienes de contribuyentes.</w:t>
      </w:r>
    </w:p>
    <w:p w:rsidR="006E4590" w:rsidRPr="006E4590" w:rsidRDefault="006E4590" w:rsidP="006E4590">
      <w:pPr>
        <w:pStyle w:val="Default"/>
        <w:numPr>
          <w:ilvl w:val="0"/>
          <w:numId w:val="17"/>
        </w:numPr>
        <w:spacing w:line="360" w:lineRule="auto"/>
        <w:jc w:val="both"/>
        <w:rPr>
          <w:color w:val="auto"/>
        </w:rPr>
      </w:pPr>
      <w:r w:rsidRPr="006E4590">
        <w:rPr>
          <w:color w:val="auto"/>
        </w:rPr>
        <w:t>Ordenes de Ejecución</w:t>
      </w:r>
    </w:p>
    <w:p w:rsidR="006E4590" w:rsidRPr="006E4590" w:rsidRDefault="006E4590" w:rsidP="006E4590">
      <w:pPr>
        <w:pStyle w:val="Default"/>
        <w:numPr>
          <w:ilvl w:val="0"/>
          <w:numId w:val="17"/>
        </w:numPr>
        <w:spacing w:line="360" w:lineRule="auto"/>
        <w:jc w:val="both"/>
        <w:rPr>
          <w:color w:val="auto"/>
        </w:rPr>
      </w:pPr>
      <w:r w:rsidRPr="006E4590">
        <w:rPr>
          <w:color w:val="auto"/>
        </w:rPr>
        <w:t>Liquidaciones del Crédito</w:t>
      </w:r>
    </w:p>
    <w:p w:rsidR="006E4590" w:rsidRPr="006E4590" w:rsidRDefault="006E4590" w:rsidP="006E4590">
      <w:pPr>
        <w:pStyle w:val="Default"/>
        <w:numPr>
          <w:ilvl w:val="0"/>
          <w:numId w:val="17"/>
        </w:numPr>
        <w:spacing w:line="360" w:lineRule="auto"/>
        <w:jc w:val="both"/>
        <w:rPr>
          <w:color w:val="auto"/>
        </w:rPr>
      </w:pPr>
      <w:r w:rsidRPr="006E4590">
        <w:rPr>
          <w:color w:val="auto"/>
        </w:rPr>
        <w:t xml:space="preserve">Sincronización y actualización de base de datos con los Organismos de tránsito del Departamento del Quindío. </w:t>
      </w:r>
    </w:p>
    <w:p w:rsidR="00DD4249" w:rsidRDefault="00DD4249" w:rsidP="006E4590">
      <w:pPr>
        <w:spacing w:line="360" w:lineRule="auto"/>
        <w:jc w:val="both"/>
        <w:rPr>
          <w:rFonts w:ascii="Arial" w:hAnsi="Arial" w:cs="Arial"/>
          <w:b/>
          <w:bCs/>
          <w:sz w:val="24"/>
          <w:szCs w:val="24"/>
        </w:rPr>
      </w:pPr>
    </w:p>
    <w:p w:rsidR="006E4590" w:rsidRPr="006E4590" w:rsidRDefault="006E4590" w:rsidP="006E4590">
      <w:pPr>
        <w:spacing w:line="360" w:lineRule="auto"/>
        <w:jc w:val="both"/>
        <w:rPr>
          <w:rFonts w:ascii="Arial" w:hAnsi="Arial" w:cs="Arial"/>
          <w:b/>
          <w:bCs/>
          <w:sz w:val="24"/>
          <w:szCs w:val="24"/>
        </w:rPr>
      </w:pPr>
      <w:r w:rsidRPr="006E4590">
        <w:rPr>
          <w:rFonts w:ascii="Arial" w:hAnsi="Arial" w:cs="Arial"/>
          <w:b/>
          <w:bCs/>
          <w:sz w:val="24"/>
          <w:szCs w:val="24"/>
        </w:rPr>
        <w:t xml:space="preserve">IMPUESTO DE REGISTRO </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t>• A través de la Ventanilla Única de Registro (VUR), la Dirección Tributaria de la Secretaría de Hacienda,  realiza en tiempo real la conciliación con los Municipios en notarías, Cámara de Comercio de Armenia y Oficinas de Registro de Instrumentos Públicos del Departamento del Quindío, de los valores liquidados por Concepto del Impuesto de Registro que hayan sido causados frente a los actos o negocios jurídicos sujetos al pago de dicho tributo.</w:t>
      </w:r>
    </w:p>
    <w:p w:rsidR="006E4590" w:rsidRPr="006E4590" w:rsidRDefault="006E4590" w:rsidP="006E4590">
      <w:pPr>
        <w:spacing w:line="360" w:lineRule="auto"/>
        <w:jc w:val="both"/>
        <w:rPr>
          <w:rFonts w:ascii="Arial" w:hAnsi="Arial" w:cs="Arial"/>
          <w:b/>
          <w:bCs/>
          <w:sz w:val="24"/>
          <w:szCs w:val="24"/>
        </w:rPr>
      </w:pPr>
      <w:r w:rsidRPr="006E4590">
        <w:rPr>
          <w:rFonts w:ascii="Arial" w:hAnsi="Arial" w:cs="Arial"/>
          <w:b/>
          <w:bCs/>
          <w:sz w:val="24"/>
          <w:szCs w:val="24"/>
        </w:rPr>
        <w:t>IMPUESTO AL CONSUMO (licores, vinos, aperitivos, similares, cerveza, cigarrillo y tabaco elaborado)</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t>• Fiscalización y cobro coactivo a los contribuyentes del Impuesto al Consumo que presenten inexactitudes y omisiones en las declaraciones del Impuesto.</w:t>
      </w:r>
    </w:p>
    <w:p w:rsidR="006E4590" w:rsidRPr="006E4590" w:rsidRDefault="006E4590" w:rsidP="006E4590">
      <w:pPr>
        <w:spacing w:line="360" w:lineRule="auto"/>
        <w:jc w:val="both"/>
        <w:rPr>
          <w:rFonts w:ascii="Arial" w:hAnsi="Arial" w:cs="Arial"/>
          <w:b/>
          <w:bCs/>
          <w:sz w:val="24"/>
          <w:szCs w:val="24"/>
        </w:rPr>
      </w:pPr>
      <w:r w:rsidRPr="006E4590">
        <w:rPr>
          <w:rFonts w:ascii="Arial" w:hAnsi="Arial" w:cs="Arial"/>
          <w:sz w:val="24"/>
          <w:szCs w:val="24"/>
        </w:rPr>
        <w:lastRenderedPageBreak/>
        <w:t>• Trámite de Procesos administrativos sancionatorios por infracción de las normas de Impuesto al Consumo.</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t xml:space="preserve">• Ejecución del Programa  Anti-contrabando suscrito con la Federación Nacional de Departamentos. </w:t>
      </w:r>
    </w:p>
    <w:p w:rsidR="006E4590" w:rsidRPr="006E4590" w:rsidRDefault="006E4590" w:rsidP="006E4590">
      <w:pPr>
        <w:spacing w:line="360" w:lineRule="auto"/>
        <w:jc w:val="both"/>
        <w:rPr>
          <w:rFonts w:ascii="Arial" w:hAnsi="Arial" w:cs="Arial"/>
          <w:b/>
          <w:bCs/>
          <w:sz w:val="24"/>
          <w:szCs w:val="24"/>
        </w:rPr>
      </w:pPr>
      <w:r w:rsidRPr="006E4590">
        <w:rPr>
          <w:rFonts w:ascii="Arial" w:hAnsi="Arial" w:cs="Arial"/>
          <w:b/>
          <w:bCs/>
          <w:sz w:val="24"/>
          <w:szCs w:val="24"/>
        </w:rPr>
        <w:t xml:space="preserve">IMPUESTO DE DEGÜELLO DE GANADO MAYOR </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t xml:space="preserve">• Auditorías de fiscalización y control. </w:t>
      </w:r>
    </w:p>
    <w:p w:rsidR="006E4590" w:rsidRPr="006E4590" w:rsidRDefault="006E4590" w:rsidP="006E4590">
      <w:pPr>
        <w:spacing w:line="360" w:lineRule="auto"/>
        <w:jc w:val="both"/>
        <w:rPr>
          <w:rFonts w:ascii="Arial" w:hAnsi="Arial" w:cs="Arial"/>
          <w:b/>
          <w:bCs/>
          <w:sz w:val="24"/>
          <w:szCs w:val="24"/>
        </w:rPr>
      </w:pPr>
      <w:r w:rsidRPr="006E4590">
        <w:rPr>
          <w:rFonts w:ascii="Arial" w:hAnsi="Arial" w:cs="Arial"/>
          <w:b/>
          <w:bCs/>
          <w:sz w:val="24"/>
          <w:szCs w:val="24"/>
        </w:rPr>
        <w:t xml:space="preserve">SOBRETASA A LA GASOLINA </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t xml:space="preserve">• Auditorías, cruces de información y trazabilidad a todas las Estaciones de Servicio del Departamento del Quindío. </w:t>
      </w:r>
    </w:p>
    <w:p w:rsidR="006E4590" w:rsidRPr="006E4590" w:rsidRDefault="006E4590" w:rsidP="006E4590">
      <w:pPr>
        <w:spacing w:line="360" w:lineRule="auto"/>
        <w:jc w:val="both"/>
        <w:rPr>
          <w:rFonts w:ascii="Arial" w:hAnsi="Arial" w:cs="Arial"/>
          <w:sz w:val="24"/>
          <w:szCs w:val="24"/>
        </w:rPr>
      </w:pPr>
      <w:r w:rsidRPr="006E4590">
        <w:rPr>
          <w:rFonts w:ascii="Arial" w:hAnsi="Arial" w:cs="Arial"/>
          <w:b/>
          <w:bCs/>
          <w:sz w:val="24"/>
          <w:szCs w:val="24"/>
        </w:rPr>
        <w:t xml:space="preserve">ESTAMPILLAS DEPARTAMENTALES: </w:t>
      </w:r>
      <w:r w:rsidRPr="006E4590">
        <w:rPr>
          <w:rFonts w:ascii="Arial" w:hAnsi="Arial" w:cs="Arial"/>
          <w:sz w:val="24"/>
          <w:szCs w:val="24"/>
        </w:rPr>
        <w:t>Pro-desarrollo, Pro-Hospital, Pro-cultura, Pro- adulto mayor, y Pro-Universidad.</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t xml:space="preserve"> • Auditorías de fiscalización y control.</w:t>
      </w:r>
    </w:p>
    <w:p w:rsidR="006E4590" w:rsidRPr="006E4590" w:rsidRDefault="006E4590" w:rsidP="006E4590">
      <w:pPr>
        <w:spacing w:line="360" w:lineRule="auto"/>
        <w:jc w:val="both"/>
        <w:rPr>
          <w:rFonts w:ascii="Arial" w:hAnsi="Arial" w:cs="Arial"/>
          <w:sz w:val="24"/>
          <w:szCs w:val="24"/>
        </w:rPr>
      </w:pPr>
      <w:r w:rsidRPr="006E4590">
        <w:rPr>
          <w:rFonts w:ascii="Arial" w:hAnsi="Arial" w:cs="Arial"/>
          <w:sz w:val="24"/>
          <w:szCs w:val="24"/>
        </w:rPr>
        <w:t>• Visitas de inspección tributaria a las diferentes entidades recaudadoras.</w:t>
      </w:r>
    </w:p>
    <w:p w:rsidR="002B6349" w:rsidRDefault="002B6349" w:rsidP="006E4590">
      <w:pPr>
        <w:spacing w:line="360" w:lineRule="auto"/>
        <w:jc w:val="both"/>
        <w:rPr>
          <w:rFonts w:ascii="Arial" w:hAnsi="Arial" w:cs="Arial"/>
          <w:sz w:val="24"/>
          <w:szCs w:val="24"/>
        </w:rPr>
      </w:pPr>
    </w:p>
    <w:p w:rsidR="002B6349" w:rsidRPr="00DD4249" w:rsidRDefault="00DD4249" w:rsidP="006E4590">
      <w:pPr>
        <w:spacing w:line="360" w:lineRule="auto"/>
        <w:jc w:val="both"/>
        <w:rPr>
          <w:rStyle w:val="Ttulo2Car"/>
          <w:rFonts w:eastAsiaTheme="minorHAnsi"/>
        </w:rPr>
      </w:pPr>
      <w:bookmarkStart w:id="52" w:name="_Toc495334928"/>
      <w:r w:rsidRPr="00DD4249">
        <w:rPr>
          <w:rStyle w:val="Ttulo2Car"/>
          <w:rFonts w:eastAsiaTheme="minorHAnsi"/>
        </w:rPr>
        <w:t>6.1.</w:t>
      </w:r>
      <w:bookmarkEnd w:id="52"/>
      <w:r>
        <w:rPr>
          <w:rFonts w:ascii="Arial" w:hAnsi="Arial" w:cs="Arial"/>
          <w:b/>
          <w:sz w:val="24"/>
          <w:szCs w:val="24"/>
        </w:rPr>
        <w:t xml:space="preserve"> </w:t>
      </w:r>
      <w:r w:rsidR="002B6349" w:rsidRPr="00DD4249">
        <w:rPr>
          <w:rStyle w:val="Ttulo2Car"/>
          <w:rFonts w:eastAsiaTheme="minorHAnsi"/>
        </w:rPr>
        <w:t>CRONOGRAMA DE EJECUCION DE ACCIONES Y MEDIDAS QUE SUSTENTAN EL CUMPLIMIENTO DE METAS</w:t>
      </w:r>
    </w:p>
    <w:p w:rsidR="006E4590" w:rsidRDefault="006E4590" w:rsidP="006E4590">
      <w:pPr>
        <w:spacing w:line="360" w:lineRule="auto"/>
        <w:jc w:val="both"/>
        <w:rPr>
          <w:rFonts w:ascii="Arial" w:hAnsi="Arial" w:cs="Arial"/>
          <w:sz w:val="24"/>
          <w:szCs w:val="24"/>
        </w:rPr>
      </w:pPr>
      <w:r w:rsidRPr="006E4590">
        <w:rPr>
          <w:rFonts w:ascii="Arial" w:hAnsi="Arial" w:cs="Arial"/>
          <w:sz w:val="24"/>
          <w:szCs w:val="24"/>
        </w:rPr>
        <w:t xml:space="preserve">En el cuadro anexo podrá evidenciarse la distribución </w:t>
      </w:r>
      <w:r w:rsidR="00FB3270">
        <w:rPr>
          <w:rFonts w:ascii="Arial" w:hAnsi="Arial" w:cs="Arial"/>
          <w:sz w:val="24"/>
          <w:szCs w:val="24"/>
        </w:rPr>
        <w:t xml:space="preserve">de las actividades ya descritas mediante sus respectivos cronogramas de ejecución de acuerdo a la estructura del Kit Financiero del Departamento Nacional de Planeación. </w:t>
      </w:r>
    </w:p>
    <w:p w:rsidR="00390B6F" w:rsidRPr="00096426" w:rsidRDefault="00390B6F" w:rsidP="006E4590">
      <w:pPr>
        <w:spacing w:line="360" w:lineRule="auto"/>
        <w:jc w:val="both"/>
        <w:rPr>
          <w:rFonts w:ascii="Arial" w:hAnsi="Arial" w:cs="Arial"/>
          <w:sz w:val="24"/>
          <w:szCs w:val="24"/>
        </w:rPr>
      </w:pPr>
    </w:p>
    <w:p w:rsidR="007638EE" w:rsidRPr="006E4590" w:rsidRDefault="007638EE" w:rsidP="006E45D8">
      <w:pPr>
        <w:spacing w:line="360" w:lineRule="auto"/>
        <w:jc w:val="both"/>
        <w:rPr>
          <w:rFonts w:ascii="Arial" w:hAnsi="Arial" w:cs="Arial"/>
          <w:sz w:val="24"/>
          <w:szCs w:val="24"/>
          <w:lang w:val="es-MX"/>
        </w:rPr>
      </w:pPr>
    </w:p>
    <w:p w:rsidR="007638EE" w:rsidRDefault="007638EE" w:rsidP="006E45D8">
      <w:pPr>
        <w:spacing w:line="360" w:lineRule="auto"/>
        <w:jc w:val="both"/>
        <w:rPr>
          <w:rFonts w:ascii="Arial" w:hAnsi="Arial" w:cs="Arial"/>
          <w:sz w:val="24"/>
          <w:szCs w:val="24"/>
        </w:rPr>
      </w:pPr>
    </w:p>
    <w:p w:rsidR="006E4590" w:rsidRDefault="006E4590">
      <w:pPr>
        <w:rPr>
          <w:noProof/>
          <w:lang w:eastAsia="es-CO"/>
        </w:rPr>
        <w:sectPr w:rsidR="006E4590" w:rsidSect="004E73AA">
          <w:pgSz w:w="12240" w:h="15840" w:code="1"/>
          <w:pgMar w:top="1418" w:right="1701" w:bottom="1418" w:left="1701" w:header="709" w:footer="709" w:gutter="0"/>
          <w:paperSrc w:first="15"/>
          <w:cols w:space="708"/>
          <w:titlePg/>
          <w:docGrid w:linePitch="360"/>
        </w:sectPr>
      </w:pPr>
      <w:r>
        <w:rPr>
          <w:noProof/>
          <w:lang w:eastAsia="es-CO"/>
        </w:rPr>
        <w:br w:type="page"/>
      </w:r>
    </w:p>
    <w:p w:rsidR="006E4590" w:rsidRPr="00DD4249" w:rsidRDefault="006E4590" w:rsidP="00DD4249">
      <w:pPr>
        <w:rPr>
          <w:rFonts w:ascii="Arial" w:hAnsi="Arial" w:cs="Arial"/>
          <w:b/>
          <w:noProof/>
        </w:rPr>
        <w:sectPr w:rsidR="006E4590" w:rsidRPr="00DD4249" w:rsidSect="008A5244">
          <w:pgSz w:w="15842" w:h="12242" w:orient="landscape" w:code="1"/>
          <w:pgMar w:top="1701" w:right="1418" w:bottom="1701" w:left="1418" w:header="709" w:footer="709" w:gutter="0"/>
          <w:cols w:space="708"/>
          <w:titlePg/>
          <w:docGrid w:linePitch="360"/>
        </w:sectPr>
      </w:pPr>
      <w:r w:rsidRPr="00DD4249">
        <w:rPr>
          <w:rFonts w:ascii="Arial" w:hAnsi="Arial" w:cs="Arial"/>
          <w:b/>
          <w:noProof/>
          <w:sz w:val="24"/>
          <w:lang w:eastAsia="es-CO"/>
        </w:rPr>
        <w:lastRenderedPageBreak/>
        <w:drawing>
          <wp:anchor distT="0" distB="0" distL="114300" distR="114300" simplePos="0" relativeHeight="251655680" behindDoc="0" locked="0" layoutInCell="1" allowOverlap="1" wp14:anchorId="7E0FB726" wp14:editId="3BF2322D">
            <wp:simplePos x="0" y="0"/>
            <wp:positionH relativeFrom="margin">
              <wp:align>right</wp:align>
            </wp:positionH>
            <wp:positionV relativeFrom="paragraph">
              <wp:posOffset>676275</wp:posOffset>
            </wp:positionV>
            <wp:extent cx="8502650" cy="4929505"/>
            <wp:effectExtent l="0" t="0" r="0" b="4445"/>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02650" cy="492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249">
        <w:rPr>
          <w:rFonts w:ascii="Arial" w:hAnsi="Arial" w:cs="Arial"/>
          <w:b/>
          <w:noProof/>
          <w:sz w:val="24"/>
        </w:rPr>
        <w:t xml:space="preserve">IMPUESTO SOBRE VEHICULOS AUTOMOTORES </w:t>
      </w:r>
      <w:r w:rsidRPr="00DD4249">
        <w:rPr>
          <w:rFonts w:ascii="Arial" w:hAnsi="Arial" w:cs="Arial"/>
          <w:b/>
          <w:noProof/>
        </w:rPr>
        <w:t xml:space="preserve"> </w:t>
      </w:r>
    </w:p>
    <w:p w:rsidR="002C2380" w:rsidRPr="00DD4249" w:rsidRDefault="008A5244" w:rsidP="00DD4249">
      <w:pPr>
        <w:rPr>
          <w:rFonts w:ascii="Arial" w:hAnsi="Arial" w:cs="Arial"/>
          <w:b/>
        </w:rPr>
      </w:pPr>
      <w:r w:rsidRPr="00DD4249">
        <w:rPr>
          <w:rFonts w:ascii="Arial" w:hAnsi="Arial" w:cs="Arial"/>
          <w:b/>
          <w:noProof/>
          <w:sz w:val="24"/>
          <w:lang w:eastAsia="es-CO"/>
        </w:rPr>
        <w:lastRenderedPageBreak/>
        <w:drawing>
          <wp:anchor distT="0" distB="0" distL="114300" distR="114300" simplePos="0" relativeHeight="251648512" behindDoc="0" locked="0" layoutInCell="1" allowOverlap="1" wp14:anchorId="557BCE79" wp14:editId="09ACE7E7">
            <wp:simplePos x="0" y="0"/>
            <wp:positionH relativeFrom="margin">
              <wp:align>left</wp:align>
            </wp:positionH>
            <wp:positionV relativeFrom="paragraph">
              <wp:posOffset>453390</wp:posOffset>
            </wp:positionV>
            <wp:extent cx="8067675" cy="3594735"/>
            <wp:effectExtent l="0" t="0" r="9525" b="5715"/>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67675" cy="359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380" w:rsidRPr="00DD4249">
        <w:rPr>
          <w:rFonts w:ascii="Arial" w:hAnsi="Arial" w:cs="Arial"/>
          <w:b/>
          <w:sz w:val="24"/>
        </w:rPr>
        <w:t>IMPUESTO AL REGIST</w:t>
      </w:r>
      <w:r w:rsidR="0025723F" w:rsidRPr="00DD4249">
        <w:rPr>
          <w:rFonts w:ascii="Arial" w:hAnsi="Arial" w:cs="Arial"/>
          <w:b/>
          <w:sz w:val="24"/>
        </w:rPr>
        <w:t>R</w:t>
      </w:r>
      <w:r w:rsidR="002C2380" w:rsidRPr="00DD4249">
        <w:rPr>
          <w:rFonts w:ascii="Arial" w:hAnsi="Arial" w:cs="Arial"/>
          <w:b/>
          <w:sz w:val="24"/>
        </w:rPr>
        <w:t>O</w:t>
      </w:r>
    </w:p>
    <w:p w:rsidR="002C2380" w:rsidRDefault="002C2380" w:rsidP="0058012A">
      <w:pPr>
        <w:pStyle w:val="Ttulo2"/>
        <w:numPr>
          <w:ilvl w:val="0"/>
          <w:numId w:val="0"/>
        </w:numPr>
        <w:jc w:val="both"/>
      </w:pPr>
    </w:p>
    <w:p w:rsidR="002C2380" w:rsidRDefault="002C2380" w:rsidP="002C2380"/>
    <w:p w:rsidR="002C2380" w:rsidRPr="002C2380" w:rsidRDefault="002C2380" w:rsidP="002C2380">
      <w:pPr>
        <w:sectPr w:rsidR="002C2380" w:rsidRPr="002C2380" w:rsidSect="008A5244">
          <w:pgSz w:w="15842" w:h="12242" w:orient="landscape" w:code="1"/>
          <w:pgMar w:top="1701" w:right="1418" w:bottom="1701" w:left="1418" w:header="709" w:footer="709" w:gutter="0"/>
          <w:cols w:space="708"/>
          <w:titlePg/>
          <w:docGrid w:linePitch="360"/>
        </w:sectPr>
      </w:pPr>
    </w:p>
    <w:p w:rsidR="002C2380" w:rsidRPr="00DD4249" w:rsidRDefault="002C2380" w:rsidP="00DD4249">
      <w:pPr>
        <w:rPr>
          <w:rFonts w:ascii="Arial" w:hAnsi="Arial" w:cs="Arial"/>
          <w:b/>
          <w:sz w:val="24"/>
        </w:rPr>
      </w:pPr>
      <w:r w:rsidRPr="00DD4249">
        <w:rPr>
          <w:rFonts w:ascii="Arial" w:hAnsi="Arial" w:cs="Arial"/>
          <w:b/>
          <w:sz w:val="24"/>
        </w:rPr>
        <w:lastRenderedPageBreak/>
        <w:t>IMPUESTO AL CONSUMO</w:t>
      </w:r>
    </w:p>
    <w:p w:rsidR="002C2380" w:rsidRDefault="002C2380" w:rsidP="002C2380">
      <w:r w:rsidRPr="002C2380">
        <w:rPr>
          <w:noProof/>
          <w:lang w:eastAsia="es-CO"/>
        </w:rPr>
        <w:drawing>
          <wp:anchor distT="0" distB="0" distL="114300" distR="114300" simplePos="0" relativeHeight="251653632" behindDoc="0" locked="0" layoutInCell="1" allowOverlap="1" wp14:anchorId="49494AA1" wp14:editId="1BC0E7CB">
            <wp:simplePos x="0" y="0"/>
            <wp:positionH relativeFrom="margin">
              <wp:align>right</wp:align>
            </wp:positionH>
            <wp:positionV relativeFrom="paragraph">
              <wp:posOffset>191135</wp:posOffset>
            </wp:positionV>
            <wp:extent cx="8241030" cy="3681095"/>
            <wp:effectExtent l="0" t="0" r="762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241030" cy="368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2380" w:rsidRDefault="002C2380" w:rsidP="002C2380"/>
    <w:p w:rsidR="002C2380" w:rsidRPr="002C2380" w:rsidRDefault="002C2380" w:rsidP="002C2380"/>
    <w:p w:rsidR="002C2380" w:rsidRPr="002C2380" w:rsidRDefault="002C2380" w:rsidP="008A5244">
      <w:pPr>
        <w:tabs>
          <w:tab w:val="left" w:pos="2010"/>
        </w:tabs>
      </w:pPr>
      <w:r>
        <w:tab/>
      </w:r>
    </w:p>
    <w:p w:rsidR="002C2380" w:rsidRPr="002C2380" w:rsidRDefault="002C2380" w:rsidP="002C2380"/>
    <w:p w:rsidR="002C2380" w:rsidRPr="002C2380" w:rsidRDefault="002C2380" w:rsidP="002C2380"/>
    <w:p w:rsidR="002C2380" w:rsidRPr="002C2380" w:rsidRDefault="002C2380" w:rsidP="002C2380">
      <w:pPr>
        <w:sectPr w:rsidR="002C2380" w:rsidRPr="002C2380" w:rsidSect="008A5244">
          <w:pgSz w:w="15842" w:h="12242" w:orient="landscape" w:code="1"/>
          <w:pgMar w:top="1701" w:right="1418" w:bottom="1701" w:left="1418" w:header="709" w:footer="709" w:gutter="0"/>
          <w:cols w:space="708"/>
          <w:titlePg/>
          <w:docGrid w:linePitch="360"/>
        </w:sectPr>
      </w:pPr>
    </w:p>
    <w:p w:rsidR="002C2380" w:rsidRDefault="002C2380">
      <w:pPr>
        <w:rPr>
          <w:rFonts w:ascii="Arial" w:eastAsia="Times New Roman" w:hAnsi="Arial" w:cs="Times New Roman"/>
          <w:b/>
          <w:bCs/>
          <w:sz w:val="28"/>
          <w:szCs w:val="26"/>
        </w:rPr>
      </w:pPr>
    </w:p>
    <w:p w:rsidR="002C2380" w:rsidRPr="00DD4249" w:rsidRDefault="002C2380" w:rsidP="00DD4249">
      <w:pPr>
        <w:rPr>
          <w:rFonts w:ascii="Arial" w:hAnsi="Arial" w:cs="Arial"/>
          <w:b/>
        </w:rPr>
      </w:pPr>
      <w:r w:rsidRPr="00DD4249">
        <w:rPr>
          <w:rFonts w:ascii="Arial" w:hAnsi="Arial" w:cs="Arial"/>
          <w:b/>
          <w:sz w:val="24"/>
        </w:rPr>
        <w:t>IMPUESTO DEGUELLO AL GANADO MAYOR</w:t>
      </w:r>
      <w:r w:rsidRPr="00DD4249">
        <w:rPr>
          <w:rFonts w:ascii="Arial" w:hAnsi="Arial" w:cs="Arial"/>
          <w:b/>
        </w:rPr>
        <w:t xml:space="preserve"> </w:t>
      </w:r>
    </w:p>
    <w:p w:rsidR="002C2380" w:rsidRDefault="002C2380" w:rsidP="002C2380"/>
    <w:p w:rsidR="002C2380" w:rsidRDefault="002C2380" w:rsidP="002C2380">
      <w:r w:rsidRPr="002C2380">
        <w:rPr>
          <w:noProof/>
          <w:lang w:eastAsia="es-CO"/>
        </w:rPr>
        <w:drawing>
          <wp:inline distT="0" distB="0" distL="0" distR="0" wp14:anchorId="52892066" wp14:editId="71ACD819">
            <wp:extent cx="8193974" cy="156271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71943" cy="1577588"/>
                    </a:xfrm>
                    <a:prstGeom prst="rect">
                      <a:avLst/>
                    </a:prstGeom>
                    <a:noFill/>
                    <a:ln>
                      <a:noFill/>
                    </a:ln>
                  </pic:spPr>
                </pic:pic>
              </a:graphicData>
            </a:graphic>
          </wp:inline>
        </w:drawing>
      </w:r>
    </w:p>
    <w:p w:rsidR="002C2380" w:rsidRDefault="002C2380" w:rsidP="002C2380"/>
    <w:p w:rsidR="002C2380" w:rsidRPr="00DD4249" w:rsidRDefault="002C2380" w:rsidP="00DD4249">
      <w:pPr>
        <w:rPr>
          <w:rFonts w:ascii="Arial" w:hAnsi="Arial" w:cs="Arial"/>
          <w:b/>
          <w:sz w:val="24"/>
        </w:rPr>
      </w:pPr>
      <w:r w:rsidRPr="00DD4249">
        <w:rPr>
          <w:rFonts w:ascii="Arial" w:hAnsi="Arial" w:cs="Arial"/>
          <w:b/>
          <w:sz w:val="24"/>
        </w:rPr>
        <w:t xml:space="preserve">IMPUESTO SOBRETASA A LA GASOLINA </w:t>
      </w:r>
    </w:p>
    <w:p w:rsidR="002C2380" w:rsidRDefault="002C2380" w:rsidP="002C2380"/>
    <w:p w:rsidR="002C2380" w:rsidRPr="002C2380" w:rsidRDefault="002C2380" w:rsidP="002C2380">
      <w:pPr>
        <w:sectPr w:rsidR="002C2380" w:rsidRPr="002C2380" w:rsidSect="008A5244">
          <w:pgSz w:w="15842" w:h="12242" w:orient="landscape" w:code="1"/>
          <w:pgMar w:top="1701" w:right="1418" w:bottom="1701" w:left="1418" w:header="709" w:footer="709" w:gutter="0"/>
          <w:cols w:space="708"/>
          <w:titlePg/>
          <w:docGrid w:linePitch="360"/>
        </w:sectPr>
      </w:pPr>
      <w:r w:rsidRPr="002C2380">
        <w:rPr>
          <w:noProof/>
          <w:lang w:eastAsia="es-CO"/>
        </w:rPr>
        <w:drawing>
          <wp:inline distT="0" distB="0" distL="0" distR="0" wp14:anchorId="0EEB1844" wp14:editId="6C0EB2CE">
            <wp:extent cx="8170223" cy="1630016"/>
            <wp:effectExtent l="0" t="0" r="254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11054" cy="1638162"/>
                    </a:xfrm>
                    <a:prstGeom prst="rect">
                      <a:avLst/>
                    </a:prstGeom>
                    <a:noFill/>
                    <a:ln>
                      <a:noFill/>
                    </a:ln>
                  </pic:spPr>
                </pic:pic>
              </a:graphicData>
            </a:graphic>
          </wp:inline>
        </w:drawing>
      </w:r>
    </w:p>
    <w:p w:rsidR="002C2380" w:rsidRPr="00DD4249" w:rsidRDefault="007E5037" w:rsidP="00DD4249">
      <w:pPr>
        <w:rPr>
          <w:rFonts w:ascii="Arial" w:hAnsi="Arial" w:cs="Arial"/>
          <w:b/>
        </w:rPr>
      </w:pPr>
      <w:r w:rsidRPr="00DD4249">
        <w:rPr>
          <w:rFonts w:ascii="Arial" w:hAnsi="Arial" w:cs="Arial"/>
          <w:b/>
          <w:sz w:val="24"/>
        </w:rPr>
        <w:lastRenderedPageBreak/>
        <w:t>ESTAMPILLAS DEPARTAMENTALES</w:t>
      </w:r>
      <w:r w:rsidR="00E968E5" w:rsidRPr="00DD4249">
        <w:rPr>
          <w:rFonts w:ascii="Arial" w:hAnsi="Arial" w:cs="Arial"/>
          <w:b/>
        </w:rPr>
        <w:tab/>
      </w:r>
    </w:p>
    <w:p w:rsidR="002C2380" w:rsidRDefault="002C2380"/>
    <w:p w:rsidR="002C2380" w:rsidRDefault="002C2380"/>
    <w:p w:rsidR="007E5037" w:rsidRDefault="002C2380">
      <w:r w:rsidRPr="002C2380">
        <w:rPr>
          <w:noProof/>
          <w:lang w:eastAsia="es-CO"/>
        </w:rPr>
        <w:drawing>
          <wp:inline distT="0" distB="0" distL="0" distR="0" wp14:anchorId="0AEE7B54" wp14:editId="79FE0DF8">
            <wp:extent cx="8217724" cy="217297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334034" cy="2203725"/>
                    </a:xfrm>
                    <a:prstGeom prst="rect">
                      <a:avLst/>
                    </a:prstGeom>
                    <a:noFill/>
                    <a:ln>
                      <a:noFill/>
                    </a:ln>
                  </pic:spPr>
                </pic:pic>
              </a:graphicData>
            </a:graphic>
          </wp:inline>
        </w:drawing>
      </w:r>
    </w:p>
    <w:p w:rsidR="007E5037" w:rsidRDefault="007E5037" w:rsidP="007E5037"/>
    <w:p w:rsidR="001C3ADC" w:rsidRDefault="001C3ADC" w:rsidP="007E5037"/>
    <w:p w:rsidR="00E968E5" w:rsidRDefault="00E968E5" w:rsidP="007E5037"/>
    <w:p w:rsidR="00E968E5" w:rsidRDefault="00E968E5" w:rsidP="007E5037"/>
    <w:p w:rsidR="00E968E5" w:rsidRDefault="00E968E5" w:rsidP="007E5037"/>
    <w:p w:rsidR="00E968E5" w:rsidRDefault="00E968E5" w:rsidP="007E5037"/>
    <w:p w:rsidR="00E968E5" w:rsidRDefault="00E968E5" w:rsidP="007E5037"/>
    <w:p w:rsidR="00E968E5" w:rsidRDefault="00E968E5" w:rsidP="007E5037"/>
    <w:p w:rsidR="00E968E5" w:rsidRDefault="00E968E5" w:rsidP="007E5037"/>
    <w:p w:rsidR="00E968E5" w:rsidRPr="00DD4249" w:rsidRDefault="00E968E5" w:rsidP="00DD4249">
      <w:pPr>
        <w:rPr>
          <w:rFonts w:ascii="Arial" w:hAnsi="Arial" w:cs="Arial"/>
          <w:b/>
          <w:sz w:val="24"/>
        </w:rPr>
      </w:pPr>
      <w:r w:rsidRPr="00DD4249">
        <w:rPr>
          <w:rFonts w:ascii="Arial" w:hAnsi="Arial" w:cs="Arial"/>
          <w:b/>
          <w:sz w:val="24"/>
        </w:rPr>
        <w:lastRenderedPageBreak/>
        <w:t>GASTOS</w:t>
      </w:r>
    </w:p>
    <w:p w:rsidR="001C3ADC" w:rsidRDefault="00E968E5" w:rsidP="007E5037">
      <w:r w:rsidRPr="001C3ADC">
        <w:rPr>
          <w:noProof/>
          <w:lang w:eastAsia="es-CO"/>
        </w:rPr>
        <w:drawing>
          <wp:anchor distT="0" distB="0" distL="114300" distR="114300" simplePos="0" relativeHeight="251684352" behindDoc="1" locked="0" layoutInCell="1" allowOverlap="1" wp14:anchorId="226AD5BC" wp14:editId="779663D6">
            <wp:simplePos x="0" y="0"/>
            <wp:positionH relativeFrom="column">
              <wp:posOffset>13970</wp:posOffset>
            </wp:positionH>
            <wp:positionV relativeFrom="paragraph">
              <wp:posOffset>311785</wp:posOffset>
            </wp:positionV>
            <wp:extent cx="8455025" cy="4547870"/>
            <wp:effectExtent l="0" t="0" r="3175" b="5080"/>
            <wp:wrapTopAndBottom/>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455025" cy="454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68E5" w:rsidRDefault="00E968E5" w:rsidP="007E5037"/>
    <w:p w:rsidR="00E968E5" w:rsidRDefault="00E968E5" w:rsidP="007E5037"/>
    <w:p w:rsidR="001C3ADC" w:rsidRPr="007E5037" w:rsidRDefault="001C3ADC" w:rsidP="007E5037">
      <w:pPr>
        <w:sectPr w:rsidR="001C3ADC" w:rsidRPr="007E5037" w:rsidSect="00E968E5">
          <w:pgSz w:w="15840" w:h="12240" w:orient="landscape" w:code="1"/>
          <w:pgMar w:top="1701" w:right="1418" w:bottom="1701" w:left="1418" w:header="709" w:footer="709" w:gutter="0"/>
          <w:cols w:space="708"/>
          <w:titlePg/>
          <w:docGrid w:linePitch="360"/>
        </w:sectPr>
      </w:pPr>
    </w:p>
    <w:p w:rsidR="00096426" w:rsidRDefault="00096426" w:rsidP="00096426">
      <w:pPr>
        <w:pStyle w:val="Ttulo2"/>
        <w:numPr>
          <w:ilvl w:val="0"/>
          <w:numId w:val="0"/>
        </w:numPr>
        <w:jc w:val="both"/>
      </w:pPr>
      <w:bookmarkStart w:id="53" w:name="_Toc495334929"/>
      <w:r>
        <w:lastRenderedPageBreak/>
        <w:t>6.</w:t>
      </w:r>
      <w:r w:rsidR="00DD4249">
        <w:t>2</w:t>
      </w:r>
      <w:r>
        <w:t xml:space="preserve"> </w:t>
      </w:r>
      <w:r w:rsidR="00DD4249" w:rsidRPr="002B6349">
        <w:t xml:space="preserve">RESULTADOS EJECUCIÓN </w:t>
      </w:r>
      <w:r w:rsidR="00DD4249">
        <w:t>D</w:t>
      </w:r>
      <w:r w:rsidR="00DD4249" w:rsidRPr="002B6349">
        <w:t xml:space="preserve">E INGRESOS VIGENCIA 2016 </w:t>
      </w:r>
      <w:r w:rsidR="00DD4249">
        <w:t>QUE R</w:t>
      </w:r>
      <w:r w:rsidR="00DD4249" w:rsidRPr="002B6349">
        <w:t xml:space="preserve">EFLEJAN </w:t>
      </w:r>
      <w:r w:rsidR="00DD4249">
        <w:t>LAS ACCIONES Y MEDIDAS TOMADAS POR LA SECRETARIA D</w:t>
      </w:r>
      <w:r w:rsidR="00DD4249" w:rsidRPr="002B6349">
        <w:t xml:space="preserve">E HACIENDA </w:t>
      </w:r>
      <w:r w:rsidR="00DD4249">
        <w:t>EN CUMPLIMIENTO D</w:t>
      </w:r>
      <w:r w:rsidR="00DD4249" w:rsidRPr="002B6349">
        <w:t xml:space="preserve">E </w:t>
      </w:r>
      <w:r w:rsidR="00DD4249">
        <w:t xml:space="preserve">LAS </w:t>
      </w:r>
      <w:r w:rsidR="00DD4249" w:rsidRPr="002B6349">
        <w:t>METAS</w:t>
      </w:r>
      <w:r w:rsidR="00683828">
        <w:t xml:space="preserve"> FINANCIERAS</w:t>
      </w:r>
      <w:r w:rsidR="00DD4249" w:rsidRPr="002B6349">
        <w:t xml:space="preserve"> VIGENCIA 2016</w:t>
      </w:r>
      <w:bookmarkEnd w:id="53"/>
    </w:p>
    <w:p w:rsidR="00096426" w:rsidRPr="00683828" w:rsidRDefault="00096426" w:rsidP="00096426">
      <w:pPr>
        <w:rPr>
          <w:rFonts w:ascii="Arial" w:hAnsi="Arial" w:cs="Arial"/>
          <w:sz w:val="24"/>
          <w:szCs w:val="28"/>
          <w:lang w:eastAsia="es-ES"/>
        </w:rPr>
      </w:pPr>
    </w:p>
    <w:p w:rsidR="00096426" w:rsidRDefault="00096426" w:rsidP="00096426">
      <w:pPr>
        <w:spacing w:line="360" w:lineRule="auto"/>
        <w:rPr>
          <w:rFonts w:ascii="Arial" w:hAnsi="Arial" w:cs="Arial"/>
          <w:sz w:val="24"/>
          <w:szCs w:val="28"/>
          <w:lang w:val="es-ES" w:eastAsia="es-ES"/>
        </w:rPr>
      </w:pPr>
      <w:r>
        <w:rPr>
          <w:rFonts w:ascii="Arial" w:hAnsi="Arial" w:cs="Arial"/>
          <w:sz w:val="24"/>
          <w:szCs w:val="28"/>
          <w:lang w:val="es-ES" w:eastAsia="es-ES"/>
        </w:rPr>
        <w:t>En el siguiente cuadro se observa el cumplimiento del Plan Financiero proyectado en el Plan de Desarrollo de acuerdo con los resultados obtenidos en la ejecución de ingresos y gastos del presupuesto de la Vigencia 2016</w:t>
      </w:r>
    </w:p>
    <w:p w:rsidR="00096426" w:rsidRPr="007E3D1A" w:rsidRDefault="00096426" w:rsidP="00096426">
      <w:pPr>
        <w:rPr>
          <w:rFonts w:ascii="Arial" w:hAnsi="Arial" w:cs="Arial"/>
          <w:sz w:val="24"/>
          <w:szCs w:val="28"/>
          <w:lang w:val="es-ES" w:eastAsia="es-ES"/>
        </w:rPr>
      </w:pPr>
      <w:r w:rsidRPr="001C3ADC">
        <w:rPr>
          <w:noProof/>
          <w:lang w:eastAsia="es-CO"/>
        </w:rPr>
        <w:drawing>
          <wp:inline distT="0" distB="0" distL="0" distR="0" wp14:anchorId="5F810113" wp14:editId="73132B50">
            <wp:extent cx="5612798" cy="4595751"/>
            <wp:effectExtent l="0" t="0" r="6985"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9191" cy="4600985"/>
                    </a:xfrm>
                    <a:prstGeom prst="rect">
                      <a:avLst/>
                    </a:prstGeom>
                    <a:noFill/>
                    <a:ln>
                      <a:noFill/>
                    </a:ln>
                  </pic:spPr>
                </pic:pic>
              </a:graphicData>
            </a:graphic>
          </wp:inline>
        </w:drawing>
      </w:r>
    </w:p>
    <w:p w:rsidR="00096426" w:rsidRPr="007A27DB" w:rsidRDefault="00096426" w:rsidP="00096426">
      <w:pPr>
        <w:pStyle w:val="Ttulo3"/>
      </w:pPr>
      <w:bookmarkStart w:id="54" w:name="_Toc495334930"/>
      <w:r w:rsidRPr="007A27DB">
        <w:t>6.</w:t>
      </w:r>
      <w:r w:rsidR="00DD4249">
        <w:t>2</w:t>
      </w:r>
      <w:r w:rsidRPr="007A27DB">
        <w:t>.1</w:t>
      </w:r>
      <w:r>
        <w:t xml:space="preserve"> I</w:t>
      </w:r>
      <w:r w:rsidRPr="007A27DB">
        <w:t>ngresos Plan Financiero Plan de Desarrollo vs Presupuesto Ejecutado vigencia 2016</w:t>
      </w:r>
      <w:bookmarkEnd w:id="54"/>
    </w:p>
    <w:p w:rsidR="00096426" w:rsidRPr="003D2835" w:rsidRDefault="00096426" w:rsidP="00096426">
      <w:pPr>
        <w:rPr>
          <w:lang w:val="es-ES" w:eastAsia="es-ES"/>
        </w:rPr>
      </w:pPr>
    </w:p>
    <w:p w:rsidR="00096426" w:rsidRDefault="00096426" w:rsidP="00096426">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 xml:space="preserve">Del primer año de ejecución del Plan Financiero proyectado en el Plan de Desarrollo a través del Presupuesto de Ingresos en la vigencia 2016, se puede decir: </w:t>
      </w:r>
    </w:p>
    <w:p w:rsidR="00096426" w:rsidRPr="00331AD3" w:rsidRDefault="00096426" w:rsidP="00096426">
      <w:pPr>
        <w:pStyle w:val="Prrafodelista"/>
        <w:numPr>
          <w:ilvl w:val="0"/>
          <w:numId w:val="26"/>
        </w:numPr>
        <w:spacing w:line="360" w:lineRule="auto"/>
        <w:ind w:left="-142" w:hanging="11"/>
        <w:jc w:val="both"/>
        <w:rPr>
          <w:rFonts w:ascii="Arial" w:hAnsi="Arial" w:cs="Arial"/>
          <w:color w:val="000000"/>
          <w:sz w:val="24"/>
          <w:szCs w:val="24"/>
          <w:lang w:eastAsia="es-ES"/>
        </w:rPr>
      </w:pPr>
      <w:r w:rsidRPr="00331AD3">
        <w:rPr>
          <w:rFonts w:ascii="Arial" w:hAnsi="Arial" w:cs="Arial"/>
          <w:b/>
          <w:color w:val="000000"/>
          <w:sz w:val="24"/>
          <w:szCs w:val="24"/>
          <w:u w:val="single"/>
          <w:lang w:eastAsia="es-ES"/>
        </w:rPr>
        <w:lastRenderedPageBreak/>
        <w:t>Ingresos Corrientes</w:t>
      </w:r>
      <w:r w:rsidRPr="00331AD3">
        <w:rPr>
          <w:rFonts w:ascii="Arial" w:hAnsi="Arial" w:cs="Arial"/>
          <w:color w:val="000000"/>
          <w:sz w:val="24"/>
          <w:szCs w:val="24"/>
          <w:lang w:eastAsia="es-ES"/>
        </w:rPr>
        <w:t xml:space="preserve"> proyectados en el Plan Financiero del Plan de Desarrollo para la vigencia 2016 alcanzaron la suma de $90.903millones. </w:t>
      </w:r>
    </w:p>
    <w:p w:rsidR="00096426" w:rsidRDefault="00096426" w:rsidP="00096426">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Durante la vigencia 2016 se ejecutaron por Ingresos Corrientes la suma de $105.953millones con un mayor valor ejecutado de $15.050millones, es decir un incremento del 16.5%</w:t>
      </w:r>
    </w:p>
    <w:p w:rsidR="00096426" w:rsidRPr="00331AD3" w:rsidRDefault="00096426" w:rsidP="00096426">
      <w:pPr>
        <w:pStyle w:val="Prrafodelista"/>
        <w:numPr>
          <w:ilvl w:val="0"/>
          <w:numId w:val="26"/>
        </w:numPr>
        <w:tabs>
          <w:tab w:val="left" w:pos="284"/>
        </w:tabs>
        <w:spacing w:line="360" w:lineRule="auto"/>
        <w:ind w:left="0" w:hanging="11"/>
        <w:jc w:val="both"/>
        <w:rPr>
          <w:rFonts w:ascii="Arial" w:hAnsi="Arial" w:cs="Arial"/>
          <w:color w:val="000000"/>
          <w:sz w:val="24"/>
          <w:szCs w:val="24"/>
          <w:lang w:eastAsia="es-ES"/>
        </w:rPr>
      </w:pPr>
      <w:r w:rsidRPr="00331AD3">
        <w:rPr>
          <w:rFonts w:ascii="Arial" w:hAnsi="Arial" w:cs="Arial"/>
          <w:b/>
          <w:color w:val="000000"/>
          <w:sz w:val="24"/>
          <w:szCs w:val="24"/>
          <w:u w:val="single"/>
          <w:lang w:eastAsia="es-ES"/>
        </w:rPr>
        <w:t>Fondos Especiales:</w:t>
      </w:r>
      <w:r w:rsidRPr="00331AD3">
        <w:rPr>
          <w:rFonts w:ascii="Arial" w:hAnsi="Arial" w:cs="Arial"/>
          <w:color w:val="000000"/>
          <w:sz w:val="24"/>
          <w:szCs w:val="24"/>
          <w:lang w:eastAsia="es-ES"/>
        </w:rPr>
        <w:t xml:space="preserve"> por este concepto se proyectaron en el Plan Financiero del Plan de Desarrollo $149.618millones y se ejecutaron efectivamente durante la vigencia 2016 $173.506millones, es decir un recaudo efectivo superior por valor de $23.888millones que corresponden a un mayor valor del 16% de lo proyectado.</w:t>
      </w:r>
    </w:p>
    <w:p w:rsidR="00096426" w:rsidRPr="00331AD3" w:rsidRDefault="00096426" w:rsidP="00096426">
      <w:pPr>
        <w:pStyle w:val="Prrafodelista"/>
        <w:numPr>
          <w:ilvl w:val="0"/>
          <w:numId w:val="26"/>
        </w:numPr>
        <w:tabs>
          <w:tab w:val="left" w:pos="284"/>
        </w:tabs>
        <w:spacing w:line="360" w:lineRule="auto"/>
        <w:ind w:left="0" w:firstLine="0"/>
        <w:jc w:val="both"/>
        <w:rPr>
          <w:rFonts w:ascii="Arial" w:hAnsi="Arial" w:cs="Arial"/>
          <w:color w:val="000000"/>
          <w:sz w:val="24"/>
          <w:szCs w:val="24"/>
          <w:lang w:eastAsia="es-ES"/>
        </w:rPr>
      </w:pPr>
      <w:r w:rsidRPr="00331AD3">
        <w:rPr>
          <w:rFonts w:ascii="Arial" w:hAnsi="Arial" w:cs="Arial"/>
          <w:b/>
          <w:color w:val="000000"/>
          <w:sz w:val="24"/>
          <w:szCs w:val="24"/>
          <w:u w:val="single"/>
          <w:lang w:eastAsia="es-ES"/>
        </w:rPr>
        <w:t>Recursos de Capital:</w:t>
      </w:r>
      <w:r w:rsidRPr="00331AD3">
        <w:rPr>
          <w:rFonts w:ascii="Arial" w:hAnsi="Arial" w:cs="Arial"/>
          <w:color w:val="000000"/>
          <w:sz w:val="24"/>
          <w:szCs w:val="24"/>
          <w:u w:val="single"/>
          <w:lang w:eastAsia="es-ES"/>
        </w:rPr>
        <w:t xml:space="preserve"> </w:t>
      </w:r>
      <w:r w:rsidRPr="00331AD3">
        <w:rPr>
          <w:rFonts w:ascii="Arial" w:hAnsi="Arial" w:cs="Arial"/>
          <w:color w:val="000000"/>
          <w:sz w:val="24"/>
          <w:szCs w:val="24"/>
          <w:lang w:eastAsia="es-ES"/>
        </w:rPr>
        <w:t>para estos recursos se proyectaron $24.598millones, con un recaudo efectivo en la vigencia 2016 por valor de $15.512millones.</w:t>
      </w:r>
    </w:p>
    <w:p w:rsidR="00096426" w:rsidRDefault="00096426" w:rsidP="00096426">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Lo anteriormente expuesto, nos indica que del valor proyectado en el Plan Financiero del Plan de Desarrollo para la vigencia 2016 por $265.119millones se ejecutaron efectivamente $294.291millones con un mayor recaudo por valor de $29.852 que alcanza un 11% más de lo proyectado.</w:t>
      </w:r>
    </w:p>
    <w:p w:rsidR="00096426" w:rsidRDefault="00096426" w:rsidP="00096426">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Esto significa que se cumplieron las proyecciones y se contó con un mayor recurso para financiar el Plan Operativo de Inversiones del Presupuesto para la vigencia 2016 en cumplimiento de las metas propuestas en el Plan de Desarrollo 2016-2019 “En Defensa del Bien Común”</w:t>
      </w:r>
    </w:p>
    <w:p w:rsidR="00096426" w:rsidRDefault="00096426" w:rsidP="00096426">
      <w:pPr>
        <w:pStyle w:val="Ttulo3"/>
        <w:rPr>
          <w:lang w:val="es-ES" w:eastAsia="es-ES"/>
        </w:rPr>
      </w:pPr>
      <w:bookmarkStart w:id="55" w:name="_Toc495334931"/>
      <w:r>
        <w:rPr>
          <w:lang w:val="es-ES" w:eastAsia="es-ES"/>
        </w:rPr>
        <w:t>6.</w:t>
      </w:r>
      <w:r w:rsidR="00DD4249">
        <w:rPr>
          <w:lang w:val="es-ES" w:eastAsia="es-ES"/>
        </w:rPr>
        <w:t>2</w:t>
      </w:r>
      <w:r>
        <w:rPr>
          <w:lang w:val="es-ES" w:eastAsia="es-ES"/>
        </w:rPr>
        <w:t xml:space="preserve">.2 </w:t>
      </w:r>
      <w:r w:rsidRPr="001D3D90">
        <w:rPr>
          <w:lang w:val="es-ES" w:eastAsia="es-ES"/>
        </w:rPr>
        <w:t xml:space="preserve">Cumplimiento </w:t>
      </w:r>
      <w:r>
        <w:rPr>
          <w:lang w:val="es-ES" w:eastAsia="es-ES"/>
        </w:rPr>
        <w:t>de l</w:t>
      </w:r>
      <w:r w:rsidRPr="001D3D90">
        <w:rPr>
          <w:lang w:val="es-ES" w:eastAsia="es-ES"/>
        </w:rPr>
        <w:t xml:space="preserve">as Metas </w:t>
      </w:r>
      <w:r>
        <w:rPr>
          <w:lang w:val="es-ES" w:eastAsia="es-ES"/>
        </w:rPr>
        <w:t>del Plan d</w:t>
      </w:r>
      <w:r w:rsidRPr="001D3D90">
        <w:rPr>
          <w:lang w:val="es-ES" w:eastAsia="es-ES"/>
        </w:rPr>
        <w:t>e De</w:t>
      </w:r>
      <w:r>
        <w:rPr>
          <w:lang w:val="es-ES" w:eastAsia="es-ES"/>
        </w:rPr>
        <w:t>sarrollo 2016-2019 “En Defensa d</w:t>
      </w:r>
      <w:r w:rsidRPr="001D3D90">
        <w:rPr>
          <w:lang w:val="es-ES" w:eastAsia="es-ES"/>
        </w:rPr>
        <w:t>el Bien Común</w:t>
      </w:r>
      <w:bookmarkEnd w:id="55"/>
    </w:p>
    <w:p w:rsidR="00096426" w:rsidRDefault="00096426" w:rsidP="00096426">
      <w:pPr>
        <w:rPr>
          <w:lang w:val="es-ES" w:eastAsia="es-ES"/>
        </w:rPr>
      </w:pPr>
    </w:p>
    <w:p w:rsidR="00096426" w:rsidRPr="00DA7B92" w:rsidRDefault="00096426" w:rsidP="00096426">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La siguiente Tabla, nos indica el avance del cumplimiento del Plan de Desarrollo 2016-2019, “En Defensa del Bien Común”, según información suministrada por la Secretaría de Planeación Departamental del Quindío.</w:t>
      </w:r>
    </w:p>
    <w:p w:rsidR="00096426" w:rsidRDefault="00096426" w:rsidP="00096426">
      <w:pPr>
        <w:spacing w:line="360" w:lineRule="auto"/>
        <w:jc w:val="both"/>
        <w:rPr>
          <w:rFonts w:ascii="Arial" w:hAnsi="Arial" w:cs="Arial"/>
          <w:color w:val="000000"/>
          <w:sz w:val="24"/>
          <w:szCs w:val="24"/>
          <w:lang w:val="es-ES" w:eastAsia="es-ES"/>
        </w:rPr>
      </w:pPr>
      <w:r w:rsidRPr="000F26D9">
        <w:rPr>
          <w:rFonts w:ascii="Arial" w:hAnsi="Arial" w:cs="Arial"/>
          <w:color w:val="000000"/>
          <w:sz w:val="24"/>
          <w:szCs w:val="24"/>
          <w:lang w:val="es-ES" w:eastAsia="es-ES"/>
        </w:rPr>
        <w:t>En cumplim</w:t>
      </w:r>
      <w:r w:rsidR="00683828">
        <w:rPr>
          <w:rFonts w:ascii="Arial" w:hAnsi="Arial" w:cs="Arial"/>
          <w:color w:val="000000"/>
          <w:sz w:val="24"/>
          <w:szCs w:val="24"/>
          <w:lang w:val="es-ES" w:eastAsia="es-ES"/>
        </w:rPr>
        <w:t xml:space="preserve">iento del Decreto 1061 de 2016 </w:t>
      </w:r>
      <w:r w:rsidRPr="000F26D9">
        <w:rPr>
          <w:rFonts w:ascii="Arial" w:hAnsi="Arial" w:cs="Arial"/>
          <w:color w:val="000000"/>
          <w:sz w:val="24"/>
          <w:szCs w:val="24"/>
          <w:lang w:val="es-ES" w:eastAsia="es-ES"/>
        </w:rPr>
        <w:t xml:space="preserve">“Por medio del cual se reglamenta el seguimiento y evaluación al Plan de Desarrollo Departamental 2016 – 2019 “En Defensa del Bien Común”, la Secretaría de Planeación Departamental  realiza el seguimiento al Plan  a través  de los instrumentos de planificación implementados </w:t>
      </w:r>
      <w:r w:rsidRPr="000F26D9">
        <w:rPr>
          <w:rFonts w:ascii="Arial" w:hAnsi="Arial" w:cs="Arial"/>
          <w:color w:val="000000"/>
          <w:sz w:val="24"/>
          <w:szCs w:val="24"/>
          <w:lang w:val="es-ES" w:eastAsia="es-ES"/>
        </w:rPr>
        <w:lastRenderedPageBreak/>
        <w:t>al interior de la Administración  por el método de  semaforización, diseñado por el Departamento Nacional de Planeación DNP y adoptado por el ente territorial.</w:t>
      </w:r>
    </w:p>
    <w:tbl>
      <w:tblPr>
        <w:tblStyle w:val="Tablaconcuadrcula"/>
        <w:tblW w:w="0" w:type="auto"/>
        <w:tblLook w:val="04A0" w:firstRow="1" w:lastRow="0" w:firstColumn="1" w:lastColumn="0" w:noHBand="0" w:noVBand="1"/>
      </w:tblPr>
      <w:tblGrid>
        <w:gridCol w:w="4417"/>
        <w:gridCol w:w="4411"/>
      </w:tblGrid>
      <w:tr w:rsidR="00096426" w:rsidTr="00096426">
        <w:tc>
          <w:tcPr>
            <w:tcW w:w="4417" w:type="dxa"/>
          </w:tcPr>
          <w:p w:rsidR="00096426" w:rsidRDefault="00096426" w:rsidP="00D71F9C">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Verde Oscuro</w:t>
            </w:r>
          </w:p>
        </w:tc>
        <w:tc>
          <w:tcPr>
            <w:tcW w:w="4411" w:type="dxa"/>
          </w:tcPr>
          <w:p w:rsidR="00096426" w:rsidRDefault="00096426" w:rsidP="00D71F9C">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80%-100%</w:t>
            </w:r>
          </w:p>
        </w:tc>
      </w:tr>
      <w:tr w:rsidR="00096426" w:rsidTr="00096426">
        <w:tc>
          <w:tcPr>
            <w:tcW w:w="4417" w:type="dxa"/>
          </w:tcPr>
          <w:p w:rsidR="00096426" w:rsidRDefault="00096426" w:rsidP="00D71F9C">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 xml:space="preserve">Verde Claro </w:t>
            </w:r>
          </w:p>
        </w:tc>
        <w:tc>
          <w:tcPr>
            <w:tcW w:w="4411" w:type="dxa"/>
          </w:tcPr>
          <w:p w:rsidR="00096426" w:rsidRDefault="00096426" w:rsidP="00D71F9C">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70%-79%</w:t>
            </w:r>
          </w:p>
        </w:tc>
      </w:tr>
      <w:tr w:rsidR="00096426" w:rsidTr="00096426">
        <w:tc>
          <w:tcPr>
            <w:tcW w:w="4417" w:type="dxa"/>
          </w:tcPr>
          <w:p w:rsidR="00096426" w:rsidRDefault="00096426" w:rsidP="00D71F9C">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 xml:space="preserve">Amarillo </w:t>
            </w:r>
          </w:p>
        </w:tc>
        <w:tc>
          <w:tcPr>
            <w:tcW w:w="4411" w:type="dxa"/>
          </w:tcPr>
          <w:p w:rsidR="00096426" w:rsidRDefault="00096426" w:rsidP="00D71F9C">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60%-69%</w:t>
            </w:r>
          </w:p>
        </w:tc>
      </w:tr>
      <w:tr w:rsidR="00096426" w:rsidTr="00096426">
        <w:tc>
          <w:tcPr>
            <w:tcW w:w="4417" w:type="dxa"/>
          </w:tcPr>
          <w:p w:rsidR="00096426" w:rsidRDefault="00096426" w:rsidP="00D71F9C">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Naranja</w:t>
            </w:r>
          </w:p>
        </w:tc>
        <w:tc>
          <w:tcPr>
            <w:tcW w:w="4411" w:type="dxa"/>
          </w:tcPr>
          <w:p w:rsidR="00096426" w:rsidRDefault="00096426" w:rsidP="00D71F9C">
            <w:pPr>
              <w:spacing w:line="360" w:lineRule="auto"/>
              <w:jc w:val="both"/>
              <w:rPr>
                <w:rFonts w:ascii="Arial" w:hAnsi="Arial" w:cs="Arial"/>
                <w:color w:val="000000"/>
                <w:sz w:val="24"/>
                <w:szCs w:val="24"/>
                <w:lang w:val="es-ES" w:eastAsia="es-ES"/>
              </w:rPr>
            </w:pPr>
            <w:r>
              <w:rPr>
                <w:rFonts w:ascii="Arial" w:hAnsi="Arial" w:cs="Arial"/>
                <w:color w:val="000000"/>
                <w:sz w:val="24"/>
                <w:szCs w:val="24"/>
                <w:lang w:val="es-ES" w:eastAsia="es-ES"/>
              </w:rPr>
              <w:t>40%-59%</w:t>
            </w:r>
          </w:p>
        </w:tc>
      </w:tr>
    </w:tbl>
    <w:p w:rsidR="00096426" w:rsidRPr="000F26D9" w:rsidRDefault="00096426" w:rsidP="00096426">
      <w:pPr>
        <w:rPr>
          <w:lang w:eastAsia="es-ES"/>
        </w:rPr>
      </w:pPr>
    </w:p>
    <w:p w:rsidR="00096426" w:rsidRDefault="00096426" w:rsidP="00096426">
      <w:pPr>
        <w:spacing w:line="360" w:lineRule="auto"/>
        <w:rPr>
          <w:rFonts w:ascii="Arial" w:hAnsi="Arial" w:cs="Arial"/>
          <w:sz w:val="24"/>
          <w:szCs w:val="28"/>
          <w:lang w:val="es-ES" w:eastAsia="es-ES"/>
        </w:rPr>
      </w:pPr>
      <w:r w:rsidRPr="001D3D90">
        <w:rPr>
          <w:noProof/>
          <w:lang w:eastAsia="es-CO"/>
        </w:rPr>
        <w:drawing>
          <wp:inline distT="0" distB="0" distL="0" distR="0" wp14:anchorId="41718E1B" wp14:editId="3C6566F8">
            <wp:extent cx="5608177" cy="535577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36052" cy="5382392"/>
                    </a:xfrm>
                    <a:prstGeom prst="rect">
                      <a:avLst/>
                    </a:prstGeom>
                    <a:noFill/>
                    <a:ln>
                      <a:noFill/>
                    </a:ln>
                  </pic:spPr>
                </pic:pic>
              </a:graphicData>
            </a:graphic>
          </wp:inline>
        </w:drawing>
      </w:r>
      <w:r>
        <w:rPr>
          <w:rFonts w:ascii="Arial" w:hAnsi="Arial" w:cs="Arial"/>
          <w:sz w:val="24"/>
          <w:szCs w:val="28"/>
          <w:lang w:val="es-ES" w:eastAsia="es-ES"/>
        </w:rPr>
        <w:br w:type="page"/>
      </w:r>
    </w:p>
    <w:p w:rsidR="001506D2" w:rsidRDefault="0058012A" w:rsidP="0058012A">
      <w:pPr>
        <w:pStyle w:val="Ttulo2"/>
        <w:numPr>
          <w:ilvl w:val="0"/>
          <w:numId w:val="0"/>
        </w:numPr>
        <w:jc w:val="both"/>
      </w:pPr>
      <w:bookmarkStart w:id="56" w:name="_Toc495334932"/>
      <w:r>
        <w:lastRenderedPageBreak/>
        <w:t>7.</w:t>
      </w:r>
      <w:r w:rsidR="00C24493">
        <w:t>ESTIMACIÓ</w:t>
      </w:r>
      <w:r w:rsidR="00436C71" w:rsidRPr="00436C71">
        <w:t>N DEL COSTO FISCAL DE LAS EXENCIONES TRIBUTARIAS EXISTENTES EN LA VIGENCIA FISCAL ANTERIOR</w:t>
      </w:r>
      <w:bookmarkEnd w:id="56"/>
    </w:p>
    <w:p w:rsidR="0058012A" w:rsidRPr="00CB51CD" w:rsidRDefault="0058012A" w:rsidP="006E45D8">
      <w:pPr>
        <w:spacing w:line="360" w:lineRule="auto"/>
        <w:jc w:val="both"/>
        <w:rPr>
          <w:rFonts w:ascii="Arial" w:hAnsi="Arial" w:cs="Arial"/>
          <w:b/>
          <w:sz w:val="24"/>
          <w:szCs w:val="24"/>
        </w:rPr>
      </w:pPr>
    </w:p>
    <w:p w:rsidR="009341E9" w:rsidRPr="00CB51CD" w:rsidRDefault="005177B9" w:rsidP="006E45D8">
      <w:pPr>
        <w:spacing w:line="360" w:lineRule="auto"/>
        <w:jc w:val="both"/>
        <w:rPr>
          <w:rFonts w:ascii="Arial" w:hAnsi="Arial" w:cs="Arial"/>
          <w:sz w:val="24"/>
          <w:szCs w:val="24"/>
        </w:rPr>
      </w:pPr>
      <w:bookmarkStart w:id="57" w:name="_Toc495334933"/>
      <w:r w:rsidRPr="00CB51CD">
        <w:rPr>
          <w:rStyle w:val="Ttulo2Car"/>
          <w:rFonts w:eastAsiaTheme="minorHAnsi"/>
          <w:sz w:val="24"/>
          <w:szCs w:val="24"/>
        </w:rPr>
        <w:t>Exenciones T</w:t>
      </w:r>
      <w:r w:rsidR="009341E9" w:rsidRPr="00CB51CD">
        <w:rPr>
          <w:rStyle w:val="Ttulo2Car"/>
          <w:rFonts w:eastAsiaTheme="minorHAnsi"/>
          <w:sz w:val="24"/>
          <w:szCs w:val="24"/>
        </w:rPr>
        <w:t>ributarias</w:t>
      </w:r>
      <w:r w:rsidRPr="00CB51CD">
        <w:rPr>
          <w:rStyle w:val="Ttulo2Car"/>
          <w:rFonts w:eastAsiaTheme="minorHAnsi"/>
          <w:sz w:val="24"/>
          <w:szCs w:val="24"/>
        </w:rPr>
        <w:t>:</w:t>
      </w:r>
      <w:bookmarkEnd w:id="57"/>
      <w:r w:rsidR="009341E9" w:rsidRPr="00CB51CD">
        <w:rPr>
          <w:rFonts w:ascii="Arial" w:hAnsi="Arial" w:cs="Arial"/>
          <w:b/>
          <w:sz w:val="24"/>
          <w:szCs w:val="24"/>
        </w:rPr>
        <w:t xml:space="preserve"> </w:t>
      </w:r>
      <w:r w:rsidRPr="00CB51CD">
        <w:rPr>
          <w:rFonts w:ascii="Arial" w:hAnsi="Arial" w:cs="Arial"/>
          <w:sz w:val="24"/>
          <w:szCs w:val="24"/>
        </w:rPr>
        <w:t>S</w:t>
      </w:r>
      <w:r w:rsidR="009341E9" w:rsidRPr="00CB51CD">
        <w:rPr>
          <w:rFonts w:ascii="Arial" w:hAnsi="Arial" w:cs="Arial"/>
          <w:sz w:val="24"/>
          <w:szCs w:val="24"/>
        </w:rPr>
        <w:t>on medidas legislativas a través de las cuales se impide el nacimiento de una obligación tributaria en relación con determinados sujetos o se disminuye la cuantía de la misma, por consideraciones de política fiscal. Debe atender a los principios de generalidad y homogeneidad, y se identifican por su carácter taxativo, limitativo, inequívoco, personal e intransferible, de manera que sólo operan a favor de los sujetos pasivos que se subsuman en las hipótesis previstas en la ley. En relación con los propósitos que persigue el Estado al implementar beneficios de naturaleza fiscal, la jurisprudencia constitucional ha establecido que la exención tributaria no es un fin para el Estado ni para el sujeto pasivo de la obligación fiscal, sino que se trata de un instrumento de estímulo tributario que puede estar orientado hacia diferentes propósitos tales como (i) la recuperación y desarrollo de áreas geográficas deprimidas por desastres naturales o provocados por el hombre, (ii) el fortalecimiento patrimonial de las empresas que ofrecen bienes o servicios de gran sensibilidad social, (iii) el incremento de la inversión en sectores vinculados a la generación de empleo masivo, (iv) la protección de ciertos ingresos laborales y de las prestaciones de la seguridad social, así como (v) una mejor redistribución de la renta global.</w:t>
      </w:r>
      <w:r w:rsidR="009341E9" w:rsidRPr="00CB51CD">
        <w:rPr>
          <w:rStyle w:val="Refdenotaalpie"/>
          <w:rFonts w:ascii="Arial" w:hAnsi="Arial" w:cs="Arial"/>
          <w:sz w:val="24"/>
          <w:szCs w:val="24"/>
        </w:rPr>
        <w:footnoteReference w:id="37"/>
      </w:r>
    </w:p>
    <w:p w:rsidR="00A92132" w:rsidRPr="00CB51CD" w:rsidRDefault="00A92132" w:rsidP="006E45D8">
      <w:pPr>
        <w:spacing w:line="360" w:lineRule="auto"/>
        <w:jc w:val="both"/>
        <w:rPr>
          <w:rFonts w:ascii="Arial" w:hAnsi="Arial" w:cs="Arial"/>
          <w:sz w:val="24"/>
          <w:szCs w:val="24"/>
        </w:rPr>
      </w:pPr>
      <w:bookmarkStart w:id="58" w:name="_Toc495334934"/>
      <w:r w:rsidRPr="00CB51CD">
        <w:rPr>
          <w:rStyle w:val="Ttulo2Car"/>
          <w:rFonts w:eastAsiaTheme="minorHAnsi"/>
          <w:sz w:val="24"/>
          <w:szCs w:val="24"/>
        </w:rPr>
        <w:t>Costo T</w:t>
      </w:r>
      <w:r w:rsidR="00255D9B" w:rsidRPr="00CB51CD">
        <w:rPr>
          <w:rStyle w:val="Ttulo2Car"/>
          <w:rFonts w:eastAsiaTheme="minorHAnsi"/>
          <w:sz w:val="24"/>
          <w:szCs w:val="24"/>
        </w:rPr>
        <w:t>ributario</w:t>
      </w:r>
      <w:r w:rsidRPr="00CB51CD">
        <w:rPr>
          <w:rStyle w:val="Ttulo2Car"/>
          <w:rFonts w:eastAsiaTheme="minorHAnsi"/>
          <w:sz w:val="24"/>
          <w:szCs w:val="24"/>
        </w:rPr>
        <w:t>:</w:t>
      </w:r>
      <w:bookmarkEnd w:id="58"/>
      <w:r w:rsidRPr="00CB51CD">
        <w:rPr>
          <w:rFonts w:ascii="Arial" w:hAnsi="Arial" w:cs="Arial"/>
          <w:sz w:val="24"/>
          <w:szCs w:val="24"/>
        </w:rPr>
        <w:t xml:space="preserve"> hace</w:t>
      </w:r>
      <w:r w:rsidR="00255D9B" w:rsidRPr="00CB51CD">
        <w:rPr>
          <w:rFonts w:ascii="Arial" w:hAnsi="Arial" w:cs="Arial"/>
          <w:sz w:val="24"/>
          <w:szCs w:val="24"/>
        </w:rPr>
        <w:t xml:space="preserve"> referencia al recaudo que el fisco deja de percibir producto de la aplicación de tratamientos tributarios preferenciales y cuya finalidad es favorecer o estimular a determinados sectores, actividades, regiones o agentes de la economía.</w:t>
      </w:r>
      <w:r w:rsidR="00255D9B" w:rsidRPr="00CB51CD">
        <w:rPr>
          <w:rStyle w:val="Refdenotaalpie"/>
          <w:rFonts w:ascii="Arial" w:hAnsi="Arial" w:cs="Arial"/>
          <w:sz w:val="24"/>
          <w:szCs w:val="24"/>
        </w:rPr>
        <w:t xml:space="preserve"> </w:t>
      </w:r>
      <w:r w:rsidR="00255D9B" w:rsidRPr="00CB51CD">
        <w:rPr>
          <w:rStyle w:val="Refdenotaalpie"/>
          <w:rFonts w:ascii="Arial" w:hAnsi="Arial" w:cs="Arial"/>
          <w:sz w:val="24"/>
          <w:szCs w:val="24"/>
        </w:rPr>
        <w:footnoteReference w:id="38"/>
      </w:r>
      <w:r w:rsidR="00255D9B" w:rsidRPr="00CB51CD">
        <w:rPr>
          <w:rFonts w:ascii="Arial" w:hAnsi="Arial" w:cs="Arial"/>
          <w:sz w:val="24"/>
          <w:szCs w:val="24"/>
        </w:rPr>
        <w:t xml:space="preserve"> </w:t>
      </w:r>
    </w:p>
    <w:p w:rsidR="00255D9B" w:rsidRPr="00CB51CD" w:rsidRDefault="00255D9B" w:rsidP="006E45D8">
      <w:pPr>
        <w:spacing w:line="360" w:lineRule="auto"/>
        <w:jc w:val="both"/>
        <w:rPr>
          <w:rFonts w:ascii="Arial" w:hAnsi="Arial" w:cs="Arial"/>
          <w:sz w:val="24"/>
          <w:szCs w:val="24"/>
        </w:rPr>
      </w:pPr>
      <w:r w:rsidRPr="00CB51CD">
        <w:rPr>
          <w:rFonts w:ascii="Arial" w:hAnsi="Arial" w:cs="Arial"/>
          <w:sz w:val="24"/>
          <w:szCs w:val="24"/>
        </w:rPr>
        <w:t xml:space="preserve">Estos pueden ser de dos tipos: </w:t>
      </w:r>
      <w:r w:rsidR="00A92132" w:rsidRPr="00CB51CD">
        <w:rPr>
          <w:rFonts w:ascii="Arial" w:hAnsi="Arial" w:cs="Arial"/>
          <w:sz w:val="24"/>
          <w:szCs w:val="24"/>
          <w:u w:val="single"/>
        </w:rPr>
        <w:t>T</w:t>
      </w:r>
      <w:r w:rsidRPr="00CB51CD">
        <w:rPr>
          <w:rFonts w:ascii="Arial" w:hAnsi="Arial" w:cs="Arial"/>
          <w:sz w:val="24"/>
          <w:szCs w:val="24"/>
          <w:u w:val="single"/>
        </w:rPr>
        <w:t>ransitorio</w:t>
      </w:r>
      <w:r w:rsidR="00A92132" w:rsidRPr="00CB51CD">
        <w:rPr>
          <w:rFonts w:ascii="Arial" w:hAnsi="Arial" w:cs="Arial"/>
          <w:sz w:val="24"/>
          <w:szCs w:val="24"/>
          <w:u w:val="single"/>
        </w:rPr>
        <w:t>:</w:t>
      </w:r>
      <w:r w:rsidRPr="00CB51CD">
        <w:rPr>
          <w:rFonts w:ascii="Arial" w:hAnsi="Arial" w:cs="Arial"/>
          <w:sz w:val="24"/>
          <w:szCs w:val="24"/>
        </w:rPr>
        <w:t xml:space="preserve"> si el gasto se va a realizar en </w:t>
      </w:r>
      <w:r w:rsidR="004749CE">
        <w:rPr>
          <w:rFonts w:ascii="Arial" w:hAnsi="Arial" w:cs="Arial"/>
          <w:sz w:val="24"/>
          <w:szCs w:val="24"/>
        </w:rPr>
        <w:t xml:space="preserve">un periodo de tiempo específico.  </w:t>
      </w:r>
      <w:r w:rsidR="00A92132" w:rsidRPr="00CB51CD">
        <w:rPr>
          <w:rFonts w:ascii="Arial" w:hAnsi="Arial" w:cs="Arial"/>
          <w:sz w:val="24"/>
          <w:szCs w:val="24"/>
          <w:u w:val="single"/>
        </w:rPr>
        <w:t>P</w:t>
      </w:r>
      <w:r w:rsidRPr="00CB51CD">
        <w:rPr>
          <w:rFonts w:ascii="Arial" w:hAnsi="Arial" w:cs="Arial"/>
          <w:sz w:val="24"/>
          <w:szCs w:val="24"/>
          <w:u w:val="single"/>
        </w:rPr>
        <w:t>ermanente</w:t>
      </w:r>
      <w:r w:rsidR="00A92132" w:rsidRPr="00CB51CD">
        <w:rPr>
          <w:rFonts w:ascii="Arial" w:hAnsi="Arial" w:cs="Arial"/>
          <w:sz w:val="24"/>
          <w:szCs w:val="24"/>
        </w:rPr>
        <w:t xml:space="preserve">: </w:t>
      </w:r>
      <w:r w:rsidRPr="00CB51CD">
        <w:rPr>
          <w:rFonts w:ascii="Arial" w:hAnsi="Arial" w:cs="Arial"/>
          <w:sz w:val="24"/>
          <w:szCs w:val="24"/>
        </w:rPr>
        <w:t>si el gasto se va a ejecutar de manera indefinida o hasta que una norma legal lo de por concluido.</w:t>
      </w:r>
    </w:p>
    <w:p w:rsidR="00896DCF" w:rsidRPr="00C56ACF" w:rsidRDefault="00A92132" w:rsidP="006E45D8">
      <w:pPr>
        <w:spacing w:line="360" w:lineRule="auto"/>
        <w:jc w:val="both"/>
        <w:rPr>
          <w:rFonts w:ascii="Arial" w:hAnsi="Arial" w:cs="Arial"/>
          <w:sz w:val="24"/>
        </w:rPr>
      </w:pPr>
      <w:bookmarkStart w:id="59" w:name="_Toc495334935"/>
      <w:r w:rsidRPr="00CB51CD">
        <w:rPr>
          <w:rStyle w:val="Ttulo2Car"/>
          <w:rFonts w:eastAsiaTheme="minorHAnsi"/>
          <w:sz w:val="24"/>
          <w:szCs w:val="24"/>
        </w:rPr>
        <w:lastRenderedPageBreak/>
        <w:t>Beneficio T</w:t>
      </w:r>
      <w:r w:rsidR="00896DCF" w:rsidRPr="00CB51CD">
        <w:rPr>
          <w:rStyle w:val="Ttulo2Car"/>
          <w:rFonts w:eastAsiaTheme="minorHAnsi"/>
          <w:sz w:val="24"/>
          <w:szCs w:val="24"/>
        </w:rPr>
        <w:t>ributario</w:t>
      </w:r>
      <w:r w:rsidR="005177B9" w:rsidRPr="00CB51CD">
        <w:rPr>
          <w:rStyle w:val="Ttulo2Car"/>
          <w:rFonts w:eastAsiaTheme="minorHAnsi"/>
          <w:sz w:val="24"/>
          <w:szCs w:val="24"/>
        </w:rPr>
        <w:t>:</w:t>
      </w:r>
      <w:bookmarkEnd w:id="59"/>
      <w:r w:rsidR="005177B9" w:rsidRPr="00CB51CD">
        <w:rPr>
          <w:rFonts w:ascii="Arial" w:hAnsi="Arial" w:cs="Arial"/>
          <w:sz w:val="24"/>
          <w:szCs w:val="24"/>
        </w:rPr>
        <w:t xml:space="preserve"> hace referencia a un subconjunto de beneficios tributarios que son capaces de menoscabar la base fiscal, implicando un costo real neto en el recaudo del impuesto. A nivel internacional, no existe un estándar de medición de los costos fiscales, pues estos dependen de las categorías que crea cada administración tributaria para determinar cuándo un beneficio genera un sacrificio en el recaudo. En el caso colombiano, los documentos disponibles no</w:t>
      </w:r>
      <w:r w:rsidR="005177B9" w:rsidRPr="00C56ACF">
        <w:rPr>
          <w:rFonts w:ascii="Arial" w:hAnsi="Arial" w:cs="Arial"/>
          <w:sz w:val="24"/>
        </w:rPr>
        <w:t xml:space="preserve"> permiten establecer cómo se calcula dicho costo fiscal, pero un principio es la diferenciación entre la “tecnicidad” o no, de un determinado beneficio.</w:t>
      </w:r>
      <w:r w:rsidR="005177B9" w:rsidRPr="00C56ACF">
        <w:rPr>
          <w:rStyle w:val="Refdenotaalpie"/>
          <w:rFonts w:ascii="Arial" w:hAnsi="Arial" w:cs="Arial"/>
          <w:sz w:val="24"/>
        </w:rPr>
        <w:footnoteReference w:id="39"/>
      </w:r>
    </w:p>
    <w:p w:rsidR="00D755FE" w:rsidRPr="00D755FE" w:rsidRDefault="00683828" w:rsidP="006E45D8">
      <w:pPr>
        <w:tabs>
          <w:tab w:val="left" w:pos="2279"/>
        </w:tabs>
        <w:spacing w:line="360" w:lineRule="auto"/>
        <w:jc w:val="both"/>
        <w:rPr>
          <w:rFonts w:ascii="Arial" w:hAnsi="Arial" w:cs="Arial"/>
          <w:b/>
          <w:sz w:val="24"/>
          <w:szCs w:val="28"/>
          <w:lang w:eastAsia="es-ES"/>
        </w:rPr>
      </w:pPr>
      <w:r>
        <w:rPr>
          <w:rFonts w:ascii="Arial" w:hAnsi="Arial" w:cs="Arial"/>
          <w:b/>
          <w:sz w:val="24"/>
          <w:szCs w:val="28"/>
          <w:lang w:eastAsia="es-ES"/>
        </w:rPr>
        <w:t xml:space="preserve">7.1 </w:t>
      </w:r>
      <w:r w:rsidRPr="004749CE">
        <w:rPr>
          <w:rStyle w:val="Ttulo2Car"/>
          <w:rFonts w:eastAsiaTheme="minorHAnsi"/>
        </w:rPr>
        <w:t xml:space="preserve">COSTO FISCAL EXENCIONES </w:t>
      </w:r>
      <w:r w:rsidR="004749CE" w:rsidRPr="004749CE">
        <w:rPr>
          <w:rStyle w:val="Ttulo2Car"/>
          <w:rFonts w:eastAsiaTheme="minorHAnsi"/>
        </w:rPr>
        <w:t>IMPUESTO</w:t>
      </w:r>
      <w:r w:rsidR="00D755FE" w:rsidRPr="004749CE">
        <w:rPr>
          <w:rStyle w:val="Ttulo2Car"/>
          <w:rFonts w:eastAsiaTheme="minorHAnsi"/>
        </w:rPr>
        <w:t xml:space="preserve"> VEHICULOS AUTOMOTORES</w:t>
      </w:r>
    </w:p>
    <w:p w:rsidR="009341E9" w:rsidRDefault="004F177E" w:rsidP="00E968E5">
      <w:pPr>
        <w:spacing w:before="100" w:beforeAutospacing="1" w:after="100" w:afterAutospacing="1" w:line="360" w:lineRule="auto"/>
        <w:jc w:val="both"/>
        <w:rPr>
          <w:rFonts w:ascii="Arial" w:hAnsi="Arial" w:cs="Arial"/>
          <w:b/>
          <w:sz w:val="28"/>
          <w:szCs w:val="28"/>
          <w:lang w:eastAsia="es-ES"/>
        </w:rPr>
      </w:pPr>
      <w:r w:rsidRPr="00E968E5">
        <w:rPr>
          <w:noProof/>
          <w:bdr w:val="single" w:sz="4" w:space="0" w:color="auto"/>
          <w:lang w:eastAsia="es-CO"/>
        </w:rPr>
        <w:drawing>
          <wp:inline distT="0" distB="0" distL="0" distR="0" wp14:anchorId="192C04AC" wp14:editId="48BC0663">
            <wp:extent cx="5610225" cy="3876675"/>
            <wp:effectExtent l="0" t="0" r="952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13400" cy="3878869"/>
                    </a:xfrm>
                    <a:prstGeom prst="rect">
                      <a:avLst/>
                    </a:prstGeom>
                    <a:noFill/>
                    <a:ln>
                      <a:noFill/>
                    </a:ln>
                  </pic:spPr>
                </pic:pic>
              </a:graphicData>
            </a:graphic>
          </wp:inline>
        </w:drawing>
      </w:r>
    </w:p>
    <w:p w:rsidR="009341E9" w:rsidRDefault="005D57FA" w:rsidP="006E45D8">
      <w:pPr>
        <w:spacing w:line="360" w:lineRule="auto"/>
        <w:jc w:val="both"/>
        <w:rPr>
          <w:rFonts w:ascii="Arial" w:hAnsi="Arial" w:cs="Arial"/>
          <w:sz w:val="24"/>
          <w:szCs w:val="28"/>
          <w:lang w:eastAsia="es-ES"/>
        </w:rPr>
      </w:pPr>
      <w:r>
        <w:rPr>
          <w:rFonts w:ascii="Arial" w:hAnsi="Arial" w:cs="Arial"/>
          <w:sz w:val="24"/>
          <w:szCs w:val="28"/>
          <w:lang w:eastAsia="es-ES"/>
        </w:rPr>
        <w:lastRenderedPageBreak/>
        <w:t>De la ordenanza 002</w:t>
      </w:r>
      <w:r w:rsidR="004E32A4">
        <w:rPr>
          <w:rFonts w:ascii="Arial" w:hAnsi="Arial" w:cs="Arial"/>
          <w:sz w:val="24"/>
          <w:szCs w:val="28"/>
          <w:lang w:eastAsia="es-ES"/>
        </w:rPr>
        <w:t>/2015</w:t>
      </w:r>
      <w:r>
        <w:rPr>
          <w:rFonts w:ascii="Arial" w:hAnsi="Arial" w:cs="Arial"/>
          <w:sz w:val="24"/>
          <w:szCs w:val="28"/>
          <w:lang w:eastAsia="es-ES"/>
        </w:rPr>
        <w:t xml:space="preserve"> </w:t>
      </w:r>
      <w:r w:rsidR="00D755FE">
        <w:rPr>
          <w:rFonts w:ascii="Arial" w:hAnsi="Arial" w:cs="Arial"/>
          <w:sz w:val="24"/>
          <w:szCs w:val="28"/>
          <w:lang w:eastAsia="es-ES"/>
        </w:rPr>
        <w:t>se puede ver que se otorgó Beneficio Tributario por $83.553.000 de los cuales se</w:t>
      </w:r>
      <w:r w:rsidR="000E02E0">
        <w:rPr>
          <w:rFonts w:ascii="Arial" w:hAnsi="Arial" w:cs="Arial"/>
          <w:sz w:val="24"/>
          <w:szCs w:val="28"/>
          <w:lang w:eastAsia="es-ES"/>
        </w:rPr>
        <w:t xml:space="preserve"> beneficiaron 74 Contribuyentes, donde (42) solicitaron Beneficio por Hurto, (18) por Chatarrización, (14) Destrucción </w:t>
      </w:r>
      <w:r w:rsidR="00CB51CD">
        <w:rPr>
          <w:rFonts w:ascii="Arial" w:hAnsi="Arial" w:cs="Arial"/>
          <w:sz w:val="24"/>
          <w:szCs w:val="28"/>
          <w:lang w:eastAsia="es-ES"/>
        </w:rPr>
        <w:t>total.</w:t>
      </w:r>
    </w:p>
    <w:p w:rsidR="004E32A4" w:rsidRDefault="004E32A4" w:rsidP="006E45D8">
      <w:pPr>
        <w:spacing w:line="360" w:lineRule="auto"/>
        <w:jc w:val="both"/>
        <w:rPr>
          <w:rFonts w:ascii="Arial" w:hAnsi="Arial" w:cs="Arial"/>
          <w:sz w:val="24"/>
          <w:szCs w:val="28"/>
          <w:lang w:eastAsia="es-ES"/>
        </w:rPr>
      </w:pPr>
    </w:p>
    <w:p w:rsidR="004E32A4" w:rsidRDefault="004E32A4" w:rsidP="006E45D8">
      <w:pPr>
        <w:spacing w:line="360" w:lineRule="auto"/>
        <w:rPr>
          <w:rStyle w:val="Ttulo2Car"/>
          <w:rFonts w:eastAsiaTheme="minorHAnsi"/>
        </w:rPr>
      </w:pPr>
      <w:bookmarkStart w:id="60" w:name="_Toc495334936"/>
      <w:r w:rsidRPr="004E32A4">
        <w:rPr>
          <w:rStyle w:val="Ttulo2Car"/>
          <w:rFonts w:eastAsiaTheme="minorHAnsi"/>
        </w:rPr>
        <w:t xml:space="preserve">7.2 COSTO FISCAL EXENCIONES </w:t>
      </w:r>
      <w:r w:rsidR="00D755FE" w:rsidRPr="004E32A4">
        <w:rPr>
          <w:rStyle w:val="Ttulo2Car"/>
          <w:rFonts w:eastAsiaTheme="minorHAnsi"/>
        </w:rPr>
        <w:t>IMPUESTO DE REGISTRO</w:t>
      </w:r>
      <w:bookmarkEnd w:id="60"/>
    </w:p>
    <w:p w:rsidR="00E44D61" w:rsidRDefault="00E44D61" w:rsidP="006E45D8">
      <w:pPr>
        <w:spacing w:line="360" w:lineRule="auto"/>
        <w:rPr>
          <w:rFonts w:ascii="Arial" w:hAnsi="Arial" w:cs="Arial"/>
          <w:sz w:val="24"/>
          <w:szCs w:val="28"/>
          <w:lang w:eastAsia="es-ES"/>
        </w:rPr>
      </w:pPr>
      <w:r w:rsidRPr="00E44D61">
        <w:rPr>
          <w:noProof/>
          <w:lang w:eastAsia="es-CO"/>
        </w:rPr>
        <w:drawing>
          <wp:inline distT="0" distB="0" distL="0" distR="0" wp14:anchorId="704DDDE0" wp14:editId="7645D960">
            <wp:extent cx="5610225" cy="3962400"/>
            <wp:effectExtent l="19050" t="19050" r="28575" b="190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13400" cy="3964642"/>
                    </a:xfrm>
                    <a:prstGeom prst="rect">
                      <a:avLst/>
                    </a:prstGeom>
                    <a:noFill/>
                    <a:ln>
                      <a:solidFill>
                        <a:schemeClr val="accent1"/>
                      </a:solidFill>
                    </a:ln>
                  </pic:spPr>
                </pic:pic>
              </a:graphicData>
            </a:graphic>
          </wp:inline>
        </w:drawing>
      </w:r>
    </w:p>
    <w:p w:rsidR="00D755FE" w:rsidRPr="005D57FA" w:rsidRDefault="00D755FE" w:rsidP="00E968E5">
      <w:pPr>
        <w:spacing w:line="360" w:lineRule="auto"/>
        <w:jc w:val="both"/>
        <w:rPr>
          <w:rFonts w:ascii="Arial" w:hAnsi="Arial" w:cs="Arial"/>
          <w:sz w:val="24"/>
          <w:szCs w:val="28"/>
          <w:lang w:eastAsia="es-ES"/>
        </w:rPr>
      </w:pPr>
      <w:r>
        <w:rPr>
          <w:rFonts w:ascii="Arial" w:hAnsi="Arial" w:cs="Arial"/>
          <w:sz w:val="24"/>
          <w:szCs w:val="28"/>
          <w:lang w:eastAsia="es-ES"/>
        </w:rPr>
        <w:t>De la Ordenanza 017 de 2015 donde se ordena otorgar exención a los particulares beneficiarios del programa de formalización rural del Ministerio de Agricultura y Desarrollo Rural o los procesos de titulación de INCODER, no se presentaron en 2016 solicitudes de exención.</w:t>
      </w:r>
    </w:p>
    <w:p w:rsidR="009341E9" w:rsidRPr="00D755FE" w:rsidRDefault="00D755FE" w:rsidP="006E45D8">
      <w:pPr>
        <w:spacing w:line="360" w:lineRule="auto"/>
        <w:jc w:val="both"/>
        <w:rPr>
          <w:rFonts w:ascii="Arial" w:hAnsi="Arial" w:cs="Arial"/>
          <w:sz w:val="24"/>
          <w:szCs w:val="28"/>
          <w:lang w:eastAsia="es-ES"/>
        </w:rPr>
      </w:pPr>
      <w:r w:rsidRPr="00D755FE">
        <w:rPr>
          <w:rFonts w:ascii="Arial" w:hAnsi="Arial" w:cs="Arial"/>
          <w:sz w:val="24"/>
          <w:szCs w:val="28"/>
          <w:lang w:eastAsia="es-ES"/>
        </w:rPr>
        <w:t>De la Ordenanza 021 de 2015 donde se ordena otorgar exención a los particulares beneficiarios de las viviendas de interés prioritario y vivienda de interés para ahorradores, se concedió exenciones por $582.913.</w:t>
      </w:r>
      <w:r w:rsidRPr="001E47EC">
        <w:rPr>
          <w:rFonts w:ascii="Arial" w:hAnsi="Arial" w:cs="Arial"/>
          <w:sz w:val="24"/>
          <w:szCs w:val="28"/>
          <w:lang w:eastAsia="es-ES"/>
        </w:rPr>
        <w:t xml:space="preserve">108 a # </w:t>
      </w:r>
      <w:r w:rsidR="001E47EC" w:rsidRPr="001E47EC">
        <w:rPr>
          <w:rFonts w:ascii="Arial" w:hAnsi="Arial" w:cs="Arial"/>
          <w:sz w:val="24"/>
          <w:szCs w:val="28"/>
          <w:lang w:eastAsia="es-ES"/>
        </w:rPr>
        <w:t>1</w:t>
      </w:r>
      <w:r w:rsidR="001E47EC">
        <w:rPr>
          <w:rFonts w:ascii="Arial" w:hAnsi="Arial" w:cs="Arial"/>
          <w:sz w:val="24"/>
          <w:szCs w:val="28"/>
          <w:lang w:eastAsia="es-ES"/>
        </w:rPr>
        <w:t>.</w:t>
      </w:r>
      <w:r w:rsidR="001E47EC" w:rsidRPr="001E47EC">
        <w:rPr>
          <w:rFonts w:ascii="Arial" w:hAnsi="Arial" w:cs="Arial"/>
          <w:sz w:val="24"/>
          <w:szCs w:val="28"/>
          <w:lang w:eastAsia="es-ES"/>
        </w:rPr>
        <w:t>286</w:t>
      </w:r>
      <w:r w:rsidR="001E47EC">
        <w:rPr>
          <w:rFonts w:ascii="Arial" w:hAnsi="Arial" w:cs="Arial"/>
          <w:sz w:val="24"/>
          <w:szCs w:val="28"/>
          <w:lang w:eastAsia="es-ES"/>
        </w:rPr>
        <w:t xml:space="preserve"> </w:t>
      </w:r>
      <w:r w:rsidRPr="00D755FE">
        <w:rPr>
          <w:rFonts w:ascii="Arial" w:hAnsi="Arial" w:cs="Arial"/>
          <w:sz w:val="24"/>
          <w:szCs w:val="28"/>
          <w:lang w:eastAsia="es-ES"/>
        </w:rPr>
        <w:t xml:space="preserve">Beneficiarios que solicitaron dicha exención  </w:t>
      </w:r>
    </w:p>
    <w:p w:rsidR="00D755FE" w:rsidRDefault="00D755FE" w:rsidP="006E45D8">
      <w:pPr>
        <w:tabs>
          <w:tab w:val="left" w:pos="2279"/>
        </w:tabs>
        <w:spacing w:line="360" w:lineRule="auto"/>
        <w:jc w:val="both"/>
        <w:rPr>
          <w:rFonts w:ascii="Arial" w:hAnsi="Arial" w:cs="Arial"/>
          <w:sz w:val="24"/>
          <w:szCs w:val="28"/>
          <w:lang w:eastAsia="es-ES"/>
        </w:rPr>
      </w:pPr>
      <w:r w:rsidRPr="001E47EC">
        <w:rPr>
          <w:rFonts w:ascii="Arial" w:hAnsi="Arial" w:cs="Arial"/>
          <w:sz w:val="24"/>
          <w:szCs w:val="24"/>
        </w:rPr>
        <w:lastRenderedPageBreak/>
        <w:t xml:space="preserve">En el siguiente cuadro se evidencian las ordenanzas de las exenciones con su respectiva cuantificación del acto administrativo durante el 2016 en el cual se observa </w:t>
      </w:r>
      <w:r w:rsidRPr="001E47EC">
        <w:rPr>
          <w:rFonts w:ascii="Arial" w:hAnsi="Arial" w:cs="Arial"/>
          <w:sz w:val="24"/>
          <w:szCs w:val="24"/>
          <w:lang w:val="es-ES"/>
        </w:rPr>
        <w:t>que el costo de estimado de las exenciones por seiscientos sesenta y seis millones cuatrocientos sesenta y seis mil ciento ocho pesos.</w:t>
      </w:r>
      <w:r w:rsidR="00E968E5">
        <w:rPr>
          <w:rFonts w:ascii="Arial" w:hAnsi="Arial" w:cs="Arial"/>
          <w:sz w:val="24"/>
          <w:szCs w:val="24"/>
          <w:lang w:val="es-ES"/>
        </w:rPr>
        <w:t xml:space="preserve"> ($</w:t>
      </w:r>
      <w:r w:rsidRPr="001E47EC">
        <w:rPr>
          <w:rFonts w:ascii="Arial" w:hAnsi="Arial" w:cs="Arial"/>
          <w:sz w:val="24"/>
          <w:szCs w:val="24"/>
          <w:lang w:val="es-ES"/>
        </w:rPr>
        <w:t>666.466.108)</w:t>
      </w:r>
      <w:r w:rsidRPr="001E47EC">
        <w:rPr>
          <w:rStyle w:val="Refdenotaalpie"/>
          <w:rFonts w:ascii="Arial" w:hAnsi="Arial" w:cs="Arial"/>
          <w:sz w:val="24"/>
          <w:szCs w:val="24"/>
          <w:lang w:val="es-ES"/>
        </w:rPr>
        <w:footnoteReference w:id="40"/>
      </w:r>
      <w:r w:rsidRPr="001E47EC">
        <w:rPr>
          <w:rFonts w:ascii="Arial" w:hAnsi="Arial" w:cs="Arial"/>
          <w:sz w:val="24"/>
          <w:szCs w:val="24"/>
          <w:lang w:val="es-ES"/>
        </w:rPr>
        <w:t xml:space="preserve"> </w:t>
      </w:r>
      <w:r w:rsidRPr="001E47EC">
        <w:rPr>
          <w:rFonts w:ascii="Arial" w:hAnsi="Arial" w:cs="Arial"/>
          <w:sz w:val="24"/>
          <w:szCs w:val="24"/>
          <w:lang w:eastAsia="es-ES"/>
        </w:rPr>
        <w:t>el cual no afecta la proyección del Plan Financiero debido a que en este no se incluyó el Costo Total de la Cartera por lo tanto no genera Impacto Fiscal</w:t>
      </w:r>
      <w:r w:rsidRPr="001E47EC">
        <w:rPr>
          <w:rFonts w:ascii="Arial" w:hAnsi="Arial" w:cs="Arial"/>
          <w:sz w:val="24"/>
          <w:szCs w:val="28"/>
          <w:lang w:eastAsia="es-ES"/>
        </w:rPr>
        <w:t>.</w:t>
      </w:r>
    </w:p>
    <w:p w:rsidR="00096426" w:rsidRDefault="00096426">
      <w:pPr>
        <w:rPr>
          <w:rFonts w:ascii="Arial" w:hAnsi="Arial" w:cs="Arial"/>
          <w:sz w:val="24"/>
          <w:szCs w:val="24"/>
          <w:lang w:eastAsia="es-ES"/>
        </w:rPr>
      </w:pPr>
      <w:r>
        <w:rPr>
          <w:rFonts w:ascii="Arial" w:hAnsi="Arial" w:cs="Arial"/>
          <w:sz w:val="24"/>
          <w:szCs w:val="24"/>
          <w:lang w:eastAsia="es-ES"/>
        </w:rPr>
        <w:br w:type="page"/>
      </w:r>
    </w:p>
    <w:p w:rsidR="000C178D" w:rsidRPr="00FB3270" w:rsidRDefault="000C178D" w:rsidP="00FB3270">
      <w:pPr>
        <w:jc w:val="both"/>
        <w:rPr>
          <w:rFonts w:ascii="Arial" w:hAnsi="Arial" w:cs="Arial"/>
          <w:sz w:val="24"/>
          <w:szCs w:val="24"/>
          <w:lang w:eastAsia="es-ES"/>
        </w:rPr>
      </w:pPr>
    </w:p>
    <w:p w:rsidR="009341E9" w:rsidRDefault="00664BAD" w:rsidP="00CB51CD">
      <w:pPr>
        <w:pStyle w:val="Ttulo2"/>
        <w:numPr>
          <w:ilvl w:val="0"/>
          <w:numId w:val="22"/>
        </w:numPr>
        <w:ind w:left="0" w:firstLine="0"/>
        <w:jc w:val="both"/>
      </w:pPr>
      <w:bookmarkStart w:id="61" w:name="_Toc495334937"/>
      <w:r w:rsidRPr="005D57FA">
        <w:t>UNA RELACIÓN DE</w:t>
      </w:r>
      <w:r w:rsidR="005B1013" w:rsidRPr="005D57FA">
        <w:t xml:space="preserve"> LOS PASIVOS EXIGIBLES Y DE LOS</w:t>
      </w:r>
      <w:r w:rsidR="000E02E0">
        <w:t xml:space="preserve"> </w:t>
      </w:r>
      <w:r w:rsidRPr="005D57FA">
        <w:t>PASIVOS CONTINGENTES QUE PUEDEN AFECTAR LA SITUACION FINANCIERA DE LA ENTIDAD TERRITORIAL</w:t>
      </w:r>
      <w:bookmarkEnd w:id="61"/>
    </w:p>
    <w:p w:rsidR="00FC00FF" w:rsidRPr="00EB4CD6" w:rsidRDefault="00FC00FF" w:rsidP="006E45D8">
      <w:pPr>
        <w:tabs>
          <w:tab w:val="left" w:pos="2279"/>
        </w:tabs>
        <w:spacing w:line="360" w:lineRule="auto"/>
        <w:jc w:val="center"/>
        <w:rPr>
          <w:rFonts w:ascii="Arial" w:hAnsi="Arial" w:cs="Arial"/>
          <w:b/>
          <w:sz w:val="28"/>
          <w:szCs w:val="28"/>
          <w:lang w:eastAsia="es-ES"/>
        </w:rPr>
      </w:pPr>
    </w:p>
    <w:p w:rsidR="00CE5389" w:rsidRPr="000E02E0" w:rsidRDefault="00CE5389" w:rsidP="006E45D8">
      <w:pPr>
        <w:spacing w:line="360" w:lineRule="auto"/>
        <w:jc w:val="both"/>
        <w:rPr>
          <w:rFonts w:ascii="Arial" w:hAnsi="Arial" w:cs="Arial"/>
          <w:sz w:val="24"/>
        </w:rPr>
      </w:pPr>
      <w:r w:rsidRPr="000E02E0">
        <w:rPr>
          <w:rFonts w:ascii="Arial" w:hAnsi="Arial" w:cs="Arial"/>
          <w:sz w:val="24"/>
        </w:rPr>
        <w:t xml:space="preserve">De </w:t>
      </w:r>
      <w:r w:rsidR="009A4F6F" w:rsidRPr="000E02E0">
        <w:rPr>
          <w:rFonts w:ascii="Arial" w:hAnsi="Arial" w:cs="Arial"/>
          <w:sz w:val="24"/>
        </w:rPr>
        <w:t>a</w:t>
      </w:r>
      <w:r w:rsidRPr="000E02E0">
        <w:rPr>
          <w:rFonts w:ascii="Arial" w:hAnsi="Arial" w:cs="Arial"/>
          <w:sz w:val="24"/>
        </w:rPr>
        <w:t xml:space="preserve">cuerdo con lo establecido en la Ley 448 de 1998, los </w:t>
      </w:r>
      <w:r w:rsidR="00FC00FF" w:rsidRPr="00FC00FF">
        <w:rPr>
          <w:rFonts w:ascii="Arial" w:hAnsi="Arial" w:cs="Arial"/>
          <w:b/>
          <w:sz w:val="24"/>
        </w:rPr>
        <w:t>PASIVOS CONTINGENTES</w:t>
      </w:r>
      <w:r w:rsidR="00FC00FF" w:rsidRPr="000E02E0">
        <w:rPr>
          <w:rFonts w:ascii="Arial" w:hAnsi="Arial" w:cs="Arial"/>
          <w:sz w:val="24"/>
        </w:rPr>
        <w:t xml:space="preserve"> </w:t>
      </w:r>
      <w:r w:rsidRPr="000E02E0">
        <w:rPr>
          <w:rFonts w:ascii="Arial" w:hAnsi="Arial" w:cs="Arial"/>
          <w:sz w:val="24"/>
        </w:rPr>
        <w:t>son las obligaciones pecuniarias sometidas a condición, es decir, aquellas en virtud de la cual la entidad territorial estipula contractualmente a favor del contratista, el pago de una suma de dinero determinada o determinable, a partir de factores identificados por la ocurrencia de un hecho futuro incierto. Vale la pena recordar que dicha ley estableció la conformación del Fondo de Contingencias de las Entidades con el objetivo de mejorar la disponibilidad de recursos financieros para cubrir el cumplimiento de las obligaciones contingentes pactadas en los contratos de participación privada en Colombia, en sectores como infraestructura vial, energía, saneamiento básico y agua potable.</w:t>
      </w:r>
      <w:r w:rsidRPr="000E02E0">
        <w:rPr>
          <w:rStyle w:val="Refdenotaalpie"/>
          <w:rFonts w:ascii="Arial" w:hAnsi="Arial" w:cs="Arial"/>
          <w:sz w:val="24"/>
        </w:rPr>
        <w:footnoteReference w:id="41"/>
      </w:r>
    </w:p>
    <w:p w:rsidR="00CE5389" w:rsidRPr="000E02E0" w:rsidRDefault="00CE5389" w:rsidP="006E45D8">
      <w:pPr>
        <w:spacing w:before="100" w:beforeAutospacing="1" w:after="100" w:afterAutospacing="1" w:line="360" w:lineRule="auto"/>
        <w:jc w:val="both"/>
        <w:rPr>
          <w:rFonts w:ascii="Arial" w:hAnsi="Arial" w:cs="Arial"/>
          <w:sz w:val="24"/>
        </w:rPr>
      </w:pPr>
      <w:r w:rsidRPr="000E02E0">
        <w:rPr>
          <w:rFonts w:ascii="Arial" w:hAnsi="Arial" w:cs="Arial"/>
          <w:sz w:val="24"/>
        </w:rPr>
        <w:t>En caso de las operaciones de crédito público estas se constituyen en un pasivo contingente en cuanto son un hecho incierto que requiere una condición de cumplimiento para llegar a ser un pasivo real, además se puede decir que surgen a cargo de las entidades descritas en los artículos 41 de la Ley 80 de 1993 y el artículo 14 de la Ley 185 de 1995, cuando estas actúen como garantes de obligaciones de pago a terceros.</w:t>
      </w:r>
    </w:p>
    <w:p w:rsidR="00CE5389" w:rsidRPr="000E02E0" w:rsidRDefault="004E32A4" w:rsidP="006E45D8">
      <w:pPr>
        <w:spacing w:before="100" w:beforeAutospacing="1" w:after="100" w:afterAutospacing="1" w:line="360" w:lineRule="auto"/>
        <w:jc w:val="both"/>
        <w:rPr>
          <w:rFonts w:ascii="Arial" w:hAnsi="Arial" w:cs="Arial"/>
          <w:sz w:val="24"/>
        </w:rPr>
      </w:pPr>
      <w:r>
        <w:rPr>
          <w:rFonts w:ascii="Arial" w:hAnsi="Arial" w:cs="Arial"/>
          <w:sz w:val="24"/>
        </w:rPr>
        <w:t>De</w:t>
      </w:r>
      <w:r w:rsidR="00CE5389" w:rsidRPr="000E02E0">
        <w:rPr>
          <w:rFonts w:ascii="Arial" w:hAnsi="Arial" w:cs="Arial"/>
          <w:sz w:val="24"/>
        </w:rPr>
        <w:t xml:space="preserve"> otra parte</w:t>
      </w:r>
      <w:r>
        <w:rPr>
          <w:rFonts w:ascii="Arial" w:hAnsi="Arial" w:cs="Arial"/>
          <w:sz w:val="24"/>
        </w:rPr>
        <w:t>,</w:t>
      </w:r>
      <w:r w:rsidR="00CE5389" w:rsidRPr="000E02E0">
        <w:rPr>
          <w:rFonts w:ascii="Arial" w:hAnsi="Arial" w:cs="Arial"/>
          <w:sz w:val="24"/>
        </w:rPr>
        <w:t xml:space="preserve"> </w:t>
      </w:r>
      <w:r w:rsidR="00CE5389" w:rsidRPr="000E02E0">
        <w:rPr>
          <w:rFonts w:ascii="Arial" w:hAnsi="Arial" w:cs="Arial"/>
          <w:color w:val="000000"/>
          <w:sz w:val="24"/>
          <w:shd w:val="clear" w:color="auto" w:fill="FFFFFF"/>
        </w:rPr>
        <w:t xml:space="preserve">los </w:t>
      </w:r>
      <w:r w:rsidR="00FC00FF" w:rsidRPr="00FC00FF">
        <w:rPr>
          <w:rFonts w:ascii="Arial" w:hAnsi="Arial" w:cs="Arial"/>
          <w:b/>
          <w:color w:val="000000"/>
          <w:sz w:val="24"/>
          <w:shd w:val="clear" w:color="auto" w:fill="FFFFFF"/>
        </w:rPr>
        <w:t>PASIVOS EXIGIBLES</w:t>
      </w:r>
      <w:r w:rsidR="00FC00FF" w:rsidRPr="000E02E0">
        <w:rPr>
          <w:rFonts w:ascii="Arial" w:hAnsi="Arial" w:cs="Arial"/>
          <w:color w:val="000000"/>
          <w:sz w:val="24"/>
          <w:shd w:val="clear" w:color="auto" w:fill="FFFFFF"/>
        </w:rPr>
        <w:t xml:space="preserve"> </w:t>
      </w:r>
      <w:r w:rsidR="00CE5389" w:rsidRPr="000E02E0">
        <w:rPr>
          <w:rFonts w:ascii="Arial" w:hAnsi="Arial" w:cs="Arial"/>
          <w:color w:val="000000"/>
          <w:sz w:val="24"/>
          <w:shd w:val="clear" w:color="auto" w:fill="FFFFFF"/>
        </w:rPr>
        <w:t>son c</w:t>
      </w:r>
      <w:r w:rsidR="00CE5389" w:rsidRPr="000E02E0">
        <w:rPr>
          <w:rFonts w:ascii="Arial" w:hAnsi="Arial" w:cs="Arial"/>
          <w:sz w:val="24"/>
        </w:rPr>
        <w:t xml:space="preserve">ompromisos legalmente adquiridos como resultado de la ejecución del presupuesto, en otras vigencias, que deben asumirse con cargo al presupuesto disponible de la vigencia en que se pagan por cuanto no se constituyeron como reservas presupuestales o cuentas por pagar o la reserva presupuestal o cuenta por pagar que lo respaldo en su oportunidad feneció </w:t>
      </w:r>
      <w:r w:rsidR="00CE5389" w:rsidRPr="000E02E0">
        <w:rPr>
          <w:rFonts w:ascii="Arial" w:hAnsi="Arial" w:cs="Arial"/>
          <w:sz w:val="24"/>
        </w:rPr>
        <w:lastRenderedPageBreak/>
        <w:t>por no haberse pagado en el transcurso de la misma vigencia fiscal en que se constituyeron.</w:t>
      </w:r>
    </w:p>
    <w:p w:rsidR="00CE5389" w:rsidRPr="000E02E0" w:rsidRDefault="00CE5389" w:rsidP="006E45D8">
      <w:pPr>
        <w:spacing w:before="100" w:beforeAutospacing="1" w:after="100" w:afterAutospacing="1" w:line="360" w:lineRule="auto"/>
        <w:jc w:val="both"/>
        <w:rPr>
          <w:rFonts w:ascii="Arial" w:eastAsia="Times New Roman" w:hAnsi="Arial" w:cs="Arial"/>
          <w:sz w:val="28"/>
          <w:szCs w:val="24"/>
          <w:lang w:val="es-ES" w:eastAsia="es-ES"/>
        </w:rPr>
      </w:pPr>
      <w:r w:rsidRPr="000E02E0">
        <w:rPr>
          <w:rFonts w:ascii="Arial" w:hAnsi="Arial" w:cs="Arial"/>
          <w:sz w:val="24"/>
        </w:rPr>
        <w:t>Para el pago de los pasivos exigibles, el Gobierno Departamental mediante decreto, realizará las modificaciones presupuestales necesarias con el fin de asegurar el cumplimiento de dichas obligaciones.</w:t>
      </w:r>
      <w:r w:rsidRPr="000E02E0">
        <w:rPr>
          <w:rStyle w:val="Refdenotaalpie"/>
          <w:rFonts w:ascii="Arial" w:hAnsi="Arial" w:cs="Arial"/>
          <w:sz w:val="24"/>
        </w:rPr>
        <w:footnoteReference w:id="42"/>
      </w:r>
    </w:p>
    <w:p w:rsidR="00CE5389" w:rsidRPr="000E02E0" w:rsidRDefault="00CE5389" w:rsidP="006E45D8">
      <w:pPr>
        <w:spacing w:line="360" w:lineRule="auto"/>
        <w:jc w:val="both"/>
        <w:rPr>
          <w:rFonts w:ascii="Arial" w:hAnsi="Arial" w:cs="Arial"/>
          <w:sz w:val="24"/>
          <w:lang w:val="es-ES"/>
        </w:rPr>
      </w:pPr>
      <w:r w:rsidRPr="000E02E0">
        <w:rPr>
          <w:rFonts w:ascii="Arial" w:hAnsi="Arial" w:cs="Arial"/>
          <w:sz w:val="24"/>
          <w:lang w:val="es-ES"/>
        </w:rPr>
        <w:t>De esta manera es posible que surjan pasivos contingentes y/o exigibles cuando:</w:t>
      </w:r>
      <w:r w:rsidRPr="000E02E0">
        <w:rPr>
          <w:rStyle w:val="Refdenotaalpie"/>
          <w:rFonts w:ascii="Arial" w:hAnsi="Arial" w:cs="Arial"/>
          <w:sz w:val="24"/>
          <w:lang w:val="es-ES"/>
        </w:rPr>
        <w:footnoteReference w:id="43"/>
      </w:r>
    </w:p>
    <w:p w:rsidR="00CE5389" w:rsidRPr="000E02E0" w:rsidRDefault="00CE5389" w:rsidP="006E45D8">
      <w:pPr>
        <w:pStyle w:val="Prrafodelista"/>
        <w:numPr>
          <w:ilvl w:val="0"/>
          <w:numId w:val="6"/>
        </w:numPr>
        <w:spacing w:line="360" w:lineRule="auto"/>
        <w:contextualSpacing/>
        <w:jc w:val="both"/>
        <w:rPr>
          <w:rFonts w:ascii="Arial" w:hAnsi="Arial" w:cs="Arial"/>
          <w:sz w:val="24"/>
          <w:szCs w:val="24"/>
        </w:rPr>
      </w:pPr>
      <w:r w:rsidRPr="000E02E0">
        <w:rPr>
          <w:rFonts w:ascii="Arial" w:hAnsi="Arial" w:cs="Arial"/>
          <w:sz w:val="24"/>
          <w:szCs w:val="24"/>
        </w:rPr>
        <w:t>Deba pagarse la deuda u obligaciones de un tercero por haberse otorgado un aval o garantía.</w:t>
      </w:r>
    </w:p>
    <w:p w:rsidR="00CE5389" w:rsidRPr="000E02E0" w:rsidRDefault="00CE5389" w:rsidP="006E45D8">
      <w:pPr>
        <w:pStyle w:val="Prrafodelista"/>
        <w:numPr>
          <w:ilvl w:val="0"/>
          <w:numId w:val="6"/>
        </w:numPr>
        <w:spacing w:line="360" w:lineRule="auto"/>
        <w:contextualSpacing/>
        <w:jc w:val="both"/>
        <w:rPr>
          <w:rFonts w:ascii="Arial" w:hAnsi="Arial" w:cs="Arial"/>
          <w:sz w:val="24"/>
          <w:szCs w:val="24"/>
        </w:rPr>
      </w:pPr>
      <w:r w:rsidRPr="000E02E0">
        <w:rPr>
          <w:rFonts w:ascii="Arial" w:hAnsi="Arial" w:cs="Arial"/>
          <w:sz w:val="24"/>
          <w:szCs w:val="24"/>
        </w:rPr>
        <w:t>Surjan sentencias o conciliaciones producto de una pérdida de un litigio o demanda, donde se condena a pagar una suma de dinero a un tercero</w:t>
      </w:r>
    </w:p>
    <w:p w:rsidR="00CE5389" w:rsidRPr="000E02E0" w:rsidRDefault="00CE5389" w:rsidP="006E45D8">
      <w:pPr>
        <w:pStyle w:val="Prrafodelista"/>
        <w:numPr>
          <w:ilvl w:val="0"/>
          <w:numId w:val="6"/>
        </w:numPr>
        <w:spacing w:line="360" w:lineRule="auto"/>
        <w:contextualSpacing/>
        <w:jc w:val="both"/>
        <w:rPr>
          <w:rFonts w:ascii="Arial" w:hAnsi="Arial" w:cs="Arial"/>
          <w:sz w:val="24"/>
          <w:szCs w:val="24"/>
        </w:rPr>
      </w:pPr>
      <w:r w:rsidRPr="000E02E0">
        <w:rPr>
          <w:rFonts w:ascii="Arial" w:hAnsi="Arial" w:cs="Arial"/>
          <w:sz w:val="24"/>
          <w:szCs w:val="24"/>
        </w:rPr>
        <w:t>Hay pasivos pensionales, entendidos como obligaciones compuestas por bonos pensionales, el valor correspondiente a las reservas matemáticas de pension</w:t>
      </w:r>
      <w:r w:rsidR="005A1516">
        <w:rPr>
          <w:rFonts w:ascii="Arial" w:hAnsi="Arial" w:cs="Arial"/>
          <w:sz w:val="24"/>
          <w:szCs w:val="24"/>
        </w:rPr>
        <w:t>es y las cuotas partes de bonos</w:t>
      </w:r>
      <w:r w:rsidRPr="000E02E0">
        <w:rPr>
          <w:rFonts w:ascii="Arial" w:hAnsi="Arial" w:cs="Arial"/>
          <w:sz w:val="24"/>
          <w:szCs w:val="24"/>
        </w:rPr>
        <w:t xml:space="preserve"> y de pensiones.</w:t>
      </w:r>
    </w:p>
    <w:p w:rsidR="00CE5389" w:rsidRPr="000E02E0" w:rsidRDefault="00CE5389" w:rsidP="006E45D8">
      <w:pPr>
        <w:pStyle w:val="Prrafodelista"/>
        <w:numPr>
          <w:ilvl w:val="0"/>
          <w:numId w:val="6"/>
        </w:numPr>
        <w:spacing w:line="360" w:lineRule="auto"/>
        <w:contextualSpacing/>
        <w:jc w:val="both"/>
        <w:rPr>
          <w:rFonts w:ascii="Arial" w:hAnsi="Arial" w:cs="Arial"/>
          <w:sz w:val="24"/>
          <w:szCs w:val="24"/>
        </w:rPr>
      </w:pPr>
      <w:r w:rsidRPr="000E02E0">
        <w:rPr>
          <w:rFonts w:ascii="Arial" w:hAnsi="Arial" w:cs="Arial"/>
          <w:sz w:val="24"/>
          <w:szCs w:val="24"/>
        </w:rPr>
        <w:t>Se hace efectivo el cumplimiento de una garantía otorgada en contratos de crédito, es decir, originados en operaciones de deuda.</w:t>
      </w:r>
    </w:p>
    <w:p w:rsidR="00CE5389" w:rsidRPr="000E02E0" w:rsidRDefault="00CE5389" w:rsidP="006E45D8">
      <w:pPr>
        <w:spacing w:line="360" w:lineRule="auto"/>
        <w:jc w:val="both"/>
        <w:rPr>
          <w:rFonts w:ascii="Arial" w:hAnsi="Arial" w:cs="Arial"/>
          <w:sz w:val="24"/>
          <w:szCs w:val="24"/>
          <w:lang w:val="es-ES"/>
        </w:rPr>
      </w:pPr>
      <w:r w:rsidRPr="000E02E0">
        <w:rPr>
          <w:rFonts w:ascii="Arial" w:hAnsi="Arial" w:cs="Arial"/>
          <w:sz w:val="24"/>
          <w:szCs w:val="24"/>
          <w:lang w:val="es-ES"/>
        </w:rPr>
        <w:t>El Departamento del Quindío tal cual como lo dice la ley 819 de 2003, debe tener en cuenta los costos en los que se podría incurrir con los litigios y demandas en las cuales el Departamento es parte actora.</w:t>
      </w:r>
    </w:p>
    <w:p w:rsidR="00CE5389" w:rsidRPr="000E02E0" w:rsidRDefault="00CE5389" w:rsidP="006E45D8">
      <w:pPr>
        <w:spacing w:line="360" w:lineRule="auto"/>
        <w:jc w:val="both"/>
        <w:rPr>
          <w:rFonts w:ascii="Arial" w:hAnsi="Arial" w:cs="Arial"/>
          <w:sz w:val="24"/>
          <w:szCs w:val="24"/>
          <w:lang w:val="es-ES"/>
        </w:rPr>
      </w:pPr>
      <w:r w:rsidRPr="000E02E0">
        <w:rPr>
          <w:rFonts w:ascii="Arial" w:hAnsi="Arial" w:cs="Arial"/>
          <w:sz w:val="24"/>
          <w:szCs w:val="24"/>
          <w:lang w:val="es-ES"/>
        </w:rPr>
        <w:t>Con el fin de conceptualizar a que se refiere la clasificación de los procesos, se tiene en cuenta la Ley 1437 en sus artículos 138, 140 y 141, además del artículo 74 del Código procesal del trabajo.</w:t>
      </w:r>
    </w:p>
    <w:p w:rsidR="00CE5389" w:rsidRPr="000E02E0" w:rsidRDefault="00CE5389" w:rsidP="006E45D8">
      <w:pPr>
        <w:pStyle w:val="Prrafodelista"/>
        <w:numPr>
          <w:ilvl w:val="0"/>
          <w:numId w:val="5"/>
        </w:numPr>
        <w:spacing w:line="360" w:lineRule="auto"/>
        <w:contextualSpacing/>
        <w:jc w:val="both"/>
        <w:rPr>
          <w:rFonts w:ascii="Arial" w:hAnsi="Arial" w:cs="Arial"/>
          <w:sz w:val="24"/>
          <w:szCs w:val="24"/>
        </w:rPr>
      </w:pPr>
      <w:r w:rsidRPr="000E02E0">
        <w:rPr>
          <w:rFonts w:ascii="Arial" w:hAnsi="Arial" w:cs="Arial"/>
          <w:sz w:val="24"/>
          <w:szCs w:val="24"/>
          <w:u w:val="single"/>
        </w:rPr>
        <w:t>Reparación Directa:</w:t>
      </w:r>
      <w:r w:rsidRPr="000E02E0">
        <w:rPr>
          <w:rFonts w:ascii="Arial" w:hAnsi="Arial" w:cs="Arial"/>
          <w:sz w:val="24"/>
          <w:szCs w:val="24"/>
        </w:rPr>
        <w:t xml:space="preserve"> Las personas pueden ejercerlo cuando hayan sido afectadas o que hayan sido víctimas de daños antijurídicos por causa de la acción u omisión del estado y se interpone con el fin de que se declare la responsabilidad del estado y se ordene reparar el daño.</w:t>
      </w:r>
    </w:p>
    <w:p w:rsidR="00CE5389" w:rsidRPr="000E02E0" w:rsidRDefault="00CE5389" w:rsidP="006E45D8">
      <w:pPr>
        <w:pStyle w:val="Prrafodelista"/>
        <w:numPr>
          <w:ilvl w:val="0"/>
          <w:numId w:val="5"/>
        </w:numPr>
        <w:spacing w:line="360" w:lineRule="auto"/>
        <w:contextualSpacing/>
        <w:jc w:val="both"/>
        <w:rPr>
          <w:rFonts w:ascii="Arial" w:hAnsi="Arial" w:cs="Arial"/>
          <w:sz w:val="24"/>
          <w:szCs w:val="24"/>
        </w:rPr>
      </w:pPr>
      <w:r w:rsidRPr="000E02E0">
        <w:rPr>
          <w:rFonts w:ascii="Arial" w:hAnsi="Arial" w:cs="Arial"/>
          <w:sz w:val="24"/>
          <w:szCs w:val="24"/>
          <w:u w:val="single"/>
        </w:rPr>
        <w:lastRenderedPageBreak/>
        <w:t>Medio de control de nulidad y restablecimiento del derecho:</w:t>
      </w:r>
      <w:r w:rsidRPr="000E02E0">
        <w:rPr>
          <w:rFonts w:ascii="Arial" w:hAnsi="Arial" w:cs="Arial"/>
          <w:sz w:val="24"/>
          <w:szCs w:val="24"/>
        </w:rPr>
        <w:t xml:space="preserve"> Se clasifica como un proceso que se instaura en eventos en los que se vulnere o lesione un derecho subjetivo de una persona que está amparado por una norma y es básicamente para declarar nulidad en actos administrativos (pronunciamientos de la administración) y a partir de estos se logre restablecer el derecho de la persona que fue vulnerado y es para casos particulares o específicos.</w:t>
      </w:r>
    </w:p>
    <w:p w:rsidR="00CE5389" w:rsidRPr="000E02E0" w:rsidRDefault="00CE5389" w:rsidP="006E45D8">
      <w:pPr>
        <w:pStyle w:val="Prrafodelista"/>
        <w:numPr>
          <w:ilvl w:val="0"/>
          <w:numId w:val="5"/>
        </w:numPr>
        <w:spacing w:line="360" w:lineRule="auto"/>
        <w:contextualSpacing/>
        <w:jc w:val="both"/>
        <w:rPr>
          <w:rFonts w:ascii="Arial" w:hAnsi="Arial" w:cs="Arial"/>
          <w:sz w:val="24"/>
          <w:szCs w:val="24"/>
        </w:rPr>
      </w:pPr>
      <w:r w:rsidRPr="000E02E0">
        <w:rPr>
          <w:rFonts w:ascii="Arial" w:hAnsi="Arial" w:cs="Arial"/>
          <w:sz w:val="24"/>
          <w:szCs w:val="24"/>
          <w:u w:val="single"/>
        </w:rPr>
        <w:t>Controversias contractuales</w:t>
      </w:r>
      <w:r w:rsidRPr="000E02E0">
        <w:rPr>
          <w:rFonts w:ascii="Arial" w:hAnsi="Arial" w:cs="Arial"/>
          <w:sz w:val="24"/>
          <w:szCs w:val="24"/>
        </w:rPr>
        <w:t>: Como el nombre lo indica es para conflictos originados entre cualquiera de las partes de un contrato del Estado en donde este podrá pedir que se declare su existencia o su nulidad, que se ordene su revisión, que se declare su incumplimiento, que se declare la nulidad de los actos administrativos contractuales, que se condene al responsable a indemnizar los perjuicios, y que se hagan otras declaraciones y condenas. Así mismo, el interesado podrá solicitar la liquidación judicial del contrato cuando esta no se haya logrado de mutuo acuerdo y la entidad estatal no lo haya liquidado unilateralmente</w:t>
      </w:r>
      <w:r w:rsidRPr="000E02E0">
        <w:rPr>
          <w:rFonts w:ascii="Arial" w:hAnsi="Arial" w:cs="Arial"/>
          <w:color w:val="000000"/>
          <w:sz w:val="24"/>
          <w:szCs w:val="24"/>
          <w:shd w:val="clear" w:color="auto" w:fill="FFFFFF"/>
        </w:rPr>
        <w:t>.</w:t>
      </w:r>
    </w:p>
    <w:p w:rsidR="00CE5389" w:rsidRPr="000E02E0" w:rsidRDefault="00CE5389" w:rsidP="006E45D8">
      <w:pPr>
        <w:pStyle w:val="NormalWeb"/>
        <w:numPr>
          <w:ilvl w:val="0"/>
          <w:numId w:val="5"/>
        </w:numPr>
        <w:spacing w:line="360" w:lineRule="auto"/>
        <w:jc w:val="both"/>
        <w:rPr>
          <w:rFonts w:ascii="Arial" w:eastAsia="Calibri" w:hAnsi="Arial" w:cs="Arial"/>
          <w:lang w:eastAsia="en-US"/>
        </w:rPr>
      </w:pPr>
      <w:r w:rsidRPr="000E02E0">
        <w:rPr>
          <w:rFonts w:ascii="Arial" w:hAnsi="Arial" w:cs="Arial"/>
          <w:u w:val="single"/>
        </w:rPr>
        <w:t>El proceso ordinario laboral de primera instancia:</w:t>
      </w:r>
      <w:r w:rsidRPr="000E02E0">
        <w:rPr>
          <w:rFonts w:ascii="Arial" w:hAnsi="Arial" w:cs="Arial"/>
        </w:rPr>
        <w:t xml:space="preserve"> son aquellos procesos donde </w:t>
      </w:r>
      <w:r w:rsidRPr="000E02E0">
        <w:rPr>
          <w:rFonts w:ascii="Arial" w:eastAsia="Calibri" w:hAnsi="Arial" w:cs="Arial"/>
          <w:lang w:eastAsia="en-US"/>
        </w:rPr>
        <w:t>la reconvención se formulará en escrito separado del de la contestación y deberá contener los mismos requisitos de la demanda principal, de ella se dará traslado común por tres días al reconvenido y al agente del Ministerio Público, en su caso, y de allí en adelante se sustanciará bajo una misma cuerda y se decidirá en una misma sentencia.</w:t>
      </w:r>
    </w:p>
    <w:p w:rsidR="004E4308" w:rsidRDefault="004E4308" w:rsidP="00CB51CD">
      <w:pPr>
        <w:pStyle w:val="Ttulo2"/>
        <w:numPr>
          <w:ilvl w:val="0"/>
          <w:numId w:val="0"/>
        </w:numPr>
      </w:pPr>
    </w:p>
    <w:p w:rsidR="00A663F9" w:rsidRPr="00CB51CD" w:rsidRDefault="00CB51CD" w:rsidP="00CB51CD">
      <w:pPr>
        <w:pStyle w:val="Ttulo2"/>
        <w:numPr>
          <w:ilvl w:val="0"/>
          <w:numId w:val="0"/>
        </w:numPr>
      </w:pPr>
      <w:bookmarkStart w:id="62" w:name="_Toc495334938"/>
      <w:r w:rsidRPr="00CB51CD">
        <w:t xml:space="preserve">8.1 </w:t>
      </w:r>
      <w:r w:rsidR="00CE5389" w:rsidRPr="00CB51CD">
        <w:t>PASIVOS EXIGIBLES:</w:t>
      </w:r>
      <w:bookmarkEnd w:id="62"/>
      <w:r w:rsidR="00A663F9" w:rsidRPr="00CB51CD">
        <w:t xml:space="preserve"> </w:t>
      </w:r>
    </w:p>
    <w:p w:rsidR="00CB51CD" w:rsidRPr="00CB51CD" w:rsidRDefault="00CB51CD" w:rsidP="00CB51CD"/>
    <w:p w:rsidR="004E4308" w:rsidRDefault="004E4308" w:rsidP="00BF0A26">
      <w:pPr>
        <w:spacing w:line="360" w:lineRule="auto"/>
        <w:jc w:val="both"/>
        <w:rPr>
          <w:rFonts w:ascii="Arial" w:eastAsia="Calibri" w:hAnsi="Arial" w:cs="Arial"/>
          <w:sz w:val="24"/>
          <w:szCs w:val="24"/>
        </w:rPr>
      </w:pPr>
      <w:r>
        <w:rPr>
          <w:rFonts w:ascii="Arial" w:eastAsia="Calibri" w:hAnsi="Arial" w:cs="Arial"/>
          <w:sz w:val="24"/>
          <w:szCs w:val="24"/>
        </w:rPr>
        <w:t xml:space="preserve">La Ordenanza 022 de 2014 Estatuto Orgánico de Presupuesto del Departamento del Quindío, en su artículo 76, establece Reconocimiento de Pasivos Exigibles. Los pasivos exigibles son compromisos legalmente adquiridos como resultado de la ejecución del presupuesto en otras vigencias, por cuanto no se constituyeron como reservas presupuestales o cuentas por pagar, o la reserva presupuestal o cuenta </w:t>
      </w:r>
      <w:r>
        <w:rPr>
          <w:rFonts w:ascii="Arial" w:eastAsia="Calibri" w:hAnsi="Arial" w:cs="Arial"/>
          <w:sz w:val="24"/>
          <w:szCs w:val="24"/>
        </w:rPr>
        <w:lastRenderedPageBreak/>
        <w:t xml:space="preserve">por pagar que lo respaldó en su oportunidad feneció por no haberse pagado en el transcurso de la misma vigencia fiscal en que se constituyeron. </w:t>
      </w:r>
    </w:p>
    <w:p w:rsidR="00BF0A26" w:rsidRPr="00BF0A26" w:rsidRDefault="004E32A4" w:rsidP="00BF0A26">
      <w:pPr>
        <w:spacing w:line="360" w:lineRule="auto"/>
        <w:jc w:val="both"/>
        <w:rPr>
          <w:rFonts w:ascii="Arial" w:eastAsia="Calibri" w:hAnsi="Arial" w:cs="Arial"/>
          <w:sz w:val="24"/>
          <w:szCs w:val="24"/>
          <w:lang w:val="es-ES"/>
        </w:rPr>
      </w:pPr>
      <w:r>
        <w:rPr>
          <w:rFonts w:ascii="Arial" w:eastAsia="Calibri" w:hAnsi="Arial" w:cs="Arial"/>
          <w:sz w:val="24"/>
          <w:szCs w:val="24"/>
        </w:rPr>
        <w:t xml:space="preserve">En el </w:t>
      </w:r>
      <w:r w:rsidR="00BF0A26" w:rsidRPr="00BF0A26">
        <w:rPr>
          <w:rFonts w:ascii="Arial" w:eastAsia="Calibri" w:hAnsi="Arial" w:cs="Arial"/>
          <w:sz w:val="24"/>
          <w:szCs w:val="24"/>
          <w:lang w:val="es-ES"/>
        </w:rPr>
        <w:t>Acta 05 de diciembre 31 de 2015</w:t>
      </w:r>
      <w:r>
        <w:rPr>
          <w:rFonts w:ascii="Arial" w:eastAsia="Calibri" w:hAnsi="Arial" w:cs="Arial"/>
          <w:sz w:val="24"/>
          <w:szCs w:val="24"/>
          <w:lang w:val="es-ES"/>
        </w:rPr>
        <w:t xml:space="preserve"> </w:t>
      </w:r>
      <w:r w:rsidR="004E4308">
        <w:rPr>
          <w:rFonts w:ascii="Arial" w:eastAsia="Calibri" w:hAnsi="Arial" w:cs="Arial"/>
          <w:sz w:val="24"/>
          <w:szCs w:val="24"/>
          <w:lang w:val="es-ES"/>
        </w:rPr>
        <w:t>se constituyen</w:t>
      </w:r>
      <w:r>
        <w:rPr>
          <w:rFonts w:ascii="Arial" w:eastAsia="Calibri" w:hAnsi="Arial" w:cs="Arial"/>
          <w:sz w:val="24"/>
          <w:szCs w:val="24"/>
          <w:lang w:val="es-ES"/>
        </w:rPr>
        <w:t xml:space="preserve"> </w:t>
      </w:r>
      <w:r w:rsidR="00BF0A26" w:rsidRPr="00BF0A26">
        <w:rPr>
          <w:rFonts w:ascii="Arial" w:eastAsia="Calibri" w:hAnsi="Arial" w:cs="Arial"/>
          <w:sz w:val="24"/>
          <w:szCs w:val="24"/>
          <w:lang w:val="es-ES"/>
        </w:rPr>
        <w:t>reservas presupuestal</w:t>
      </w:r>
      <w:r w:rsidR="004E4308">
        <w:rPr>
          <w:rFonts w:ascii="Arial" w:eastAsia="Calibri" w:hAnsi="Arial" w:cs="Arial"/>
          <w:sz w:val="24"/>
          <w:szCs w:val="24"/>
          <w:lang w:val="es-ES"/>
        </w:rPr>
        <w:t>es para la vigencia 2016. A diciembre 31 de 2016 se evidencian reservas que no se cancelaron durante la vigencia, así:</w:t>
      </w:r>
      <w:r w:rsidR="00BF0A26" w:rsidRPr="00BF0A26">
        <w:rPr>
          <w:rFonts w:ascii="Arial" w:eastAsia="Calibri" w:hAnsi="Arial" w:cs="Arial"/>
          <w:sz w:val="24"/>
          <w:szCs w:val="24"/>
          <w:lang w:val="es-ES"/>
        </w:rPr>
        <w:t xml:space="preserve"> </w:t>
      </w:r>
    </w:p>
    <w:p w:rsidR="00BF0A26" w:rsidRPr="00930D99" w:rsidRDefault="00BF0A26" w:rsidP="0058020A">
      <w:pPr>
        <w:spacing w:line="240" w:lineRule="auto"/>
        <w:jc w:val="both"/>
        <w:rPr>
          <w:rFonts w:ascii="Arial" w:hAnsi="Arial" w:cs="Arial"/>
          <w:color w:val="000000"/>
        </w:rPr>
      </w:pPr>
      <w:r w:rsidRPr="00930D99">
        <w:rPr>
          <w:rFonts w:ascii="Arial" w:hAnsi="Arial" w:cs="Arial"/>
        </w:rPr>
        <w:t>Con fuente 56</w:t>
      </w:r>
      <w:r w:rsidR="00930D99" w:rsidRPr="00930D99">
        <w:rPr>
          <w:rFonts w:ascii="Arial" w:hAnsi="Arial" w:cs="Arial"/>
        </w:rPr>
        <w:t xml:space="preserve"> (Convenio Anti Contrabando)</w:t>
      </w:r>
      <w:r w:rsidRPr="00930D99">
        <w:rPr>
          <w:rFonts w:ascii="Arial" w:hAnsi="Arial" w:cs="Arial"/>
        </w:rPr>
        <w:t xml:space="preserve"> por valor de </w:t>
      </w:r>
      <w:r w:rsidRPr="00930D99">
        <w:rPr>
          <w:rFonts w:ascii="Arial" w:hAnsi="Arial" w:cs="Arial"/>
          <w:color w:val="000000"/>
        </w:rPr>
        <w:t>2</w:t>
      </w:r>
      <w:r w:rsidR="005A1516">
        <w:rPr>
          <w:rFonts w:ascii="Arial" w:hAnsi="Arial" w:cs="Arial"/>
          <w:color w:val="000000"/>
        </w:rPr>
        <w:t>,</w:t>
      </w:r>
      <w:r w:rsidR="00930D99" w:rsidRPr="00930D99">
        <w:rPr>
          <w:rFonts w:ascii="Arial" w:hAnsi="Arial" w:cs="Arial"/>
          <w:color w:val="000000"/>
        </w:rPr>
        <w:t>214,897,049</w:t>
      </w:r>
      <w:r w:rsidRPr="00930D99">
        <w:rPr>
          <w:rFonts w:ascii="Arial" w:hAnsi="Arial" w:cs="Arial"/>
          <w:color w:val="000000"/>
        </w:rPr>
        <w:t xml:space="preserve">  </w:t>
      </w:r>
    </w:p>
    <w:p w:rsidR="00BF0A26" w:rsidRPr="00930D99" w:rsidRDefault="00BF0A26" w:rsidP="0058020A">
      <w:pPr>
        <w:spacing w:line="240" w:lineRule="auto"/>
        <w:jc w:val="both"/>
        <w:rPr>
          <w:rFonts w:ascii="Arial" w:hAnsi="Arial" w:cs="Arial"/>
          <w:color w:val="000000"/>
        </w:rPr>
      </w:pPr>
      <w:r w:rsidRPr="00930D99">
        <w:rPr>
          <w:rFonts w:ascii="Arial" w:hAnsi="Arial" w:cs="Arial"/>
          <w:color w:val="000000"/>
        </w:rPr>
        <w:t>Con fuente 04</w:t>
      </w:r>
      <w:r w:rsidR="00930D99" w:rsidRPr="00930D99">
        <w:rPr>
          <w:rFonts w:ascii="Arial" w:hAnsi="Arial" w:cs="Arial"/>
          <w:color w:val="000000"/>
        </w:rPr>
        <w:t xml:space="preserve"> (Estampilla Pro Desarrollo)</w:t>
      </w:r>
      <w:r w:rsidRPr="00930D99">
        <w:rPr>
          <w:rFonts w:ascii="Arial" w:hAnsi="Arial" w:cs="Arial"/>
          <w:color w:val="000000"/>
        </w:rPr>
        <w:t xml:space="preserve"> por valor de    153</w:t>
      </w:r>
      <w:r w:rsidR="005A1516">
        <w:rPr>
          <w:rFonts w:ascii="Arial" w:hAnsi="Arial" w:cs="Arial"/>
          <w:color w:val="000000"/>
        </w:rPr>
        <w:t>,</w:t>
      </w:r>
      <w:r w:rsidR="00930D99" w:rsidRPr="00930D99">
        <w:rPr>
          <w:rFonts w:ascii="Arial" w:hAnsi="Arial" w:cs="Arial"/>
          <w:color w:val="000000"/>
        </w:rPr>
        <w:t>059,316</w:t>
      </w:r>
      <w:r w:rsidRPr="00930D99">
        <w:rPr>
          <w:rFonts w:ascii="Arial" w:hAnsi="Arial" w:cs="Arial"/>
          <w:color w:val="000000"/>
        </w:rPr>
        <w:t xml:space="preserve"> </w:t>
      </w:r>
    </w:p>
    <w:p w:rsidR="00BF0A26" w:rsidRPr="00F50B8E" w:rsidRDefault="00BF0A26" w:rsidP="0058020A">
      <w:pPr>
        <w:spacing w:line="240" w:lineRule="auto"/>
        <w:jc w:val="both"/>
        <w:rPr>
          <w:rFonts w:ascii="Arial" w:hAnsi="Arial" w:cs="Arial"/>
          <w:color w:val="000000"/>
        </w:rPr>
      </w:pPr>
      <w:r w:rsidRPr="00F50B8E">
        <w:rPr>
          <w:rFonts w:ascii="Arial" w:hAnsi="Arial" w:cs="Arial"/>
          <w:color w:val="000000"/>
        </w:rPr>
        <w:t>Con fuente 55</w:t>
      </w:r>
      <w:r w:rsidR="00930D99" w:rsidRPr="00F50B8E">
        <w:rPr>
          <w:rFonts w:ascii="Arial" w:hAnsi="Arial" w:cs="Arial"/>
          <w:color w:val="000000"/>
        </w:rPr>
        <w:t xml:space="preserve"> (</w:t>
      </w:r>
      <w:r w:rsidR="00F50B8E" w:rsidRPr="00F50B8E">
        <w:rPr>
          <w:rFonts w:ascii="Arial" w:hAnsi="Arial" w:cs="Arial"/>
          <w:color w:val="000000"/>
        </w:rPr>
        <w:t>Cofinanciación sin situación de fondos)</w:t>
      </w:r>
      <w:r w:rsidRPr="00F50B8E">
        <w:rPr>
          <w:rFonts w:ascii="Arial" w:hAnsi="Arial" w:cs="Arial"/>
          <w:color w:val="000000"/>
        </w:rPr>
        <w:t xml:space="preserve"> por valor de 1</w:t>
      </w:r>
      <w:r w:rsidR="005A1516">
        <w:rPr>
          <w:rFonts w:ascii="Arial" w:hAnsi="Arial" w:cs="Arial"/>
          <w:color w:val="000000"/>
        </w:rPr>
        <w:t>,</w:t>
      </w:r>
      <w:r w:rsidR="008B744F" w:rsidRPr="00F50B8E">
        <w:rPr>
          <w:rFonts w:ascii="Arial" w:hAnsi="Arial" w:cs="Arial"/>
          <w:color w:val="000000"/>
        </w:rPr>
        <w:t>931</w:t>
      </w:r>
      <w:r w:rsidR="005A1516">
        <w:rPr>
          <w:rFonts w:ascii="Arial" w:hAnsi="Arial" w:cs="Arial"/>
          <w:color w:val="000000"/>
        </w:rPr>
        <w:t>,</w:t>
      </w:r>
      <w:r w:rsidR="00930D99" w:rsidRPr="00F50B8E">
        <w:rPr>
          <w:rFonts w:ascii="Arial" w:hAnsi="Arial" w:cs="Arial"/>
          <w:color w:val="000000"/>
        </w:rPr>
        <w:t>345,370</w:t>
      </w:r>
      <w:r w:rsidRPr="00F50B8E">
        <w:rPr>
          <w:rFonts w:ascii="Arial" w:hAnsi="Arial" w:cs="Arial"/>
          <w:color w:val="000000"/>
        </w:rPr>
        <w:t xml:space="preserve"> </w:t>
      </w:r>
    </w:p>
    <w:p w:rsidR="00BF0A26" w:rsidRPr="00F50B8E" w:rsidRDefault="00BF0A26" w:rsidP="0058020A">
      <w:pPr>
        <w:spacing w:line="240" w:lineRule="auto"/>
        <w:jc w:val="both"/>
        <w:rPr>
          <w:rFonts w:ascii="Arial" w:hAnsi="Arial" w:cs="Arial"/>
          <w:color w:val="000000"/>
        </w:rPr>
      </w:pPr>
      <w:r w:rsidRPr="00F50B8E">
        <w:rPr>
          <w:rFonts w:ascii="Arial" w:hAnsi="Arial" w:cs="Arial"/>
          <w:color w:val="000000"/>
        </w:rPr>
        <w:t xml:space="preserve">Con fuente 25 </w:t>
      </w:r>
      <w:r w:rsidR="00F50B8E" w:rsidRPr="00F50B8E">
        <w:rPr>
          <w:rFonts w:ascii="Arial" w:hAnsi="Arial" w:cs="Arial"/>
          <w:color w:val="000000"/>
        </w:rPr>
        <w:t xml:space="preserve">(SGP Educación) </w:t>
      </w:r>
      <w:r w:rsidRPr="00F50B8E">
        <w:rPr>
          <w:rFonts w:ascii="Arial" w:hAnsi="Arial" w:cs="Arial"/>
          <w:color w:val="000000"/>
        </w:rPr>
        <w:t>por valor de 6</w:t>
      </w:r>
      <w:r w:rsidR="005A1516">
        <w:rPr>
          <w:rFonts w:ascii="Arial" w:hAnsi="Arial" w:cs="Arial"/>
          <w:color w:val="000000"/>
        </w:rPr>
        <w:t>,</w:t>
      </w:r>
      <w:r w:rsidR="008B744F" w:rsidRPr="00F50B8E">
        <w:rPr>
          <w:rFonts w:ascii="Arial" w:hAnsi="Arial" w:cs="Arial"/>
          <w:color w:val="000000"/>
        </w:rPr>
        <w:t>857,553</w:t>
      </w:r>
    </w:p>
    <w:p w:rsidR="00BF0A26" w:rsidRPr="00F50B8E" w:rsidRDefault="00BF0A26" w:rsidP="0058020A">
      <w:pPr>
        <w:spacing w:line="240" w:lineRule="auto"/>
        <w:jc w:val="both"/>
        <w:rPr>
          <w:rFonts w:ascii="Arial" w:hAnsi="Arial" w:cs="Arial"/>
          <w:color w:val="000000"/>
        </w:rPr>
      </w:pPr>
      <w:r w:rsidRPr="00F50B8E">
        <w:rPr>
          <w:rFonts w:ascii="Arial" w:hAnsi="Arial" w:cs="Arial"/>
          <w:color w:val="000000"/>
        </w:rPr>
        <w:t>Con fuente 59</w:t>
      </w:r>
      <w:r w:rsidR="00F50B8E" w:rsidRPr="00F50B8E">
        <w:rPr>
          <w:rFonts w:ascii="Arial" w:hAnsi="Arial" w:cs="Arial"/>
          <w:color w:val="000000"/>
        </w:rPr>
        <w:t xml:space="preserve"> (</w:t>
      </w:r>
      <w:r w:rsidR="00F50B8E">
        <w:rPr>
          <w:rFonts w:ascii="Arial" w:hAnsi="Arial" w:cs="Arial"/>
          <w:color w:val="000000"/>
        </w:rPr>
        <w:t xml:space="preserve">SGP Salud) </w:t>
      </w:r>
      <w:r w:rsidR="00F50B8E" w:rsidRPr="00F50B8E">
        <w:rPr>
          <w:rFonts w:ascii="Arial" w:hAnsi="Arial" w:cs="Arial"/>
          <w:color w:val="000000"/>
        </w:rPr>
        <w:t>por</w:t>
      </w:r>
      <w:r w:rsidRPr="00F50B8E">
        <w:rPr>
          <w:rFonts w:ascii="Arial" w:hAnsi="Arial" w:cs="Arial"/>
          <w:color w:val="000000"/>
        </w:rPr>
        <w:t xml:space="preserve"> valor de 224</w:t>
      </w:r>
      <w:r w:rsidR="005A1516">
        <w:rPr>
          <w:rFonts w:ascii="Arial" w:hAnsi="Arial" w:cs="Arial"/>
          <w:color w:val="000000"/>
        </w:rPr>
        <w:t>,</w:t>
      </w:r>
      <w:r w:rsidR="00930D99" w:rsidRPr="00F50B8E">
        <w:rPr>
          <w:rFonts w:ascii="Arial" w:hAnsi="Arial" w:cs="Arial"/>
          <w:color w:val="000000"/>
        </w:rPr>
        <w:t>955,668</w:t>
      </w:r>
      <w:r w:rsidRPr="00F50B8E">
        <w:rPr>
          <w:rFonts w:ascii="Arial" w:hAnsi="Arial" w:cs="Arial"/>
          <w:color w:val="000000"/>
        </w:rPr>
        <w:t xml:space="preserve"> </w:t>
      </w:r>
    </w:p>
    <w:p w:rsidR="00BF0A26" w:rsidRPr="00F50B8E" w:rsidRDefault="00BF0A26" w:rsidP="0058020A">
      <w:pPr>
        <w:spacing w:line="240" w:lineRule="auto"/>
        <w:jc w:val="both"/>
        <w:rPr>
          <w:rFonts w:ascii="Arial" w:hAnsi="Arial" w:cs="Arial"/>
          <w:color w:val="000000"/>
        </w:rPr>
      </w:pPr>
      <w:r w:rsidRPr="00F50B8E">
        <w:rPr>
          <w:rFonts w:ascii="Arial" w:hAnsi="Arial" w:cs="Arial"/>
          <w:color w:val="000000"/>
        </w:rPr>
        <w:t xml:space="preserve">Con fuente 61 </w:t>
      </w:r>
      <w:r w:rsidR="00F50B8E" w:rsidRPr="00F50B8E">
        <w:rPr>
          <w:rFonts w:ascii="Arial" w:hAnsi="Arial" w:cs="Arial"/>
          <w:color w:val="000000"/>
        </w:rPr>
        <w:t xml:space="preserve">(SGP Salud) </w:t>
      </w:r>
      <w:r w:rsidRPr="00F50B8E">
        <w:rPr>
          <w:rFonts w:ascii="Arial" w:hAnsi="Arial" w:cs="Arial"/>
          <w:color w:val="000000"/>
        </w:rPr>
        <w:t>por valor de</w:t>
      </w:r>
      <w:r w:rsidR="005A1516">
        <w:rPr>
          <w:rFonts w:ascii="Arial" w:hAnsi="Arial" w:cs="Arial"/>
          <w:color w:val="000000"/>
        </w:rPr>
        <w:t xml:space="preserve"> </w:t>
      </w:r>
      <w:r w:rsidRPr="00F50B8E">
        <w:rPr>
          <w:rFonts w:ascii="Arial" w:hAnsi="Arial" w:cs="Arial"/>
          <w:color w:val="000000"/>
        </w:rPr>
        <w:t>16</w:t>
      </w:r>
      <w:r w:rsidR="00930D99" w:rsidRPr="00F50B8E">
        <w:rPr>
          <w:rFonts w:ascii="Arial" w:hAnsi="Arial" w:cs="Arial"/>
          <w:color w:val="000000"/>
        </w:rPr>
        <w:t>,600,000</w:t>
      </w:r>
      <w:r w:rsidRPr="00F50B8E">
        <w:rPr>
          <w:rFonts w:ascii="Arial" w:hAnsi="Arial" w:cs="Arial"/>
          <w:color w:val="000000"/>
        </w:rPr>
        <w:t xml:space="preserve"> </w:t>
      </w:r>
    </w:p>
    <w:p w:rsidR="00BF0A26" w:rsidRDefault="00BF0A26" w:rsidP="0058020A">
      <w:pPr>
        <w:spacing w:line="240" w:lineRule="auto"/>
        <w:jc w:val="both"/>
        <w:rPr>
          <w:rFonts w:ascii="Arial" w:hAnsi="Arial" w:cs="Arial"/>
          <w:color w:val="000000"/>
        </w:rPr>
      </w:pPr>
      <w:r w:rsidRPr="00930D99">
        <w:rPr>
          <w:rFonts w:ascii="Arial" w:hAnsi="Arial" w:cs="Arial"/>
          <w:color w:val="000000"/>
        </w:rPr>
        <w:t xml:space="preserve">Con fuente 20 </w:t>
      </w:r>
      <w:r w:rsidR="00930D99" w:rsidRPr="00930D99">
        <w:rPr>
          <w:rFonts w:ascii="Arial" w:hAnsi="Arial" w:cs="Arial"/>
          <w:color w:val="000000"/>
        </w:rPr>
        <w:t xml:space="preserve">(Ordinario) </w:t>
      </w:r>
      <w:r w:rsidR="0058020A">
        <w:rPr>
          <w:rFonts w:ascii="Arial" w:hAnsi="Arial" w:cs="Arial"/>
          <w:color w:val="000000"/>
        </w:rPr>
        <w:t>*</w:t>
      </w:r>
      <w:r w:rsidRPr="00930D99">
        <w:rPr>
          <w:rFonts w:ascii="Arial" w:hAnsi="Arial" w:cs="Arial"/>
          <w:color w:val="000000"/>
        </w:rPr>
        <w:t>por valor de</w:t>
      </w:r>
      <w:r w:rsidR="00930D99">
        <w:rPr>
          <w:rFonts w:ascii="Arial" w:hAnsi="Arial" w:cs="Arial"/>
          <w:color w:val="000000"/>
        </w:rPr>
        <w:t xml:space="preserve"> </w:t>
      </w:r>
      <w:r w:rsidRPr="00930D99">
        <w:rPr>
          <w:rFonts w:ascii="Arial" w:hAnsi="Arial" w:cs="Arial"/>
          <w:color w:val="000000"/>
        </w:rPr>
        <w:t>4</w:t>
      </w:r>
      <w:r w:rsidR="005A1516">
        <w:rPr>
          <w:rFonts w:ascii="Arial" w:hAnsi="Arial" w:cs="Arial"/>
          <w:color w:val="000000"/>
        </w:rPr>
        <w:t>,</w:t>
      </w:r>
      <w:r w:rsidR="00930D99" w:rsidRPr="00930D99">
        <w:rPr>
          <w:rFonts w:ascii="Arial" w:hAnsi="Arial" w:cs="Arial"/>
          <w:color w:val="000000"/>
        </w:rPr>
        <w:t>674,563</w:t>
      </w:r>
      <w:r w:rsidRPr="00B13A18">
        <w:rPr>
          <w:rFonts w:ascii="Arial" w:hAnsi="Arial" w:cs="Arial"/>
          <w:color w:val="000000"/>
        </w:rPr>
        <w:t xml:space="preserve"> </w:t>
      </w:r>
    </w:p>
    <w:p w:rsidR="0058020A" w:rsidRDefault="0058020A" w:rsidP="004E4308">
      <w:pPr>
        <w:spacing w:line="360" w:lineRule="auto"/>
        <w:jc w:val="both"/>
        <w:rPr>
          <w:rFonts w:ascii="Arial" w:eastAsia="Calibri" w:hAnsi="Arial" w:cs="Arial"/>
          <w:sz w:val="24"/>
          <w:szCs w:val="24"/>
          <w:lang w:val="es-ES"/>
        </w:rPr>
      </w:pPr>
    </w:p>
    <w:p w:rsidR="00BF0A26" w:rsidRPr="00BF0A26" w:rsidRDefault="00BF0A26" w:rsidP="004E4308">
      <w:pPr>
        <w:spacing w:line="360" w:lineRule="auto"/>
        <w:jc w:val="both"/>
        <w:rPr>
          <w:rFonts w:ascii="Arial" w:eastAsia="Calibri" w:hAnsi="Arial" w:cs="Arial"/>
          <w:sz w:val="24"/>
          <w:szCs w:val="24"/>
          <w:lang w:val="es-ES"/>
        </w:rPr>
      </w:pPr>
      <w:r w:rsidRPr="00BF0A26">
        <w:rPr>
          <w:rFonts w:ascii="Arial" w:eastAsia="Calibri" w:hAnsi="Arial" w:cs="Arial"/>
          <w:sz w:val="24"/>
          <w:szCs w:val="24"/>
          <w:lang w:val="es-ES"/>
        </w:rPr>
        <w:t>En los siguientes cuadros se detalla el total de las reservas canceladas, las que quedan en</w:t>
      </w:r>
      <w:r w:rsidR="004E4308">
        <w:rPr>
          <w:rFonts w:ascii="Arial" w:eastAsia="Calibri" w:hAnsi="Arial" w:cs="Arial"/>
          <w:sz w:val="24"/>
          <w:szCs w:val="24"/>
          <w:lang w:val="es-ES"/>
        </w:rPr>
        <w:t xml:space="preserve"> pasivos exigibles, para ser </w:t>
      </w:r>
      <w:r w:rsidRPr="00BF0A26">
        <w:rPr>
          <w:rFonts w:ascii="Arial" w:eastAsia="Calibri" w:hAnsi="Arial" w:cs="Arial"/>
          <w:sz w:val="24"/>
          <w:szCs w:val="24"/>
          <w:lang w:val="es-ES"/>
        </w:rPr>
        <w:t xml:space="preserve">incorporadas al Presupuesto General del Departamento; así: </w:t>
      </w:r>
    </w:p>
    <w:tbl>
      <w:tblPr>
        <w:tblW w:w="9987" w:type="dxa"/>
        <w:tblCellMar>
          <w:left w:w="70" w:type="dxa"/>
          <w:right w:w="70" w:type="dxa"/>
        </w:tblCellMar>
        <w:tblLook w:val="04A0" w:firstRow="1" w:lastRow="0" w:firstColumn="1" w:lastColumn="0" w:noHBand="0" w:noVBand="1"/>
      </w:tblPr>
      <w:tblGrid>
        <w:gridCol w:w="727"/>
        <w:gridCol w:w="2735"/>
        <w:gridCol w:w="5202"/>
        <w:gridCol w:w="1323"/>
      </w:tblGrid>
      <w:tr w:rsidR="00BF0A26" w:rsidRPr="007A6946" w:rsidTr="001C5C88">
        <w:trPr>
          <w:trHeight w:val="255"/>
        </w:trPr>
        <w:tc>
          <w:tcPr>
            <w:tcW w:w="99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A26" w:rsidRPr="007A6946" w:rsidRDefault="00BF0A26" w:rsidP="00BF0A26">
            <w:pPr>
              <w:spacing w:after="0" w:line="240" w:lineRule="auto"/>
              <w:jc w:val="center"/>
              <w:rPr>
                <w:rFonts w:ascii="MS Sans Serif" w:eastAsia="Times New Roman" w:hAnsi="MS Sans Serif" w:cs="Times New Roman"/>
                <w:b/>
                <w:bCs/>
                <w:color w:val="000000"/>
                <w:sz w:val="20"/>
                <w:szCs w:val="20"/>
                <w:lang w:eastAsia="es-CO"/>
              </w:rPr>
            </w:pPr>
            <w:r w:rsidRPr="007A6946">
              <w:rPr>
                <w:rFonts w:ascii="MS Sans Serif" w:eastAsia="Times New Roman" w:hAnsi="MS Sans Serif" w:cs="Times New Roman"/>
                <w:b/>
                <w:bCs/>
                <w:color w:val="000000"/>
                <w:sz w:val="20"/>
                <w:szCs w:val="20"/>
                <w:lang w:eastAsia="es-CO"/>
              </w:rPr>
              <w:t>TOTAL DE RESERVAS CANCELADAS</w:t>
            </w:r>
          </w:p>
        </w:tc>
      </w:tr>
      <w:tr w:rsidR="00BF0A26" w:rsidRPr="007A6946" w:rsidTr="001C5C88">
        <w:trPr>
          <w:trHeight w:val="45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RUBRO</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NOMBRE</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OBJETO</w:t>
            </w:r>
          </w:p>
        </w:tc>
        <w:tc>
          <w:tcPr>
            <w:tcW w:w="1323" w:type="dxa"/>
            <w:tcBorders>
              <w:top w:val="nil"/>
              <w:left w:val="nil"/>
              <w:bottom w:val="single" w:sz="4" w:space="0" w:color="auto"/>
              <w:right w:val="single" w:sz="4" w:space="0" w:color="auto"/>
            </w:tcBorders>
            <w:shd w:val="clear" w:color="auto" w:fill="auto"/>
            <w:vAlign w:val="center"/>
            <w:hideMark/>
          </w:tcPr>
          <w:p w:rsidR="00BF0A26" w:rsidRPr="007A6946" w:rsidRDefault="00BF0A26" w:rsidP="001C5C88">
            <w:pPr>
              <w:spacing w:after="0" w:line="240" w:lineRule="auto"/>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 xml:space="preserve"> VALOR CANCELACION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75 - 56</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VFE-ESTE RP REEMPLAZA EL RP 2433 DE 2014, SEGUN DECRETO 005 DE 2015, CUYO OBJETO ES: -"EJECUCIÓN DE OBRAS EN INSTITUCIONES EDUCATIVAS PRIORIZADAS PARA EL DEPARTAMENTO DEL QUINDIO, EN CUMPLIMIENTO DEL CONVENIO  INTERADMINISTRATIVO 1051  DE  2013  DERIVADO </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266,446,120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0314 - 5 - 1 1 3 6 5 - 25</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Fortalecimiento de estrategias de permanencia en el sistema educativo formal mediante el mejoramiento de ambientes educativos escolares en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VFE-ESTE RP REEMPLAZA ELRP 2442  DE 2014, SEGUN DECRETO 005 2015, CUYO OBJETO ES ESTE CDP REEMPLAZA EL CDP 3673 DE 2013, SEGUN DECRETO 925 DEL 31 DE DICIEMBRE DE 2013 "EJECUCIÓN DE OBRAS EN INSTITUCIONES EDUCATIVAS PRIORIZADAS PARA EL DEPARTAMENTO DEL QUI</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6,857,553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75 - 56</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VFE-ESTE RP REEMPLAZA EL 8488 DE 2014, SEGUN DECRETO 005 DE 2015, CUYO OBJETO ES: "INTERVENTORIA TECNICA, ADMINISTRATIVA, FINANCIERA Y AMBIENTAL  A  LA CONSTRUCCION Y DEMOLICION DE LA INSTITUCION EDUCATIVA SAN JOSE, VEREDA FACAHADAS DEL MUNICIPIO DE FILAN</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69,684,607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0308 - 5 - 1 17 92 109 75 </w:t>
            </w:r>
            <w:r w:rsidR="0058020A">
              <w:rPr>
                <w:rFonts w:ascii="Arial" w:eastAsia="Times New Roman" w:hAnsi="Arial" w:cs="Arial"/>
                <w:color w:val="000000"/>
                <w:sz w:val="16"/>
                <w:szCs w:val="16"/>
                <w:lang w:eastAsia="es-CO"/>
              </w:rPr>
              <w:t>–</w:t>
            </w:r>
            <w:r w:rsidRPr="007A6946">
              <w:rPr>
                <w:rFonts w:ascii="Arial" w:eastAsia="Times New Roman" w:hAnsi="Arial" w:cs="Arial"/>
                <w:color w:val="000000"/>
                <w:sz w:val="16"/>
                <w:szCs w:val="16"/>
                <w:lang w:eastAsia="es-CO"/>
              </w:rPr>
              <w:t xml:space="preserve"> 04</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VF- DECRETO 571 DE 2014. "CONSTRUCCION Y DEMOLICION DE LA INSTITUCION EDUCATIVA SAN JOSE, VEREDA FACAHADAS DEL MUNICIPIO DE FILANDIA,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38,414,252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75 - 56</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VF- DECRETO 571 DE 2014. "CONSTRUCCION Y DEMOLICION DE LA INSTITUCION EDUCATIVA SAN JOSE, VEREDA FACAHADAS DEL MUNICIPIO DE FILANDIA,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574,970,588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lastRenderedPageBreak/>
              <w:t>1802 - 5 - 1 2 6 12 125 - 59</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Población no afiliada al Sistema General de Seguridad Social en Salud</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VF- DECRETO 391 DE 2014. PRESTAR SERVICIOS DE SALUD DE MEDIANA COMPLEJIDAD DE ATENCIÓN A LA POBLACIÓN POBRE NO ASEGURADA Y LO NO CUBIERTO POR SUBSIDIOS A LA DEMANDA, POBLACIONES ESPECIALES Y PERSONAS QUE CERTIFIQUEN SU CONDICIÓN DE VÍCTIMA, ATENCIÓN INTEG</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224,955,668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0304 - 1 - 5 1 - 20</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Centro Metropolitano de Convenciones</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PRESTAR EL SERVICIO DE VIGILANCIA Y SEGURIDAD PRIVADA, PARA GARANTIZAR EL CUIDADO Y CUSTODIA DE LOS DIFERENTES MUEBLES E INMUEBLES DE PROPIEDAD DE LA ADMINISTRACION DEPARTAMENTAL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514,475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75 - 55</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CONSTRUCCION DE DOS CENTROS DE DESARROLLO INFANTIL EN LOS MUNICIPIOS DE QUIMBAYA Y CALARCA DEL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1,931,345,370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0307 - 5 - 1 22 104 138 121 - 20</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Mejoramiento de la sostenibilidad de los procesos de fiscalización liquidación control y cobranza de los tributos en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SUMINISTRO DE ESTAMPILLAS PARA SEÑALIZACION DE PRODUCTOS GRAVADOS CON EL IMPUESTO AL CONSUMO (CIGARRILLOS - TABACO ELABORADO)  COMERCIALIZADOS EN EL DEPARTAMENTO DEL QUINDÍO.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4,160,088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75 - 04</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ADICION Y PRORROGA AL SID  010 DE 2014 : "INTERVENTORIA TECNICA, ADMINISTRATIVA, FINANCIERA Y AMBIENTAL  A  LA CONSTRUCCION Y DEMOLICION DE LA INSTITUCION EDUCATIVA SAN JOSE, VEREDA FACAHADAS DEL MUNICIPIO DE FILANDIA,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6,335,742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75 - 04</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ADICION Y PRORROGA AL CONTRATO SID 017 DE 2014 CUYO OBJETO CONSTRUCCION Y DEMOLICION DE LA INSTITUCION EDUCATIVA SAN JOSE, VEREDA FACAHADAS DEL MUNICIPIO DE FILANDIA,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90,510,598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75 - 04</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MODIFICATORIO DE ADICION AL CONTRATO SID 006 DE 2014 CUYO OBJETO ES: "INTERVENTORIA TECNICA, ADMINISTRATIVA, FINANCIERA, JURIDICA Y AMBIENTAL DE OBRAS EN INSTITUCIONES EDUCATIVAS PRIORIZADAS PARA EL DEPARTAMENTO DEL QUINDIO, EN CUMPLIMIENTO DEL CONVENIO  </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17,798,724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87 101 69 - 56</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Aplicación del Plan Vial Departamental en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CESION DEL COTRATO DE OBRA N° SID 003 DE 2015 SUSCRITO ENTRE EL DEPARTAMENTO DEL QUINDIO Y LA UNION TEMPORAL VIAS DEL QUINDIO.   RECUPERACIÓN Y MANTENIMIENTO DE LAS VIAS TERCIARIAS EN LOS MUNICIPIOS DE CALARCA, CIRCASIA, CORDIBA, MONTENEGRO, PIJAO Y QUIMB</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652,780,305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87 101 69 - 56</w:t>
            </w:r>
          </w:p>
        </w:tc>
        <w:tc>
          <w:tcPr>
            <w:tcW w:w="2735"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Aplicación del Plan Vial Departamental en el Departamento del Quindío.</w:t>
            </w:r>
          </w:p>
        </w:tc>
        <w:tc>
          <w:tcPr>
            <w:tcW w:w="5202"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CESION DEL CONTRATO DE OBRA N° SID 002 DE 2015 SUSCRITO ENTRE EL DEPARTAMENTO DEL QUINDIO Y LA UNION TEMPORAL VIAS DEL QUINDIO. RECUPERACIÓN Y MANTENIMIENTO DE LAS VÍAS TERCIARIAS EN LOS MUNICIPIOS DE ARMENIA, BUENAVISTA, CALARCA, CIRCASIA, CORDOBA, GENOV</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     651,015,429 </w:t>
            </w:r>
          </w:p>
        </w:tc>
      </w:tr>
      <w:tr w:rsidR="00BF0A26" w:rsidRPr="007A6946" w:rsidTr="001C5C88">
        <w:trPr>
          <w:trHeight w:val="255"/>
        </w:trPr>
        <w:tc>
          <w:tcPr>
            <w:tcW w:w="86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A26" w:rsidRPr="007A6946" w:rsidRDefault="00BF0A26" w:rsidP="001C5C88">
            <w:pPr>
              <w:spacing w:after="0" w:line="240" w:lineRule="auto"/>
              <w:rPr>
                <w:rFonts w:ascii="MS Sans Serif" w:eastAsia="Times New Roman" w:hAnsi="MS Sans Serif" w:cs="Times New Roman"/>
                <w:b/>
                <w:bCs/>
                <w:color w:val="000000"/>
                <w:sz w:val="16"/>
                <w:szCs w:val="16"/>
                <w:lang w:eastAsia="es-CO"/>
              </w:rPr>
            </w:pPr>
            <w:r w:rsidRPr="007A6946">
              <w:rPr>
                <w:rFonts w:ascii="MS Sans Serif" w:eastAsia="Times New Roman" w:hAnsi="MS Sans Serif" w:cs="Times New Roman"/>
                <w:b/>
                <w:bCs/>
                <w:color w:val="000000"/>
                <w:sz w:val="16"/>
                <w:szCs w:val="16"/>
                <w:lang w:eastAsia="es-CO"/>
              </w:rPr>
              <w:t>VALOR TOTAL</w:t>
            </w:r>
          </w:p>
        </w:tc>
        <w:tc>
          <w:tcPr>
            <w:tcW w:w="1323" w:type="dxa"/>
            <w:tcBorders>
              <w:top w:val="nil"/>
              <w:left w:val="nil"/>
              <w:bottom w:val="single" w:sz="4" w:space="0" w:color="auto"/>
              <w:right w:val="single" w:sz="4" w:space="0" w:color="auto"/>
            </w:tcBorders>
            <w:shd w:val="clear" w:color="auto" w:fill="auto"/>
            <w:noWrap/>
            <w:vAlign w:val="bottom"/>
            <w:hideMark/>
          </w:tcPr>
          <w:p w:rsidR="00BF0A26" w:rsidRPr="007A6946" w:rsidRDefault="00BF0A26" w:rsidP="001C5C88">
            <w:pPr>
              <w:spacing w:after="0" w:line="240" w:lineRule="auto"/>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 xml:space="preserve">  4,5</w:t>
            </w:r>
            <w:r>
              <w:rPr>
                <w:rFonts w:ascii="Arial" w:eastAsia="Times New Roman" w:hAnsi="Arial" w:cs="Arial"/>
                <w:b/>
                <w:bCs/>
                <w:color w:val="000000"/>
                <w:sz w:val="16"/>
                <w:szCs w:val="16"/>
                <w:lang w:eastAsia="es-CO"/>
              </w:rPr>
              <w:t>35</w:t>
            </w:r>
            <w:r w:rsidRPr="007A6946">
              <w:rPr>
                <w:rFonts w:ascii="Arial" w:eastAsia="Times New Roman" w:hAnsi="Arial" w:cs="Arial"/>
                <w:b/>
                <w:bCs/>
                <w:color w:val="000000"/>
                <w:sz w:val="16"/>
                <w:szCs w:val="16"/>
                <w:lang w:eastAsia="es-CO"/>
              </w:rPr>
              <w:t>,</w:t>
            </w:r>
            <w:r>
              <w:rPr>
                <w:rFonts w:ascii="Arial" w:eastAsia="Times New Roman" w:hAnsi="Arial" w:cs="Arial"/>
                <w:b/>
                <w:bCs/>
                <w:color w:val="000000"/>
                <w:sz w:val="16"/>
                <w:szCs w:val="16"/>
                <w:lang w:eastAsia="es-CO"/>
              </w:rPr>
              <w:t>789</w:t>
            </w:r>
            <w:r w:rsidRPr="007A6946">
              <w:rPr>
                <w:rFonts w:ascii="Arial" w:eastAsia="Times New Roman" w:hAnsi="Arial" w:cs="Arial"/>
                <w:b/>
                <w:bCs/>
                <w:color w:val="000000"/>
                <w:sz w:val="16"/>
                <w:szCs w:val="16"/>
                <w:lang w:eastAsia="es-CO"/>
              </w:rPr>
              <w:t xml:space="preserve">,519 </w:t>
            </w:r>
          </w:p>
        </w:tc>
      </w:tr>
    </w:tbl>
    <w:p w:rsidR="00BF0A26" w:rsidRDefault="00BF0A26" w:rsidP="00BF0A26">
      <w:pPr>
        <w:jc w:val="both"/>
        <w:rPr>
          <w:rFonts w:ascii="Arial" w:hAnsi="Arial" w:cs="Arial"/>
          <w:color w:val="000000"/>
        </w:rPr>
      </w:pPr>
    </w:p>
    <w:p w:rsidR="00BF0A26" w:rsidRPr="009879A6" w:rsidRDefault="00BF0A26" w:rsidP="00BF0A26">
      <w:pPr>
        <w:jc w:val="both"/>
        <w:rPr>
          <w:rFonts w:ascii="Arial" w:hAnsi="Arial" w:cs="Arial"/>
          <w:color w:val="000000"/>
        </w:rPr>
      </w:pPr>
      <w:r>
        <w:rPr>
          <w:rFonts w:ascii="Arial" w:hAnsi="Arial" w:cs="Arial"/>
          <w:color w:val="000000"/>
        </w:rPr>
        <w:t xml:space="preserve">De las cuales quedan en pasivos exigibles las siguientes reservas: </w:t>
      </w:r>
    </w:p>
    <w:p w:rsidR="00BF0A26" w:rsidRDefault="00BF0A26" w:rsidP="00BF0A26">
      <w:pPr>
        <w:jc w:val="both"/>
        <w:rPr>
          <w:rFonts w:ascii="Arial" w:hAnsi="Arial" w:cs="Arial"/>
          <w:color w:val="000000"/>
        </w:rPr>
      </w:pPr>
    </w:p>
    <w:tbl>
      <w:tblPr>
        <w:tblW w:w="9987" w:type="dxa"/>
        <w:tblCellMar>
          <w:left w:w="70" w:type="dxa"/>
          <w:right w:w="70" w:type="dxa"/>
        </w:tblCellMar>
        <w:tblLook w:val="04A0" w:firstRow="1" w:lastRow="0" w:firstColumn="1" w:lastColumn="0" w:noHBand="0" w:noVBand="1"/>
      </w:tblPr>
      <w:tblGrid>
        <w:gridCol w:w="727"/>
        <w:gridCol w:w="2766"/>
        <w:gridCol w:w="5171"/>
        <w:gridCol w:w="1323"/>
      </w:tblGrid>
      <w:tr w:rsidR="00BF0A26" w:rsidRPr="007A6946" w:rsidTr="001C5C88">
        <w:trPr>
          <w:trHeight w:val="255"/>
        </w:trPr>
        <w:tc>
          <w:tcPr>
            <w:tcW w:w="99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A26" w:rsidRPr="007A6946" w:rsidRDefault="00BF0A26" w:rsidP="00BF0A26">
            <w:pPr>
              <w:spacing w:after="0" w:line="240" w:lineRule="auto"/>
              <w:jc w:val="center"/>
              <w:rPr>
                <w:rFonts w:ascii="MS Sans Serif" w:eastAsia="Times New Roman" w:hAnsi="MS Sans Serif" w:cs="Times New Roman"/>
                <w:b/>
                <w:bCs/>
                <w:color w:val="000000"/>
                <w:sz w:val="20"/>
                <w:szCs w:val="20"/>
                <w:lang w:eastAsia="es-CO"/>
              </w:rPr>
            </w:pPr>
            <w:r w:rsidRPr="007A6946">
              <w:rPr>
                <w:rFonts w:ascii="MS Sans Serif" w:eastAsia="Times New Roman" w:hAnsi="MS Sans Serif" w:cs="Times New Roman"/>
                <w:b/>
                <w:bCs/>
                <w:color w:val="000000"/>
                <w:sz w:val="20"/>
                <w:szCs w:val="20"/>
                <w:lang w:eastAsia="es-CO"/>
              </w:rPr>
              <w:t>TOTAL PASIVOS EXIGIBLES</w:t>
            </w:r>
          </w:p>
        </w:tc>
      </w:tr>
      <w:tr w:rsidR="00BF0A26" w:rsidRPr="007A6946" w:rsidTr="001C5C88">
        <w:trPr>
          <w:trHeight w:val="45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RUBRO</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NOMBRE</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OBJETO</w:t>
            </w:r>
          </w:p>
        </w:tc>
        <w:tc>
          <w:tcPr>
            <w:tcW w:w="1323" w:type="dxa"/>
            <w:tcBorders>
              <w:top w:val="nil"/>
              <w:left w:val="nil"/>
              <w:bottom w:val="single" w:sz="4" w:space="0" w:color="auto"/>
              <w:right w:val="single" w:sz="4" w:space="0" w:color="auto"/>
            </w:tcBorders>
            <w:shd w:val="clear" w:color="auto" w:fill="auto"/>
            <w:vAlign w:val="center"/>
            <w:hideMark/>
          </w:tcPr>
          <w:p w:rsidR="00BF0A26" w:rsidRPr="007A6946" w:rsidRDefault="00BF0A26" w:rsidP="001C5C88">
            <w:pPr>
              <w:spacing w:after="0" w:line="240" w:lineRule="auto"/>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 xml:space="preserve"> VALOR CANCELACION </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75 - 56</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VFE-ESTE RP REEMPLAZA EL RP 2433 DE 2014, SEGUN DECRETO 005 DE 2015, CUYO OBJETO ES: -"EJECUCIÓN DE OBRAS EN INSTITUCIONES EDUCATIVAS PRIORIZADAS PARA EL DEPARTAMENTO DEL QUINDIO, EN CUMPLIMIENTO DEL CONVENIO  INTERADMINISTRATIVO 1051  DE  2013  DERIVADO </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266,446,120</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0314 - 5 - 1 1 3 6 5 - 25</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Fortalecimiento de estrategias de permanencia en el sistema educativo formal mediante el mejoramiento de ambientes educativos escolares en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VFE-ESTE RP REEMPLAZA ELRP 2442  DE 2014, SEGUN DECRETO 005 2015, CUYO OBJETO ES ESTE CDP REEMPLAZA EL CDP 3673 DE 2013, SEGUN DECRETO 925 DEL 31 DE DICIEMBRE DE 2013 "EJECUCIÓN DE OBRAS EN INSTITUCIONES EDUCATIVAS PRIORIZADAS PARA EL DE</w:t>
            </w:r>
            <w:r w:rsidR="004458EE">
              <w:rPr>
                <w:rFonts w:ascii="Arial" w:eastAsia="Times New Roman" w:hAnsi="Arial" w:cs="Arial"/>
                <w:color w:val="000000"/>
                <w:sz w:val="16"/>
                <w:szCs w:val="16"/>
                <w:lang w:eastAsia="es-CO"/>
              </w:rPr>
              <w:t>*</w:t>
            </w:r>
            <w:r w:rsidRPr="007A6946">
              <w:rPr>
                <w:rFonts w:ascii="Arial" w:eastAsia="Times New Roman" w:hAnsi="Arial" w:cs="Arial"/>
                <w:color w:val="000000"/>
                <w:sz w:val="16"/>
                <w:szCs w:val="16"/>
                <w:lang w:eastAsia="es-CO"/>
              </w:rPr>
              <w:t>PARTAMENTO DEL QUI</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6,857,553</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lastRenderedPageBreak/>
              <w:t>0308 - 5 - 1 17 92 109 75 - 56</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VFE-ESTE RP REEMPLAZA EL 8488 DE 2014, SEGUN DECRETO 005 DE 2015, CUYO OBJETO ES: "INTERVENTORIA TECNICA, ADMINISTRATIVA, FINANCIERA Y AMBIENTAL  A  LA CONSTRUCCION Y DEMOLICION DE LA INSTITUCION EDUCATIVA SAN JOSE, VEREDA FACAHADAS DEL MUNICIPIO DE FILAN</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69,684,607</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75 - 04</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VF- DECRETO 571 DE 2014. "CONSTRUCCION Y DEMOLICION DE LA INSTITUCION EDUCATIVA SAN JOSE, VEREDA FACAHADAS DEL MUNICIPIO DE FILANDIA,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38,414,252</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75 - 56</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VF- DECRETO 571 DE 2014. "CONSTRUCCION Y DEMOLICION DE LA INSTITUCION EDUCATIVA SAN JOSE, VEREDA FACAHADAS DEL MUNICIPIO DE FILANDIA,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574,970,588</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75 - 55</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CONSTRUCCION DE DOS CENTROS DE DESARROLLO INFANTIL EN LOS MUNICIPIOS DE QUIMBAYA Y CALARCA DEL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1,931,345,370</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75 - 04</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ADICION Y PRORROGA AL SID  010 DE 2014 : "INTERVENTORIA TECNICA, ADMINISTRATIVA, FINANCIERA Y AMBIENTAL  A  LA CONSTRUCCION Y DEMOLICION DE LA INSTITUCION EDUCATIVA SAN JOSE, VEREDA FACAHADAS DEL MUNICIPIO DE FILANDIA,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6,335,742</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75 - 04</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ADICION Y PRORROGA AL CONTRATO SID 017 DE 2014 CUYO OBJETO CONSTRUCCION Y DEMOLICION DE LA INSTITUCION EDUCATIVA SAN JOSE, VEREDA FACAHADAS DEL MUNICIPIO DE FILANDIA, DEPARTAMENTO DEL QUINDIO"</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90,510,598</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92 109 75 - 04</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Construcción y/o mejoramiento de la Infraestructura Educativa, de todo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 xml:space="preserve">MODIFICATORIO DE ADICION AL CONTRATO SID 006 DE 2014 CUYO OBJETO ES: "INTERVENTORIA TECNICA, ADMINISTRATIVA, FINANCIERA, JURIDICA Y AMBIENTAL DE OBRAS EN INSTITUCIONES EDUCATIVAS PRIORIZADAS PARA EL DEPARTAMENTO DEL QUINDIO, EN CUMPLIMIENTO DEL CONVENIO  </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17,798,724</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87 101 69 - 56</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Aplicación del Plan Vial Departamental en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CESION DEL COTRATO DE OBRA N° SID 003 DE 2015 SUSCRITO ENTRE EL DEPARTAMENTO DEL QUINDIO Y LA UNION TEMPORAL VIAS DEL QUINDIO.   RECUPERACIÓN Y MANTENIMIENTO DE LAS VIAS TERCIARIAS EN LOS MUNICIPIOS DE CALARCA, CIRCASIA, CORDIBA, MONTENEGRO, PIJAO Y QUIMB</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652,780,305</w:t>
            </w:r>
          </w:p>
        </w:tc>
      </w:tr>
      <w:tr w:rsidR="00BF0A26" w:rsidRPr="007A6946" w:rsidTr="001C5C88">
        <w:trPr>
          <w:trHeight w:val="2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0308 - 5 - 1 17 87 101 69 - 56</w:t>
            </w:r>
          </w:p>
        </w:tc>
        <w:tc>
          <w:tcPr>
            <w:tcW w:w="2766"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Aplicación del Plan Vial Departamental en el Departamento del Quindío.</w:t>
            </w:r>
          </w:p>
        </w:tc>
        <w:tc>
          <w:tcPr>
            <w:tcW w:w="5171"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CESION DEL CONTRATO DE OBRA N° SID 002 DE 2015 SUSCRITO ENTRE EL DEPARTAMENTO DEL QUINDIO Y LA UNION TEMPORAL VIAS DEL QUINDIO. RECUPERACIÓN Y MANTENIMIENTO DE LAS VÍAS TERCIARIAS EN LOS MUNICIPIOS DE ARMENIA, BUENAVISTA, CALARCA, CIRCASIA, CORDOBA, GENOV</w:t>
            </w:r>
          </w:p>
        </w:tc>
        <w:tc>
          <w:tcPr>
            <w:tcW w:w="1323" w:type="dxa"/>
            <w:tcBorders>
              <w:top w:val="nil"/>
              <w:left w:val="nil"/>
              <w:bottom w:val="single" w:sz="4" w:space="0" w:color="auto"/>
              <w:right w:val="single" w:sz="4" w:space="0" w:color="auto"/>
            </w:tcBorders>
            <w:shd w:val="clear" w:color="auto" w:fill="auto"/>
            <w:noWrap/>
            <w:vAlign w:val="center"/>
            <w:hideMark/>
          </w:tcPr>
          <w:p w:rsidR="00BF0A26" w:rsidRPr="007A6946" w:rsidRDefault="00BF0A26" w:rsidP="001C5C88">
            <w:pPr>
              <w:spacing w:after="0" w:line="240" w:lineRule="auto"/>
              <w:jc w:val="right"/>
              <w:rPr>
                <w:rFonts w:ascii="Arial" w:eastAsia="Times New Roman" w:hAnsi="Arial" w:cs="Arial"/>
                <w:color w:val="000000"/>
                <w:sz w:val="16"/>
                <w:szCs w:val="16"/>
                <w:lang w:eastAsia="es-CO"/>
              </w:rPr>
            </w:pPr>
            <w:r w:rsidRPr="007A6946">
              <w:rPr>
                <w:rFonts w:ascii="Arial" w:eastAsia="Times New Roman" w:hAnsi="Arial" w:cs="Arial"/>
                <w:color w:val="000000"/>
                <w:sz w:val="16"/>
                <w:szCs w:val="16"/>
                <w:lang w:eastAsia="es-CO"/>
              </w:rPr>
              <w:t>651,015,429</w:t>
            </w:r>
          </w:p>
        </w:tc>
      </w:tr>
      <w:tr w:rsidR="00BF0A26" w:rsidRPr="007A6946" w:rsidTr="001C5C88">
        <w:trPr>
          <w:trHeight w:val="255"/>
        </w:trPr>
        <w:tc>
          <w:tcPr>
            <w:tcW w:w="86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A26" w:rsidRPr="007A6946" w:rsidRDefault="00BF0A26" w:rsidP="001C5C88">
            <w:pPr>
              <w:spacing w:after="0" w:line="240" w:lineRule="auto"/>
              <w:rPr>
                <w:rFonts w:ascii="MS Sans Serif" w:eastAsia="Times New Roman" w:hAnsi="MS Sans Serif" w:cs="Times New Roman"/>
                <w:b/>
                <w:bCs/>
                <w:color w:val="000000"/>
                <w:sz w:val="16"/>
                <w:szCs w:val="16"/>
                <w:lang w:eastAsia="es-CO"/>
              </w:rPr>
            </w:pPr>
            <w:r w:rsidRPr="007A6946">
              <w:rPr>
                <w:rFonts w:ascii="MS Sans Serif" w:eastAsia="Times New Roman" w:hAnsi="MS Sans Serif" w:cs="Times New Roman"/>
                <w:b/>
                <w:bCs/>
                <w:color w:val="000000"/>
                <w:sz w:val="16"/>
                <w:szCs w:val="16"/>
                <w:lang w:eastAsia="es-CO"/>
              </w:rPr>
              <w:t>VALOR TOTAL</w:t>
            </w:r>
          </w:p>
        </w:tc>
        <w:tc>
          <w:tcPr>
            <w:tcW w:w="1323" w:type="dxa"/>
            <w:tcBorders>
              <w:top w:val="nil"/>
              <w:left w:val="nil"/>
              <w:bottom w:val="single" w:sz="4" w:space="0" w:color="auto"/>
              <w:right w:val="single" w:sz="4" w:space="0" w:color="auto"/>
            </w:tcBorders>
            <w:shd w:val="clear" w:color="auto" w:fill="auto"/>
            <w:noWrap/>
            <w:vAlign w:val="bottom"/>
            <w:hideMark/>
          </w:tcPr>
          <w:p w:rsidR="00BF0A26" w:rsidRPr="007A6946" w:rsidRDefault="00BF0A26" w:rsidP="001C5C88">
            <w:pPr>
              <w:spacing w:after="0" w:line="240" w:lineRule="auto"/>
              <w:jc w:val="right"/>
              <w:rPr>
                <w:rFonts w:ascii="Arial" w:eastAsia="Times New Roman" w:hAnsi="Arial" w:cs="Arial"/>
                <w:b/>
                <w:bCs/>
                <w:color w:val="000000"/>
                <w:sz w:val="16"/>
                <w:szCs w:val="16"/>
                <w:lang w:eastAsia="es-CO"/>
              </w:rPr>
            </w:pPr>
            <w:r w:rsidRPr="007A6946">
              <w:rPr>
                <w:rFonts w:ascii="Arial" w:eastAsia="Times New Roman" w:hAnsi="Arial" w:cs="Arial"/>
                <w:b/>
                <w:bCs/>
                <w:color w:val="000000"/>
                <w:sz w:val="16"/>
                <w:szCs w:val="16"/>
                <w:lang w:eastAsia="es-CO"/>
              </w:rPr>
              <w:t>4,306,159,288</w:t>
            </w:r>
          </w:p>
        </w:tc>
      </w:tr>
    </w:tbl>
    <w:p w:rsidR="00C13C5D" w:rsidRDefault="00C13C5D" w:rsidP="006E45D8">
      <w:pPr>
        <w:tabs>
          <w:tab w:val="left" w:pos="2279"/>
        </w:tabs>
        <w:spacing w:line="360" w:lineRule="auto"/>
        <w:rPr>
          <w:rFonts w:ascii="Arial" w:hAnsi="Arial" w:cs="Arial"/>
          <w:b/>
          <w:sz w:val="24"/>
          <w:szCs w:val="24"/>
          <w:highlight w:val="yellow"/>
          <w:lang w:eastAsia="es-ES"/>
        </w:rPr>
      </w:pPr>
    </w:p>
    <w:p w:rsidR="004458EE" w:rsidRDefault="00BF0A26" w:rsidP="00BF0A26">
      <w:pPr>
        <w:spacing w:line="360" w:lineRule="auto"/>
        <w:jc w:val="both"/>
        <w:rPr>
          <w:rFonts w:ascii="Arial" w:eastAsia="Calibri" w:hAnsi="Arial" w:cs="Arial"/>
          <w:sz w:val="24"/>
          <w:szCs w:val="24"/>
          <w:lang w:val="es-ES"/>
        </w:rPr>
      </w:pPr>
      <w:r w:rsidRPr="00BF0A26">
        <w:rPr>
          <w:rFonts w:ascii="Arial" w:eastAsia="Calibri" w:hAnsi="Arial" w:cs="Arial"/>
          <w:sz w:val="24"/>
          <w:szCs w:val="24"/>
          <w:lang w:val="es-ES"/>
        </w:rPr>
        <w:t xml:space="preserve">En </w:t>
      </w:r>
      <w:r w:rsidR="005A1516" w:rsidRPr="00BF0A26">
        <w:rPr>
          <w:rFonts w:ascii="Arial" w:eastAsia="Calibri" w:hAnsi="Arial" w:cs="Arial"/>
          <w:sz w:val="24"/>
          <w:szCs w:val="24"/>
          <w:lang w:val="es-ES"/>
        </w:rPr>
        <w:t>conclusión,</w:t>
      </w:r>
      <w:r w:rsidRPr="00BF0A26">
        <w:rPr>
          <w:rFonts w:ascii="Arial" w:eastAsia="Calibri" w:hAnsi="Arial" w:cs="Arial"/>
          <w:sz w:val="24"/>
          <w:szCs w:val="24"/>
          <w:lang w:val="es-ES"/>
        </w:rPr>
        <w:t xml:space="preserve"> el artículo 76 de la Ordenanza 022 de 2014 Reconocimiento de pasivos exigibles, dado que se habían reconocido como reservas presupuestales en la vigencia 2015 para su efectivo desarrollo en la vigencia 2016 y no fueron finalizadas, la relevancia de ello recae en que son compromisos legalmente adquiridos y en base a la verificación se reconocen dichos procesos como pasivos exigibles mediante acta de Codefis 001 de 2017. </w:t>
      </w:r>
    </w:p>
    <w:p w:rsidR="00BF0A26" w:rsidRDefault="00BF0A26" w:rsidP="00BF0A26">
      <w:pPr>
        <w:spacing w:line="360" w:lineRule="auto"/>
        <w:jc w:val="both"/>
        <w:rPr>
          <w:rFonts w:ascii="Arial" w:eastAsia="Calibri" w:hAnsi="Arial" w:cs="Arial"/>
          <w:sz w:val="24"/>
          <w:szCs w:val="24"/>
          <w:lang w:val="es-ES"/>
        </w:rPr>
      </w:pPr>
      <w:r w:rsidRPr="00BF0A26">
        <w:rPr>
          <w:rFonts w:ascii="Arial" w:eastAsia="Calibri" w:hAnsi="Arial" w:cs="Arial"/>
          <w:sz w:val="24"/>
          <w:szCs w:val="24"/>
          <w:lang w:val="es-ES"/>
        </w:rPr>
        <w:t>Por tanto</w:t>
      </w:r>
      <w:r w:rsidR="004458EE">
        <w:rPr>
          <w:rFonts w:ascii="Arial" w:eastAsia="Calibri" w:hAnsi="Arial" w:cs="Arial"/>
          <w:sz w:val="24"/>
          <w:szCs w:val="24"/>
          <w:lang w:val="es-ES"/>
        </w:rPr>
        <w:t>,</w:t>
      </w:r>
      <w:r w:rsidRPr="00BF0A26">
        <w:rPr>
          <w:rFonts w:ascii="Arial" w:eastAsia="Calibri" w:hAnsi="Arial" w:cs="Arial"/>
          <w:sz w:val="24"/>
          <w:szCs w:val="24"/>
          <w:lang w:val="es-ES"/>
        </w:rPr>
        <w:t xml:space="preserve"> se cancelan las reservas </w:t>
      </w:r>
      <w:r w:rsidR="005A1516" w:rsidRPr="00BF0A26">
        <w:rPr>
          <w:rFonts w:ascii="Arial" w:eastAsia="Calibri" w:hAnsi="Arial" w:cs="Arial"/>
          <w:sz w:val="24"/>
          <w:szCs w:val="24"/>
          <w:lang w:val="es-ES"/>
        </w:rPr>
        <w:t>presupuestales,</w:t>
      </w:r>
      <w:r w:rsidRPr="00BF0A26">
        <w:rPr>
          <w:rFonts w:ascii="Arial" w:eastAsia="Calibri" w:hAnsi="Arial" w:cs="Arial"/>
          <w:sz w:val="24"/>
          <w:szCs w:val="24"/>
          <w:lang w:val="es-ES"/>
        </w:rPr>
        <w:t xml:space="preserve"> pero se incorporan como pasivo exigible por la suma de $4.306 millones de pesos certificados por el Tesorero Departamental a excepción de un convenio por valor de $1.600 millones con </w:t>
      </w:r>
      <w:r w:rsidRPr="00BF0A26">
        <w:rPr>
          <w:rFonts w:ascii="Arial" w:eastAsia="Calibri" w:hAnsi="Arial" w:cs="Arial"/>
          <w:sz w:val="24"/>
          <w:szCs w:val="24"/>
          <w:lang w:val="es-ES"/>
        </w:rPr>
        <w:lastRenderedPageBreak/>
        <w:t>FONADE que es Sin Situación de Fondos por lo cual no necesita tener certificado de tesorería.</w:t>
      </w:r>
    </w:p>
    <w:p w:rsidR="004458EE" w:rsidRPr="004458EE" w:rsidRDefault="004458EE" w:rsidP="00BF0A26">
      <w:pPr>
        <w:spacing w:line="360" w:lineRule="auto"/>
        <w:jc w:val="both"/>
        <w:rPr>
          <w:rFonts w:ascii="Arial" w:eastAsia="Calibri" w:hAnsi="Arial" w:cs="Arial"/>
          <w:b/>
          <w:sz w:val="24"/>
          <w:szCs w:val="24"/>
          <w:lang w:val="es-ES"/>
        </w:rPr>
      </w:pPr>
      <w:r w:rsidRPr="004458EE">
        <w:rPr>
          <w:rFonts w:ascii="Arial" w:eastAsia="Calibri" w:hAnsi="Arial" w:cs="Arial"/>
          <w:b/>
          <w:sz w:val="24"/>
          <w:szCs w:val="24"/>
          <w:lang w:val="es-ES"/>
        </w:rPr>
        <w:t>FINANCIACION PASIVOS EXIGIBLES</w:t>
      </w:r>
    </w:p>
    <w:p w:rsidR="004458EE" w:rsidRDefault="004458EE" w:rsidP="00BF0A26">
      <w:pPr>
        <w:spacing w:line="360" w:lineRule="auto"/>
        <w:jc w:val="both"/>
        <w:rPr>
          <w:rFonts w:ascii="Arial" w:eastAsia="Calibri" w:hAnsi="Arial" w:cs="Arial"/>
          <w:sz w:val="24"/>
          <w:szCs w:val="24"/>
          <w:lang w:val="es-ES"/>
        </w:rPr>
      </w:pPr>
      <w:r>
        <w:rPr>
          <w:rFonts w:ascii="Arial" w:eastAsia="Calibri" w:hAnsi="Arial" w:cs="Arial"/>
          <w:sz w:val="24"/>
          <w:szCs w:val="24"/>
          <w:lang w:val="es-ES"/>
        </w:rPr>
        <w:t>Cada uno de estos pasivos exigibles, cuenta con los recursos para su efectiva cancelación.</w:t>
      </w:r>
    </w:p>
    <w:p w:rsidR="004458EE" w:rsidRDefault="004458EE" w:rsidP="00BF0A26">
      <w:pPr>
        <w:spacing w:line="360" w:lineRule="auto"/>
        <w:jc w:val="both"/>
        <w:rPr>
          <w:rFonts w:ascii="Arial" w:eastAsia="Calibri" w:hAnsi="Arial" w:cs="Arial"/>
          <w:sz w:val="24"/>
          <w:szCs w:val="24"/>
          <w:lang w:val="es-ES"/>
        </w:rPr>
      </w:pPr>
    </w:p>
    <w:p w:rsidR="009341E9" w:rsidRDefault="00CE5389" w:rsidP="00CB51CD">
      <w:pPr>
        <w:pStyle w:val="Ttulo2"/>
        <w:numPr>
          <w:ilvl w:val="1"/>
          <w:numId w:val="2"/>
        </w:numPr>
        <w:ind w:left="0" w:firstLine="0"/>
      </w:pPr>
      <w:bookmarkStart w:id="63" w:name="_Toc495334939"/>
      <w:r w:rsidRPr="00CB51CD">
        <w:t>PASIVOS CONTINGENTES:</w:t>
      </w:r>
      <w:bookmarkEnd w:id="63"/>
      <w:r w:rsidRPr="00CB51CD">
        <w:t xml:space="preserve"> </w:t>
      </w:r>
    </w:p>
    <w:p w:rsidR="00CB51CD" w:rsidRPr="00CB51CD" w:rsidRDefault="00CB51CD" w:rsidP="00CB51CD">
      <w:pPr>
        <w:ind w:left="426"/>
      </w:pPr>
    </w:p>
    <w:p w:rsidR="00CE5389" w:rsidRDefault="00CE5389" w:rsidP="006E45D8">
      <w:pPr>
        <w:spacing w:line="360" w:lineRule="auto"/>
        <w:jc w:val="both"/>
        <w:rPr>
          <w:rFonts w:ascii="Arial" w:hAnsi="Arial" w:cs="Arial"/>
          <w:sz w:val="24"/>
          <w:szCs w:val="24"/>
          <w:lang w:val="es-ES"/>
        </w:rPr>
      </w:pPr>
      <w:r w:rsidRPr="000E02E0">
        <w:rPr>
          <w:rFonts w:ascii="Arial" w:hAnsi="Arial" w:cs="Arial"/>
          <w:sz w:val="24"/>
          <w:szCs w:val="24"/>
          <w:lang w:val="es-ES"/>
        </w:rPr>
        <w:t xml:space="preserve">A </w:t>
      </w:r>
      <w:r w:rsidR="005A1516" w:rsidRPr="000E02E0">
        <w:rPr>
          <w:rFonts w:ascii="Arial" w:hAnsi="Arial" w:cs="Arial"/>
          <w:sz w:val="24"/>
          <w:szCs w:val="24"/>
          <w:lang w:val="es-ES"/>
        </w:rPr>
        <w:t>continuación,</w:t>
      </w:r>
      <w:r w:rsidRPr="000E02E0">
        <w:rPr>
          <w:rFonts w:ascii="Arial" w:hAnsi="Arial" w:cs="Arial"/>
          <w:sz w:val="24"/>
          <w:szCs w:val="24"/>
          <w:lang w:val="es-ES"/>
        </w:rPr>
        <w:t xml:space="preserve"> se relacionan los </w:t>
      </w:r>
      <w:r w:rsidR="004A6669">
        <w:rPr>
          <w:rFonts w:ascii="Arial" w:hAnsi="Arial" w:cs="Arial"/>
          <w:sz w:val="24"/>
          <w:szCs w:val="24"/>
          <w:lang w:val="es-ES"/>
        </w:rPr>
        <w:t xml:space="preserve">litigios y demandas </w:t>
      </w:r>
      <w:r w:rsidRPr="000E02E0">
        <w:rPr>
          <w:rFonts w:ascii="Arial" w:hAnsi="Arial" w:cs="Arial"/>
          <w:sz w:val="24"/>
          <w:szCs w:val="24"/>
          <w:lang w:val="es-ES"/>
        </w:rPr>
        <w:t>en cont</w:t>
      </w:r>
      <w:r w:rsidR="00E372B6">
        <w:rPr>
          <w:rFonts w:ascii="Arial" w:hAnsi="Arial" w:cs="Arial"/>
          <w:sz w:val="24"/>
          <w:szCs w:val="24"/>
          <w:lang w:val="es-ES"/>
        </w:rPr>
        <w:t xml:space="preserve">ra del Departamento del Quindío a corte 30 de Julio de 2017 de </w:t>
      </w:r>
      <w:r w:rsidRPr="000E02E0">
        <w:rPr>
          <w:rFonts w:ascii="Arial" w:hAnsi="Arial" w:cs="Arial"/>
          <w:sz w:val="24"/>
          <w:szCs w:val="24"/>
          <w:lang w:val="es-ES"/>
        </w:rPr>
        <w:t>acuerdo a su clasificación</w:t>
      </w:r>
      <w:r w:rsidR="00E372B6">
        <w:rPr>
          <w:rFonts w:ascii="Arial" w:hAnsi="Arial" w:cs="Arial"/>
          <w:sz w:val="24"/>
          <w:szCs w:val="24"/>
          <w:lang w:val="es-ES"/>
        </w:rPr>
        <w:t xml:space="preserve"> por proceso y</w:t>
      </w:r>
      <w:r w:rsidRPr="000E02E0">
        <w:rPr>
          <w:rFonts w:ascii="Arial" w:hAnsi="Arial" w:cs="Arial"/>
          <w:sz w:val="24"/>
          <w:szCs w:val="24"/>
          <w:lang w:val="es-ES"/>
        </w:rPr>
        <w:t xml:space="preserve"> teniendo en cuenta la participación de cada uno en</w:t>
      </w:r>
      <w:r w:rsidR="004A6669">
        <w:rPr>
          <w:rFonts w:ascii="Arial" w:hAnsi="Arial" w:cs="Arial"/>
          <w:sz w:val="24"/>
          <w:szCs w:val="24"/>
          <w:lang w:val="es-ES"/>
        </w:rPr>
        <w:t xml:space="preserve"> cuanto al número de procesos como también </w:t>
      </w:r>
      <w:r w:rsidRPr="000E02E0">
        <w:rPr>
          <w:rFonts w:ascii="Arial" w:hAnsi="Arial" w:cs="Arial"/>
          <w:sz w:val="24"/>
          <w:szCs w:val="24"/>
          <w:lang w:val="es-ES"/>
        </w:rPr>
        <w:t>la suma de la cuantía de las pretensiones</w:t>
      </w:r>
      <w:r w:rsidR="004A6669">
        <w:rPr>
          <w:rFonts w:ascii="Arial" w:hAnsi="Arial" w:cs="Arial"/>
          <w:sz w:val="24"/>
          <w:szCs w:val="24"/>
          <w:lang w:val="es-ES"/>
        </w:rPr>
        <w:t xml:space="preserve"> y su </w:t>
      </w:r>
      <w:r w:rsidR="000114E1">
        <w:rPr>
          <w:rFonts w:ascii="Arial" w:hAnsi="Arial" w:cs="Arial"/>
          <w:sz w:val="24"/>
          <w:szCs w:val="24"/>
          <w:lang w:val="es-ES"/>
        </w:rPr>
        <w:t>probabilidad</w:t>
      </w:r>
      <w:r w:rsidR="004A6669">
        <w:rPr>
          <w:rFonts w:ascii="Arial" w:hAnsi="Arial" w:cs="Arial"/>
          <w:sz w:val="24"/>
          <w:szCs w:val="24"/>
          <w:lang w:val="es-ES"/>
        </w:rPr>
        <w:t xml:space="preserve"> de fallo; </w:t>
      </w:r>
      <w:r w:rsidRPr="000E02E0">
        <w:rPr>
          <w:rFonts w:ascii="Arial" w:hAnsi="Arial" w:cs="Arial"/>
          <w:sz w:val="24"/>
          <w:szCs w:val="24"/>
          <w:lang w:val="es-ES"/>
        </w:rPr>
        <w:t>Información suministrada por la Secretaria de Representación Judicial y Defensa Jurídica del Departamento.</w:t>
      </w:r>
    </w:p>
    <w:p w:rsidR="00E07F2F" w:rsidRPr="000114E1" w:rsidRDefault="000114E1" w:rsidP="006E45D8">
      <w:pPr>
        <w:spacing w:line="360" w:lineRule="auto"/>
        <w:jc w:val="both"/>
        <w:rPr>
          <w:rFonts w:ascii="Arial" w:hAnsi="Arial" w:cs="Arial"/>
          <w:sz w:val="24"/>
          <w:szCs w:val="24"/>
          <w:lang w:eastAsia="es-ES"/>
        </w:rPr>
      </w:pPr>
      <w:r w:rsidRPr="000114E1">
        <w:rPr>
          <w:rFonts w:ascii="Arial" w:hAnsi="Arial" w:cs="Arial"/>
          <w:sz w:val="24"/>
          <w:szCs w:val="24"/>
          <w:lang w:eastAsia="es-ES"/>
        </w:rPr>
        <w:t>De los 131 casos relacionados</w:t>
      </w:r>
      <w:r>
        <w:rPr>
          <w:rFonts w:ascii="Arial" w:hAnsi="Arial" w:cs="Arial"/>
          <w:sz w:val="24"/>
          <w:szCs w:val="24"/>
          <w:lang w:eastAsia="es-ES"/>
        </w:rPr>
        <w:t>,</w:t>
      </w:r>
      <w:r w:rsidRPr="000114E1">
        <w:rPr>
          <w:rFonts w:ascii="Arial" w:hAnsi="Arial" w:cs="Arial"/>
          <w:sz w:val="24"/>
          <w:szCs w:val="24"/>
          <w:lang w:eastAsia="es-ES"/>
        </w:rPr>
        <w:t xml:space="preserve"> 67 </w:t>
      </w:r>
      <w:r>
        <w:rPr>
          <w:rFonts w:ascii="Arial" w:hAnsi="Arial" w:cs="Arial"/>
          <w:sz w:val="24"/>
          <w:szCs w:val="24"/>
          <w:lang w:eastAsia="es-ES"/>
        </w:rPr>
        <w:t xml:space="preserve">es </w:t>
      </w:r>
      <w:r w:rsidRPr="000114E1">
        <w:rPr>
          <w:rFonts w:ascii="Arial" w:hAnsi="Arial" w:cs="Arial"/>
          <w:sz w:val="24"/>
          <w:szCs w:val="24"/>
          <w:lang w:eastAsia="es-ES"/>
        </w:rPr>
        <w:t xml:space="preserve">el Departamento </w:t>
      </w:r>
      <w:r w:rsidR="001F15F8">
        <w:rPr>
          <w:rFonts w:ascii="Arial" w:hAnsi="Arial" w:cs="Arial"/>
          <w:sz w:val="24"/>
          <w:szCs w:val="24"/>
          <w:lang w:eastAsia="es-ES"/>
        </w:rPr>
        <w:t>el</w:t>
      </w:r>
      <w:r w:rsidRPr="000114E1">
        <w:rPr>
          <w:rFonts w:ascii="Arial" w:hAnsi="Arial" w:cs="Arial"/>
          <w:sz w:val="24"/>
          <w:szCs w:val="24"/>
          <w:lang w:eastAsia="es-ES"/>
        </w:rPr>
        <w:t xml:space="preserve"> único demandado y 64 procesos es el Departamento y Otros</w:t>
      </w:r>
    </w:p>
    <w:p w:rsidR="00FC00FF" w:rsidRDefault="00FC00FF" w:rsidP="00CB51CD">
      <w:pPr>
        <w:pStyle w:val="Ttulo3"/>
        <w:numPr>
          <w:ilvl w:val="2"/>
          <w:numId w:val="2"/>
        </w:numPr>
        <w:ind w:left="0" w:firstLine="0"/>
        <w:rPr>
          <w:lang w:eastAsia="es-ES"/>
        </w:rPr>
      </w:pPr>
      <w:bookmarkStart w:id="64" w:name="_Toc495334940"/>
      <w:r w:rsidRPr="00FC00FF">
        <w:rPr>
          <w:lang w:eastAsia="es-ES"/>
        </w:rPr>
        <w:t>RELACION DE CUANTIA DE LAS PRETENSIONES POR PROCESOS ADMINISTRATIVOS</w:t>
      </w:r>
      <w:bookmarkEnd w:id="64"/>
    </w:p>
    <w:p w:rsidR="00CB51CD" w:rsidRPr="00CB51CD" w:rsidRDefault="00CB51CD" w:rsidP="00C83F0E">
      <w:pPr>
        <w:pStyle w:val="Prrafodelista"/>
        <w:ind w:left="1080"/>
        <w:jc w:val="left"/>
        <w:rPr>
          <w:lang w:eastAsia="es-ES"/>
        </w:rPr>
      </w:pPr>
    </w:p>
    <w:p w:rsidR="00E07F2F" w:rsidRPr="009341E9" w:rsidRDefault="00585A03" w:rsidP="00C13C5D">
      <w:pPr>
        <w:spacing w:line="360" w:lineRule="auto"/>
        <w:jc w:val="center"/>
        <w:rPr>
          <w:rFonts w:ascii="Arial" w:hAnsi="Arial" w:cs="Arial"/>
          <w:sz w:val="28"/>
          <w:szCs w:val="28"/>
          <w:lang w:eastAsia="es-ES"/>
        </w:rPr>
      </w:pPr>
      <w:r w:rsidRPr="00585A03">
        <w:rPr>
          <w:noProof/>
          <w:lang w:eastAsia="es-CO"/>
        </w:rPr>
        <w:drawing>
          <wp:inline distT="0" distB="0" distL="0" distR="0" wp14:anchorId="70B13394" wp14:editId="5914B0C5">
            <wp:extent cx="5629275" cy="1935678"/>
            <wp:effectExtent l="0" t="0" r="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35836" cy="1937934"/>
                    </a:xfrm>
                    <a:prstGeom prst="rect">
                      <a:avLst/>
                    </a:prstGeom>
                    <a:noFill/>
                    <a:ln>
                      <a:noFill/>
                    </a:ln>
                  </pic:spPr>
                </pic:pic>
              </a:graphicData>
            </a:graphic>
          </wp:inline>
        </w:drawing>
      </w:r>
    </w:p>
    <w:p w:rsidR="009341E9" w:rsidRDefault="006729E1" w:rsidP="006E45D8">
      <w:pPr>
        <w:spacing w:line="360" w:lineRule="auto"/>
        <w:jc w:val="both"/>
        <w:rPr>
          <w:rFonts w:ascii="Arial" w:hAnsi="Arial" w:cs="Arial"/>
          <w:sz w:val="24"/>
          <w:szCs w:val="28"/>
          <w:lang w:eastAsia="es-ES"/>
        </w:rPr>
      </w:pPr>
      <w:r w:rsidRPr="00B961C9">
        <w:rPr>
          <w:rFonts w:ascii="Arial" w:hAnsi="Arial" w:cs="Arial"/>
          <w:sz w:val="24"/>
          <w:szCs w:val="28"/>
          <w:lang w:eastAsia="es-ES"/>
        </w:rPr>
        <w:lastRenderedPageBreak/>
        <w:t>De lo anterio</w:t>
      </w:r>
      <w:r w:rsidR="00E372B6" w:rsidRPr="00B961C9">
        <w:rPr>
          <w:rFonts w:ascii="Arial" w:hAnsi="Arial" w:cs="Arial"/>
          <w:sz w:val="24"/>
          <w:szCs w:val="28"/>
          <w:lang w:eastAsia="es-ES"/>
        </w:rPr>
        <w:t xml:space="preserve">r se puede decir que el </w:t>
      </w:r>
      <w:r w:rsidR="00B961C9" w:rsidRPr="00B961C9">
        <w:rPr>
          <w:rFonts w:ascii="Arial" w:hAnsi="Arial" w:cs="Arial"/>
          <w:sz w:val="24"/>
          <w:szCs w:val="28"/>
          <w:lang w:eastAsia="es-ES"/>
        </w:rPr>
        <w:t xml:space="preserve">tipo de </w:t>
      </w:r>
      <w:r w:rsidR="00E372B6" w:rsidRPr="00B961C9">
        <w:rPr>
          <w:rFonts w:ascii="Arial" w:hAnsi="Arial" w:cs="Arial"/>
          <w:sz w:val="24"/>
          <w:szCs w:val="28"/>
          <w:lang w:eastAsia="es-ES"/>
        </w:rPr>
        <w:t xml:space="preserve">proceso con mayor participación </w:t>
      </w:r>
      <w:r w:rsidR="00B961C9">
        <w:rPr>
          <w:rFonts w:ascii="Arial" w:hAnsi="Arial" w:cs="Arial"/>
          <w:sz w:val="24"/>
          <w:szCs w:val="28"/>
          <w:lang w:eastAsia="es-ES"/>
        </w:rPr>
        <w:t xml:space="preserve">es el de Reparación Directa </w:t>
      </w:r>
      <w:r w:rsidR="000114E1">
        <w:rPr>
          <w:rFonts w:ascii="Arial" w:hAnsi="Arial" w:cs="Arial"/>
          <w:sz w:val="24"/>
          <w:szCs w:val="28"/>
          <w:lang w:eastAsia="es-ES"/>
        </w:rPr>
        <w:t>con el 49%, seguido</w:t>
      </w:r>
      <w:r w:rsidR="00B961C9">
        <w:rPr>
          <w:rFonts w:ascii="Arial" w:hAnsi="Arial" w:cs="Arial"/>
          <w:sz w:val="24"/>
          <w:szCs w:val="28"/>
          <w:lang w:eastAsia="es-ES"/>
        </w:rPr>
        <w:t xml:space="preserve"> por el Ordinario Laboral de Primera Instancia </w:t>
      </w:r>
      <w:r w:rsidR="000114E1">
        <w:rPr>
          <w:rFonts w:ascii="Arial" w:hAnsi="Arial" w:cs="Arial"/>
          <w:sz w:val="24"/>
          <w:szCs w:val="28"/>
          <w:lang w:eastAsia="es-ES"/>
        </w:rPr>
        <w:t>con el 19%.</w:t>
      </w:r>
    </w:p>
    <w:p w:rsidR="008074F1" w:rsidRPr="001F15F8" w:rsidRDefault="00234E60" w:rsidP="00234E60">
      <w:pPr>
        <w:pStyle w:val="Ttulo3"/>
        <w:rPr>
          <w:lang w:eastAsia="es-ES"/>
        </w:rPr>
      </w:pPr>
      <w:bookmarkStart w:id="65" w:name="_Toc495334941"/>
      <w:r>
        <w:rPr>
          <w:lang w:eastAsia="es-ES"/>
        </w:rPr>
        <w:t xml:space="preserve">8.2.2 </w:t>
      </w:r>
      <w:r w:rsidR="008074F1" w:rsidRPr="001F15F8">
        <w:rPr>
          <w:lang w:eastAsia="es-ES"/>
        </w:rPr>
        <w:t>INSTANCIA POR PROCESO</w:t>
      </w:r>
      <w:bookmarkEnd w:id="65"/>
    </w:p>
    <w:p w:rsidR="008074F1" w:rsidRDefault="004967BF" w:rsidP="006E45D8">
      <w:pPr>
        <w:spacing w:line="360" w:lineRule="auto"/>
        <w:jc w:val="both"/>
        <w:rPr>
          <w:rFonts w:ascii="Arial" w:hAnsi="Arial" w:cs="Arial"/>
          <w:sz w:val="24"/>
          <w:szCs w:val="28"/>
          <w:lang w:eastAsia="es-ES"/>
        </w:rPr>
      </w:pPr>
      <w:r w:rsidRPr="00FC00FF">
        <w:rPr>
          <w:noProof/>
          <w:lang w:eastAsia="es-CO"/>
        </w:rPr>
        <w:drawing>
          <wp:anchor distT="0" distB="0" distL="114300" distR="114300" simplePos="0" relativeHeight="251644416" behindDoc="0" locked="0" layoutInCell="1" allowOverlap="1" wp14:anchorId="09CE6716" wp14:editId="4E557196">
            <wp:simplePos x="0" y="0"/>
            <wp:positionH relativeFrom="column">
              <wp:posOffset>47625</wp:posOffset>
            </wp:positionH>
            <wp:positionV relativeFrom="paragraph">
              <wp:posOffset>217332</wp:posOffset>
            </wp:positionV>
            <wp:extent cx="5501005" cy="2101850"/>
            <wp:effectExtent l="0" t="0" r="4445" b="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01005" cy="2101850"/>
                    </a:xfrm>
                    <a:prstGeom prst="rect">
                      <a:avLst/>
                    </a:prstGeom>
                    <a:noFill/>
                    <a:ln>
                      <a:noFill/>
                    </a:ln>
                  </pic:spPr>
                </pic:pic>
              </a:graphicData>
            </a:graphic>
            <wp14:sizeRelV relativeFrom="margin">
              <wp14:pctHeight>0</wp14:pctHeight>
            </wp14:sizeRelV>
          </wp:anchor>
        </w:drawing>
      </w:r>
    </w:p>
    <w:p w:rsidR="001C0BEC" w:rsidRDefault="001C0BEC" w:rsidP="006E45D8">
      <w:pPr>
        <w:spacing w:line="360" w:lineRule="auto"/>
        <w:rPr>
          <w:rFonts w:ascii="Arial" w:hAnsi="Arial" w:cs="Arial"/>
          <w:sz w:val="24"/>
          <w:szCs w:val="28"/>
          <w:lang w:eastAsia="es-ES"/>
        </w:rPr>
      </w:pPr>
    </w:p>
    <w:p w:rsidR="00E07F2F" w:rsidRDefault="001F15F8" w:rsidP="006E45D8">
      <w:pPr>
        <w:spacing w:line="360" w:lineRule="auto"/>
        <w:rPr>
          <w:rFonts w:ascii="Arial" w:hAnsi="Arial" w:cs="Arial"/>
          <w:sz w:val="24"/>
          <w:szCs w:val="28"/>
          <w:lang w:eastAsia="es-ES"/>
        </w:rPr>
      </w:pPr>
      <w:r w:rsidRPr="000C178D">
        <w:rPr>
          <w:rFonts w:ascii="Arial" w:hAnsi="Arial" w:cs="Arial"/>
          <w:sz w:val="24"/>
          <w:szCs w:val="28"/>
          <w:lang w:eastAsia="es-ES"/>
        </w:rPr>
        <w:t>De los 131 casos relacionados el 78% se encuentran en primera instancia, el 18% en segunda instancia y el 4% no se definen.</w:t>
      </w:r>
    </w:p>
    <w:p w:rsidR="001F15F8" w:rsidRPr="001F15F8" w:rsidRDefault="00234E60" w:rsidP="00234E60">
      <w:pPr>
        <w:pStyle w:val="Ttulo3"/>
        <w:rPr>
          <w:lang w:eastAsia="es-ES"/>
        </w:rPr>
      </w:pPr>
      <w:bookmarkStart w:id="66" w:name="_Toc495334942"/>
      <w:r>
        <w:rPr>
          <w:lang w:eastAsia="es-ES"/>
        </w:rPr>
        <w:t xml:space="preserve">8.2.3 </w:t>
      </w:r>
      <w:r w:rsidR="00C42C54">
        <w:rPr>
          <w:lang w:eastAsia="es-ES"/>
        </w:rPr>
        <w:t>RELACION DE LA CUANTÍ</w:t>
      </w:r>
      <w:r w:rsidR="001F15F8" w:rsidRPr="001F15F8">
        <w:rPr>
          <w:lang w:eastAsia="es-ES"/>
        </w:rPr>
        <w:t>A DE FALLOS EN PRIMERA Y SEGUNDA INSTANCIA</w:t>
      </w:r>
      <w:r w:rsidR="00C42C54">
        <w:rPr>
          <w:lang w:eastAsia="es-ES"/>
        </w:rPr>
        <w:t xml:space="preserve"> FAVORABLES</w:t>
      </w:r>
      <w:bookmarkEnd w:id="66"/>
    </w:p>
    <w:p w:rsidR="00234E60" w:rsidRDefault="005A1516" w:rsidP="006E45D8">
      <w:pPr>
        <w:tabs>
          <w:tab w:val="left" w:pos="3281"/>
        </w:tabs>
        <w:spacing w:line="360" w:lineRule="auto"/>
        <w:jc w:val="both"/>
        <w:rPr>
          <w:rFonts w:ascii="Arial" w:hAnsi="Arial" w:cs="Arial"/>
          <w:sz w:val="24"/>
        </w:rPr>
      </w:pPr>
      <w:bookmarkStart w:id="67" w:name="_Toc464053814"/>
      <w:r w:rsidRPr="00C42C54">
        <w:rPr>
          <w:noProof/>
          <w:lang w:eastAsia="es-CO"/>
        </w:rPr>
        <w:drawing>
          <wp:anchor distT="0" distB="0" distL="114300" distR="114300" simplePos="0" relativeHeight="251646464" behindDoc="0" locked="0" layoutInCell="1" allowOverlap="1" wp14:anchorId="3EF362FB" wp14:editId="1A2908B5">
            <wp:simplePos x="0" y="0"/>
            <wp:positionH relativeFrom="margin">
              <wp:align>right</wp:align>
            </wp:positionH>
            <wp:positionV relativeFrom="paragraph">
              <wp:posOffset>181610</wp:posOffset>
            </wp:positionV>
            <wp:extent cx="5605145" cy="2279650"/>
            <wp:effectExtent l="0" t="0" r="0" b="635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0514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1516" w:rsidRDefault="005A1516" w:rsidP="006E45D8">
      <w:pPr>
        <w:tabs>
          <w:tab w:val="left" w:pos="3281"/>
        </w:tabs>
        <w:spacing w:line="360" w:lineRule="auto"/>
        <w:jc w:val="both"/>
        <w:rPr>
          <w:rFonts w:ascii="Arial" w:hAnsi="Arial" w:cs="Arial"/>
          <w:sz w:val="24"/>
        </w:rPr>
      </w:pPr>
    </w:p>
    <w:p w:rsidR="00FB1A95" w:rsidRDefault="00C42C54" w:rsidP="006E45D8">
      <w:pPr>
        <w:tabs>
          <w:tab w:val="left" w:pos="3281"/>
        </w:tabs>
        <w:spacing w:line="360" w:lineRule="auto"/>
        <w:jc w:val="both"/>
        <w:rPr>
          <w:rFonts w:ascii="Arial" w:hAnsi="Arial" w:cs="Arial"/>
          <w:sz w:val="24"/>
        </w:rPr>
      </w:pPr>
      <w:r w:rsidRPr="00C42C54">
        <w:rPr>
          <w:rFonts w:ascii="Arial" w:hAnsi="Arial" w:cs="Arial"/>
          <w:sz w:val="24"/>
        </w:rPr>
        <w:lastRenderedPageBreak/>
        <w:t xml:space="preserve">De los casos reportados se puede observar que hay 67 casos en primera y segunda instancia con probabilidad de </w:t>
      </w:r>
      <w:r w:rsidR="00FB3270" w:rsidRPr="00C42C54">
        <w:rPr>
          <w:rFonts w:ascii="Arial" w:hAnsi="Arial" w:cs="Arial"/>
          <w:sz w:val="24"/>
        </w:rPr>
        <w:t>fallo favorable</w:t>
      </w:r>
      <w:r>
        <w:rPr>
          <w:rFonts w:ascii="Arial" w:hAnsi="Arial" w:cs="Arial"/>
          <w:sz w:val="24"/>
        </w:rPr>
        <w:t>, lo cual representa el 51% que en términos de cuantía representa $15.694.622.033</w:t>
      </w:r>
    </w:p>
    <w:p w:rsidR="00C42C54" w:rsidRPr="001F15F8" w:rsidRDefault="004A4AF1" w:rsidP="004A4AF1">
      <w:pPr>
        <w:pStyle w:val="Ttulo3"/>
        <w:rPr>
          <w:lang w:eastAsia="es-ES"/>
        </w:rPr>
      </w:pPr>
      <w:bookmarkStart w:id="68" w:name="_Toc495334943"/>
      <w:r>
        <w:rPr>
          <w:lang w:eastAsia="es-ES"/>
        </w:rPr>
        <w:t xml:space="preserve">8.2.4 </w:t>
      </w:r>
      <w:r w:rsidR="00C42C54">
        <w:rPr>
          <w:lang w:eastAsia="es-ES"/>
        </w:rPr>
        <w:t>RELACION DE LA CUANTÍ</w:t>
      </w:r>
      <w:r w:rsidR="00C42C54" w:rsidRPr="001F15F8">
        <w:rPr>
          <w:lang w:eastAsia="es-ES"/>
        </w:rPr>
        <w:t>A DE FALLOS EN PRIMERA Y SEGUNDA INSTANCIA</w:t>
      </w:r>
      <w:r w:rsidR="00C42C54">
        <w:rPr>
          <w:lang w:eastAsia="es-ES"/>
        </w:rPr>
        <w:t xml:space="preserve"> DESFAVORABLES</w:t>
      </w:r>
      <w:bookmarkEnd w:id="68"/>
    </w:p>
    <w:p w:rsidR="00C42C54" w:rsidRDefault="004967BF" w:rsidP="006E45D8">
      <w:pPr>
        <w:tabs>
          <w:tab w:val="left" w:pos="3281"/>
        </w:tabs>
        <w:spacing w:line="360" w:lineRule="auto"/>
        <w:jc w:val="both"/>
        <w:rPr>
          <w:rFonts w:ascii="Arial" w:hAnsi="Arial" w:cs="Arial"/>
          <w:sz w:val="24"/>
        </w:rPr>
      </w:pPr>
      <w:r w:rsidRPr="00C42C54">
        <w:rPr>
          <w:noProof/>
          <w:lang w:eastAsia="es-CO"/>
        </w:rPr>
        <w:drawing>
          <wp:anchor distT="0" distB="0" distL="114300" distR="114300" simplePos="0" relativeHeight="251650560" behindDoc="0" locked="0" layoutInCell="1" allowOverlap="1" wp14:anchorId="333FD335" wp14:editId="32966EB9">
            <wp:simplePos x="0" y="0"/>
            <wp:positionH relativeFrom="column">
              <wp:posOffset>47625</wp:posOffset>
            </wp:positionH>
            <wp:positionV relativeFrom="paragraph">
              <wp:posOffset>414655</wp:posOffset>
            </wp:positionV>
            <wp:extent cx="5438775" cy="2362835"/>
            <wp:effectExtent l="0" t="0" r="9525" b="0"/>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38775"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CD6" w:rsidRDefault="00EB4CD6" w:rsidP="00CB51CD">
      <w:pPr>
        <w:tabs>
          <w:tab w:val="left" w:pos="3281"/>
        </w:tabs>
        <w:spacing w:line="360" w:lineRule="auto"/>
        <w:jc w:val="both"/>
        <w:rPr>
          <w:rFonts w:ascii="Arial" w:hAnsi="Arial" w:cs="Arial"/>
          <w:sz w:val="24"/>
        </w:rPr>
      </w:pPr>
    </w:p>
    <w:p w:rsidR="00C939F4" w:rsidRDefault="00C42C54" w:rsidP="00CB51CD">
      <w:pPr>
        <w:tabs>
          <w:tab w:val="left" w:pos="3281"/>
        </w:tabs>
        <w:spacing w:line="360" w:lineRule="auto"/>
        <w:jc w:val="both"/>
        <w:rPr>
          <w:rFonts w:ascii="Arial" w:hAnsi="Arial" w:cs="Arial"/>
          <w:sz w:val="24"/>
        </w:rPr>
      </w:pPr>
      <w:r w:rsidRPr="00C42C54">
        <w:rPr>
          <w:rFonts w:ascii="Arial" w:hAnsi="Arial" w:cs="Arial"/>
          <w:sz w:val="24"/>
        </w:rPr>
        <w:t xml:space="preserve">De los casos reportados se puede observar que hay </w:t>
      </w:r>
      <w:r>
        <w:rPr>
          <w:rFonts w:ascii="Arial" w:hAnsi="Arial" w:cs="Arial"/>
          <w:sz w:val="24"/>
        </w:rPr>
        <w:t>59</w:t>
      </w:r>
      <w:r w:rsidRPr="00C42C54">
        <w:rPr>
          <w:rFonts w:ascii="Arial" w:hAnsi="Arial" w:cs="Arial"/>
          <w:sz w:val="24"/>
        </w:rPr>
        <w:t xml:space="preserve"> casos en primera y segunda instancia con probabilidad de </w:t>
      </w:r>
      <w:r w:rsidR="00C939F4" w:rsidRPr="00C42C54">
        <w:rPr>
          <w:rFonts w:ascii="Arial" w:hAnsi="Arial" w:cs="Arial"/>
          <w:sz w:val="24"/>
        </w:rPr>
        <w:t>fallos desfavorables</w:t>
      </w:r>
      <w:r>
        <w:rPr>
          <w:rFonts w:ascii="Arial" w:hAnsi="Arial" w:cs="Arial"/>
          <w:sz w:val="24"/>
        </w:rPr>
        <w:t xml:space="preserve"> lo cual representa el 45% que en términos monetarios corresponde a $</w:t>
      </w:r>
      <w:r w:rsidR="00C939F4">
        <w:rPr>
          <w:rFonts w:ascii="Arial" w:hAnsi="Arial" w:cs="Arial"/>
          <w:sz w:val="24"/>
        </w:rPr>
        <w:t>13.848.195.911.</w:t>
      </w:r>
    </w:p>
    <w:p w:rsidR="00FB3270" w:rsidRDefault="00FB3270" w:rsidP="00FB3270">
      <w:pPr>
        <w:pStyle w:val="Ttulo3"/>
      </w:pPr>
      <w:bookmarkStart w:id="69" w:name="_Toc495334944"/>
      <w:r w:rsidRPr="00FB3270">
        <w:t>8.2.5 PROCESOS DE SALUD</w:t>
      </w:r>
      <w:bookmarkEnd w:id="69"/>
      <w:r w:rsidRPr="00FB3270">
        <w:t xml:space="preserve"> </w:t>
      </w:r>
    </w:p>
    <w:p w:rsidR="00FB3270" w:rsidRPr="00FB3270" w:rsidRDefault="00FB3270" w:rsidP="00FB3270"/>
    <w:p w:rsidR="00C939F4" w:rsidRDefault="00C939F4" w:rsidP="006E45D8">
      <w:pPr>
        <w:tabs>
          <w:tab w:val="left" w:pos="3281"/>
        </w:tabs>
        <w:spacing w:line="360" w:lineRule="auto"/>
        <w:jc w:val="both"/>
        <w:rPr>
          <w:rFonts w:ascii="Arial" w:hAnsi="Arial" w:cs="Arial"/>
          <w:sz w:val="24"/>
        </w:rPr>
      </w:pPr>
      <w:r w:rsidRPr="00C939F4">
        <w:rPr>
          <w:noProof/>
          <w:lang w:eastAsia="es-CO"/>
        </w:rPr>
        <w:drawing>
          <wp:inline distT="0" distB="0" distL="0" distR="0" wp14:anchorId="50227A36" wp14:editId="55B73CA3">
            <wp:extent cx="5617028" cy="1460500"/>
            <wp:effectExtent l="0" t="0" r="3175"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42968" cy="1467245"/>
                    </a:xfrm>
                    <a:prstGeom prst="rect">
                      <a:avLst/>
                    </a:prstGeom>
                    <a:noFill/>
                    <a:ln>
                      <a:noFill/>
                    </a:ln>
                  </pic:spPr>
                </pic:pic>
              </a:graphicData>
            </a:graphic>
          </wp:inline>
        </w:drawing>
      </w:r>
    </w:p>
    <w:p w:rsidR="004458EE" w:rsidRPr="004458EE" w:rsidRDefault="004458EE" w:rsidP="00BF0A26">
      <w:pPr>
        <w:spacing w:line="360" w:lineRule="auto"/>
        <w:jc w:val="both"/>
        <w:rPr>
          <w:rFonts w:ascii="Arial" w:hAnsi="Arial" w:cs="Arial"/>
          <w:b/>
          <w:sz w:val="24"/>
        </w:rPr>
      </w:pPr>
    </w:p>
    <w:p w:rsidR="00096426" w:rsidRDefault="00096426" w:rsidP="00BF0A26">
      <w:pPr>
        <w:spacing w:line="360" w:lineRule="auto"/>
        <w:jc w:val="both"/>
        <w:rPr>
          <w:rFonts w:ascii="Arial" w:hAnsi="Arial" w:cs="Arial"/>
          <w:b/>
          <w:sz w:val="24"/>
        </w:rPr>
      </w:pPr>
    </w:p>
    <w:p w:rsidR="00096426" w:rsidRDefault="00096426" w:rsidP="00BF0A26">
      <w:pPr>
        <w:spacing w:line="360" w:lineRule="auto"/>
        <w:jc w:val="both"/>
        <w:rPr>
          <w:rFonts w:ascii="Arial" w:hAnsi="Arial" w:cs="Arial"/>
          <w:b/>
          <w:sz w:val="24"/>
        </w:rPr>
      </w:pPr>
    </w:p>
    <w:p w:rsidR="004458EE" w:rsidRPr="004458EE" w:rsidRDefault="004458EE" w:rsidP="00BF0A26">
      <w:pPr>
        <w:spacing w:line="360" w:lineRule="auto"/>
        <w:jc w:val="both"/>
        <w:rPr>
          <w:rFonts w:ascii="Arial" w:hAnsi="Arial" w:cs="Arial"/>
          <w:b/>
          <w:sz w:val="24"/>
        </w:rPr>
      </w:pPr>
      <w:r w:rsidRPr="004458EE">
        <w:rPr>
          <w:rFonts w:ascii="Arial" w:hAnsi="Arial" w:cs="Arial"/>
          <w:b/>
          <w:sz w:val="24"/>
        </w:rPr>
        <w:t xml:space="preserve">FINANCIACION </w:t>
      </w:r>
      <w:r w:rsidR="00EA36C0">
        <w:rPr>
          <w:rFonts w:ascii="Arial" w:hAnsi="Arial" w:cs="Arial"/>
          <w:b/>
          <w:sz w:val="24"/>
        </w:rPr>
        <w:t>PASIVOS</w:t>
      </w:r>
      <w:r w:rsidRPr="004458EE">
        <w:rPr>
          <w:rFonts w:ascii="Arial" w:hAnsi="Arial" w:cs="Arial"/>
          <w:b/>
          <w:sz w:val="24"/>
        </w:rPr>
        <w:t xml:space="preserve"> CONTINGENTES</w:t>
      </w:r>
    </w:p>
    <w:p w:rsidR="00EA36C0" w:rsidRDefault="004458EE" w:rsidP="00BF0A26">
      <w:pPr>
        <w:spacing w:line="360" w:lineRule="auto"/>
        <w:jc w:val="both"/>
        <w:rPr>
          <w:rFonts w:ascii="Arial" w:hAnsi="Arial" w:cs="Arial"/>
          <w:sz w:val="24"/>
        </w:rPr>
      </w:pPr>
      <w:r w:rsidRPr="004458EE">
        <w:rPr>
          <w:rFonts w:ascii="Arial" w:hAnsi="Arial" w:cs="Arial"/>
          <w:sz w:val="24"/>
        </w:rPr>
        <w:t>Con el propósito de cumplir en forma oportuna con el pago de las obligaciones de los pasivos contingentes el Secretario de Representación Judicial y Defensa del Departamento</w:t>
      </w:r>
      <w:r>
        <w:rPr>
          <w:rFonts w:ascii="Arial" w:hAnsi="Arial" w:cs="Arial"/>
          <w:sz w:val="24"/>
        </w:rPr>
        <w:t xml:space="preserve"> del Quindío, </w:t>
      </w:r>
      <w:r w:rsidR="00EA36C0">
        <w:rPr>
          <w:rFonts w:ascii="Arial" w:hAnsi="Arial" w:cs="Arial"/>
          <w:sz w:val="24"/>
        </w:rPr>
        <w:t xml:space="preserve">entrega la proyección de los recursos necesarios a incluir en el </w:t>
      </w:r>
      <w:r>
        <w:rPr>
          <w:rFonts w:ascii="Arial" w:hAnsi="Arial" w:cs="Arial"/>
          <w:sz w:val="24"/>
        </w:rPr>
        <w:t xml:space="preserve">rubro Sentencias Fallos </w:t>
      </w:r>
      <w:r w:rsidR="00EA36C0">
        <w:rPr>
          <w:rFonts w:ascii="Arial" w:hAnsi="Arial" w:cs="Arial"/>
          <w:sz w:val="24"/>
        </w:rPr>
        <w:t>y Conciliaciones.</w:t>
      </w:r>
    </w:p>
    <w:p w:rsidR="00EA36C0" w:rsidRDefault="00EA36C0" w:rsidP="00BF0A26">
      <w:pPr>
        <w:spacing w:line="360" w:lineRule="auto"/>
        <w:jc w:val="both"/>
        <w:rPr>
          <w:rFonts w:ascii="Arial" w:hAnsi="Arial" w:cs="Arial"/>
          <w:sz w:val="24"/>
        </w:rPr>
      </w:pPr>
      <w:r>
        <w:rPr>
          <w:rFonts w:ascii="Arial" w:hAnsi="Arial" w:cs="Arial"/>
          <w:sz w:val="24"/>
        </w:rPr>
        <w:t>La Secretaría de Hacienda, asigna en el presupuesto de la vigencia los recursos en el rubro Sentencias Fallos y Conciliaciones.</w:t>
      </w:r>
    </w:p>
    <w:p w:rsidR="00EA36C0" w:rsidRDefault="00EA36C0" w:rsidP="00BF0A26">
      <w:pPr>
        <w:spacing w:line="360" w:lineRule="auto"/>
        <w:jc w:val="both"/>
        <w:rPr>
          <w:rFonts w:ascii="Arial" w:hAnsi="Arial" w:cs="Arial"/>
          <w:sz w:val="24"/>
        </w:rPr>
      </w:pPr>
      <w:r w:rsidRPr="00F328E5">
        <w:rPr>
          <w:rFonts w:ascii="Arial" w:hAnsi="Arial" w:cs="Arial"/>
          <w:sz w:val="24"/>
        </w:rPr>
        <w:t>Durante la vigencia 2016 se asignó para el rubro Sentencias</w:t>
      </w:r>
      <w:r w:rsidR="00F328E5" w:rsidRPr="00F328E5">
        <w:rPr>
          <w:rFonts w:ascii="Arial" w:hAnsi="Arial" w:cs="Arial"/>
          <w:sz w:val="24"/>
        </w:rPr>
        <w:t>,</w:t>
      </w:r>
      <w:r w:rsidRPr="00F328E5">
        <w:rPr>
          <w:rFonts w:ascii="Arial" w:hAnsi="Arial" w:cs="Arial"/>
          <w:sz w:val="24"/>
        </w:rPr>
        <w:t xml:space="preserve"> Fallos y Conciliacion</w:t>
      </w:r>
      <w:r w:rsidR="00F328E5" w:rsidRPr="00F328E5">
        <w:rPr>
          <w:rFonts w:ascii="Arial" w:hAnsi="Arial" w:cs="Arial"/>
          <w:sz w:val="24"/>
        </w:rPr>
        <w:t>es</w:t>
      </w:r>
      <w:r w:rsidR="00096426" w:rsidRPr="00F328E5">
        <w:rPr>
          <w:rFonts w:ascii="Arial" w:hAnsi="Arial" w:cs="Arial"/>
          <w:sz w:val="24"/>
        </w:rPr>
        <w:t xml:space="preserve"> en el Presupuesto de la Administración Central </w:t>
      </w:r>
      <w:r w:rsidR="00F328E5">
        <w:rPr>
          <w:rFonts w:ascii="Arial" w:hAnsi="Arial" w:cs="Arial"/>
          <w:sz w:val="24"/>
        </w:rPr>
        <w:t>un valor de $366.360.855</w:t>
      </w:r>
      <w:r w:rsidR="00F328E5" w:rsidRPr="00F328E5">
        <w:rPr>
          <w:rFonts w:ascii="Arial" w:hAnsi="Arial" w:cs="Arial"/>
          <w:sz w:val="24"/>
        </w:rPr>
        <w:t xml:space="preserve"> de los cuales se pagaron durante la vigencia $362.840.515 y en la Secretaría de Educación se asign</w:t>
      </w:r>
      <w:r w:rsidR="00F328E5">
        <w:rPr>
          <w:rFonts w:ascii="Arial" w:hAnsi="Arial" w:cs="Arial"/>
          <w:sz w:val="24"/>
        </w:rPr>
        <w:t>ó la suma de $962.702.374</w:t>
      </w:r>
      <w:r w:rsidR="00F328E5" w:rsidRPr="00F328E5">
        <w:rPr>
          <w:rFonts w:ascii="Arial" w:hAnsi="Arial" w:cs="Arial"/>
          <w:sz w:val="24"/>
        </w:rPr>
        <w:t xml:space="preserve"> y se </w:t>
      </w:r>
      <w:r w:rsidRPr="00F328E5">
        <w:rPr>
          <w:rFonts w:ascii="Arial" w:hAnsi="Arial" w:cs="Arial"/>
          <w:sz w:val="24"/>
        </w:rPr>
        <w:t xml:space="preserve">pagaron durante la vigencia </w:t>
      </w:r>
      <w:r w:rsidR="00F328E5" w:rsidRPr="00F328E5">
        <w:rPr>
          <w:rFonts w:ascii="Arial" w:hAnsi="Arial" w:cs="Arial"/>
          <w:sz w:val="24"/>
        </w:rPr>
        <w:t>$29.845.100</w:t>
      </w:r>
      <w:r w:rsidR="00F328E5">
        <w:rPr>
          <w:rFonts w:ascii="Arial" w:hAnsi="Arial" w:cs="Arial"/>
          <w:sz w:val="24"/>
        </w:rPr>
        <w:t>. Todos los pagos realizado</w:t>
      </w:r>
      <w:r w:rsidR="00F92274">
        <w:rPr>
          <w:rFonts w:ascii="Arial" w:hAnsi="Arial" w:cs="Arial"/>
          <w:sz w:val="24"/>
        </w:rPr>
        <w:t>s corresponden a las cuentas enviadas por la Secretaria de Representación Judicial y Defensa y por la Secretaría de Educación.</w:t>
      </w:r>
    </w:p>
    <w:p w:rsidR="00436C71" w:rsidRDefault="00EA36C0" w:rsidP="00BF0A26">
      <w:pPr>
        <w:spacing w:line="360" w:lineRule="auto"/>
        <w:jc w:val="both"/>
        <w:rPr>
          <w:rFonts w:ascii="Arial" w:hAnsi="Arial" w:cs="Arial"/>
          <w:b/>
          <w:sz w:val="32"/>
        </w:rPr>
      </w:pPr>
      <w:r>
        <w:rPr>
          <w:rFonts w:ascii="Arial" w:hAnsi="Arial" w:cs="Arial"/>
          <w:sz w:val="24"/>
        </w:rPr>
        <w:t xml:space="preserve"> </w:t>
      </w:r>
      <w:r w:rsidR="00971F0E" w:rsidRPr="00C42C54">
        <w:rPr>
          <w:rFonts w:ascii="Arial" w:hAnsi="Arial" w:cs="Arial"/>
          <w:b/>
          <w:sz w:val="24"/>
        </w:rPr>
        <w:br w:type="page"/>
      </w:r>
      <w:bookmarkStart w:id="70" w:name="_Toc495334945"/>
      <w:r w:rsidR="0058012A" w:rsidRPr="0058012A">
        <w:rPr>
          <w:rStyle w:val="Ttulo2Car"/>
          <w:rFonts w:eastAsiaTheme="minorHAnsi"/>
        </w:rPr>
        <w:lastRenderedPageBreak/>
        <w:t xml:space="preserve">9. </w:t>
      </w:r>
      <w:r w:rsidR="00160762" w:rsidRPr="0058012A">
        <w:rPr>
          <w:rStyle w:val="Ttulo2Car"/>
          <w:rFonts w:eastAsiaTheme="minorHAnsi"/>
        </w:rPr>
        <w:t>EL COSTO FISCAL DE LOS PROYECTOS DE ORDENANZA SANCIONADOS EN LA VIGENCIA FISCAL ANTERIOR</w:t>
      </w:r>
      <w:bookmarkEnd w:id="67"/>
      <w:bookmarkEnd w:id="70"/>
    </w:p>
    <w:p w:rsidR="00160762" w:rsidRPr="009B53C2" w:rsidRDefault="00160762" w:rsidP="006E45D8">
      <w:pPr>
        <w:spacing w:line="360" w:lineRule="auto"/>
        <w:jc w:val="both"/>
        <w:rPr>
          <w:rFonts w:ascii="Arial" w:hAnsi="Arial" w:cs="Arial"/>
          <w:sz w:val="24"/>
          <w:lang w:val="es-ES"/>
        </w:rPr>
      </w:pPr>
      <w:r w:rsidRPr="009B53C2">
        <w:rPr>
          <w:rFonts w:ascii="Arial" w:hAnsi="Arial" w:cs="Arial"/>
          <w:sz w:val="24"/>
          <w:lang w:val="es-ES"/>
        </w:rPr>
        <w:t>Una ordenanza es un acto mediante el cual quedan plasmadas las funciones normativas de la Asamblea Departamental, la cual es aprobada después del tercer debate, lo debe firmar la m</w:t>
      </w:r>
      <w:r w:rsidR="004967BF">
        <w:rPr>
          <w:rFonts w:ascii="Arial" w:hAnsi="Arial" w:cs="Arial"/>
          <w:sz w:val="24"/>
          <w:lang w:val="es-ES"/>
        </w:rPr>
        <w:t>esa directiva con el secretario</w:t>
      </w:r>
      <w:r w:rsidRPr="009B53C2">
        <w:rPr>
          <w:rFonts w:ascii="Arial" w:hAnsi="Arial" w:cs="Arial"/>
          <w:sz w:val="24"/>
          <w:lang w:val="es-ES"/>
        </w:rPr>
        <w:t>(a) de la Asamblea y posteriormente debe ser sancionado p</w:t>
      </w:r>
      <w:r w:rsidR="004967BF">
        <w:rPr>
          <w:rFonts w:ascii="Arial" w:hAnsi="Arial" w:cs="Arial"/>
          <w:sz w:val="24"/>
          <w:lang w:val="es-ES"/>
        </w:rPr>
        <w:t>or el G</w:t>
      </w:r>
      <w:r w:rsidRPr="009B53C2">
        <w:rPr>
          <w:rFonts w:ascii="Arial" w:hAnsi="Arial" w:cs="Arial"/>
          <w:sz w:val="24"/>
          <w:lang w:val="es-ES"/>
        </w:rPr>
        <w:t xml:space="preserve">obernador y publicado por la </w:t>
      </w:r>
      <w:r w:rsidR="004967BF">
        <w:rPr>
          <w:rFonts w:ascii="Arial" w:hAnsi="Arial" w:cs="Arial"/>
          <w:sz w:val="24"/>
          <w:lang w:val="es-ES"/>
        </w:rPr>
        <w:t>S</w:t>
      </w:r>
      <w:r w:rsidRPr="009B53C2">
        <w:rPr>
          <w:rFonts w:ascii="Arial" w:hAnsi="Arial" w:cs="Arial"/>
          <w:sz w:val="24"/>
          <w:lang w:val="es-ES"/>
        </w:rPr>
        <w:t xml:space="preserve">ecretaría </w:t>
      </w:r>
      <w:r w:rsidR="004967BF">
        <w:rPr>
          <w:rFonts w:ascii="Arial" w:hAnsi="Arial" w:cs="Arial"/>
          <w:sz w:val="24"/>
          <w:lang w:val="es-ES"/>
        </w:rPr>
        <w:t>G</w:t>
      </w:r>
      <w:r w:rsidRPr="009B53C2">
        <w:rPr>
          <w:rFonts w:ascii="Arial" w:hAnsi="Arial" w:cs="Arial"/>
          <w:sz w:val="24"/>
          <w:lang w:val="es-ES"/>
        </w:rPr>
        <w:t>eneral.</w:t>
      </w:r>
    </w:p>
    <w:p w:rsidR="00160762" w:rsidRPr="009B53C2" w:rsidRDefault="00160762" w:rsidP="006E45D8">
      <w:pPr>
        <w:spacing w:line="360" w:lineRule="auto"/>
        <w:jc w:val="both"/>
        <w:rPr>
          <w:rFonts w:ascii="Arial" w:hAnsi="Arial" w:cs="Arial"/>
          <w:sz w:val="24"/>
          <w:lang w:val="es-ES"/>
        </w:rPr>
      </w:pPr>
      <w:r w:rsidRPr="009B53C2">
        <w:rPr>
          <w:rFonts w:ascii="Arial" w:hAnsi="Arial" w:cs="Arial"/>
          <w:sz w:val="24"/>
          <w:lang w:val="es-ES"/>
        </w:rPr>
        <w:t>El presente informe se debe presentar con la finalidad de mostrar a la corporación de elección popular, los efectos de las ordenanzas aprobadas en las vigencias anteriores, que generaron costos, cuantificando el efecto de los mismos, incluyendo el gasto presupuestal que dichas decisiones generaron en la vigencia fiscal, garantizando la corresponsabilidad del Gobierno Territorial, en la búsqueda de la sostenibilidad fiscal y financiera en el largo plazo.</w:t>
      </w:r>
      <w:r w:rsidRPr="009B53C2">
        <w:rPr>
          <w:rStyle w:val="Refdenotaalpie"/>
          <w:rFonts w:ascii="Arial" w:hAnsi="Arial" w:cs="Arial"/>
          <w:sz w:val="24"/>
          <w:lang w:val="es-ES"/>
        </w:rPr>
        <w:footnoteReference w:id="44"/>
      </w:r>
    </w:p>
    <w:p w:rsidR="00160762" w:rsidRPr="009B53C2" w:rsidRDefault="00160762" w:rsidP="006E45D8">
      <w:pPr>
        <w:spacing w:line="360" w:lineRule="auto"/>
        <w:jc w:val="both"/>
        <w:rPr>
          <w:rFonts w:ascii="Arial" w:hAnsi="Arial" w:cs="Arial"/>
          <w:sz w:val="24"/>
          <w:lang w:val="es-ES"/>
        </w:rPr>
      </w:pPr>
      <w:r w:rsidRPr="009B53C2">
        <w:rPr>
          <w:rFonts w:ascii="Arial" w:hAnsi="Arial" w:cs="Arial"/>
          <w:sz w:val="24"/>
          <w:lang w:val="es-ES"/>
        </w:rPr>
        <w:t>Conforme a la ley 819 de 2003 en su artículo 7, se puede decir que una ordenanza concibe impacto fiscal siempre y cuando sea ordenador de un gasto nuevo o este sea aumentado y concibe costo fiscal si al ser generadas generaron costos, en estos casos se deberán expresar exposición de motivos, los costos fiscales de la iniciativa, y la fuente de ingreso adicional para el financiamiento de dicho impacto.</w:t>
      </w:r>
    </w:p>
    <w:p w:rsidR="00160762" w:rsidRDefault="00160762" w:rsidP="006E45D8">
      <w:pPr>
        <w:spacing w:line="360" w:lineRule="auto"/>
        <w:jc w:val="both"/>
        <w:rPr>
          <w:rFonts w:ascii="Arial" w:hAnsi="Arial" w:cs="Arial"/>
          <w:sz w:val="24"/>
          <w:lang w:val="es-ES"/>
        </w:rPr>
      </w:pPr>
      <w:r w:rsidRPr="009B53C2">
        <w:rPr>
          <w:rFonts w:ascii="Arial" w:hAnsi="Arial" w:cs="Arial"/>
          <w:sz w:val="24"/>
          <w:lang w:val="es-ES"/>
        </w:rPr>
        <w:t>De igual modo se debe valorar si el impacto fiscal será transitorio o permanente, es transitorio, si el gasto se va a realizar en un periodo de tiempo específico y es permanente si el gasto se va a ejecutar de manera indefinida en el tiempo o al menos hasta que una futura norma legal lo de por concluido.</w:t>
      </w:r>
      <w:r w:rsidRPr="009B53C2">
        <w:rPr>
          <w:rStyle w:val="Refdenotaalpie"/>
          <w:rFonts w:ascii="Arial" w:hAnsi="Arial" w:cs="Arial"/>
          <w:sz w:val="24"/>
          <w:lang w:val="es-ES"/>
        </w:rPr>
        <w:footnoteReference w:id="45"/>
      </w:r>
    </w:p>
    <w:p w:rsidR="002F1B73" w:rsidRPr="009B53C2" w:rsidRDefault="002F1B73" w:rsidP="006E45D8">
      <w:pPr>
        <w:spacing w:line="360" w:lineRule="auto"/>
        <w:jc w:val="both"/>
        <w:rPr>
          <w:rFonts w:ascii="Arial" w:hAnsi="Arial" w:cs="Arial"/>
          <w:sz w:val="24"/>
          <w:lang w:val="es-ES"/>
        </w:rPr>
      </w:pPr>
      <w:r>
        <w:rPr>
          <w:rFonts w:ascii="Arial" w:hAnsi="Arial" w:cs="Arial"/>
          <w:sz w:val="24"/>
          <w:lang w:val="es-ES"/>
        </w:rPr>
        <w:t xml:space="preserve">A </w:t>
      </w:r>
      <w:r w:rsidR="004967BF">
        <w:rPr>
          <w:rFonts w:ascii="Arial" w:hAnsi="Arial" w:cs="Arial"/>
          <w:sz w:val="24"/>
          <w:lang w:val="es-ES"/>
        </w:rPr>
        <w:t>continuación,</w:t>
      </w:r>
      <w:r>
        <w:rPr>
          <w:rFonts w:ascii="Arial" w:hAnsi="Arial" w:cs="Arial"/>
          <w:sz w:val="24"/>
          <w:lang w:val="es-ES"/>
        </w:rPr>
        <w:t xml:space="preserve"> se relaciona el costo de las ordenanzas en la vigencia 2016 por </w:t>
      </w:r>
      <w:r w:rsidR="0066123E">
        <w:rPr>
          <w:rFonts w:ascii="Arial" w:hAnsi="Arial" w:cs="Arial"/>
          <w:sz w:val="24"/>
          <w:lang w:val="es-ES"/>
        </w:rPr>
        <w:t>valor de $327.421.781.635, valor el cual no genera impacto fiscal ya que son valores que se encontraban presupuestados para la vigencia.</w:t>
      </w:r>
    </w:p>
    <w:p w:rsidR="003250BE" w:rsidRDefault="002519D4" w:rsidP="006E45D8">
      <w:pPr>
        <w:tabs>
          <w:tab w:val="left" w:pos="3281"/>
        </w:tabs>
        <w:spacing w:line="360" w:lineRule="auto"/>
        <w:rPr>
          <w:rFonts w:ascii="Arial" w:hAnsi="Arial" w:cs="Arial"/>
          <w:sz w:val="32"/>
          <w:szCs w:val="28"/>
          <w:highlight w:val="yellow"/>
          <w:lang w:eastAsia="es-ES"/>
        </w:rPr>
      </w:pPr>
      <w:r w:rsidRPr="002519D4">
        <w:rPr>
          <w:noProof/>
          <w:lang w:eastAsia="es-CO"/>
        </w:rPr>
        <w:lastRenderedPageBreak/>
        <w:drawing>
          <wp:inline distT="0" distB="0" distL="0" distR="0">
            <wp:extent cx="5609201" cy="8027719"/>
            <wp:effectExtent l="0" t="0" r="0" b="0"/>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27542" cy="8053968"/>
                    </a:xfrm>
                    <a:prstGeom prst="rect">
                      <a:avLst/>
                    </a:prstGeom>
                    <a:noFill/>
                    <a:ln>
                      <a:noFill/>
                    </a:ln>
                  </pic:spPr>
                </pic:pic>
              </a:graphicData>
            </a:graphic>
          </wp:inline>
        </w:drawing>
      </w:r>
    </w:p>
    <w:sectPr w:rsidR="003250BE" w:rsidSect="00F73C32">
      <w:pgSz w:w="12240" w:h="15840" w:code="1"/>
      <w:pgMar w:top="1418" w:right="1701" w:bottom="1418" w:left="1701" w:header="709" w:footer="709" w:gutter="0"/>
      <w:paperSrc w:first="26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04C" w:rsidRDefault="0009104C" w:rsidP="00927A7E">
      <w:pPr>
        <w:spacing w:after="0" w:line="240" w:lineRule="auto"/>
      </w:pPr>
      <w:r>
        <w:separator/>
      </w:r>
    </w:p>
  </w:endnote>
  <w:endnote w:type="continuationSeparator" w:id="0">
    <w:p w:rsidR="0009104C" w:rsidRDefault="0009104C" w:rsidP="00927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850963"/>
      <w:docPartObj>
        <w:docPartGallery w:val="Page Numbers (Bottom of Page)"/>
        <w:docPartUnique/>
      </w:docPartObj>
    </w:sdtPr>
    <w:sdtEndPr/>
    <w:sdtContent>
      <w:p w:rsidR="00A11771" w:rsidRDefault="00A11771">
        <w:pPr>
          <w:pStyle w:val="Piedepgina"/>
          <w:jc w:val="center"/>
        </w:pPr>
        <w:r>
          <w:fldChar w:fldCharType="begin"/>
        </w:r>
        <w:r>
          <w:instrText>PAGE   \* MERGEFORMAT</w:instrText>
        </w:r>
        <w:r>
          <w:fldChar w:fldCharType="separate"/>
        </w:r>
        <w:r w:rsidR="00A43F21" w:rsidRPr="00A43F21">
          <w:rPr>
            <w:noProof/>
            <w:lang w:val="es-ES"/>
          </w:rPr>
          <w:t>1</w:t>
        </w:r>
        <w:r>
          <w:rPr>
            <w:noProof/>
            <w:lang w:val="es-ES"/>
          </w:rPr>
          <w:fldChar w:fldCharType="end"/>
        </w:r>
      </w:p>
    </w:sdtContent>
  </w:sdt>
  <w:p w:rsidR="00A11771" w:rsidRDefault="00A1177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968664"/>
      <w:docPartObj>
        <w:docPartGallery w:val="Page Numbers (Bottom of Page)"/>
        <w:docPartUnique/>
      </w:docPartObj>
    </w:sdtPr>
    <w:sdtEndPr/>
    <w:sdtContent>
      <w:p w:rsidR="00A11771" w:rsidRDefault="00A11771">
        <w:pPr>
          <w:pStyle w:val="Piedepgina"/>
          <w:jc w:val="center"/>
        </w:pPr>
        <w:r>
          <w:fldChar w:fldCharType="begin"/>
        </w:r>
        <w:r>
          <w:instrText>PAGE   \* MERGEFORMAT</w:instrText>
        </w:r>
        <w:r>
          <w:fldChar w:fldCharType="separate"/>
        </w:r>
        <w:r w:rsidR="00A43F21" w:rsidRPr="00A43F21">
          <w:rPr>
            <w:noProof/>
            <w:lang w:val="es-ES"/>
          </w:rPr>
          <w:t>98</w:t>
        </w:r>
        <w:r>
          <w:rPr>
            <w:noProof/>
            <w:lang w:val="es-ES"/>
          </w:rPr>
          <w:fldChar w:fldCharType="end"/>
        </w:r>
      </w:p>
    </w:sdtContent>
  </w:sdt>
  <w:p w:rsidR="00A11771" w:rsidRDefault="00A1177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921669"/>
      <w:docPartObj>
        <w:docPartGallery w:val="Page Numbers (Bottom of Page)"/>
        <w:docPartUnique/>
      </w:docPartObj>
    </w:sdtPr>
    <w:sdtEndPr/>
    <w:sdtContent>
      <w:p w:rsidR="00A11771" w:rsidRDefault="00A11771">
        <w:pPr>
          <w:pStyle w:val="Piedepgina"/>
          <w:jc w:val="center"/>
        </w:pPr>
        <w:r>
          <w:fldChar w:fldCharType="begin"/>
        </w:r>
        <w:r>
          <w:instrText>PAGE   \* MERGEFORMAT</w:instrText>
        </w:r>
        <w:r>
          <w:fldChar w:fldCharType="separate"/>
        </w:r>
        <w:r w:rsidR="00A43F21" w:rsidRPr="00A43F21">
          <w:rPr>
            <w:noProof/>
            <w:lang w:val="es-ES"/>
          </w:rPr>
          <w:t>30</w:t>
        </w:r>
        <w:r>
          <w:rPr>
            <w:noProof/>
            <w:lang w:val="es-ES"/>
          </w:rPr>
          <w:fldChar w:fldCharType="end"/>
        </w:r>
      </w:p>
    </w:sdtContent>
  </w:sdt>
  <w:p w:rsidR="00A11771" w:rsidRDefault="00A11771">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795384"/>
      <w:docPartObj>
        <w:docPartGallery w:val="Page Numbers (Bottom of Page)"/>
        <w:docPartUnique/>
      </w:docPartObj>
    </w:sdtPr>
    <w:sdtEndPr/>
    <w:sdtContent>
      <w:p w:rsidR="00A11771" w:rsidRDefault="00A11771">
        <w:pPr>
          <w:pStyle w:val="Piedepgina"/>
          <w:jc w:val="center"/>
        </w:pPr>
        <w:r>
          <w:fldChar w:fldCharType="begin"/>
        </w:r>
        <w:r>
          <w:instrText>PAGE   \* MERGEFORMAT</w:instrText>
        </w:r>
        <w:r>
          <w:fldChar w:fldCharType="separate"/>
        </w:r>
        <w:r w:rsidR="00A43F21" w:rsidRPr="00A43F21">
          <w:rPr>
            <w:noProof/>
            <w:lang w:val="es-ES"/>
          </w:rPr>
          <w:t>116</w:t>
        </w:r>
        <w:r>
          <w:rPr>
            <w:noProof/>
            <w:lang w:val="es-ES"/>
          </w:rPr>
          <w:fldChar w:fldCharType="end"/>
        </w:r>
      </w:p>
    </w:sdtContent>
  </w:sdt>
  <w:p w:rsidR="00A11771" w:rsidRDefault="00A1177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04C" w:rsidRDefault="0009104C" w:rsidP="00927A7E">
      <w:pPr>
        <w:spacing w:after="0" w:line="240" w:lineRule="auto"/>
      </w:pPr>
      <w:r>
        <w:separator/>
      </w:r>
    </w:p>
  </w:footnote>
  <w:footnote w:type="continuationSeparator" w:id="0">
    <w:p w:rsidR="0009104C" w:rsidRDefault="0009104C" w:rsidP="00927A7E">
      <w:pPr>
        <w:spacing w:after="0" w:line="240" w:lineRule="auto"/>
      </w:pPr>
      <w:r>
        <w:continuationSeparator/>
      </w:r>
    </w:p>
  </w:footnote>
  <w:footnote w:id="1">
    <w:p w:rsidR="00A11771" w:rsidRDefault="00A11771">
      <w:pPr>
        <w:pStyle w:val="Textonotapie"/>
      </w:pPr>
      <w:r>
        <w:rPr>
          <w:rStyle w:val="Refdenotaalpie"/>
        </w:rPr>
        <w:footnoteRef/>
      </w:r>
      <w:r>
        <w:t xml:space="preserve"> Ley 819 de 2003 art 5.</w:t>
      </w:r>
    </w:p>
  </w:footnote>
  <w:footnote w:id="2">
    <w:p w:rsidR="00A11771" w:rsidRDefault="00A11771">
      <w:pPr>
        <w:pStyle w:val="Textonotapie"/>
      </w:pPr>
      <w:r>
        <w:rPr>
          <w:rStyle w:val="Refdenotaalpie"/>
        </w:rPr>
        <w:footnoteRef/>
      </w:r>
      <w:r>
        <w:t xml:space="preserve"> Análisis de la Andi, Balance 2016 Perspectivas 2017</w:t>
      </w:r>
    </w:p>
  </w:footnote>
  <w:footnote w:id="3">
    <w:p w:rsidR="00A11771" w:rsidRDefault="00A11771">
      <w:pPr>
        <w:pStyle w:val="Textonotapie"/>
      </w:pPr>
      <w:r>
        <w:rPr>
          <w:rStyle w:val="Refdenotaalpie"/>
        </w:rPr>
        <w:footnoteRef/>
      </w:r>
      <w:r>
        <w:t xml:space="preserve"> Informe de La ANDI, Balance 2016 Perspectivas 2017</w:t>
      </w:r>
    </w:p>
  </w:footnote>
  <w:footnote w:id="4">
    <w:p w:rsidR="00A11771" w:rsidRDefault="00A11771">
      <w:pPr>
        <w:pStyle w:val="Textonotapie"/>
      </w:pPr>
      <w:r>
        <w:rPr>
          <w:rStyle w:val="Refdenotaalpie"/>
        </w:rPr>
        <w:footnoteRef/>
      </w:r>
      <w:r>
        <w:t xml:space="preserve"> </w:t>
      </w:r>
      <w:r w:rsidRPr="006513CE">
        <w:t>http://www.dinero.com/economia/articulo/crecimiento-de-la-economia-o-pib-en-colombia-en-2016/242252</w:t>
      </w:r>
    </w:p>
  </w:footnote>
  <w:footnote w:id="5">
    <w:p w:rsidR="00A11771" w:rsidRPr="008075F6" w:rsidRDefault="00A11771">
      <w:pPr>
        <w:pStyle w:val="Textonotapie"/>
      </w:pPr>
      <w:r>
        <w:rPr>
          <w:rStyle w:val="Refdenotaalpie"/>
        </w:rPr>
        <w:footnoteRef/>
      </w:r>
      <w:r w:rsidRPr="008075F6">
        <w:t xml:space="preserve"> Informe Viabilidad Fiscal de los Departamentos 2016 (Dirección de Apoyo Fiscal-Ministerio de Hacienda y Cr</w:t>
      </w:r>
      <w:r>
        <w:t>édito Público)</w:t>
      </w:r>
    </w:p>
  </w:footnote>
  <w:footnote w:id="6">
    <w:p w:rsidR="00A11771" w:rsidRPr="00CF6A00" w:rsidRDefault="00A11771">
      <w:pPr>
        <w:pStyle w:val="Textonotapie"/>
      </w:pPr>
      <w:r>
        <w:rPr>
          <w:rStyle w:val="Refdenotaalpie"/>
        </w:rPr>
        <w:footnoteRef/>
      </w:r>
      <w:r w:rsidRPr="00CF6A00">
        <w:t xml:space="preserve"> https://www.dane.gov.co/index.php/estadisticas-por-tema/cuentas-nacionales/cuentas-nacionales-departamentales</w:t>
      </w:r>
    </w:p>
  </w:footnote>
  <w:footnote w:id="7">
    <w:p w:rsidR="00A11771" w:rsidRPr="003224A5" w:rsidRDefault="00A11771">
      <w:pPr>
        <w:pStyle w:val="Textonotapie"/>
      </w:pPr>
      <w:r>
        <w:rPr>
          <w:rStyle w:val="Refdenotaalpie"/>
        </w:rPr>
        <w:footnoteRef/>
      </w:r>
      <w:r w:rsidRPr="003224A5">
        <w:t xml:space="preserve"> Informe de Viabilidad Fiscal de los Departamentos 2016 (Dirección General de Apoyo Fiscal – Ministerio de Hacienda y Cr</w:t>
      </w:r>
      <w:r>
        <w:t>édito Público)</w:t>
      </w:r>
    </w:p>
  </w:footnote>
  <w:footnote w:id="8">
    <w:p w:rsidR="00A11771" w:rsidRPr="00CF6A00" w:rsidRDefault="00A11771">
      <w:pPr>
        <w:pStyle w:val="Textonotapie"/>
      </w:pPr>
      <w:r>
        <w:rPr>
          <w:rStyle w:val="Refdenotaalpie"/>
        </w:rPr>
        <w:footnoteRef/>
      </w:r>
      <w:r w:rsidRPr="00CF6A00">
        <w:t xml:space="preserve"> http://www.banrep.gov.co/es/ber-ejecafetero-2016-1</w:t>
      </w:r>
    </w:p>
  </w:footnote>
  <w:footnote w:id="9">
    <w:p w:rsidR="00A11771" w:rsidRPr="00CF6A00" w:rsidRDefault="00A11771">
      <w:pPr>
        <w:pStyle w:val="Textonotapie"/>
      </w:pPr>
      <w:r>
        <w:rPr>
          <w:rStyle w:val="Refdenotaalpie"/>
        </w:rPr>
        <w:footnoteRef/>
      </w:r>
      <w:r w:rsidRPr="00CF6A00">
        <w:t xml:space="preserve"> http://www.banrep.gov.co/es/ber-ejecafetero-2016-2</w:t>
      </w:r>
    </w:p>
  </w:footnote>
  <w:footnote w:id="10">
    <w:p w:rsidR="00A11771" w:rsidRPr="00CF6A00" w:rsidRDefault="00A11771">
      <w:pPr>
        <w:pStyle w:val="Textonotapie"/>
      </w:pPr>
      <w:r>
        <w:rPr>
          <w:rStyle w:val="Refdenotaalpie"/>
        </w:rPr>
        <w:footnoteRef/>
      </w:r>
      <w:r w:rsidRPr="00CF6A00">
        <w:t xml:space="preserve"> http://www.banrep.gov.co/es/ber-ejecafetero-2016-3</w:t>
      </w:r>
    </w:p>
  </w:footnote>
  <w:footnote w:id="11">
    <w:p w:rsidR="00A11771" w:rsidRPr="00CF6A00" w:rsidRDefault="00A11771">
      <w:pPr>
        <w:pStyle w:val="Textonotapie"/>
      </w:pPr>
      <w:r>
        <w:rPr>
          <w:rStyle w:val="Refdenotaalpie"/>
        </w:rPr>
        <w:footnoteRef/>
      </w:r>
      <w:r w:rsidRPr="00CF6A00">
        <w:t xml:space="preserve"> http://www.banrep.gov.co/es/ber-ejecafetero-2016-4</w:t>
      </w:r>
    </w:p>
  </w:footnote>
  <w:footnote w:id="12">
    <w:p w:rsidR="00A11771" w:rsidRPr="00CF6A00" w:rsidRDefault="00A11771">
      <w:pPr>
        <w:pStyle w:val="Textonotapie"/>
      </w:pPr>
      <w:r>
        <w:rPr>
          <w:rStyle w:val="Refdenotaalpie"/>
        </w:rPr>
        <w:footnoteRef/>
      </w:r>
      <w:r w:rsidRPr="00CF6A00">
        <w:t xml:space="preserve"> http://www.banrep.gov.co/es/ber-ejecafetero-2017-1</w:t>
      </w:r>
    </w:p>
  </w:footnote>
  <w:footnote w:id="13">
    <w:p w:rsidR="00A11771" w:rsidRPr="008F3632" w:rsidRDefault="00A11771" w:rsidP="009261D1">
      <w:pPr>
        <w:pStyle w:val="Textonotapie"/>
        <w:rPr>
          <w:lang w:val="es-ES"/>
        </w:rPr>
      </w:pPr>
      <w:r>
        <w:rPr>
          <w:rStyle w:val="Refdenotaalpie"/>
        </w:rPr>
        <w:footnoteRef/>
      </w:r>
      <w:r>
        <w:rPr>
          <w:lang w:val="es-ES"/>
        </w:rPr>
        <w:t>Bases para la Gestión del Sistema  Presupuestal  2012 Página 136</w:t>
      </w:r>
    </w:p>
  </w:footnote>
  <w:footnote w:id="14">
    <w:p w:rsidR="00A11771" w:rsidRPr="00D45222" w:rsidRDefault="00A11771" w:rsidP="009261D1">
      <w:pPr>
        <w:pStyle w:val="Textonotapie"/>
        <w:rPr>
          <w:lang w:val="es-ES"/>
        </w:rPr>
      </w:pPr>
      <w:r>
        <w:rPr>
          <w:rStyle w:val="Refdenotaalpie"/>
        </w:rPr>
        <w:footnoteRef/>
      </w:r>
      <w:r>
        <w:rPr>
          <w:lang w:val="es-ES"/>
        </w:rPr>
        <w:t>Ley 488 de 1998, artículos 138 al 151.</w:t>
      </w:r>
    </w:p>
  </w:footnote>
  <w:footnote w:id="15">
    <w:p w:rsidR="00A11771" w:rsidRPr="000A4621" w:rsidRDefault="00A11771" w:rsidP="009261D1">
      <w:pPr>
        <w:pStyle w:val="Textonotapie"/>
        <w:rPr>
          <w:lang w:val="es-ES"/>
        </w:rPr>
      </w:pPr>
      <w:r>
        <w:rPr>
          <w:rStyle w:val="Refdenotaalpie"/>
        </w:rPr>
        <w:footnoteRef/>
      </w:r>
      <w:r>
        <w:rPr>
          <w:lang w:val="es-ES"/>
        </w:rPr>
        <w:t xml:space="preserve">Libro de Tributos </w:t>
      </w:r>
    </w:p>
  </w:footnote>
  <w:footnote w:id="16">
    <w:p w:rsidR="00A11771" w:rsidRPr="00B67E96" w:rsidRDefault="00A11771" w:rsidP="009261D1">
      <w:pPr>
        <w:pStyle w:val="Textonotapie"/>
        <w:rPr>
          <w:lang w:val="es-ES"/>
        </w:rPr>
      </w:pPr>
      <w:r>
        <w:rPr>
          <w:rStyle w:val="Refdenotaalpie"/>
        </w:rPr>
        <w:footnoteRef/>
      </w:r>
      <w:r w:rsidRPr="00A6658B">
        <w:rPr>
          <w:lang w:val="es-ES"/>
        </w:rPr>
        <w:t>Ordenanza 024 del 2005</w:t>
      </w:r>
    </w:p>
  </w:footnote>
  <w:footnote w:id="17">
    <w:p w:rsidR="00A11771" w:rsidRPr="000A4621" w:rsidRDefault="00A11771" w:rsidP="009261D1">
      <w:pPr>
        <w:pStyle w:val="Textonotapie"/>
        <w:rPr>
          <w:lang w:val="es-ES"/>
        </w:rPr>
      </w:pPr>
      <w:r>
        <w:rPr>
          <w:rStyle w:val="Refdenotaalpie"/>
        </w:rPr>
        <w:footnoteRef/>
      </w:r>
      <w:r>
        <w:rPr>
          <w:lang w:val="es-ES"/>
        </w:rPr>
        <w:t>Bases para la Gestión del Sistema Presupuestal Territorial 2012 DNP Página 141</w:t>
      </w:r>
    </w:p>
  </w:footnote>
  <w:footnote w:id="18">
    <w:p w:rsidR="00A11771" w:rsidRPr="003635B1" w:rsidRDefault="00A11771" w:rsidP="009261D1">
      <w:pPr>
        <w:pStyle w:val="Textonotapie"/>
      </w:pPr>
      <w:r>
        <w:rPr>
          <w:rStyle w:val="Refdenotaalpie"/>
        </w:rPr>
        <w:footnoteRef/>
      </w:r>
      <w:r>
        <w:rPr>
          <w:lang w:val="es-ES"/>
        </w:rPr>
        <w:t>Estatuto Orgánico de Presupuesto del Departamento. Ordenanza 022</w:t>
      </w:r>
    </w:p>
  </w:footnote>
  <w:footnote w:id="19">
    <w:p w:rsidR="00A11771" w:rsidRPr="00BB10C8" w:rsidRDefault="00A11771" w:rsidP="009261D1">
      <w:pPr>
        <w:pStyle w:val="Textonotapie"/>
        <w:rPr>
          <w:lang w:val="es-ES"/>
        </w:rPr>
      </w:pPr>
      <w:r>
        <w:rPr>
          <w:rStyle w:val="Refdenotaalpie"/>
        </w:rPr>
        <w:footnoteRef/>
      </w:r>
      <w:r>
        <w:rPr>
          <w:lang w:val="es-ES"/>
        </w:rPr>
        <w:t>Estatuto Orgánico de Presupuesto del Departamento. Ordenanza 022</w:t>
      </w:r>
    </w:p>
  </w:footnote>
  <w:footnote w:id="20">
    <w:p w:rsidR="00A11771" w:rsidRPr="00030022" w:rsidRDefault="00A11771" w:rsidP="009261D1">
      <w:pPr>
        <w:pStyle w:val="Textonotapie"/>
      </w:pPr>
      <w:r>
        <w:rPr>
          <w:rStyle w:val="Refdenotaalpie"/>
        </w:rPr>
        <w:footnoteRef/>
      </w:r>
      <w:r>
        <w:rPr>
          <w:lang w:val="es-ES"/>
        </w:rPr>
        <w:t>Bases para la gestión del Sistema Presupuestal  Territorial 2012 DNP pagina 409</w:t>
      </w:r>
    </w:p>
    <w:p w:rsidR="00A11771" w:rsidRPr="00A915A8" w:rsidRDefault="00A11771" w:rsidP="009261D1">
      <w:pPr>
        <w:pStyle w:val="Textonotapie"/>
      </w:pPr>
    </w:p>
  </w:footnote>
  <w:footnote w:id="21">
    <w:p w:rsidR="00A11771" w:rsidRDefault="00A11771" w:rsidP="000E59CC">
      <w:pPr>
        <w:pStyle w:val="Textonotapie"/>
      </w:pPr>
      <w:r>
        <w:rPr>
          <w:rStyle w:val="Refdenotaalpie"/>
        </w:rPr>
        <w:footnoteRef/>
      </w:r>
      <w:r>
        <w:t xml:space="preserve"> Bases para la Gestión del Sistema Presupuestal Territorial 2012 DNP</w:t>
      </w:r>
    </w:p>
  </w:footnote>
  <w:footnote w:id="22">
    <w:p w:rsidR="00A11771" w:rsidRDefault="00A11771">
      <w:pPr>
        <w:pStyle w:val="Textonotapie"/>
      </w:pPr>
      <w:r>
        <w:rPr>
          <w:rStyle w:val="Refdenotaalpie"/>
        </w:rPr>
        <w:footnoteRef/>
      </w:r>
      <w:r>
        <w:t xml:space="preserve"> Bases para la Gestión del Sistema Presupuestal Territorial 2012</w:t>
      </w:r>
    </w:p>
  </w:footnote>
  <w:footnote w:id="23">
    <w:p w:rsidR="00A11771" w:rsidRDefault="00A11771">
      <w:pPr>
        <w:pStyle w:val="Textonotapie"/>
      </w:pPr>
      <w:r>
        <w:rPr>
          <w:rStyle w:val="Refdenotaalpie"/>
        </w:rPr>
        <w:footnoteRef/>
      </w:r>
      <w:r>
        <w:t xml:space="preserve"> Informe Viabilidad Fiscal de los Departamentos 2016. (Direccion General de Apoyo Fiscal- Ministerio de Hacienda y Crédito Público</w:t>
      </w:r>
    </w:p>
  </w:footnote>
  <w:footnote w:id="24">
    <w:p w:rsidR="00A11771" w:rsidRPr="00F928C5" w:rsidRDefault="00A11771" w:rsidP="004D1BC9">
      <w:pPr>
        <w:pStyle w:val="Textonotapie"/>
      </w:pPr>
      <w:r>
        <w:rPr>
          <w:rStyle w:val="Refdenotaalpie"/>
        </w:rPr>
        <w:footnoteRef/>
      </w:r>
      <w:r>
        <w:t xml:space="preserve"> Contabilidad, Departamento del Quindío</w:t>
      </w:r>
    </w:p>
  </w:footnote>
  <w:footnote w:id="25">
    <w:p w:rsidR="00A11771" w:rsidRDefault="00A11771" w:rsidP="00A6656A">
      <w:pPr>
        <w:pStyle w:val="Textonotapie"/>
      </w:pPr>
      <w:r>
        <w:rPr>
          <w:rStyle w:val="Refdenotaalpie"/>
        </w:rPr>
        <w:footnoteRef/>
      </w:r>
      <w:r>
        <w:t xml:space="preserve"> Informe de Viabilidad Fiscal de los Departamentos 2016 (Dirección de Apoyo Fiscal –Ministerio de Hacienda y Crédito Público.</w:t>
      </w:r>
    </w:p>
  </w:footnote>
  <w:footnote w:id="26">
    <w:p w:rsidR="00A11771" w:rsidRPr="007322EA" w:rsidRDefault="00A11771" w:rsidP="008D28DA">
      <w:pPr>
        <w:pStyle w:val="Textonotapie"/>
        <w:jc w:val="both"/>
        <w:rPr>
          <w:rFonts w:ascii="Arial" w:hAnsi="Arial" w:cs="Arial"/>
          <w:sz w:val="16"/>
          <w:szCs w:val="16"/>
        </w:rPr>
      </w:pPr>
      <w:r w:rsidRPr="007322EA">
        <w:rPr>
          <w:rStyle w:val="Refdenotaalpie"/>
          <w:rFonts w:ascii="Arial" w:hAnsi="Arial" w:cs="Arial"/>
          <w:sz w:val="16"/>
          <w:szCs w:val="16"/>
        </w:rPr>
        <w:footnoteRef/>
      </w:r>
      <w:r w:rsidRPr="0010084B">
        <w:rPr>
          <w:rFonts w:ascii="Arial" w:hAnsi="Arial" w:cs="Arial"/>
          <w:b/>
          <w:sz w:val="16"/>
          <w:szCs w:val="16"/>
        </w:rPr>
        <w:t xml:space="preserve">Ley 358 de 1996 </w:t>
      </w:r>
      <w:r w:rsidRPr="007322EA">
        <w:rPr>
          <w:rFonts w:ascii="Arial" w:hAnsi="Arial" w:cs="Arial"/>
          <w:i/>
          <w:sz w:val="16"/>
          <w:szCs w:val="16"/>
        </w:rPr>
        <w:t>“</w:t>
      </w:r>
      <w:r w:rsidRPr="007322EA">
        <w:rPr>
          <w:rFonts w:ascii="Arial" w:hAnsi="Arial" w:cs="Arial"/>
          <w:bCs/>
          <w:i/>
          <w:sz w:val="16"/>
          <w:szCs w:val="16"/>
        </w:rPr>
        <w:t>Por la cual se reglamenta el artículo 364 de la Constitución y se dictan otras disposiciones en materia de endeudamiento.”</w:t>
      </w:r>
    </w:p>
  </w:footnote>
  <w:footnote w:id="27">
    <w:p w:rsidR="00A11771" w:rsidRPr="0050408E" w:rsidRDefault="00A11771" w:rsidP="008D28DA">
      <w:pPr>
        <w:pStyle w:val="Textonotapie"/>
        <w:jc w:val="both"/>
        <w:rPr>
          <w:rFonts w:ascii="Arial" w:hAnsi="Arial" w:cs="Arial"/>
          <w:sz w:val="16"/>
          <w:szCs w:val="16"/>
        </w:rPr>
      </w:pPr>
      <w:r w:rsidRPr="0050408E">
        <w:rPr>
          <w:rStyle w:val="Refdenotaalpie"/>
          <w:rFonts w:ascii="Arial" w:hAnsi="Arial" w:cs="Arial"/>
          <w:sz w:val="16"/>
          <w:szCs w:val="16"/>
        </w:rPr>
        <w:footnoteRef/>
      </w:r>
      <w:r w:rsidRPr="0010084B">
        <w:rPr>
          <w:rFonts w:ascii="Arial" w:hAnsi="Arial" w:cs="Arial"/>
          <w:b/>
          <w:sz w:val="16"/>
          <w:szCs w:val="16"/>
        </w:rPr>
        <w:t>Ley 549 de 1999</w:t>
      </w:r>
      <w:r w:rsidRPr="0050408E">
        <w:rPr>
          <w:rFonts w:ascii="Arial" w:hAnsi="Arial" w:cs="Arial"/>
          <w:i/>
          <w:sz w:val="16"/>
          <w:szCs w:val="16"/>
        </w:rPr>
        <w:t>“</w:t>
      </w:r>
      <w:r w:rsidRPr="0050408E">
        <w:rPr>
          <w:rFonts w:ascii="Arial" w:hAnsi="Arial" w:cs="Arial"/>
          <w:bCs/>
          <w:i/>
          <w:sz w:val="16"/>
          <w:szCs w:val="16"/>
        </w:rPr>
        <w:t>Por la cual se dictan normas tendientes a financiar el pasivo pensional de las entidades territoriales, se crea el Fondo Nacional de Pensiones de las entidades territoriales y se dictan otras disposiciones en materia prestacional.”</w:t>
      </w:r>
    </w:p>
  </w:footnote>
  <w:footnote w:id="28">
    <w:p w:rsidR="00A11771" w:rsidRPr="0096412E" w:rsidRDefault="00A11771" w:rsidP="008D28DA">
      <w:pPr>
        <w:pStyle w:val="Textonotapie"/>
        <w:jc w:val="both"/>
        <w:rPr>
          <w:rFonts w:ascii="Arial" w:hAnsi="Arial" w:cs="Arial"/>
          <w:i/>
          <w:sz w:val="16"/>
          <w:szCs w:val="16"/>
        </w:rPr>
      </w:pPr>
      <w:r w:rsidRPr="0096412E">
        <w:rPr>
          <w:rStyle w:val="Refdenotaalpie"/>
          <w:rFonts w:ascii="Arial" w:hAnsi="Arial" w:cs="Arial"/>
          <w:sz w:val="16"/>
          <w:szCs w:val="16"/>
        </w:rPr>
        <w:footnoteRef/>
      </w:r>
      <w:r w:rsidRPr="0010084B">
        <w:rPr>
          <w:rFonts w:ascii="Arial" w:hAnsi="Arial" w:cs="Arial"/>
          <w:b/>
          <w:sz w:val="16"/>
          <w:szCs w:val="16"/>
        </w:rPr>
        <w:t>Ley 617 del 2000</w:t>
      </w:r>
      <w:r w:rsidRPr="0096412E">
        <w:rPr>
          <w:rFonts w:ascii="Arial" w:hAnsi="Arial" w:cs="Arial"/>
          <w:i/>
          <w:sz w:val="16"/>
          <w:szCs w:val="16"/>
        </w:rPr>
        <w:t>“Por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footnote>
  <w:footnote w:id="29">
    <w:p w:rsidR="00A11771" w:rsidRPr="0072027D" w:rsidRDefault="00A11771" w:rsidP="008D28DA">
      <w:pPr>
        <w:pStyle w:val="Textonotapie"/>
        <w:jc w:val="both"/>
        <w:rPr>
          <w:rFonts w:ascii="Arial" w:hAnsi="Arial" w:cs="Arial"/>
          <w:sz w:val="16"/>
          <w:szCs w:val="16"/>
          <w:lang w:val="es-ES"/>
        </w:rPr>
      </w:pPr>
      <w:r w:rsidRPr="0072027D">
        <w:rPr>
          <w:rStyle w:val="Refdenotaalpie"/>
          <w:rFonts w:ascii="Arial" w:hAnsi="Arial" w:cs="Arial"/>
          <w:sz w:val="16"/>
          <w:szCs w:val="16"/>
        </w:rPr>
        <w:footnoteRef/>
      </w:r>
      <w:r w:rsidRPr="0010084B">
        <w:rPr>
          <w:rFonts w:ascii="Arial" w:hAnsi="Arial" w:cs="Arial"/>
          <w:b/>
          <w:sz w:val="16"/>
          <w:szCs w:val="16"/>
        </w:rPr>
        <w:t>Ley 715 del 2001</w:t>
      </w:r>
      <w:r w:rsidRPr="0072027D">
        <w:rPr>
          <w:rFonts w:ascii="Arial" w:hAnsi="Arial" w:cs="Arial"/>
          <w:i/>
          <w:sz w:val="16"/>
          <w:szCs w:val="16"/>
        </w:rPr>
        <w:t>“Por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p>
  </w:footnote>
  <w:footnote w:id="30">
    <w:p w:rsidR="00A11771" w:rsidRPr="0010084B" w:rsidRDefault="00A11771" w:rsidP="008D28DA">
      <w:pPr>
        <w:pStyle w:val="Textonotapie"/>
        <w:jc w:val="both"/>
        <w:rPr>
          <w:rFonts w:ascii="Arial" w:hAnsi="Arial" w:cs="Arial"/>
          <w:sz w:val="16"/>
          <w:szCs w:val="16"/>
        </w:rPr>
      </w:pPr>
      <w:r w:rsidRPr="0010084B">
        <w:rPr>
          <w:rStyle w:val="Refdenotaalpie"/>
          <w:rFonts w:ascii="Arial" w:hAnsi="Arial" w:cs="Arial"/>
          <w:sz w:val="16"/>
          <w:szCs w:val="16"/>
        </w:rPr>
        <w:footnoteRef/>
      </w:r>
      <w:r w:rsidRPr="0010084B">
        <w:rPr>
          <w:rFonts w:ascii="Arial" w:hAnsi="Arial" w:cs="Arial"/>
          <w:b/>
          <w:sz w:val="16"/>
          <w:szCs w:val="16"/>
        </w:rPr>
        <w:t>Ley 819 del 2003</w:t>
      </w:r>
      <w:r w:rsidRPr="0010084B">
        <w:rPr>
          <w:rFonts w:ascii="Arial" w:hAnsi="Arial" w:cs="Arial"/>
          <w:bCs/>
          <w:i/>
          <w:sz w:val="16"/>
          <w:szCs w:val="16"/>
        </w:rPr>
        <w:t>“Por la cual se dictan normas orgánicas en materia de presupuesto, responsabilidad y transparencia fiscal y se dictan otras disposiciones.”</w:t>
      </w:r>
    </w:p>
  </w:footnote>
  <w:footnote w:id="31">
    <w:p w:rsidR="00A11771" w:rsidRPr="002F0EFC" w:rsidRDefault="00A11771" w:rsidP="008D28DA">
      <w:pPr>
        <w:pStyle w:val="Textonotapie"/>
        <w:jc w:val="both"/>
        <w:rPr>
          <w:rFonts w:ascii="Arial" w:hAnsi="Arial" w:cs="Arial"/>
          <w:sz w:val="16"/>
          <w:szCs w:val="16"/>
        </w:rPr>
      </w:pPr>
      <w:r w:rsidRPr="002F0EFC">
        <w:rPr>
          <w:rStyle w:val="Refdenotaalpie"/>
          <w:rFonts w:ascii="Arial" w:hAnsi="Arial" w:cs="Arial"/>
          <w:sz w:val="16"/>
          <w:szCs w:val="16"/>
        </w:rPr>
        <w:footnoteRef/>
      </w:r>
      <w:r w:rsidRPr="002F0EFC">
        <w:rPr>
          <w:rFonts w:ascii="Arial" w:hAnsi="Arial" w:cs="Arial"/>
          <w:b/>
          <w:sz w:val="16"/>
          <w:szCs w:val="16"/>
        </w:rPr>
        <w:t>Ley 1176 del 2007</w:t>
      </w:r>
      <w:r w:rsidRPr="002F0EFC">
        <w:rPr>
          <w:rFonts w:ascii="Arial" w:hAnsi="Arial" w:cs="Arial"/>
          <w:i/>
          <w:sz w:val="16"/>
          <w:szCs w:val="16"/>
        </w:rPr>
        <w:t>“</w:t>
      </w:r>
      <w:r w:rsidRPr="002F0EFC">
        <w:rPr>
          <w:rFonts w:ascii="Arial" w:hAnsi="Arial" w:cs="Arial"/>
          <w:bCs/>
          <w:i/>
          <w:sz w:val="16"/>
          <w:szCs w:val="16"/>
        </w:rPr>
        <w:t xml:space="preserve">Por la cual se desarrollan los </w:t>
      </w:r>
      <w:r w:rsidRPr="004E328E">
        <w:rPr>
          <w:rFonts w:ascii="Arial" w:hAnsi="Arial" w:cs="Arial"/>
          <w:bCs/>
          <w:i/>
          <w:sz w:val="16"/>
          <w:szCs w:val="16"/>
        </w:rPr>
        <w:t>artículos </w:t>
      </w:r>
      <w:hyperlink r:id="rId1" w:anchor="356" w:history="1">
        <w:r w:rsidRPr="004E328E">
          <w:rPr>
            <w:rStyle w:val="Hipervnculo"/>
            <w:rFonts w:ascii="Arial" w:hAnsi="Arial" w:cs="Arial"/>
            <w:bCs/>
            <w:i/>
            <w:sz w:val="16"/>
            <w:szCs w:val="16"/>
          </w:rPr>
          <w:t>356</w:t>
        </w:r>
      </w:hyperlink>
      <w:r w:rsidRPr="004E328E">
        <w:rPr>
          <w:rFonts w:ascii="Arial" w:hAnsi="Arial" w:cs="Arial"/>
          <w:bCs/>
          <w:i/>
          <w:sz w:val="16"/>
          <w:szCs w:val="16"/>
        </w:rPr>
        <w:t> y </w:t>
      </w:r>
      <w:hyperlink r:id="rId2" w:anchor="357" w:history="1">
        <w:r w:rsidRPr="004E328E">
          <w:rPr>
            <w:rStyle w:val="Hipervnculo"/>
            <w:rFonts w:ascii="Arial" w:hAnsi="Arial" w:cs="Arial"/>
            <w:bCs/>
            <w:i/>
            <w:sz w:val="16"/>
            <w:szCs w:val="16"/>
          </w:rPr>
          <w:t>357</w:t>
        </w:r>
      </w:hyperlink>
      <w:r w:rsidRPr="004E328E">
        <w:rPr>
          <w:rFonts w:ascii="Arial" w:hAnsi="Arial" w:cs="Arial"/>
          <w:bCs/>
          <w:i/>
          <w:sz w:val="16"/>
          <w:szCs w:val="16"/>
        </w:rPr>
        <w:t> de</w:t>
      </w:r>
      <w:r w:rsidRPr="002F0EFC">
        <w:rPr>
          <w:rFonts w:ascii="Arial" w:hAnsi="Arial" w:cs="Arial"/>
          <w:bCs/>
          <w:i/>
          <w:sz w:val="16"/>
          <w:szCs w:val="16"/>
        </w:rPr>
        <w:t xml:space="preserve"> la Constitución Política y se dictan otras disposiciones.”</w:t>
      </w:r>
    </w:p>
  </w:footnote>
  <w:footnote w:id="32">
    <w:p w:rsidR="00A11771" w:rsidRPr="00D3101D" w:rsidRDefault="00A11771" w:rsidP="008D28DA">
      <w:pPr>
        <w:pStyle w:val="Textonotapie"/>
        <w:jc w:val="both"/>
      </w:pPr>
      <w:r w:rsidRPr="007322EA">
        <w:rPr>
          <w:rStyle w:val="Refdenotaalpie"/>
          <w:rFonts w:ascii="Arial" w:hAnsi="Arial" w:cs="Arial"/>
          <w:sz w:val="16"/>
          <w:szCs w:val="16"/>
        </w:rPr>
        <w:footnoteRef/>
      </w:r>
      <w:r w:rsidRPr="007322EA">
        <w:rPr>
          <w:rFonts w:ascii="Arial" w:hAnsi="Arial" w:cs="Arial"/>
          <w:sz w:val="16"/>
          <w:szCs w:val="16"/>
          <w:lang w:val="es-ES"/>
        </w:rPr>
        <w:t>Bases para la Gestión del Sistema  Presupuestal  2012 Página 96</w:t>
      </w:r>
    </w:p>
  </w:footnote>
  <w:footnote w:id="33">
    <w:p w:rsidR="00A11771" w:rsidRPr="00C72492" w:rsidRDefault="00A11771" w:rsidP="009968B5">
      <w:pPr>
        <w:pStyle w:val="Textonotapie"/>
        <w:rPr>
          <w:lang w:val="es-ES"/>
        </w:rPr>
      </w:pPr>
      <w:r>
        <w:rPr>
          <w:rStyle w:val="Refdenotaalpie"/>
        </w:rPr>
        <w:footnoteRef/>
      </w:r>
      <w:r>
        <w:rPr>
          <w:lang w:val="es-ES"/>
        </w:rPr>
        <w:t>Bases para la gestión del sistema presupuestal  territorial 2012 pag 104</w:t>
      </w:r>
    </w:p>
  </w:footnote>
  <w:footnote w:id="34">
    <w:p w:rsidR="00A11771" w:rsidRPr="00A745BA" w:rsidRDefault="00A11771" w:rsidP="00AF36F7">
      <w:pPr>
        <w:pStyle w:val="Textonotapie"/>
        <w:jc w:val="both"/>
        <w:rPr>
          <w:rFonts w:ascii="Arial" w:hAnsi="Arial" w:cs="Arial"/>
          <w:i/>
          <w:sz w:val="16"/>
          <w:szCs w:val="16"/>
          <w:lang w:val="es-ES"/>
        </w:rPr>
      </w:pPr>
      <w:r w:rsidRPr="00A745BA">
        <w:rPr>
          <w:rStyle w:val="Refdenotaalpie"/>
          <w:rFonts w:ascii="Arial" w:hAnsi="Arial" w:cs="Arial"/>
          <w:i/>
          <w:sz w:val="16"/>
          <w:szCs w:val="16"/>
        </w:rPr>
        <w:footnoteRef/>
      </w:r>
      <w:r w:rsidRPr="00A745BA">
        <w:rPr>
          <w:rFonts w:ascii="Arial" w:hAnsi="Arial" w:cs="Arial"/>
          <w:i/>
          <w:sz w:val="16"/>
          <w:szCs w:val="16"/>
        </w:rPr>
        <w:t xml:space="preserve"> “</w:t>
      </w:r>
      <w:r w:rsidRPr="00A745BA">
        <w:rPr>
          <w:rFonts w:ascii="Arial" w:hAnsi="Arial" w:cs="Arial"/>
          <w:bCs/>
          <w:i/>
          <w:sz w:val="16"/>
          <w:szCs w:val="16"/>
          <w:lang w:val="es-ES"/>
        </w:rPr>
        <w:t>Artículo </w:t>
      </w:r>
      <w:bookmarkStart w:id="44" w:name="2"/>
      <w:r w:rsidRPr="00A745BA">
        <w:rPr>
          <w:rFonts w:ascii="Arial" w:hAnsi="Arial" w:cs="Arial"/>
          <w:bCs/>
          <w:i/>
          <w:sz w:val="16"/>
          <w:szCs w:val="16"/>
          <w:lang w:val="es-ES"/>
        </w:rPr>
        <w:t> </w:t>
      </w:r>
      <w:bookmarkEnd w:id="44"/>
      <w:r w:rsidRPr="00A745BA">
        <w:rPr>
          <w:rFonts w:ascii="Arial" w:hAnsi="Arial" w:cs="Arial"/>
          <w:bCs/>
          <w:i/>
          <w:sz w:val="16"/>
          <w:szCs w:val="16"/>
          <w:lang w:val="es-ES"/>
        </w:rPr>
        <w:t>2º.- </w:t>
      </w:r>
      <w:r w:rsidRPr="00A745BA">
        <w:rPr>
          <w:rFonts w:ascii="Arial" w:hAnsi="Arial" w:cs="Arial"/>
          <w:i/>
          <w:sz w:val="16"/>
          <w:szCs w:val="16"/>
          <w:lang w:val="es-ES"/>
        </w:rPr>
        <w:t>Se presume que existe capacidad de pago cuando los intereses de la deuda al momento de celebrar una nueva operación de crédito, no superan en el cuarenta por ciento (40%) del ahorro operacional.</w:t>
      </w:r>
    </w:p>
    <w:p w:rsidR="00A11771" w:rsidRPr="00A745BA" w:rsidRDefault="00A11771" w:rsidP="00AF36F7">
      <w:pPr>
        <w:pStyle w:val="Textonotapie"/>
        <w:jc w:val="both"/>
        <w:rPr>
          <w:rFonts w:ascii="Arial" w:hAnsi="Arial" w:cs="Arial"/>
          <w:i/>
          <w:sz w:val="16"/>
          <w:szCs w:val="16"/>
          <w:lang w:val="es-ES"/>
        </w:rPr>
      </w:pPr>
      <w:r w:rsidRPr="00A745BA">
        <w:rPr>
          <w:rFonts w:ascii="Arial" w:hAnsi="Arial" w:cs="Arial"/>
          <w:i/>
          <w:sz w:val="16"/>
          <w:szCs w:val="16"/>
          <w:lang w:val="es-ES"/>
        </w:rPr>
        <w:t>La entidad territorial que registre niveles de endeudamiento inferiores o iguales al límite señalado, en éste artículo, no requerirá autorizaciones de endeudamiento distintas a las dispuestas en las leyes vigentes.”</w:t>
      </w:r>
    </w:p>
    <w:p w:rsidR="00A11771" w:rsidRPr="00A745BA" w:rsidRDefault="00A11771" w:rsidP="00AF36F7">
      <w:pPr>
        <w:pStyle w:val="Textonotapie"/>
        <w:jc w:val="both"/>
        <w:rPr>
          <w:rFonts w:ascii="Arial" w:hAnsi="Arial" w:cs="Arial"/>
          <w:i/>
          <w:sz w:val="16"/>
          <w:szCs w:val="16"/>
          <w:lang w:val="es-ES"/>
        </w:rPr>
      </w:pPr>
    </w:p>
  </w:footnote>
  <w:footnote w:id="35">
    <w:p w:rsidR="00A11771" w:rsidRPr="00A745BA" w:rsidRDefault="00A11771" w:rsidP="00AF36F7">
      <w:pPr>
        <w:pStyle w:val="Textonotapie"/>
        <w:jc w:val="both"/>
        <w:rPr>
          <w:lang w:val="es-ES"/>
        </w:rPr>
      </w:pPr>
      <w:r w:rsidRPr="00A745BA">
        <w:rPr>
          <w:rStyle w:val="Refdenotaalpie"/>
          <w:rFonts w:ascii="Arial" w:hAnsi="Arial" w:cs="Arial"/>
          <w:i/>
          <w:sz w:val="16"/>
          <w:szCs w:val="16"/>
        </w:rPr>
        <w:footnoteRef/>
      </w:r>
      <w:r w:rsidRPr="00A745BA">
        <w:rPr>
          <w:rFonts w:ascii="Arial" w:hAnsi="Arial" w:cs="Arial"/>
          <w:i/>
          <w:sz w:val="16"/>
          <w:szCs w:val="16"/>
        </w:rPr>
        <w:t xml:space="preserve"> “</w:t>
      </w:r>
      <w:r w:rsidRPr="00A745BA">
        <w:rPr>
          <w:rFonts w:ascii="Arial" w:hAnsi="Arial" w:cs="Arial"/>
          <w:bCs/>
          <w:i/>
          <w:sz w:val="16"/>
          <w:szCs w:val="16"/>
        </w:rPr>
        <w:t>Artículo </w:t>
      </w:r>
      <w:bookmarkStart w:id="45" w:name="6"/>
      <w:r w:rsidRPr="00A745BA">
        <w:rPr>
          <w:rFonts w:ascii="Arial" w:hAnsi="Arial" w:cs="Arial"/>
          <w:bCs/>
          <w:i/>
          <w:sz w:val="16"/>
          <w:szCs w:val="16"/>
        </w:rPr>
        <w:t> </w:t>
      </w:r>
      <w:bookmarkEnd w:id="45"/>
      <w:r w:rsidRPr="00A745BA">
        <w:rPr>
          <w:rFonts w:ascii="Arial" w:hAnsi="Arial" w:cs="Arial"/>
          <w:bCs/>
          <w:i/>
          <w:sz w:val="16"/>
          <w:szCs w:val="16"/>
        </w:rPr>
        <w:t>6º.- </w:t>
      </w:r>
      <w:r w:rsidRPr="00A745BA">
        <w:rPr>
          <w:rFonts w:ascii="Arial" w:hAnsi="Arial" w:cs="Arial"/>
          <w:i/>
          <w:sz w:val="16"/>
          <w:szCs w:val="16"/>
        </w:rPr>
        <w:t>Ninguna entidad territorial podrá, sin autorización del Ministerio de Hacienda y Crédito Público, contratar nuevas operaciones de crédito público cuando su relación intereses/ahorro operacional supere el 60% o su relación saldo de la deuda/ingresos corrientes superen el 80%. Para estos efectos, las obligaciones contingentes provenientes de las operaciones de crédito público se computarán por un porcentaje de su valor, de conformidad con los procedimientos establecidos en las leyes y en los reglamentos vigentes.”</w:t>
      </w:r>
    </w:p>
  </w:footnote>
  <w:footnote w:id="36">
    <w:p w:rsidR="00A11771" w:rsidRPr="00A745BA" w:rsidRDefault="00A11771" w:rsidP="009D01BF">
      <w:pPr>
        <w:pStyle w:val="Textonotapie"/>
        <w:jc w:val="both"/>
        <w:rPr>
          <w:rFonts w:ascii="Arial" w:hAnsi="Arial" w:cs="Arial"/>
          <w:i/>
          <w:sz w:val="16"/>
          <w:szCs w:val="16"/>
          <w:lang w:val="es-ES"/>
        </w:rPr>
      </w:pPr>
      <w:r w:rsidRPr="00A745BA">
        <w:rPr>
          <w:rStyle w:val="Refdenotaalpie"/>
          <w:rFonts w:ascii="Arial" w:hAnsi="Arial" w:cs="Arial"/>
          <w:i/>
          <w:sz w:val="16"/>
          <w:szCs w:val="16"/>
        </w:rPr>
        <w:footnoteRef/>
      </w:r>
      <w:bookmarkStart w:id="49" w:name="5"/>
      <w:r w:rsidRPr="00A745BA">
        <w:rPr>
          <w:rFonts w:ascii="Arial" w:hAnsi="Arial" w:cs="Arial"/>
          <w:i/>
          <w:sz w:val="16"/>
          <w:szCs w:val="16"/>
        </w:rPr>
        <w:t>“</w:t>
      </w:r>
      <w:r w:rsidRPr="00A745BA">
        <w:rPr>
          <w:rFonts w:ascii="Arial" w:hAnsi="Arial" w:cs="Arial"/>
          <w:bCs/>
          <w:i/>
          <w:sz w:val="16"/>
          <w:szCs w:val="16"/>
        </w:rPr>
        <w:t>ARTICULO 5o. PERIODO DE TRANSICION PARA AJUSTAR LOS GASTOS DE FUNCIONAMIENTO DE LOS DEPARTAMENTOS.</w:t>
      </w:r>
      <w:bookmarkEnd w:id="49"/>
      <w:r w:rsidRPr="00A745BA">
        <w:rPr>
          <w:rFonts w:ascii="Arial" w:hAnsi="Arial" w:cs="Arial"/>
          <w:i/>
          <w:sz w:val="16"/>
          <w:szCs w:val="16"/>
        </w:rPr>
        <w:t> Se establece un período de transición a partir del año 2001, para los departamentos cuyos gastos de funcionamiento superen los límites establecidos en los artículos anteriores en relación con los ingresos corrientes de libre destinación...”</w:t>
      </w:r>
    </w:p>
  </w:footnote>
  <w:footnote w:id="37">
    <w:p w:rsidR="00A11771" w:rsidRPr="0055775E" w:rsidRDefault="00A11771" w:rsidP="009341E9">
      <w:pPr>
        <w:pStyle w:val="Textonotapie"/>
      </w:pPr>
      <w:r>
        <w:rPr>
          <w:rStyle w:val="Refdenotaalpie"/>
        </w:rPr>
        <w:footnoteRef/>
      </w:r>
      <w:r w:rsidRPr="0055775E">
        <w:t>http://www.corteconstitucional.gov.co/RELATORIA/2009/C-748-09.htm</w:t>
      </w:r>
    </w:p>
  </w:footnote>
  <w:footnote w:id="38">
    <w:p w:rsidR="00A11771" w:rsidRPr="00E94FF3" w:rsidRDefault="00A11771" w:rsidP="00255D9B">
      <w:pPr>
        <w:pStyle w:val="Textonotapie"/>
      </w:pPr>
      <w:r>
        <w:t>*</w:t>
      </w:r>
      <w:r>
        <w:rPr>
          <w:rStyle w:val="Refdenotaalpie"/>
        </w:rPr>
        <w:footnoteRef/>
      </w:r>
      <w:r>
        <w:t xml:space="preserve"> MFMP Ministerio de Hacienda 2016</w:t>
      </w:r>
    </w:p>
  </w:footnote>
  <w:footnote w:id="39">
    <w:p w:rsidR="00A11771" w:rsidRDefault="00A11771">
      <w:pPr>
        <w:pStyle w:val="Textonotapie"/>
      </w:pPr>
      <w:r>
        <w:rPr>
          <w:rStyle w:val="Refdenotaalpie"/>
        </w:rPr>
        <w:footnoteRef/>
      </w:r>
      <w:r>
        <w:t xml:space="preserve"> </w:t>
      </w:r>
      <w:r w:rsidRPr="005177B9">
        <w:t>http://justiciatributaria.co/wp-content/uploads/2014/10/DOCUMENTO-FINAL-ANALISIS-BENEFICIOS-TRIBUTARIOS-IMPUESTO-DE-RENTA.pdf</w:t>
      </w:r>
    </w:p>
  </w:footnote>
  <w:footnote w:id="40">
    <w:p w:rsidR="00A11771" w:rsidRPr="00436C71" w:rsidRDefault="00A11771" w:rsidP="00D755FE">
      <w:pPr>
        <w:spacing w:before="100" w:beforeAutospacing="1" w:after="100" w:afterAutospacing="1" w:line="360" w:lineRule="auto"/>
        <w:rPr>
          <w:rFonts w:ascii="Arial" w:hAnsi="Arial" w:cs="Arial"/>
          <w:b/>
          <w:lang w:eastAsia="es-ES"/>
        </w:rPr>
      </w:pPr>
      <w:r>
        <w:rPr>
          <w:rStyle w:val="Refdenotaalpie"/>
        </w:rPr>
        <w:footnoteRef/>
      </w:r>
      <w:r>
        <w:t xml:space="preserve"> </w:t>
      </w:r>
      <w:r w:rsidRPr="00D755FE">
        <w:rPr>
          <w:rFonts w:ascii="Arial" w:hAnsi="Arial" w:cs="Arial"/>
          <w:sz w:val="14"/>
          <w:lang w:eastAsia="es-ES"/>
        </w:rPr>
        <w:t>Fuente: Dirección Tributaria / Secretaría de Hacienda Departamento del Quindío</w:t>
      </w:r>
    </w:p>
    <w:p w:rsidR="00A11771" w:rsidRDefault="00A11771">
      <w:pPr>
        <w:pStyle w:val="Textonotapie"/>
      </w:pPr>
    </w:p>
  </w:footnote>
  <w:footnote w:id="41">
    <w:p w:rsidR="00A11771" w:rsidRPr="00BC1209" w:rsidRDefault="00A11771" w:rsidP="00CE5389">
      <w:pPr>
        <w:pStyle w:val="Textonotapie"/>
        <w:rPr>
          <w:lang w:val="es-ES"/>
        </w:rPr>
      </w:pPr>
      <w:r>
        <w:rPr>
          <w:rStyle w:val="Refdenotaalpie"/>
        </w:rPr>
        <w:footnoteRef/>
      </w:r>
      <w:r>
        <w:rPr>
          <w:lang w:val="es-ES"/>
        </w:rPr>
        <w:t>Bases para la Gestión del Sistema Presupuestal Territorial 2012 (DNP) pág. 109</w:t>
      </w:r>
    </w:p>
  </w:footnote>
  <w:footnote w:id="42">
    <w:p w:rsidR="00A11771" w:rsidRPr="000144DF" w:rsidRDefault="00A11771" w:rsidP="00CE5389">
      <w:pPr>
        <w:pStyle w:val="Textonotapie"/>
      </w:pPr>
      <w:r>
        <w:rPr>
          <w:rStyle w:val="Refdenotaalpie"/>
        </w:rPr>
        <w:footnoteRef/>
      </w:r>
      <w:r>
        <w:t xml:space="preserve"> Estatuto Orgánico de Presupuesto Ordenanza 022</w:t>
      </w:r>
    </w:p>
  </w:footnote>
  <w:footnote w:id="43">
    <w:p w:rsidR="00A11771" w:rsidRPr="008B4B0C" w:rsidRDefault="00A11771" w:rsidP="00CE5389">
      <w:pPr>
        <w:pStyle w:val="Textonotapie"/>
        <w:rPr>
          <w:lang w:val="es-ES"/>
        </w:rPr>
      </w:pPr>
      <w:r>
        <w:rPr>
          <w:rStyle w:val="Refdenotaalpie"/>
        </w:rPr>
        <w:footnoteRef/>
      </w:r>
      <w:r>
        <w:rPr>
          <w:lang w:val="es-ES"/>
        </w:rPr>
        <w:t>Bases para la Gestión del Sistema Presupuestal Territorial 2012 (DNP) pág. 108</w:t>
      </w:r>
    </w:p>
  </w:footnote>
  <w:footnote w:id="44">
    <w:p w:rsidR="00A11771" w:rsidRPr="00FB7469" w:rsidRDefault="00A11771" w:rsidP="00160762">
      <w:pPr>
        <w:pStyle w:val="Textonotapie"/>
        <w:rPr>
          <w:lang w:val="es-ES"/>
        </w:rPr>
      </w:pPr>
      <w:r>
        <w:rPr>
          <w:rStyle w:val="Refdenotaalpie"/>
        </w:rPr>
        <w:footnoteRef/>
      </w:r>
      <w:r>
        <w:rPr>
          <w:lang w:val="es-ES"/>
        </w:rPr>
        <w:t>Bases para la Gestión del Sistema presupuestal territorial 2012 (DNP) pág. 114</w:t>
      </w:r>
    </w:p>
  </w:footnote>
  <w:footnote w:id="45">
    <w:p w:rsidR="00A11771" w:rsidRPr="00B10FB1" w:rsidRDefault="00A11771" w:rsidP="00160762">
      <w:pPr>
        <w:pStyle w:val="Textonotapie"/>
        <w:rPr>
          <w:lang w:val="es-ES"/>
        </w:rPr>
      </w:pPr>
      <w:r>
        <w:rPr>
          <w:rStyle w:val="Refdenotaalpie"/>
        </w:rPr>
        <w:footnoteRef/>
      </w:r>
      <w:r>
        <w:rPr>
          <w:lang w:val="es-ES"/>
        </w:rPr>
        <w:t>MFMP Ministerio de Hacienda 2016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771" w:rsidRPr="004347AD" w:rsidRDefault="00A11771" w:rsidP="00454725">
    <w:pPr>
      <w:pStyle w:val="Encabezado"/>
      <w:pBdr>
        <w:top w:val="single" w:sz="4" w:space="1" w:color="auto"/>
        <w:left w:val="single" w:sz="4" w:space="4" w:color="auto"/>
        <w:bottom w:val="single" w:sz="4" w:space="1" w:color="auto"/>
        <w:right w:val="single" w:sz="4" w:space="4" w:color="auto"/>
      </w:pBdr>
      <w:shd w:val="clear" w:color="auto" w:fill="CCCCFF"/>
      <w:tabs>
        <w:tab w:val="clear" w:pos="4419"/>
        <w:tab w:val="clear" w:pos="8838"/>
        <w:tab w:val="left" w:pos="2325"/>
      </w:tabs>
      <w:jc w:val="center"/>
      <w:rPr>
        <w:rFonts w:ascii="Arial" w:hAnsi="Arial" w:cs="Arial"/>
        <w:b/>
        <w:sz w:val="24"/>
      </w:rPr>
    </w:pPr>
    <w:r w:rsidRPr="004347AD">
      <w:rPr>
        <w:rFonts w:ascii="Arial" w:hAnsi="Arial" w:cs="Arial"/>
        <w:b/>
        <w:sz w:val="24"/>
      </w:rPr>
      <w:t>MARCO FISCAL DE MEDIANO PLAZO 2018-2027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771" w:rsidRPr="00A936F1" w:rsidRDefault="00A11771" w:rsidP="005B2E2D">
    <w:pPr>
      <w:pStyle w:val="Encabezado"/>
      <w:pBdr>
        <w:top w:val="single" w:sz="4" w:space="1" w:color="auto"/>
        <w:left w:val="single" w:sz="4" w:space="4" w:color="auto"/>
        <w:bottom w:val="single" w:sz="4" w:space="1" w:color="auto"/>
        <w:right w:val="single" w:sz="4" w:space="4" w:color="auto"/>
      </w:pBdr>
      <w:shd w:val="clear" w:color="auto" w:fill="CCCCFF"/>
      <w:tabs>
        <w:tab w:val="clear" w:pos="4419"/>
        <w:tab w:val="clear" w:pos="8838"/>
        <w:tab w:val="left" w:pos="2325"/>
      </w:tabs>
      <w:jc w:val="center"/>
      <w:rPr>
        <w:rFonts w:ascii="Arial" w:hAnsi="Arial" w:cs="Arial"/>
        <w:b/>
        <w:sz w:val="32"/>
      </w:rPr>
    </w:pPr>
    <w:r w:rsidRPr="00A936F1">
      <w:rPr>
        <w:rFonts w:ascii="Arial" w:hAnsi="Arial" w:cs="Arial"/>
        <w:b/>
        <w:sz w:val="32"/>
      </w:rPr>
      <w:t>MARCO FISCAL DE MEDIANO PLAZO 2018-2027</w:t>
    </w:r>
  </w:p>
  <w:p w:rsidR="00A11771" w:rsidRDefault="00A1177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8BE"/>
    <w:multiLevelType w:val="hybridMultilevel"/>
    <w:tmpl w:val="CD609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481EDD"/>
    <w:multiLevelType w:val="hybridMultilevel"/>
    <w:tmpl w:val="69D0D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6D06C7"/>
    <w:multiLevelType w:val="multilevel"/>
    <w:tmpl w:val="7AD6ED30"/>
    <w:lvl w:ilvl="0">
      <w:start w:val="1"/>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19143850"/>
    <w:multiLevelType w:val="hybridMultilevel"/>
    <w:tmpl w:val="17102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FA308E"/>
    <w:multiLevelType w:val="multilevel"/>
    <w:tmpl w:val="22CE9ABA"/>
    <w:lvl w:ilvl="0">
      <w:start w:val="5"/>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3A529C"/>
    <w:multiLevelType w:val="hybridMultilevel"/>
    <w:tmpl w:val="760C32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4D9146F"/>
    <w:multiLevelType w:val="multilevel"/>
    <w:tmpl w:val="424CCE7A"/>
    <w:lvl w:ilvl="0">
      <w:start w:val="1"/>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3EF85FEB"/>
    <w:multiLevelType w:val="multilevel"/>
    <w:tmpl w:val="30DE24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0A11C98"/>
    <w:multiLevelType w:val="hybridMultilevel"/>
    <w:tmpl w:val="27BCE48A"/>
    <w:lvl w:ilvl="0" w:tplc="6F84ADE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1EE0AD6"/>
    <w:multiLevelType w:val="multilevel"/>
    <w:tmpl w:val="9E745C20"/>
    <w:lvl w:ilvl="0">
      <w:start w:val="1"/>
      <w:numFmt w:val="decimal"/>
      <w:pStyle w:val="Ttulo2"/>
      <w:lvlText w:val="%1."/>
      <w:lvlJc w:val="left"/>
      <w:pPr>
        <w:ind w:left="1070" w:hanging="360"/>
      </w:pPr>
      <w:rPr>
        <w:rFonts w:ascii="Arial" w:eastAsiaTheme="majorEastAsia" w:hAnsi="Arial" w:cstheme="majorBidi"/>
        <w:b/>
      </w:rPr>
    </w:lvl>
    <w:lvl w:ilvl="1">
      <w:start w:val="2"/>
      <w:numFmt w:val="decimal"/>
      <w:isLgl/>
      <w:lvlText w:val="%1.%2"/>
      <w:lvlJc w:val="left"/>
      <w:pPr>
        <w:ind w:left="786" w:hanging="360"/>
      </w:pPr>
      <w:rPr>
        <w:rFonts w:cs="Times New Roman" w:hint="default"/>
      </w:rPr>
    </w:lvl>
    <w:lvl w:ilvl="2">
      <w:start w:val="1"/>
      <w:numFmt w:val="decimal"/>
      <w:isLgl/>
      <w:lvlText w:val="%1.%2.%3"/>
      <w:lvlJc w:val="left"/>
      <w:pPr>
        <w:ind w:left="1004" w:hanging="720"/>
      </w:pPr>
      <w:rPr>
        <w:rFonts w:cs="Times New Roman" w:hint="default"/>
        <w:lang w:val="es-CO"/>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42835555"/>
    <w:multiLevelType w:val="hybridMultilevel"/>
    <w:tmpl w:val="8EBE9D14"/>
    <w:lvl w:ilvl="0" w:tplc="F46C8402">
      <w:numFmt w:val="bullet"/>
      <w:lvlText w:val="•"/>
      <w:lvlJc w:val="left"/>
      <w:pPr>
        <w:ind w:left="720" w:hanging="360"/>
      </w:pPr>
      <w:rPr>
        <w:rFonts w:ascii="Arial Narrow" w:eastAsiaTheme="minorHAnsi"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F7283C"/>
    <w:multiLevelType w:val="hybridMultilevel"/>
    <w:tmpl w:val="990CF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17627E"/>
    <w:multiLevelType w:val="hybridMultilevel"/>
    <w:tmpl w:val="BADAC18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1F02A63"/>
    <w:multiLevelType w:val="hybridMultilevel"/>
    <w:tmpl w:val="6D024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9765C52"/>
    <w:multiLevelType w:val="multilevel"/>
    <w:tmpl w:val="1A408F58"/>
    <w:lvl w:ilvl="0">
      <w:start w:val="2"/>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636B4CFC"/>
    <w:multiLevelType w:val="hybridMultilevel"/>
    <w:tmpl w:val="AF561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4CD6537"/>
    <w:multiLevelType w:val="hybridMultilevel"/>
    <w:tmpl w:val="1294F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6615E06"/>
    <w:multiLevelType w:val="multilevel"/>
    <w:tmpl w:val="C9A2D63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8" w15:restartNumberingAfterBreak="0">
    <w:nsid w:val="74B1066C"/>
    <w:multiLevelType w:val="hybridMultilevel"/>
    <w:tmpl w:val="046036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1D4C8E"/>
    <w:multiLevelType w:val="multilevel"/>
    <w:tmpl w:val="31B4490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4"/>
  </w:num>
  <w:num w:numId="2">
    <w:abstractNumId w:val="9"/>
  </w:num>
  <w:num w:numId="3">
    <w:abstractNumId w:val="9"/>
    <w:lvlOverride w:ilvl="0">
      <w:startOverride w:val="3"/>
    </w:lvlOverride>
    <w:lvlOverride w:ilvl="1">
      <w:startOverride w:val="2"/>
    </w:lvlOverride>
    <w:lvlOverride w:ilvl="2">
      <w:startOverride w:val="2"/>
    </w:lvlOverride>
    <w:lvlOverride w:ilvl="3">
      <w:startOverride w:val="2"/>
    </w:lvlOverride>
  </w:num>
  <w:num w:numId="4">
    <w:abstractNumId w:val="16"/>
  </w:num>
  <w:num w:numId="5">
    <w:abstractNumId w:val="0"/>
  </w:num>
  <w:num w:numId="6">
    <w:abstractNumId w:val="3"/>
  </w:num>
  <w:num w:numId="7">
    <w:abstractNumId w:val="9"/>
    <w:lvlOverride w:ilvl="0">
      <w:startOverride w:val="5"/>
    </w:lvlOverride>
    <w:lvlOverride w:ilvl="1">
      <w:startOverride w:val="1"/>
    </w:lvlOverride>
  </w:num>
  <w:num w:numId="8">
    <w:abstractNumId w:val="12"/>
  </w:num>
  <w:num w:numId="9">
    <w:abstractNumId w:val="8"/>
  </w:num>
  <w:num w:numId="10">
    <w:abstractNumId w:val="18"/>
  </w:num>
  <w:num w:numId="11">
    <w:abstractNumId w:val="7"/>
  </w:num>
  <w:num w:numId="12">
    <w:abstractNumId w:val="6"/>
  </w:num>
  <w:num w:numId="13">
    <w:abstractNumId w:val="2"/>
  </w:num>
  <w:num w:numId="14">
    <w:abstractNumId w:val="19"/>
  </w:num>
  <w:num w:numId="15">
    <w:abstractNumId w:val="14"/>
  </w:num>
  <w:num w:numId="16">
    <w:abstractNumId w:val="17"/>
  </w:num>
  <w:num w:numId="17">
    <w:abstractNumId w:val="10"/>
  </w:num>
  <w:num w:numId="18">
    <w:abstractNumId w:val="5"/>
  </w:num>
  <w:num w:numId="19">
    <w:abstractNumId w:val="9"/>
    <w:lvlOverride w:ilvl="0">
      <w:startOverride w:val="1"/>
    </w:lvlOverride>
    <w:lvlOverride w:ilvl="1">
      <w:startOverride w:val="1"/>
    </w:lvlOverride>
  </w:num>
  <w:num w:numId="20">
    <w:abstractNumId w:val="9"/>
  </w:num>
  <w:num w:numId="21">
    <w:abstractNumId w:val="9"/>
    <w:lvlOverride w:ilvl="0">
      <w:startOverride w:val="8"/>
    </w:lvlOverride>
  </w:num>
  <w:num w:numId="22">
    <w:abstractNumId w:val="9"/>
    <w:lvlOverride w:ilvl="0">
      <w:startOverride w:val="8"/>
    </w:lvlOverride>
  </w:num>
  <w:num w:numId="23">
    <w:abstractNumId w:val="1"/>
  </w:num>
  <w:num w:numId="24">
    <w:abstractNumId w:val="11"/>
  </w:num>
  <w:num w:numId="25">
    <w:abstractNumId w:val="1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BD5"/>
    <w:rsid w:val="0000298E"/>
    <w:rsid w:val="000038F3"/>
    <w:rsid w:val="000114E1"/>
    <w:rsid w:val="00011B91"/>
    <w:rsid w:val="00012098"/>
    <w:rsid w:val="000213B0"/>
    <w:rsid w:val="000221EC"/>
    <w:rsid w:val="000237B9"/>
    <w:rsid w:val="000238E4"/>
    <w:rsid w:val="00024009"/>
    <w:rsid w:val="0002464D"/>
    <w:rsid w:val="00025426"/>
    <w:rsid w:val="00030841"/>
    <w:rsid w:val="0003158B"/>
    <w:rsid w:val="00032FC7"/>
    <w:rsid w:val="000345A5"/>
    <w:rsid w:val="00035C82"/>
    <w:rsid w:val="00036D47"/>
    <w:rsid w:val="00037542"/>
    <w:rsid w:val="000403CD"/>
    <w:rsid w:val="000407A3"/>
    <w:rsid w:val="0004104B"/>
    <w:rsid w:val="00045B1F"/>
    <w:rsid w:val="00047F1F"/>
    <w:rsid w:val="00050CDA"/>
    <w:rsid w:val="00053CE0"/>
    <w:rsid w:val="00061FE8"/>
    <w:rsid w:val="000671EA"/>
    <w:rsid w:val="000703E1"/>
    <w:rsid w:val="00072F7B"/>
    <w:rsid w:val="00073AC8"/>
    <w:rsid w:val="00074A29"/>
    <w:rsid w:val="00075FB8"/>
    <w:rsid w:val="000763A2"/>
    <w:rsid w:val="00080100"/>
    <w:rsid w:val="00080154"/>
    <w:rsid w:val="00081BA6"/>
    <w:rsid w:val="000845D8"/>
    <w:rsid w:val="00085D3A"/>
    <w:rsid w:val="00090412"/>
    <w:rsid w:val="0009104C"/>
    <w:rsid w:val="000913EA"/>
    <w:rsid w:val="00091C63"/>
    <w:rsid w:val="000961E3"/>
    <w:rsid w:val="00096426"/>
    <w:rsid w:val="000971DB"/>
    <w:rsid w:val="000A0C27"/>
    <w:rsid w:val="000A1B73"/>
    <w:rsid w:val="000A4507"/>
    <w:rsid w:val="000A6FF6"/>
    <w:rsid w:val="000B046B"/>
    <w:rsid w:val="000B5FE4"/>
    <w:rsid w:val="000B7A60"/>
    <w:rsid w:val="000C04FD"/>
    <w:rsid w:val="000C178D"/>
    <w:rsid w:val="000C2884"/>
    <w:rsid w:val="000D03EC"/>
    <w:rsid w:val="000D362A"/>
    <w:rsid w:val="000D66A5"/>
    <w:rsid w:val="000D73EE"/>
    <w:rsid w:val="000E02E0"/>
    <w:rsid w:val="000E28FA"/>
    <w:rsid w:val="000E5958"/>
    <w:rsid w:val="000E59CC"/>
    <w:rsid w:val="000E7AED"/>
    <w:rsid w:val="000F26D9"/>
    <w:rsid w:val="000F6F3B"/>
    <w:rsid w:val="001017EF"/>
    <w:rsid w:val="00101F8C"/>
    <w:rsid w:val="0010324F"/>
    <w:rsid w:val="001040A8"/>
    <w:rsid w:val="001068C8"/>
    <w:rsid w:val="00106C81"/>
    <w:rsid w:val="0010746F"/>
    <w:rsid w:val="0011116C"/>
    <w:rsid w:val="00112554"/>
    <w:rsid w:val="00114B1E"/>
    <w:rsid w:val="0011511F"/>
    <w:rsid w:val="00115A37"/>
    <w:rsid w:val="00115EC2"/>
    <w:rsid w:val="00116CC5"/>
    <w:rsid w:val="00122A15"/>
    <w:rsid w:val="001260D6"/>
    <w:rsid w:val="00135278"/>
    <w:rsid w:val="001362D4"/>
    <w:rsid w:val="001434CC"/>
    <w:rsid w:val="00144ECC"/>
    <w:rsid w:val="001459F2"/>
    <w:rsid w:val="0014604A"/>
    <w:rsid w:val="001506D2"/>
    <w:rsid w:val="00150CEB"/>
    <w:rsid w:val="00151B0D"/>
    <w:rsid w:val="001520A2"/>
    <w:rsid w:val="00156842"/>
    <w:rsid w:val="001579D5"/>
    <w:rsid w:val="00160762"/>
    <w:rsid w:val="001608C2"/>
    <w:rsid w:val="00165022"/>
    <w:rsid w:val="00165DF0"/>
    <w:rsid w:val="00174721"/>
    <w:rsid w:val="001810B5"/>
    <w:rsid w:val="00181BC5"/>
    <w:rsid w:val="00183226"/>
    <w:rsid w:val="0018556C"/>
    <w:rsid w:val="00192DDF"/>
    <w:rsid w:val="001970F8"/>
    <w:rsid w:val="001978A7"/>
    <w:rsid w:val="001A282D"/>
    <w:rsid w:val="001A2AFF"/>
    <w:rsid w:val="001A2B9B"/>
    <w:rsid w:val="001A54F8"/>
    <w:rsid w:val="001A724F"/>
    <w:rsid w:val="001B1F5A"/>
    <w:rsid w:val="001B268A"/>
    <w:rsid w:val="001B460E"/>
    <w:rsid w:val="001B49EB"/>
    <w:rsid w:val="001B718C"/>
    <w:rsid w:val="001C0BEC"/>
    <w:rsid w:val="001C3ADC"/>
    <w:rsid w:val="001C5C88"/>
    <w:rsid w:val="001C6784"/>
    <w:rsid w:val="001D1300"/>
    <w:rsid w:val="001D2CF1"/>
    <w:rsid w:val="001D347F"/>
    <w:rsid w:val="001D3D90"/>
    <w:rsid w:val="001D53B8"/>
    <w:rsid w:val="001D7414"/>
    <w:rsid w:val="001E0D65"/>
    <w:rsid w:val="001E15B8"/>
    <w:rsid w:val="001E18D0"/>
    <w:rsid w:val="001E2BAB"/>
    <w:rsid w:val="001E2F3A"/>
    <w:rsid w:val="001E47EC"/>
    <w:rsid w:val="001E5DEA"/>
    <w:rsid w:val="001F1014"/>
    <w:rsid w:val="001F15F8"/>
    <w:rsid w:val="001F5FFA"/>
    <w:rsid w:val="001F6A8C"/>
    <w:rsid w:val="001F78E2"/>
    <w:rsid w:val="0020077D"/>
    <w:rsid w:val="00202885"/>
    <w:rsid w:val="0020453F"/>
    <w:rsid w:val="00205B80"/>
    <w:rsid w:val="00205DE6"/>
    <w:rsid w:val="00217E99"/>
    <w:rsid w:val="002212EB"/>
    <w:rsid w:val="002221DA"/>
    <w:rsid w:val="00234E60"/>
    <w:rsid w:val="002357A5"/>
    <w:rsid w:val="00237ED1"/>
    <w:rsid w:val="00240822"/>
    <w:rsid w:val="00243C6F"/>
    <w:rsid w:val="002468E6"/>
    <w:rsid w:val="00246F17"/>
    <w:rsid w:val="002477C2"/>
    <w:rsid w:val="002519D4"/>
    <w:rsid w:val="00253DEE"/>
    <w:rsid w:val="00255D9B"/>
    <w:rsid w:val="0025631B"/>
    <w:rsid w:val="00256836"/>
    <w:rsid w:val="002569F7"/>
    <w:rsid w:val="0025723F"/>
    <w:rsid w:val="00260C86"/>
    <w:rsid w:val="00261155"/>
    <w:rsid w:val="00265B28"/>
    <w:rsid w:val="00270F7A"/>
    <w:rsid w:val="002742C0"/>
    <w:rsid w:val="00282A66"/>
    <w:rsid w:val="002853E8"/>
    <w:rsid w:val="00287676"/>
    <w:rsid w:val="00287742"/>
    <w:rsid w:val="002902FB"/>
    <w:rsid w:val="002916C6"/>
    <w:rsid w:val="00291E15"/>
    <w:rsid w:val="0029452B"/>
    <w:rsid w:val="002A2EE2"/>
    <w:rsid w:val="002A4568"/>
    <w:rsid w:val="002A5B95"/>
    <w:rsid w:val="002A5C7A"/>
    <w:rsid w:val="002B3362"/>
    <w:rsid w:val="002B338B"/>
    <w:rsid w:val="002B4526"/>
    <w:rsid w:val="002B5A99"/>
    <w:rsid w:val="002B6349"/>
    <w:rsid w:val="002B649B"/>
    <w:rsid w:val="002C2380"/>
    <w:rsid w:val="002C2A4D"/>
    <w:rsid w:val="002C3577"/>
    <w:rsid w:val="002C3E38"/>
    <w:rsid w:val="002C699F"/>
    <w:rsid w:val="002C78F5"/>
    <w:rsid w:val="002D4B3C"/>
    <w:rsid w:val="002D6F81"/>
    <w:rsid w:val="002E5CDE"/>
    <w:rsid w:val="002E6413"/>
    <w:rsid w:val="002E7809"/>
    <w:rsid w:val="002F0271"/>
    <w:rsid w:val="002F0EB4"/>
    <w:rsid w:val="002F1B73"/>
    <w:rsid w:val="002F3054"/>
    <w:rsid w:val="002F5D0E"/>
    <w:rsid w:val="00300783"/>
    <w:rsid w:val="00303D8F"/>
    <w:rsid w:val="00304769"/>
    <w:rsid w:val="003065B8"/>
    <w:rsid w:val="00306721"/>
    <w:rsid w:val="00306A02"/>
    <w:rsid w:val="0031006D"/>
    <w:rsid w:val="003110D4"/>
    <w:rsid w:val="0031243B"/>
    <w:rsid w:val="00313DCC"/>
    <w:rsid w:val="0031473E"/>
    <w:rsid w:val="00314CF0"/>
    <w:rsid w:val="003212E8"/>
    <w:rsid w:val="003224A5"/>
    <w:rsid w:val="003250BE"/>
    <w:rsid w:val="00327EE5"/>
    <w:rsid w:val="00327F1F"/>
    <w:rsid w:val="003316AD"/>
    <w:rsid w:val="00331AD3"/>
    <w:rsid w:val="003340DC"/>
    <w:rsid w:val="003375E4"/>
    <w:rsid w:val="00343361"/>
    <w:rsid w:val="0034634A"/>
    <w:rsid w:val="00346E97"/>
    <w:rsid w:val="0034755B"/>
    <w:rsid w:val="003517A3"/>
    <w:rsid w:val="0035276E"/>
    <w:rsid w:val="00352F23"/>
    <w:rsid w:val="00361112"/>
    <w:rsid w:val="0036174B"/>
    <w:rsid w:val="00361FF8"/>
    <w:rsid w:val="003634ED"/>
    <w:rsid w:val="003720E7"/>
    <w:rsid w:val="00372CDB"/>
    <w:rsid w:val="00375DA5"/>
    <w:rsid w:val="00375F6A"/>
    <w:rsid w:val="00377CB7"/>
    <w:rsid w:val="003845F7"/>
    <w:rsid w:val="003903B1"/>
    <w:rsid w:val="00390B6F"/>
    <w:rsid w:val="0039430D"/>
    <w:rsid w:val="003A01CB"/>
    <w:rsid w:val="003A16D8"/>
    <w:rsid w:val="003A4E60"/>
    <w:rsid w:val="003A61BE"/>
    <w:rsid w:val="003A6249"/>
    <w:rsid w:val="003A72DA"/>
    <w:rsid w:val="003B3098"/>
    <w:rsid w:val="003B790A"/>
    <w:rsid w:val="003C0AB1"/>
    <w:rsid w:val="003C3E3D"/>
    <w:rsid w:val="003D0788"/>
    <w:rsid w:val="003D1115"/>
    <w:rsid w:val="003D1C94"/>
    <w:rsid w:val="003D1FE2"/>
    <w:rsid w:val="003D2835"/>
    <w:rsid w:val="003D3E28"/>
    <w:rsid w:val="003D45A5"/>
    <w:rsid w:val="003E1577"/>
    <w:rsid w:val="003E1FD9"/>
    <w:rsid w:val="003E2A74"/>
    <w:rsid w:val="003E4CB0"/>
    <w:rsid w:val="003E688E"/>
    <w:rsid w:val="003F039D"/>
    <w:rsid w:val="003F5567"/>
    <w:rsid w:val="00407C85"/>
    <w:rsid w:val="00410101"/>
    <w:rsid w:val="004129C3"/>
    <w:rsid w:val="00412D0E"/>
    <w:rsid w:val="0041600B"/>
    <w:rsid w:val="00416245"/>
    <w:rsid w:val="00417CBB"/>
    <w:rsid w:val="00422C1E"/>
    <w:rsid w:val="00422DB8"/>
    <w:rsid w:val="00427592"/>
    <w:rsid w:val="004347AD"/>
    <w:rsid w:val="00436C71"/>
    <w:rsid w:val="00437317"/>
    <w:rsid w:val="00442277"/>
    <w:rsid w:val="004423DB"/>
    <w:rsid w:val="004427B7"/>
    <w:rsid w:val="004458EE"/>
    <w:rsid w:val="004469E6"/>
    <w:rsid w:val="00446A0E"/>
    <w:rsid w:val="004532FA"/>
    <w:rsid w:val="00454019"/>
    <w:rsid w:val="00454725"/>
    <w:rsid w:val="004561D2"/>
    <w:rsid w:val="00466020"/>
    <w:rsid w:val="0047100E"/>
    <w:rsid w:val="00472594"/>
    <w:rsid w:val="00472A43"/>
    <w:rsid w:val="004749CE"/>
    <w:rsid w:val="00477796"/>
    <w:rsid w:val="00480886"/>
    <w:rsid w:val="0048153C"/>
    <w:rsid w:val="0048487D"/>
    <w:rsid w:val="00487849"/>
    <w:rsid w:val="004941BF"/>
    <w:rsid w:val="0049522F"/>
    <w:rsid w:val="004967BF"/>
    <w:rsid w:val="00497D06"/>
    <w:rsid w:val="004A3AE7"/>
    <w:rsid w:val="004A4AF1"/>
    <w:rsid w:val="004A4E7A"/>
    <w:rsid w:val="004A562E"/>
    <w:rsid w:val="004A6669"/>
    <w:rsid w:val="004B13D3"/>
    <w:rsid w:val="004B2C94"/>
    <w:rsid w:val="004B3E86"/>
    <w:rsid w:val="004B6AF7"/>
    <w:rsid w:val="004B6DFA"/>
    <w:rsid w:val="004B713D"/>
    <w:rsid w:val="004C06F6"/>
    <w:rsid w:val="004C2862"/>
    <w:rsid w:val="004C5036"/>
    <w:rsid w:val="004C5B13"/>
    <w:rsid w:val="004D07EA"/>
    <w:rsid w:val="004D1BC9"/>
    <w:rsid w:val="004D1BD5"/>
    <w:rsid w:val="004D1C81"/>
    <w:rsid w:val="004E32A4"/>
    <w:rsid w:val="004E4308"/>
    <w:rsid w:val="004E5B42"/>
    <w:rsid w:val="004E73AA"/>
    <w:rsid w:val="004E76AE"/>
    <w:rsid w:val="004E7810"/>
    <w:rsid w:val="004F177E"/>
    <w:rsid w:val="004F2A6F"/>
    <w:rsid w:val="004F2E5D"/>
    <w:rsid w:val="004F43AE"/>
    <w:rsid w:val="005017C8"/>
    <w:rsid w:val="00502449"/>
    <w:rsid w:val="00505E4A"/>
    <w:rsid w:val="00505F44"/>
    <w:rsid w:val="0050708F"/>
    <w:rsid w:val="00517538"/>
    <w:rsid w:val="005177B9"/>
    <w:rsid w:val="00520A64"/>
    <w:rsid w:val="00522B03"/>
    <w:rsid w:val="00522E38"/>
    <w:rsid w:val="00524872"/>
    <w:rsid w:val="00525017"/>
    <w:rsid w:val="00530673"/>
    <w:rsid w:val="005330CC"/>
    <w:rsid w:val="00535EE6"/>
    <w:rsid w:val="0054499E"/>
    <w:rsid w:val="00546CA3"/>
    <w:rsid w:val="00555235"/>
    <w:rsid w:val="00555608"/>
    <w:rsid w:val="0056090C"/>
    <w:rsid w:val="00562E80"/>
    <w:rsid w:val="00562EEB"/>
    <w:rsid w:val="005657A1"/>
    <w:rsid w:val="00572FD2"/>
    <w:rsid w:val="005767A9"/>
    <w:rsid w:val="00577BDB"/>
    <w:rsid w:val="0058012A"/>
    <w:rsid w:val="0058020A"/>
    <w:rsid w:val="005828BB"/>
    <w:rsid w:val="0058417D"/>
    <w:rsid w:val="00584422"/>
    <w:rsid w:val="0058530C"/>
    <w:rsid w:val="00585A03"/>
    <w:rsid w:val="00585A24"/>
    <w:rsid w:val="00587833"/>
    <w:rsid w:val="005904B1"/>
    <w:rsid w:val="005928DC"/>
    <w:rsid w:val="005931E9"/>
    <w:rsid w:val="005933FA"/>
    <w:rsid w:val="00593EF2"/>
    <w:rsid w:val="005945C4"/>
    <w:rsid w:val="005950FA"/>
    <w:rsid w:val="00595A11"/>
    <w:rsid w:val="00596CC1"/>
    <w:rsid w:val="005A1516"/>
    <w:rsid w:val="005A190F"/>
    <w:rsid w:val="005A3F06"/>
    <w:rsid w:val="005A719C"/>
    <w:rsid w:val="005B1013"/>
    <w:rsid w:val="005B2E2D"/>
    <w:rsid w:val="005B50AB"/>
    <w:rsid w:val="005B7379"/>
    <w:rsid w:val="005B7C29"/>
    <w:rsid w:val="005C7707"/>
    <w:rsid w:val="005D2161"/>
    <w:rsid w:val="005D49DF"/>
    <w:rsid w:val="005D4D9E"/>
    <w:rsid w:val="005D57FA"/>
    <w:rsid w:val="005E4252"/>
    <w:rsid w:val="005E5CDE"/>
    <w:rsid w:val="005F1E44"/>
    <w:rsid w:val="005F3048"/>
    <w:rsid w:val="005F7D5C"/>
    <w:rsid w:val="005F7E0B"/>
    <w:rsid w:val="0060114A"/>
    <w:rsid w:val="0060166F"/>
    <w:rsid w:val="00601A3D"/>
    <w:rsid w:val="00602E91"/>
    <w:rsid w:val="00607AD8"/>
    <w:rsid w:val="006134F0"/>
    <w:rsid w:val="006164C4"/>
    <w:rsid w:val="00620F95"/>
    <w:rsid w:val="00623A7F"/>
    <w:rsid w:val="00624305"/>
    <w:rsid w:val="00630CB8"/>
    <w:rsid w:val="00632E4F"/>
    <w:rsid w:val="006358B5"/>
    <w:rsid w:val="00641BF2"/>
    <w:rsid w:val="00646723"/>
    <w:rsid w:val="00650B1E"/>
    <w:rsid w:val="006513CE"/>
    <w:rsid w:val="00651954"/>
    <w:rsid w:val="006533AB"/>
    <w:rsid w:val="0065402B"/>
    <w:rsid w:val="00654717"/>
    <w:rsid w:val="00660882"/>
    <w:rsid w:val="006609A0"/>
    <w:rsid w:val="0066123E"/>
    <w:rsid w:val="00664BAD"/>
    <w:rsid w:val="00667057"/>
    <w:rsid w:val="006723E5"/>
    <w:rsid w:val="006729E1"/>
    <w:rsid w:val="00673635"/>
    <w:rsid w:val="00673E1B"/>
    <w:rsid w:val="006743C4"/>
    <w:rsid w:val="0068281A"/>
    <w:rsid w:val="00683828"/>
    <w:rsid w:val="00683A04"/>
    <w:rsid w:val="00691170"/>
    <w:rsid w:val="006A7CF6"/>
    <w:rsid w:val="006A7DDD"/>
    <w:rsid w:val="006A7EFC"/>
    <w:rsid w:val="006B1B11"/>
    <w:rsid w:val="006B2EA0"/>
    <w:rsid w:val="006B4232"/>
    <w:rsid w:val="006B4444"/>
    <w:rsid w:val="006B5719"/>
    <w:rsid w:val="006B7370"/>
    <w:rsid w:val="006C0773"/>
    <w:rsid w:val="006C559A"/>
    <w:rsid w:val="006C6E37"/>
    <w:rsid w:val="006C72B1"/>
    <w:rsid w:val="006C7EEE"/>
    <w:rsid w:val="006D200E"/>
    <w:rsid w:val="006D3004"/>
    <w:rsid w:val="006D7D6B"/>
    <w:rsid w:val="006E0A7A"/>
    <w:rsid w:val="006E208F"/>
    <w:rsid w:val="006E2134"/>
    <w:rsid w:val="006E42EA"/>
    <w:rsid w:val="006E4590"/>
    <w:rsid w:val="006E45D8"/>
    <w:rsid w:val="006E7A99"/>
    <w:rsid w:val="006F37B3"/>
    <w:rsid w:val="006F7609"/>
    <w:rsid w:val="006F7DC8"/>
    <w:rsid w:val="007009D3"/>
    <w:rsid w:val="007137DF"/>
    <w:rsid w:val="007138C2"/>
    <w:rsid w:val="00713ED6"/>
    <w:rsid w:val="0071608E"/>
    <w:rsid w:val="007214CE"/>
    <w:rsid w:val="00721801"/>
    <w:rsid w:val="00722AC0"/>
    <w:rsid w:val="00725F80"/>
    <w:rsid w:val="007317CA"/>
    <w:rsid w:val="00733959"/>
    <w:rsid w:val="00734AD9"/>
    <w:rsid w:val="007371B4"/>
    <w:rsid w:val="0074324D"/>
    <w:rsid w:val="0074416F"/>
    <w:rsid w:val="007476BA"/>
    <w:rsid w:val="00750B07"/>
    <w:rsid w:val="00750BFB"/>
    <w:rsid w:val="0075107B"/>
    <w:rsid w:val="007533EE"/>
    <w:rsid w:val="00756C36"/>
    <w:rsid w:val="007626CB"/>
    <w:rsid w:val="00762908"/>
    <w:rsid w:val="007638EE"/>
    <w:rsid w:val="00764C43"/>
    <w:rsid w:val="0076738F"/>
    <w:rsid w:val="00767C3A"/>
    <w:rsid w:val="00773AB1"/>
    <w:rsid w:val="00774E84"/>
    <w:rsid w:val="007763B3"/>
    <w:rsid w:val="00776E4A"/>
    <w:rsid w:val="0077770C"/>
    <w:rsid w:val="007806EB"/>
    <w:rsid w:val="00786135"/>
    <w:rsid w:val="007877ED"/>
    <w:rsid w:val="007A0037"/>
    <w:rsid w:val="007A1E93"/>
    <w:rsid w:val="007A2348"/>
    <w:rsid w:val="007A2624"/>
    <w:rsid w:val="007A27DB"/>
    <w:rsid w:val="007A3348"/>
    <w:rsid w:val="007A5E16"/>
    <w:rsid w:val="007A69C9"/>
    <w:rsid w:val="007A6FA4"/>
    <w:rsid w:val="007A7196"/>
    <w:rsid w:val="007B2800"/>
    <w:rsid w:val="007B37DC"/>
    <w:rsid w:val="007B7164"/>
    <w:rsid w:val="007C3539"/>
    <w:rsid w:val="007C4C8E"/>
    <w:rsid w:val="007C669E"/>
    <w:rsid w:val="007C7A1C"/>
    <w:rsid w:val="007D0F5D"/>
    <w:rsid w:val="007D3D3C"/>
    <w:rsid w:val="007D7435"/>
    <w:rsid w:val="007E022A"/>
    <w:rsid w:val="007E0444"/>
    <w:rsid w:val="007E0499"/>
    <w:rsid w:val="007E09FE"/>
    <w:rsid w:val="007E2464"/>
    <w:rsid w:val="007E3D1A"/>
    <w:rsid w:val="007E5037"/>
    <w:rsid w:val="007E5763"/>
    <w:rsid w:val="007F02EA"/>
    <w:rsid w:val="007F2A11"/>
    <w:rsid w:val="007F2D1A"/>
    <w:rsid w:val="007F4320"/>
    <w:rsid w:val="007F4DB7"/>
    <w:rsid w:val="007F6DA5"/>
    <w:rsid w:val="008063DC"/>
    <w:rsid w:val="008074F1"/>
    <w:rsid w:val="008075F6"/>
    <w:rsid w:val="00814D25"/>
    <w:rsid w:val="008153F2"/>
    <w:rsid w:val="00815975"/>
    <w:rsid w:val="0081647E"/>
    <w:rsid w:val="00820222"/>
    <w:rsid w:val="00822A03"/>
    <w:rsid w:val="00835528"/>
    <w:rsid w:val="00836E5E"/>
    <w:rsid w:val="00840FDA"/>
    <w:rsid w:val="008430F0"/>
    <w:rsid w:val="00843E83"/>
    <w:rsid w:val="00845E2B"/>
    <w:rsid w:val="00854A90"/>
    <w:rsid w:val="00860285"/>
    <w:rsid w:val="00860F31"/>
    <w:rsid w:val="008623C9"/>
    <w:rsid w:val="00862A5C"/>
    <w:rsid w:val="00863226"/>
    <w:rsid w:val="00865840"/>
    <w:rsid w:val="0087093A"/>
    <w:rsid w:val="00872231"/>
    <w:rsid w:val="00872A84"/>
    <w:rsid w:val="00874598"/>
    <w:rsid w:val="0088005D"/>
    <w:rsid w:val="008842CE"/>
    <w:rsid w:val="00892848"/>
    <w:rsid w:val="008947E4"/>
    <w:rsid w:val="008960F8"/>
    <w:rsid w:val="008967D0"/>
    <w:rsid w:val="00896B8B"/>
    <w:rsid w:val="00896DCF"/>
    <w:rsid w:val="0089747E"/>
    <w:rsid w:val="00897971"/>
    <w:rsid w:val="008A1D9E"/>
    <w:rsid w:val="008A482A"/>
    <w:rsid w:val="008A4A8D"/>
    <w:rsid w:val="008A5244"/>
    <w:rsid w:val="008A57FD"/>
    <w:rsid w:val="008B542D"/>
    <w:rsid w:val="008B744F"/>
    <w:rsid w:val="008B7C18"/>
    <w:rsid w:val="008C0657"/>
    <w:rsid w:val="008C3C20"/>
    <w:rsid w:val="008D02EB"/>
    <w:rsid w:val="008D28DA"/>
    <w:rsid w:val="008D2985"/>
    <w:rsid w:val="008D4A10"/>
    <w:rsid w:val="008D581A"/>
    <w:rsid w:val="008E209B"/>
    <w:rsid w:val="008E4944"/>
    <w:rsid w:val="008E7347"/>
    <w:rsid w:val="008F2629"/>
    <w:rsid w:val="008F3216"/>
    <w:rsid w:val="008F5C28"/>
    <w:rsid w:val="00902459"/>
    <w:rsid w:val="00903552"/>
    <w:rsid w:val="00905AA2"/>
    <w:rsid w:val="00906C6E"/>
    <w:rsid w:val="00907C50"/>
    <w:rsid w:val="0091028D"/>
    <w:rsid w:val="00910BCC"/>
    <w:rsid w:val="00910DC5"/>
    <w:rsid w:val="00912E64"/>
    <w:rsid w:val="00916713"/>
    <w:rsid w:val="00917B2B"/>
    <w:rsid w:val="00922B42"/>
    <w:rsid w:val="009261D1"/>
    <w:rsid w:val="009270CC"/>
    <w:rsid w:val="0092743E"/>
    <w:rsid w:val="00927A7E"/>
    <w:rsid w:val="0093024C"/>
    <w:rsid w:val="00930D99"/>
    <w:rsid w:val="0093123B"/>
    <w:rsid w:val="0093310F"/>
    <w:rsid w:val="0093396B"/>
    <w:rsid w:val="00933E3B"/>
    <w:rsid w:val="009341E9"/>
    <w:rsid w:val="0093445D"/>
    <w:rsid w:val="009378D8"/>
    <w:rsid w:val="00941B0E"/>
    <w:rsid w:val="009423FB"/>
    <w:rsid w:val="009426B4"/>
    <w:rsid w:val="00945B01"/>
    <w:rsid w:val="0094672D"/>
    <w:rsid w:val="0095140C"/>
    <w:rsid w:val="00971F0E"/>
    <w:rsid w:val="00980EC8"/>
    <w:rsid w:val="009835F2"/>
    <w:rsid w:val="00984CDC"/>
    <w:rsid w:val="009867FA"/>
    <w:rsid w:val="00987171"/>
    <w:rsid w:val="0098721B"/>
    <w:rsid w:val="00994AF8"/>
    <w:rsid w:val="009968B5"/>
    <w:rsid w:val="00997F6E"/>
    <w:rsid w:val="009A1B81"/>
    <w:rsid w:val="009A35F9"/>
    <w:rsid w:val="009A4F6F"/>
    <w:rsid w:val="009A6627"/>
    <w:rsid w:val="009A6ECC"/>
    <w:rsid w:val="009B3536"/>
    <w:rsid w:val="009B391B"/>
    <w:rsid w:val="009B53C2"/>
    <w:rsid w:val="009B70AC"/>
    <w:rsid w:val="009B7B49"/>
    <w:rsid w:val="009C1F33"/>
    <w:rsid w:val="009C2125"/>
    <w:rsid w:val="009C3A52"/>
    <w:rsid w:val="009C45CE"/>
    <w:rsid w:val="009C729C"/>
    <w:rsid w:val="009C73CF"/>
    <w:rsid w:val="009D01BF"/>
    <w:rsid w:val="009D3594"/>
    <w:rsid w:val="009D555F"/>
    <w:rsid w:val="009D6BE3"/>
    <w:rsid w:val="009D70F2"/>
    <w:rsid w:val="009D72E2"/>
    <w:rsid w:val="009E19B6"/>
    <w:rsid w:val="009E3E07"/>
    <w:rsid w:val="009E4495"/>
    <w:rsid w:val="009E4C39"/>
    <w:rsid w:val="009E5FD1"/>
    <w:rsid w:val="009F4BEB"/>
    <w:rsid w:val="009F60DF"/>
    <w:rsid w:val="009F6A95"/>
    <w:rsid w:val="009F738F"/>
    <w:rsid w:val="00A00152"/>
    <w:rsid w:val="00A012C9"/>
    <w:rsid w:val="00A02116"/>
    <w:rsid w:val="00A054E3"/>
    <w:rsid w:val="00A054F4"/>
    <w:rsid w:val="00A06B82"/>
    <w:rsid w:val="00A11771"/>
    <w:rsid w:val="00A17928"/>
    <w:rsid w:val="00A21B33"/>
    <w:rsid w:val="00A22E9C"/>
    <w:rsid w:val="00A22FE7"/>
    <w:rsid w:val="00A24B3D"/>
    <w:rsid w:val="00A25E86"/>
    <w:rsid w:val="00A30A8A"/>
    <w:rsid w:val="00A332D6"/>
    <w:rsid w:val="00A33AAD"/>
    <w:rsid w:val="00A400D7"/>
    <w:rsid w:val="00A43F21"/>
    <w:rsid w:val="00A61761"/>
    <w:rsid w:val="00A61B2E"/>
    <w:rsid w:val="00A623F8"/>
    <w:rsid w:val="00A65CD7"/>
    <w:rsid w:val="00A663F9"/>
    <w:rsid w:val="00A6656A"/>
    <w:rsid w:val="00A6658B"/>
    <w:rsid w:val="00A6747E"/>
    <w:rsid w:val="00A7081C"/>
    <w:rsid w:val="00A72F8C"/>
    <w:rsid w:val="00A7333E"/>
    <w:rsid w:val="00A74C1C"/>
    <w:rsid w:val="00A75441"/>
    <w:rsid w:val="00A815C3"/>
    <w:rsid w:val="00A83360"/>
    <w:rsid w:val="00A856B3"/>
    <w:rsid w:val="00A90A1F"/>
    <w:rsid w:val="00A91B0D"/>
    <w:rsid w:val="00A91BC7"/>
    <w:rsid w:val="00A92132"/>
    <w:rsid w:val="00A936F1"/>
    <w:rsid w:val="00A9538F"/>
    <w:rsid w:val="00A9644C"/>
    <w:rsid w:val="00A96B84"/>
    <w:rsid w:val="00AA1B96"/>
    <w:rsid w:val="00AA2D97"/>
    <w:rsid w:val="00AA55B1"/>
    <w:rsid w:val="00AA700E"/>
    <w:rsid w:val="00AB0570"/>
    <w:rsid w:val="00AB0E49"/>
    <w:rsid w:val="00AB1675"/>
    <w:rsid w:val="00AC029A"/>
    <w:rsid w:val="00AC18B7"/>
    <w:rsid w:val="00AC685E"/>
    <w:rsid w:val="00AC7B64"/>
    <w:rsid w:val="00AD0EC4"/>
    <w:rsid w:val="00AD1F98"/>
    <w:rsid w:val="00AD2AAB"/>
    <w:rsid w:val="00AD389C"/>
    <w:rsid w:val="00AD7E23"/>
    <w:rsid w:val="00AE19F3"/>
    <w:rsid w:val="00AE48B6"/>
    <w:rsid w:val="00AE6A2C"/>
    <w:rsid w:val="00AE7449"/>
    <w:rsid w:val="00AF346B"/>
    <w:rsid w:val="00AF36F7"/>
    <w:rsid w:val="00AF5852"/>
    <w:rsid w:val="00AF7750"/>
    <w:rsid w:val="00B01B30"/>
    <w:rsid w:val="00B07AEF"/>
    <w:rsid w:val="00B15A75"/>
    <w:rsid w:val="00B17945"/>
    <w:rsid w:val="00B347BD"/>
    <w:rsid w:val="00B439B6"/>
    <w:rsid w:val="00B44628"/>
    <w:rsid w:val="00B463EB"/>
    <w:rsid w:val="00B50F7E"/>
    <w:rsid w:val="00B51725"/>
    <w:rsid w:val="00B5264A"/>
    <w:rsid w:val="00B5460D"/>
    <w:rsid w:val="00B54B71"/>
    <w:rsid w:val="00B55868"/>
    <w:rsid w:val="00B6380F"/>
    <w:rsid w:val="00B641E9"/>
    <w:rsid w:val="00B6586D"/>
    <w:rsid w:val="00B73376"/>
    <w:rsid w:val="00B7337E"/>
    <w:rsid w:val="00B75E53"/>
    <w:rsid w:val="00B841CE"/>
    <w:rsid w:val="00B869C7"/>
    <w:rsid w:val="00B961C9"/>
    <w:rsid w:val="00BA1D40"/>
    <w:rsid w:val="00BA2830"/>
    <w:rsid w:val="00BA38A1"/>
    <w:rsid w:val="00BA5F6F"/>
    <w:rsid w:val="00BB01D4"/>
    <w:rsid w:val="00BB1632"/>
    <w:rsid w:val="00BB214C"/>
    <w:rsid w:val="00BB4894"/>
    <w:rsid w:val="00BC4A91"/>
    <w:rsid w:val="00BD0E63"/>
    <w:rsid w:val="00BD364B"/>
    <w:rsid w:val="00BD488C"/>
    <w:rsid w:val="00BD7A49"/>
    <w:rsid w:val="00BE6783"/>
    <w:rsid w:val="00BE7490"/>
    <w:rsid w:val="00BF0A26"/>
    <w:rsid w:val="00BF3862"/>
    <w:rsid w:val="00BF3D72"/>
    <w:rsid w:val="00BF7E8A"/>
    <w:rsid w:val="00C1115C"/>
    <w:rsid w:val="00C13C5D"/>
    <w:rsid w:val="00C13DBA"/>
    <w:rsid w:val="00C17BD3"/>
    <w:rsid w:val="00C24493"/>
    <w:rsid w:val="00C24B03"/>
    <w:rsid w:val="00C31720"/>
    <w:rsid w:val="00C32F95"/>
    <w:rsid w:val="00C33064"/>
    <w:rsid w:val="00C3529C"/>
    <w:rsid w:val="00C42C54"/>
    <w:rsid w:val="00C51C10"/>
    <w:rsid w:val="00C53DB6"/>
    <w:rsid w:val="00C54418"/>
    <w:rsid w:val="00C549E5"/>
    <w:rsid w:val="00C56ACF"/>
    <w:rsid w:val="00C6154D"/>
    <w:rsid w:val="00C67B5B"/>
    <w:rsid w:val="00C71AE5"/>
    <w:rsid w:val="00C7295C"/>
    <w:rsid w:val="00C76203"/>
    <w:rsid w:val="00C76512"/>
    <w:rsid w:val="00C76CD0"/>
    <w:rsid w:val="00C77154"/>
    <w:rsid w:val="00C818F1"/>
    <w:rsid w:val="00C82D6A"/>
    <w:rsid w:val="00C830B4"/>
    <w:rsid w:val="00C83F0E"/>
    <w:rsid w:val="00C939F4"/>
    <w:rsid w:val="00C95940"/>
    <w:rsid w:val="00CA359B"/>
    <w:rsid w:val="00CB041D"/>
    <w:rsid w:val="00CB235C"/>
    <w:rsid w:val="00CB38CD"/>
    <w:rsid w:val="00CB51CD"/>
    <w:rsid w:val="00CB64B6"/>
    <w:rsid w:val="00CC0769"/>
    <w:rsid w:val="00CC113A"/>
    <w:rsid w:val="00CC4D21"/>
    <w:rsid w:val="00CC5701"/>
    <w:rsid w:val="00CC7ED6"/>
    <w:rsid w:val="00CD1BE1"/>
    <w:rsid w:val="00CD29CA"/>
    <w:rsid w:val="00CD2A29"/>
    <w:rsid w:val="00CE4C11"/>
    <w:rsid w:val="00CE509B"/>
    <w:rsid w:val="00CE5389"/>
    <w:rsid w:val="00CE7034"/>
    <w:rsid w:val="00CF3E82"/>
    <w:rsid w:val="00CF41FA"/>
    <w:rsid w:val="00CF6A00"/>
    <w:rsid w:val="00CF7402"/>
    <w:rsid w:val="00D002FA"/>
    <w:rsid w:val="00D02277"/>
    <w:rsid w:val="00D07027"/>
    <w:rsid w:val="00D118C4"/>
    <w:rsid w:val="00D11CF3"/>
    <w:rsid w:val="00D1759E"/>
    <w:rsid w:val="00D22562"/>
    <w:rsid w:val="00D34DDB"/>
    <w:rsid w:val="00D36B48"/>
    <w:rsid w:val="00D41FDF"/>
    <w:rsid w:val="00D5276B"/>
    <w:rsid w:val="00D56DFC"/>
    <w:rsid w:val="00D61468"/>
    <w:rsid w:val="00D632F1"/>
    <w:rsid w:val="00D64D05"/>
    <w:rsid w:val="00D71F9C"/>
    <w:rsid w:val="00D754D0"/>
    <w:rsid w:val="00D755FE"/>
    <w:rsid w:val="00D8152F"/>
    <w:rsid w:val="00D8155C"/>
    <w:rsid w:val="00D86565"/>
    <w:rsid w:val="00D87F1F"/>
    <w:rsid w:val="00D91DD2"/>
    <w:rsid w:val="00DA2775"/>
    <w:rsid w:val="00DA3891"/>
    <w:rsid w:val="00DA42FA"/>
    <w:rsid w:val="00DA481D"/>
    <w:rsid w:val="00DA48C7"/>
    <w:rsid w:val="00DA7B92"/>
    <w:rsid w:val="00DB1EEF"/>
    <w:rsid w:val="00DB3BAB"/>
    <w:rsid w:val="00DB7DE2"/>
    <w:rsid w:val="00DC012C"/>
    <w:rsid w:val="00DC0161"/>
    <w:rsid w:val="00DC02A6"/>
    <w:rsid w:val="00DC1624"/>
    <w:rsid w:val="00DC1C18"/>
    <w:rsid w:val="00DC2867"/>
    <w:rsid w:val="00DC6DEA"/>
    <w:rsid w:val="00DD1336"/>
    <w:rsid w:val="00DD2FBE"/>
    <w:rsid w:val="00DD3FA6"/>
    <w:rsid w:val="00DD4249"/>
    <w:rsid w:val="00DD5C7C"/>
    <w:rsid w:val="00DD7D74"/>
    <w:rsid w:val="00DE1933"/>
    <w:rsid w:val="00DE2960"/>
    <w:rsid w:val="00DE475E"/>
    <w:rsid w:val="00DF0BA9"/>
    <w:rsid w:val="00DF14D3"/>
    <w:rsid w:val="00DF2C62"/>
    <w:rsid w:val="00DF3C8B"/>
    <w:rsid w:val="00DF4F66"/>
    <w:rsid w:val="00DF7781"/>
    <w:rsid w:val="00E04D1D"/>
    <w:rsid w:val="00E07E68"/>
    <w:rsid w:val="00E07F2F"/>
    <w:rsid w:val="00E111A8"/>
    <w:rsid w:val="00E12131"/>
    <w:rsid w:val="00E12362"/>
    <w:rsid w:val="00E13E19"/>
    <w:rsid w:val="00E209EB"/>
    <w:rsid w:val="00E211F1"/>
    <w:rsid w:val="00E226FD"/>
    <w:rsid w:val="00E23464"/>
    <w:rsid w:val="00E2486F"/>
    <w:rsid w:val="00E30CB5"/>
    <w:rsid w:val="00E3141E"/>
    <w:rsid w:val="00E314D2"/>
    <w:rsid w:val="00E31619"/>
    <w:rsid w:val="00E320EB"/>
    <w:rsid w:val="00E3241C"/>
    <w:rsid w:val="00E32B23"/>
    <w:rsid w:val="00E360A5"/>
    <w:rsid w:val="00E372B6"/>
    <w:rsid w:val="00E41616"/>
    <w:rsid w:val="00E44D61"/>
    <w:rsid w:val="00E5112C"/>
    <w:rsid w:val="00E519A1"/>
    <w:rsid w:val="00E51DDC"/>
    <w:rsid w:val="00E53E76"/>
    <w:rsid w:val="00E54BEA"/>
    <w:rsid w:val="00E5550B"/>
    <w:rsid w:val="00E60157"/>
    <w:rsid w:val="00E62A56"/>
    <w:rsid w:val="00E63183"/>
    <w:rsid w:val="00E635A7"/>
    <w:rsid w:val="00E70CBB"/>
    <w:rsid w:val="00E71A52"/>
    <w:rsid w:val="00E71B12"/>
    <w:rsid w:val="00E743D1"/>
    <w:rsid w:val="00E77A08"/>
    <w:rsid w:val="00E84C04"/>
    <w:rsid w:val="00E86AC8"/>
    <w:rsid w:val="00E876F5"/>
    <w:rsid w:val="00E930E2"/>
    <w:rsid w:val="00E965DF"/>
    <w:rsid w:val="00E96807"/>
    <w:rsid w:val="00E968E5"/>
    <w:rsid w:val="00EA20C1"/>
    <w:rsid w:val="00EA36C0"/>
    <w:rsid w:val="00EA5421"/>
    <w:rsid w:val="00EB28CE"/>
    <w:rsid w:val="00EB3B8E"/>
    <w:rsid w:val="00EB4CD6"/>
    <w:rsid w:val="00EB7FCD"/>
    <w:rsid w:val="00EC16B0"/>
    <w:rsid w:val="00EC1C64"/>
    <w:rsid w:val="00EC65C2"/>
    <w:rsid w:val="00ED00B6"/>
    <w:rsid w:val="00ED00FA"/>
    <w:rsid w:val="00ED41E4"/>
    <w:rsid w:val="00ED4856"/>
    <w:rsid w:val="00ED7084"/>
    <w:rsid w:val="00ED784F"/>
    <w:rsid w:val="00EE09D4"/>
    <w:rsid w:val="00EE0C6F"/>
    <w:rsid w:val="00EE0EE8"/>
    <w:rsid w:val="00EE35B7"/>
    <w:rsid w:val="00EE7B21"/>
    <w:rsid w:val="00EF4685"/>
    <w:rsid w:val="00EF60DE"/>
    <w:rsid w:val="00F00656"/>
    <w:rsid w:val="00F0228A"/>
    <w:rsid w:val="00F03268"/>
    <w:rsid w:val="00F071E8"/>
    <w:rsid w:val="00F13710"/>
    <w:rsid w:val="00F13D9F"/>
    <w:rsid w:val="00F146D5"/>
    <w:rsid w:val="00F17F9E"/>
    <w:rsid w:val="00F20C14"/>
    <w:rsid w:val="00F24008"/>
    <w:rsid w:val="00F25C75"/>
    <w:rsid w:val="00F27E2E"/>
    <w:rsid w:val="00F313D3"/>
    <w:rsid w:val="00F328E5"/>
    <w:rsid w:val="00F40458"/>
    <w:rsid w:val="00F414A8"/>
    <w:rsid w:val="00F433A0"/>
    <w:rsid w:val="00F4391D"/>
    <w:rsid w:val="00F43CA1"/>
    <w:rsid w:val="00F46B25"/>
    <w:rsid w:val="00F472AC"/>
    <w:rsid w:val="00F50B8E"/>
    <w:rsid w:val="00F50D9E"/>
    <w:rsid w:val="00F51234"/>
    <w:rsid w:val="00F55BB6"/>
    <w:rsid w:val="00F560B6"/>
    <w:rsid w:val="00F60468"/>
    <w:rsid w:val="00F64917"/>
    <w:rsid w:val="00F668B5"/>
    <w:rsid w:val="00F67558"/>
    <w:rsid w:val="00F73C32"/>
    <w:rsid w:val="00F74F6B"/>
    <w:rsid w:val="00F76302"/>
    <w:rsid w:val="00F77E98"/>
    <w:rsid w:val="00F82388"/>
    <w:rsid w:val="00F837C8"/>
    <w:rsid w:val="00F9045B"/>
    <w:rsid w:val="00F92274"/>
    <w:rsid w:val="00F95D13"/>
    <w:rsid w:val="00FB1596"/>
    <w:rsid w:val="00FB1A95"/>
    <w:rsid w:val="00FB3270"/>
    <w:rsid w:val="00FB376D"/>
    <w:rsid w:val="00FB5625"/>
    <w:rsid w:val="00FC00FF"/>
    <w:rsid w:val="00FC1544"/>
    <w:rsid w:val="00FC328A"/>
    <w:rsid w:val="00FC3BB0"/>
    <w:rsid w:val="00FC4CDC"/>
    <w:rsid w:val="00FC6D2F"/>
    <w:rsid w:val="00FD686B"/>
    <w:rsid w:val="00FD68D7"/>
    <w:rsid w:val="00FE09FF"/>
    <w:rsid w:val="00FE0DBB"/>
    <w:rsid w:val="00FE1A55"/>
    <w:rsid w:val="00FE2B2D"/>
    <w:rsid w:val="00FF6052"/>
    <w:rsid w:val="00FF63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E252C5-C00A-4615-BD8E-38967ACB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0F2"/>
    <w:rPr>
      <w:lang w:val="es-CO"/>
    </w:rPr>
  </w:style>
  <w:style w:type="paragraph" w:styleId="Ttulo1">
    <w:name w:val="heading 1"/>
    <w:basedOn w:val="Normal"/>
    <w:next w:val="Normal"/>
    <w:link w:val="Ttulo1Car"/>
    <w:uiPriority w:val="9"/>
    <w:qFormat/>
    <w:rsid w:val="000A1B73"/>
    <w:pPr>
      <w:keepNext/>
      <w:keepLines/>
      <w:spacing w:before="480" w:after="0"/>
      <w:outlineLvl w:val="0"/>
    </w:pPr>
    <w:rPr>
      <w:rFonts w:ascii="Arial" w:eastAsiaTheme="majorEastAsia" w:hAnsi="Arial" w:cstheme="majorBidi"/>
      <w:b/>
      <w:bCs/>
      <w:sz w:val="28"/>
      <w:szCs w:val="28"/>
    </w:rPr>
  </w:style>
  <w:style w:type="paragraph" w:styleId="Ttulo2">
    <w:name w:val="heading 2"/>
    <w:basedOn w:val="Normal"/>
    <w:next w:val="Normal"/>
    <w:link w:val="Ttulo2Car"/>
    <w:unhideWhenUsed/>
    <w:qFormat/>
    <w:rsid w:val="001810B5"/>
    <w:pPr>
      <w:keepNext/>
      <w:keepLines/>
      <w:numPr>
        <w:numId w:val="2"/>
      </w:numPr>
      <w:spacing w:before="200" w:after="0" w:line="276" w:lineRule="auto"/>
      <w:ind w:left="786"/>
      <w:outlineLvl w:val="1"/>
    </w:pPr>
    <w:rPr>
      <w:rFonts w:ascii="Arial" w:eastAsia="Times New Roman" w:hAnsi="Arial" w:cs="Times New Roman"/>
      <w:b/>
      <w:bCs/>
      <w:sz w:val="28"/>
      <w:szCs w:val="26"/>
    </w:rPr>
  </w:style>
  <w:style w:type="paragraph" w:styleId="Ttulo3">
    <w:name w:val="heading 3"/>
    <w:basedOn w:val="Normal"/>
    <w:next w:val="Normal"/>
    <w:link w:val="Ttulo3Car"/>
    <w:uiPriority w:val="9"/>
    <w:unhideWhenUsed/>
    <w:qFormat/>
    <w:rsid w:val="005F7E0B"/>
    <w:pPr>
      <w:keepNext/>
      <w:keepLines/>
      <w:spacing w:before="200" w:after="0"/>
      <w:jc w:val="both"/>
      <w:outlineLvl w:val="2"/>
    </w:pPr>
    <w:rPr>
      <w:rFonts w:ascii="Arial" w:eastAsiaTheme="majorEastAsia" w:hAnsi="Arial" w:cstheme="majorBidi"/>
      <w:b/>
      <w:bCs/>
      <w:sz w:val="24"/>
    </w:rPr>
  </w:style>
  <w:style w:type="paragraph" w:styleId="Ttulo4">
    <w:name w:val="heading 4"/>
    <w:basedOn w:val="Normal"/>
    <w:next w:val="Normal"/>
    <w:link w:val="Ttulo4Car"/>
    <w:uiPriority w:val="9"/>
    <w:unhideWhenUsed/>
    <w:qFormat/>
    <w:rsid w:val="0010324F"/>
    <w:pPr>
      <w:keepNext/>
      <w:keepLines/>
      <w:spacing w:before="200" w:after="0"/>
      <w:outlineLvl w:val="3"/>
    </w:pPr>
    <w:rPr>
      <w:rFonts w:ascii="Arial" w:eastAsiaTheme="majorEastAsia" w:hAnsi="Arial" w:cstheme="majorBidi"/>
      <w:b/>
      <w:bCs/>
      <w:i/>
      <w:iCs/>
      <w:sz w:val="24"/>
    </w:rPr>
  </w:style>
  <w:style w:type="paragraph" w:styleId="Ttulo5">
    <w:name w:val="heading 5"/>
    <w:basedOn w:val="Normal"/>
    <w:next w:val="Normal"/>
    <w:link w:val="Ttulo5Car"/>
    <w:uiPriority w:val="9"/>
    <w:semiHidden/>
    <w:unhideWhenUsed/>
    <w:qFormat/>
    <w:rsid w:val="004D1BC9"/>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4D1BC9"/>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927A7E"/>
    <w:rPr>
      <w:b/>
      <w:bCs/>
    </w:rPr>
  </w:style>
  <w:style w:type="paragraph" w:styleId="Textonotaalfinal">
    <w:name w:val="endnote text"/>
    <w:basedOn w:val="Normal"/>
    <w:link w:val="TextonotaalfinalCar"/>
    <w:uiPriority w:val="99"/>
    <w:semiHidden/>
    <w:unhideWhenUsed/>
    <w:rsid w:val="00927A7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27A7E"/>
    <w:rPr>
      <w:sz w:val="20"/>
      <w:szCs w:val="20"/>
      <w:lang w:val="es-CO"/>
    </w:rPr>
  </w:style>
  <w:style w:type="character" w:styleId="Refdenotaalfinal">
    <w:name w:val="endnote reference"/>
    <w:basedOn w:val="Fuentedeprrafopredeter"/>
    <w:uiPriority w:val="99"/>
    <w:semiHidden/>
    <w:unhideWhenUsed/>
    <w:rsid w:val="00927A7E"/>
    <w:rPr>
      <w:vertAlign w:val="superscript"/>
    </w:rPr>
  </w:style>
  <w:style w:type="paragraph" w:styleId="Textonotapie">
    <w:name w:val="footnote text"/>
    <w:basedOn w:val="Normal"/>
    <w:link w:val="TextonotapieCar"/>
    <w:uiPriority w:val="99"/>
    <w:semiHidden/>
    <w:unhideWhenUsed/>
    <w:rsid w:val="00927A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27A7E"/>
    <w:rPr>
      <w:sz w:val="20"/>
      <w:szCs w:val="20"/>
      <w:lang w:val="es-CO"/>
    </w:rPr>
  </w:style>
  <w:style w:type="character" w:styleId="Refdenotaalpie">
    <w:name w:val="footnote reference"/>
    <w:basedOn w:val="Fuentedeprrafopredeter"/>
    <w:uiPriority w:val="99"/>
    <w:semiHidden/>
    <w:unhideWhenUsed/>
    <w:rsid w:val="00927A7E"/>
    <w:rPr>
      <w:vertAlign w:val="superscript"/>
    </w:rPr>
  </w:style>
  <w:style w:type="character" w:styleId="Hipervnculo">
    <w:name w:val="Hyperlink"/>
    <w:basedOn w:val="Fuentedeprrafopredeter"/>
    <w:uiPriority w:val="99"/>
    <w:unhideWhenUsed/>
    <w:rsid w:val="00927A7E"/>
    <w:rPr>
      <w:color w:val="0563C1" w:themeColor="hyperlink"/>
      <w:u w:val="single"/>
    </w:rPr>
  </w:style>
  <w:style w:type="paragraph" w:styleId="Prrafodelista">
    <w:name w:val="List Paragraph"/>
    <w:basedOn w:val="Normal"/>
    <w:link w:val="PrrafodelistaCar"/>
    <w:uiPriority w:val="34"/>
    <w:qFormat/>
    <w:rsid w:val="001A2B9B"/>
    <w:pPr>
      <w:spacing w:after="200" w:line="276" w:lineRule="auto"/>
      <w:ind w:left="720"/>
      <w:jc w:val="center"/>
    </w:pPr>
    <w:rPr>
      <w:rFonts w:ascii="Calibri" w:eastAsia="Calibri" w:hAnsi="Calibri" w:cs="Times New Roman"/>
      <w:sz w:val="20"/>
      <w:szCs w:val="20"/>
      <w:lang w:val="es-ES"/>
    </w:rPr>
  </w:style>
  <w:style w:type="character" w:customStyle="1" w:styleId="PrrafodelistaCar">
    <w:name w:val="Párrafo de lista Car"/>
    <w:link w:val="Prrafodelista"/>
    <w:uiPriority w:val="34"/>
    <w:locked/>
    <w:rsid w:val="001A2B9B"/>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7861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6135"/>
    <w:rPr>
      <w:rFonts w:ascii="Tahoma" w:hAnsi="Tahoma" w:cs="Tahoma"/>
      <w:sz w:val="16"/>
      <w:szCs w:val="16"/>
      <w:lang w:val="es-CO"/>
    </w:rPr>
  </w:style>
  <w:style w:type="paragraph" w:styleId="Encabezado">
    <w:name w:val="header"/>
    <w:basedOn w:val="Normal"/>
    <w:link w:val="EncabezadoCar"/>
    <w:uiPriority w:val="99"/>
    <w:unhideWhenUsed/>
    <w:rsid w:val="00822A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2A03"/>
    <w:rPr>
      <w:lang w:val="es-CO"/>
    </w:rPr>
  </w:style>
  <w:style w:type="paragraph" w:styleId="Piedepgina">
    <w:name w:val="footer"/>
    <w:basedOn w:val="Normal"/>
    <w:link w:val="PiedepginaCar"/>
    <w:uiPriority w:val="99"/>
    <w:unhideWhenUsed/>
    <w:rsid w:val="00822A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2A03"/>
    <w:rPr>
      <w:lang w:val="es-CO"/>
    </w:rPr>
  </w:style>
  <w:style w:type="table" w:styleId="Tablaconcuadrcula">
    <w:name w:val="Table Grid"/>
    <w:basedOn w:val="Tablanormal"/>
    <w:uiPriority w:val="59"/>
    <w:rsid w:val="00237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506D2"/>
  </w:style>
  <w:style w:type="paragraph" w:styleId="NormalWeb">
    <w:name w:val="Normal (Web)"/>
    <w:basedOn w:val="Normal"/>
    <w:uiPriority w:val="99"/>
    <w:unhideWhenUsed/>
    <w:rsid w:val="00A7081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rsid w:val="001810B5"/>
    <w:rPr>
      <w:rFonts w:ascii="Arial" w:eastAsia="Times New Roman" w:hAnsi="Arial" w:cs="Times New Roman"/>
      <w:b/>
      <w:bCs/>
      <w:sz w:val="28"/>
      <w:szCs w:val="26"/>
    </w:rPr>
  </w:style>
  <w:style w:type="character" w:customStyle="1" w:styleId="Ttulo5Car">
    <w:name w:val="Título 5 Car"/>
    <w:basedOn w:val="Fuentedeprrafopredeter"/>
    <w:link w:val="Ttulo5"/>
    <w:rsid w:val="004D1BC9"/>
    <w:rPr>
      <w:rFonts w:asciiTheme="majorHAnsi" w:eastAsiaTheme="majorEastAsia" w:hAnsiTheme="majorHAnsi" w:cstheme="majorBidi"/>
      <w:color w:val="1F4D78" w:themeColor="accent1" w:themeShade="7F"/>
      <w:lang w:val="es-CO"/>
    </w:rPr>
  </w:style>
  <w:style w:type="character" w:customStyle="1" w:styleId="Ttulo6Car">
    <w:name w:val="Título 6 Car"/>
    <w:basedOn w:val="Fuentedeprrafopredeter"/>
    <w:link w:val="Ttulo6"/>
    <w:uiPriority w:val="9"/>
    <w:semiHidden/>
    <w:rsid w:val="004D1BC9"/>
    <w:rPr>
      <w:rFonts w:asciiTheme="majorHAnsi" w:eastAsiaTheme="majorEastAsia" w:hAnsiTheme="majorHAnsi" w:cstheme="majorBidi"/>
      <w:i/>
      <w:iCs/>
      <w:color w:val="1F4D78" w:themeColor="accent1" w:themeShade="7F"/>
      <w:lang w:val="es-CO"/>
    </w:rPr>
  </w:style>
  <w:style w:type="paragraph" w:styleId="Descripcin">
    <w:name w:val="caption"/>
    <w:basedOn w:val="Normal"/>
    <w:next w:val="Normal"/>
    <w:uiPriority w:val="35"/>
    <w:unhideWhenUsed/>
    <w:qFormat/>
    <w:rsid w:val="009968B5"/>
    <w:pPr>
      <w:spacing w:after="200" w:line="240" w:lineRule="auto"/>
    </w:pPr>
    <w:rPr>
      <w:rFonts w:ascii="Calibri" w:eastAsia="Calibri" w:hAnsi="Calibri" w:cs="Times New Roman"/>
      <w:b/>
      <w:bCs/>
      <w:color w:val="4F81BD"/>
      <w:sz w:val="18"/>
      <w:szCs w:val="18"/>
    </w:rPr>
  </w:style>
  <w:style w:type="character" w:customStyle="1" w:styleId="Ttulo3Car">
    <w:name w:val="Título 3 Car"/>
    <w:basedOn w:val="Fuentedeprrafopredeter"/>
    <w:link w:val="Ttulo3"/>
    <w:uiPriority w:val="9"/>
    <w:rsid w:val="005F7E0B"/>
    <w:rPr>
      <w:rFonts w:ascii="Arial" w:eastAsiaTheme="majorEastAsia" w:hAnsi="Arial" w:cstheme="majorBidi"/>
      <w:b/>
      <w:bCs/>
      <w:sz w:val="24"/>
      <w:lang w:val="es-CO"/>
    </w:rPr>
  </w:style>
  <w:style w:type="character" w:customStyle="1" w:styleId="Ttulo4Car">
    <w:name w:val="Título 4 Car"/>
    <w:basedOn w:val="Fuentedeprrafopredeter"/>
    <w:link w:val="Ttulo4"/>
    <w:uiPriority w:val="9"/>
    <w:rsid w:val="0010324F"/>
    <w:rPr>
      <w:rFonts w:ascii="Arial" w:eastAsiaTheme="majorEastAsia" w:hAnsi="Arial" w:cstheme="majorBidi"/>
      <w:b/>
      <w:bCs/>
      <w:i/>
      <w:iCs/>
      <w:sz w:val="24"/>
      <w:lang w:val="es-CO"/>
    </w:rPr>
  </w:style>
  <w:style w:type="paragraph" w:customStyle="1" w:styleId="Default">
    <w:name w:val="Default"/>
    <w:rsid w:val="00377CB7"/>
    <w:pPr>
      <w:autoSpaceDE w:val="0"/>
      <w:autoSpaceDN w:val="0"/>
      <w:adjustRightInd w:val="0"/>
      <w:spacing w:after="0" w:line="240" w:lineRule="auto"/>
    </w:pPr>
    <w:rPr>
      <w:rFonts w:ascii="Arial" w:eastAsia="Calibri" w:hAnsi="Arial" w:cs="Arial"/>
      <w:color w:val="000000"/>
      <w:sz w:val="24"/>
      <w:szCs w:val="24"/>
    </w:rPr>
  </w:style>
  <w:style w:type="character" w:customStyle="1" w:styleId="Ttulo1Car">
    <w:name w:val="Título 1 Car"/>
    <w:basedOn w:val="Fuentedeprrafopredeter"/>
    <w:link w:val="Ttulo1"/>
    <w:uiPriority w:val="9"/>
    <w:rsid w:val="000A1B73"/>
    <w:rPr>
      <w:rFonts w:ascii="Arial" w:eastAsiaTheme="majorEastAsia" w:hAnsi="Arial" w:cstheme="majorBidi"/>
      <w:b/>
      <w:bCs/>
      <w:sz w:val="28"/>
      <w:szCs w:val="28"/>
      <w:lang w:val="es-CO"/>
    </w:rPr>
  </w:style>
  <w:style w:type="paragraph" w:styleId="Sinespaciado">
    <w:name w:val="No Spacing"/>
    <w:link w:val="SinespaciadoCar"/>
    <w:uiPriority w:val="1"/>
    <w:qFormat/>
    <w:rsid w:val="005A719C"/>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5A719C"/>
    <w:rPr>
      <w:rFonts w:eastAsiaTheme="minorEastAsia"/>
      <w:lang w:val="es-CO" w:eastAsia="es-CO"/>
    </w:rPr>
  </w:style>
  <w:style w:type="paragraph" w:styleId="TtuloTDC">
    <w:name w:val="TOC Heading"/>
    <w:basedOn w:val="Ttulo1"/>
    <w:next w:val="Normal"/>
    <w:uiPriority w:val="39"/>
    <w:semiHidden/>
    <w:unhideWhenUsed/>
    <w:qFormat/>
    <w:rsid w:val="005A719C"/>
    <w:pPr>
      <w:spacing w:line="276" w:lineRule="auto"/>
      <w:outlineLvl w:val="9"/>
    </w:pPr>
    <w:rPr>
      <w:rFonts w:asciiTheme="majorHAnsi" w:hAnsiTheme="majorHAnsi"/>
      <w:color w:val="2E74B5" w:themeColor="accent1" w:themeShade="BF"/>
      <w:lang w:eastAsia="es-CO"/>
    </w:rPr>
  </w:style>
  <w:style w:type="paragraph" w:styleId="TDC2">
    <w:name w:val="toc 2"/>
    <w:basedOn w:val="Normal"/>
    <w:next w:val="Normal"/>
    <w:autoRedefine/>
    <w:uiPriority w:val="39"/>
    <w:unhideWhenUsed/>
    <w:rsid w:val="005A719C"/>
    <w:pPr>
      <w:spacing w:after="100"/>
      <w:ind w:left="220"/>
    </w:pPr>
  </w:style>
  <w:style w:type="paragraph" w:styleId="TDC1">
    <w:name w:val="toc 1"/>
    <w:basedOn w:val="Normal"/>
    <w:next w:val="Normal"/>
    <w:autoRedefine/>
    <w:uiPriority w:val="39"/>
    <w:unhideWhenUsed/>
    <w:rsid w:val="005A719C"/>
    <w:pPr>
      <w:spacing w:after="100"/>
    </w:pPr>
  </w:style>
  <w:style w:type="paragraph" w:styleId="TDC3">
    <w:name w:val="toc 3"/>
    <w:basedOn w:val="Normal"/>
    <w:next w:val="Normal"/>
    <w:autoRedefine/>
    <w:uiPriority w:val="39"/>
    <w:unhideWhenUsed/>
    <w:rsid w:val="005A719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6982">
      <w:bodyDiv w:val="1"/>
      <w:marLeft w:val="0"/>
      <w:marRight w:val="0"/>
      <w:marTop w:val="0"/>
      <w:marBottom w:val="0"/>
      <w:divBdr>
        <w:top w:val="none" w:sz="0" w:space="0" w:color="auto"/>
        <w:left w:val="none" w:sz="0" w:space="0" w:color="auto"/>
        <w:bottom w:val="none" w:sz="0" w:space="0" w:color="auto"/>
        <w:right w:val="none" w:sz="0" w:space="0" w:color="auto"/>
      </w:divBdr>
    </w:div>
    <w:div w:id="27217375">
      <w:bodyDiv w:val="1"/>
      <w:marLeft w:val="0"/>
      <w:marRight w:val="0"/>
      <w:marTop w:val="0"/>
      <w:marBottom w:val="0"/>
      <w:divBdr>
        <w:top w:val="none" w:sz="0" w:space="0" w:color="auto"/>
        <w:left w:val="none" w:sz="0" w:space="0" w:color="auto"/>
        <w:bottom w:val="none" w:sz="0" w:space="0" w:color="auto"/>
        <w:right w:val="none" w:sz="0" w:space="0" w:color="auto"/>
      </w:divBdr>
    </w:div>
    <w:div w:id="107897739">
      <w:bodyDiv w:val="1"/>
      <w:marLeft w:val="0"/>
      <w:marRight w:val="0"/>
      <w:marTop w:val="0"/>
      <w:marBottom w:val="0"/>
      <w:divBdr>
        <w:top w:val="none" w:sz="0" w:space="0" w:color="auto"/>
        <w:left w:val="none" w:sz="0" w:space="0" w:color="auto"/>
        <w:bottom w:val="none" w:sz="0" w:space="0" w:color="auto"/>
        <w:right w:val="none" w:sz="0" w:space="0" w:color="auto"/>
      </w:divBdr>
    </w:div>
    <w:div w:id="246575170">
      <w:bodyDiv w:val="1"/>
      <w:marLeft w:val="0"/>
      <w:marRight w:val="0"/>
      <w:marTop w:val="0"/>
      <w:marBottom w:val="0"/>
      <w:divBdr>
        <w:top w:val="none" w:sz="0" w:space="0" w:color="auto"/>
        <w:left w:val="none" w:sz="0" w:space="0" w:color="auto"/>
        <w:bottom w:val="none" w:sz="0" w:space="0" w:color="auto"/>
        <w:right w:val="none" w:sz="0" w:space="0" w:color="auto"/>
      </w:divBdr>
    </w:div>
    <w:div w:id="246614435">
      <w:bodyDiv w:val="1"/>
      <w:marLeft w:val="0"/>
      <w:marRight w:val="0"/>
      <w:marTop w:val="0"/>
      <w:marBottom w:val="0"/>
      <w:divBdr>
        <w:top w:val="none" w:sz="0" w:space="0" w:color="auto"/>
        <w:left w:val="none" w:sz="0" w:space="0" w:color="auto"/>
        <w:bottom w:val="none" w:sz="0" w:space="0" w:color="auto"/>
        <w:right w:val="none" w:sz="0" w:space="0" w:color="auto"/>
      </w:divBdr>
    </w:div>
    <w:div w:id="293216354">
      <w:bodyDiv w:val="1"/>
      <w:marLeft w:val="0"/>
      <w:marRight w:val="0"/>
      <w:marTop w:val="0"/>
      <w:marBottom w:val="0"/>
      <w:divBdr>
        <w:top w:val="none" w:sz="0" w:space="0" w:color="auto"/>
        <w:left w:val="none" w:sz="0" w:space="0" w:color="auto"/>
        <w:bottom w:val="none" w:sz="0" w:space="0" w:color="auto"/>
        <w:right w:val="none" w:sz="0" w:space="0" w:color="auto"/>
      </w:divBdr>
    </w:div>
    <w:div w:id="385227557">
      <w:bodyDiv w:val="1"/>
      <w:marLeft w:val="0"/>
      <w:marRight w:val="0"/>
      <w:marTop w:val="0"/>
      <w:marBottom w:val="0"/>
      <w:divBdr>
        <w:top w:val="none" w:sz="0" w:space="0" w:color="auto"/>
        <w:left w:val="none" w:sz="0" w:space="0" w:color="auto"/>
        <w:bottom w:val="none" w:sz="0" w:space="0" w:color="auto"/>
        <w:right w:val="none" w:sz="0" w:space="0" w:color="auto"/>
      </w:divBdr>
    </w:div>
    <w:div w:id="413236222">
      <w:bodyDiv w:val="1"/>
      <w:marLeft w:val="0"/>
      <w:marRight w:val="0"/>
      <w:marTop w:val="0"/>
      <w:marBottom w:val="0"/>
      <w:divBdr>
        <w:top w:val="none" w:sz="0" w:space="0" w:color="auto"/>
        <w:left w:val="none" w:sz="0" w:space="0" w:color="auto"/>
        <w:bottom w:val="none" w:sz="0" w:space="0" w:color="auto"/>
        <w:right w:val="none" w:sz="0" w:space="0" w:color="auto"/>
      </w:divBdr>
    </w:div>
    <w:div w:id="529417784">
      <w:bodyDiv w:val="1"/>
      <w:marLeft w:val="0"/>
      <w:marRight w:val="0"/>
      <w:marTop w:val="0"/>
      <w:marBottom w:val="0"/>
      <w:divBdr>
        <w:top w:val="none" w:sz="0" w:space="0" w:color="auto"/>
        <w:left w:val="none" w:sz="0" w:space="0" w:color="auto"/>
        <w:bottom w:val="none" w:sz="0" w:space="0" w:color="auto"/>
        <w:right w:val="none" w:sz="0" w:space="0" w:color="auto"/>
      </w:divBdr>
    </w:div>
    <w:div w:id="632558836">
      <w:bodyDiv w:val="1"/>
      <w:marLeft w:val="0"/>
      <w:marRight w:val="0"/>
      <w:marTop w:val="0"/>
      <w:marBottom w:val="0"/>
      <w:divBdr>
        <w:top w:val="none" w:sz="0" w:space="0" w:color="auto"/>
        <w:left w:val="none" w:sz="0" w:space="0" w:color="auto"/>
        <w:bottom w:val="none" w:sz="0" w:space="0" w:color="auto"/>
        <w:right w:val="none" w:sz="0" w:space="0" w:color="auto"/>
      </w:divBdr>
    </w:div>
    <w:div w:id="635985314">
      <w:bodyDiv w:val="1"/>
      <w:marLeft w:val="0"/>
      <w:marRight w:val="0"/>
      <w:marTop w:val="0"/>
      <w:marBottom w:val="0"/>
      <w:divBdr>
        <w:top w:val="none" w:sz="0" w:space="0" w:color="auto"/>
        <w:left w:val="none" w:sz="0" w:space="0" w:color="auto"/>
        <w:bottom w:val="none" w:sz="0" w:space="0" w:color="auto"/>
        <w:right w:val="none" w:sz="0" w:space="0" w:color="auto"/>
      </w:divBdr>
    </w:div>
    <w:div w:id="788940966">
      <w:bodyDiv w:val="1"/>
      <w:marLeft w:val="0"/>
      <w:marRight w:val="0"/>
      <w:marTop w:val="0"/>
      <w:marBottom w:val="0"/>
      <w:divBdr>
        <w:top w:val="none" w:sz="0" w:space="0" w:color="auto"/>
        <w:left w:val="none" w:sz="0" w:space="0" w:color="auto"/>
        <w:bottom w:val="none" w:sz="0" w:space="0" w:color="auto"/>
        <w:right w:val="none" w:sz="0" w:space="0" w:color="auto"/>
      </w:divBdr>
    </w:div>
    <w:div w:id="813908287">
      <w:bodyDiv w:val="1"/>
      <w:marLeft w:val="0"/>
      <w:marRight w:val="0"/>
      <w:marTop w:val="0"/>
      <w:marBottom w:val="0"/>
      <w:divBdr>
        <w:top w:val="none" w:sz="0" w:space="0" w:color="auto"/>
        <w:left w:val="none" w:sz="0" w:space="0" w:color="auto"/>
        <w:bottom w:val="none" w:sz="0" w:space="0" w:color="auto"/>
        <w:right w:val="none" w:sz="0" w:space="0" w:color="auto"/>
      </w:divBdr>
    </w:div>
    <w:div w:id="816259385">
      <w:bodyDiv w:val="1"/>
      <w:marLeft w:val="0"/>
      <w:marRight w:val="0"/>
      <w:marTop w:val="0"/>
      <w:marBottom w:val="0"/>
      <w:divBdr>
        <w:top w:val="none" w:sz="0" w:space="0" w:color="auto"/>
        <w:left w:val="none" w:sz="0" w:space="0" w:color="auto"/>
        <w:bottom w:val="none" w:sz="0" w:space="0" w:color="auto"/>
        <w:right w:val="none" w:sz="0" w:space="0" w:color="auto"/>
      </w:divBdr>
    </w:div>
    <w:div w:id="862979712">
      <w:bodyDiv w:val="1"/>
      <w:marLeft w:val="0"/>
      <w:marRight w:val="0"/>
      <w:marTop w:val="0"/>
      <w:marBottom w:val="0"/>
      <w:divBdr>
        <w:top w:val="none" w:sz="0" w:space="0" w:color="auto"/>
        <w:left w:val="none" w:sz="0" w:space="0" w:color="auto"/>
        <w:bottom w:val="none" w:sz="0" w:space="0" w:color="auto"/>
        <w:right w:val="none" w:sz="0" w:space="0" w:color="auto"/>
      </w:divBdr>
    </w:div>
    <w:div w:id="868639480">
      <w:bodyDiv w:val="1"/>
      <w:marLeft w:val="0"/>
      <w:marRight w:val="0"/>
      <w:marTop w:val="0"/>
      <w:marBottom w:val="0"/>
      <w:divBdr>
        <w:top w:val="none" w:sz="0" w:space="0" w:color="auto"/>
        <w:left w:val="none" w:sz="0" w:space="0" w:color="auto"/>
        <w:bottom w:val="none" w:sz="0" w:space="0" w:color="auto"/>
        <w:right w:val="none" w:sz="0" w:space="0" w:color="auto"/>
      </w:divBdr>
    </w:div>
    <w:div w:id="927230419">
      <w:bodyDiv w:val="1"/>
      <w:marLeft w:val="0"/>
      <w:marRight w:val="0"/>
      <w:marTop w:val="0"/>
      <w:marBottom w:val="0"/>
      <w:divBdr>
        <w:top w:val="none" w:sz="0" w:space="0" w:color="auto"/>
        <w:left w:val="none" w:sz="0" w:space="0" w:color="auto"/>
        <w:bottom w:val="none" w:sz="0" w:space="0" w:color="auto"/>
        <w:right w:val="none" w:sz="0" w:space="0" w:color="auto"/>
      </w:divBdr>
    </w:div>
    <w:div w:id="1022558335">
      <w:bodyDiv w:val="1"/>
      <w:marLeft w:val="0"/>
      <w:marRight w:val="0"/>
      <w:marTop w:val="0"/>
      <w:marBottom w:val="0"/>
      <w:divBdr>
        <w:top w:val="none" w:sz="0" w:space="0" w:color="auto"/>
        <w:left w:val="none" w:sz="0" w:space="0" w:color="auto"/>
        <w:bottom w:val="none" w:sz="0" w:space="0" w:color="auto"/>
        <w:right w:val="none" w:sz="0" w:space="0" w:color="auto"/>
      </w:divBdr>
    </w:div>
    <w:div w:id="1023094516">
      <w:bodyDiv w:val="1"/>
      <w:marLeft w:val="0"/>
      <w:marRight w:val="0"/>
      <w:marTop w:val="0"/>
      <w:marBottom w:val="0"/>
      <w:divBdr>
        <w:top w:val="none" w:sz="0" w:space="0" w:color="auto"/>
        <w:left w:val="none" w:sz="0" w:space="0" w:color="auto"/>
        <w:bottom w:val="none" w:sz="0" w:space="0" w:color="auto"/>
        <w:right w:val="none" w:sz="0" w:space="0" w:color="auto"/>
      </w:divBdr>
    </w:div>
    <w:div w:id="1037042295">
      <w:bodyDiv w:val="1"/>
      <w:marLeft w:val="0"/>
      <w:marRight w:val="0"/>
      <w:marTop w:val="0"/>
      <w:marBottom w:val="0"/>
      <w:divBdr>
        <w:top w:val="none" w:sz="0" w:space="0" w:color="auto"/>
        <w:left w:val="none" w:sz="0" w:space="0" w:color="auto"/>
        <w:bottom w:val="none" w:sz="0" w:space="0" w:color="auto"/>
        <w:right w:val="none" w:sz="0" w:space="0" w:color="auto"/>
      </w:divBdr>
    </w:div>
    <w:div w:id="1077510006">
      <w:bodyDiv w:val="1"/>
      <w:marLeft w:val="0"/>
      <w:marRight w:val="0"/>
      <w:marTop w:val="0"/>
      <w:marBottom w:val="0"/>
      <w:divBdr>
        <w:top w:val="none" w:sz="0" w:space="0" w:color="auto"/>
        <w:left w:val="none" w:sz="0" w:space="0" w:color="auto"/>
        <w:bottom w:val="none" w:sz="0" w:space="0" w:color="auto"/>
        <w:right w:val="none" w:sz="0" w:space="0" w:color="auto"/>
      </w:divBdr>
    </w:div>
    <w:div w:id="1122114296">
      <w:bodyDiv w:val="1"/>
      <w:marLeft w:val="0"/>
      <w:marRight w:val="0"/>
      <w:marTop w:val="0"/>
      <w:marBottom w:val="0"/>
      <w:divBdr>
        <w:top w:val="none" w:sz="0" w:space="0" w:color="auto"/>
        <w:left w:val="none" w:sz="0" w:space="0" w:color="auto"/>
        <w:bottom w:val="none" w:sz="0" w:space="0" w:color="auto"/>
        <w:right w:val="none" w:sz="0" w:space="0" w:color="auto"/>
      </w:divBdr>
    </w:div>
    <w:div w:id="1216086430">
      <w:bodyDiv w:val="1"/>
      <w:marLeft w:val="0"/>
      <w:marRight w:val="0"/>
      <w:marTop w:val="0"/>
      <w:marBottom w:val="0"/>
      <w:divBdr>
        <w:top w:val="none" w:sz="0" w:space="0" w:color="auto"/>
        <w:left w:val="none" w:sz="0" w:space="0" w:color="auto"/>
        <w:bottom w:val="none" w:sz="0" w:space="0" w:color="auto"/>
        <w:right w:val="none" w:sz="0" w:space="0" w:color="auto"/>
      </w:divBdr>
    </w:div>
    <w:div w:id="1252203028">
      <w:bodyDiv w:val="1"/>
      <w:marLeft w:val="0"/>
      <w:marRight w:val="0"/>
      <w:marTop w:val="0"/>
      <w:marBottom w:val="0"/>
      <w:divBdr>
        <w:top w:val="none" w:sz="0" w:space="0" w:color="auto"/>
        <w:left w:val="none" w:sz="0" w:space="0" w:color="auto"/>
        <w:bottom w:val="none" w:sz="0" w:space="0" w:color="auto"/>
        <w:right w:val="none" w:sz="0" w:space="0" w:color="auto"/>
      </w:divBdr>
    </w:div>
    <w:div w:id="1304382490">
      <w:bodyDiv w:val="1"/>
      <w:marLeft w:val="0"/>
      <w:marRight w:val="0"/>
      <w:marTop w:val="0"/>
      <w:marBottom w:val="0"/>
      <w:divBdr>
        <w:top w:val="none" w:sz="0" w:space="0" w:color="auto"/>
        <w:left w:val="none" w:sz="0" w:space="0" w:color="auto"/>
        <w:bottom w:val="none" w:sz="0" w:space="0" w:color="auto"/>
        <w:right w:val="none" w:sz="0" w:space="0" w:color="auto"/>
      </w:divBdr>
    </w:div>
    <w:div w:id="1408770851">
      <w:bodyDiv w:val="1"/>
      <w:marLeft w:val="0"/>
      <w:marRight w:val="0"/>
      <w:marTop w:val="0"/>
      <w:marBottom w:val="0"/>
      <w:divBdr>
        <w:top w:val="none" w:sz="0" w:space="0" w:color="auto"/>
        <w:left w:val="none" w:sz="0" w:space="0" w:color="auto"/>
        <w:bottom w:val="none" w:sz="0" w:space="0" w:color="auto"/>
        <w:right w:val="none" w:sz="0" w:space="0" w:color="auto"/>
      </w:divBdr>
    </w:div>
    <w:div w:id="1421830116">
      <w:bodyDiv w:val="1"/>
      <w:marLeft w:val="0"/>
      <w:marRight w:val="0"/>
      <w:marTop w:val="0"/>
      <w:marBottom w:val="0"/>
      <w:divBdr>
        <w:top w:val="none" w:sz="0" w:space="0" w:color="auto"/>
        <w:left w:val="none" w:sz="0" w:space="0" w:color="auto"/>
        <w:bottom w:val="none" w:sz="0" w:space="0" w:color="auto"/>
        <w:right w:val="none" w:sz="0" w:space="0" w:color="auto"/>
      </w:divBdr>
    </w:div>
    <w:div w:id="1517690727">
      <w:bodyDiv w:val="1"/>
      <w:marLeft w:val="0"/>
      <w:marRight w:val="0"/>
      <w:marTop w:val="0"/>
      <w:marBottom w:val="0"/>
      <w:divBdr>
        <w:top w:val="none" w:sz="0" w:space="0" w:color="auto"/>
        <w:left w:val="none" w:sz="0" w:space="0" w:color="auto"/>
        <w:bottom w:val="none" w:sz="0" w:space="0" w:color="auto"/>
        <w:right w:val="none" w:sz="0" w:space="0" w:color="auto"/>
      </w:divBdr>
    </w:div>
    <w:div w:id="1656445969">
      <w:bodyDiv w:val="1"/>
      <w:marLeft w:val="0"/>
      <w:marRight w:val="0"/>
      <w:marTop w:val="0"/>
      <w:marBottom w:val="0"/>
      <w:divBdr>
        <w:top w:val="none" w:sz="0" w:space="0" w:color="auto"/>
        <w:left w:val="none" w:sz="0" w:space="0" w:color="auto"/>
        <w:bottom w:val="none" w:sz="0" w:space="0" w:color="auto"/>
        <w:right w:val="none" w:sz="0" w:space="0" w:color="auto"/>
      </w:divBdr>
    </w:div>
    <w:div w:id="1725905469">
      <w:bodyDiv w:val="1"/>
      <w:marLeft w:val="0"/>
      <w:marRight w:val="0"/>
      <w:marTop w:val="0"/>
      <w:marBottom w:val="0"/>
      <w:divBdr>
        <w:top w:val="none" w:sz="0" w:space="0" w:color="auto"/>
        <w:left w:val="none" w:sz="0" w:space="0" w:color="auto"/>
        <w:bottom w:val="none" w:sz="0" w:space="0" w:color="auto"/>
        <w:right w:val="none" w:sz="0" w:space="0" w:color="auto"/>
      </w:divBdr>
    </w:div>
    <w:div w:id="1771267927">
      <w:bodyDiv w:val="1"/>
      <w:marLeft w:val="0"/>
      <w:marRight w:val="0"/>
      <w:marTop w:val="0"/>
      <w:marBottom w:val="0"/>
      <w:divBdr>
        <w:top w:val="none" w:sz="0" w:space="0" w:color="auto"/>
        <w:left w:val="none" w:sz="0" w:space="0" w:color="auto"/>
        <w:bottom w:val="none" w:sz="0" w:space="0" w:color="auto"/>
        <w:right w:val="none" w:sz="0" w:space="0" w:color="auto"/>
      </w:divBdr>
    </w:div>
    <w:div w:id="1773668846">
      <w:bodyDiv w:val="1"/>
      <w:marLeft w:val="0"/>
      <w:marRight w:val="0"/>
      <w:marTop w:val="0"/>
      <w:marBottom w:val="0"/>
      <w:divBdr>
        <w:top w:val="none" w:sz="0" w:space="0" w:color="auto"/>
        <w:left w:val="none" w:sz="0" w:space="0" w:color="auto"/>
        <w:bottom w:val="none" w:sz="0" w:space="0" w:color="auto"/>
        <w:right w:val="none" w:sz="0" w:space="0" w:color="auto"/>
      </w:divBdr>
    </w:div>
    <w:div w:id="1776560566">
      <w:bodyDiv w:val="1"/>
      <w:marLeft w:val="0"/>
      <w:marRight w:val="0"/>
      <w:marTop w:val="0"/>
      <w:marBottom w:val="0"/>
      <w:divBdr>
        <w:top w:val="none" w:sz="0" w:space="0" w:color="auto"/>
        <w:left w:val="none" w:sz="0" w:space="0" w:color="auto"/>
        <w:bottom w:val="none" w:sz="0" w:space="0" w:color="auto"/>
        <w:right w:val="none" w:sz="0" w:space="0" w:color="auto"/>
      </w:divBdr>
    </w:div>
    <w:div w:id="1865827202">
      <w:bodyDiv w:val="1"/>
      <w:marLeft w:val="0"/>
      <w:marRight w:val="0"/>
      <w:marTop w:val="0"/>
      <w:marBottom w:val="0"/>
      <w:divBdr>
        <w:top w:val="none" w:sz="0" w:space="0" w:color="auto"/>
        <w:left w:val="none" w:sz="0" w:space="0" w:color="auto"/>
        <w:bottom w:val="none" w:sz="0" w:space="0" w:color="auto"/>
        <w:right w:val="none" w:sz="0" w:space="0" w:color="auto"/>
      </w:divBdr>
    </w:div>
    <w:div w:id="2011789515">
      <w:bodyDiv w:val="1"/>
      <w:marLeft w:val="0"/>
      <w:marRight w:val="0"/>
      <w:marTop w:val="0"/>
      <w:marBottom w:val="0"/>
      <w:divBdr>
        <w:top w:val="none" w:sz="0" w:space="0" w:color="auto"/>
        <w:left w:val="none" w:sz="0" w:space="0" w:color="auto"/>
        <w:bottom w:val="none" w:sz="0" w:space="0" w:color="auto"/>
        <w:right w:val="none" w:sz="0" w:space="0" w:color="auto"/>
      </w:divBdr>
    </w:div>
    <w:div w:id="203057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6" Type="http://schemas.openxmlformats.org/officeDocument/2006/relationships/image" Target="media/image4.emf"/><Relationship Id="rId11" Type="http://schemas.openxmlformats.org/officeDocument/2006/relationships/header" Target="header2.xml"/><Relationship Id="rId32" Type="http://schemas.openxmlformats.org/officeDocument/2006/relationships/image" Target="media/image19.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settings" Target="settings.xml"/><Relationship Id="rId90" Type="http://schemas.openxmlformats.org/officeDocument/2006/relationships/image" Target="media/image76.emf"/><Relationship Id="rId95" Type="http://schemas.openxmlformats.org/officeDocument/2006/relationships/theme" Target="theme/theme1.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50.png"/><Relationship Id="rId69" Type="http://schemas.openxmlformats.org/officeDocument/2006/relationships/image" Target="media/image55.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image" Target="media/image71.emf"/><Relationship Id="rId93" Type="http://schemas.openxmlformats.org/officeDocument/2006/relationships/image" Target="media/image79.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4.xml"/><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8.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9" Type="http://schemas.openxmlformats.org/officeDocument/2006/relationships/image" Target="media/image25.emf"/><Relationship Id="rId34" Type="http://schemas.openxmlformats.org/officeDocument/2006/relationships/image" Target="media/image20.png"/><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emf"/><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png"/><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63.emf"/></Relationships>
</file>

<file path=word/_rels/footnotes.xml.rels><?xml version="1.0" encoding="UTF-8" standalone="yes"?>
<Relationships xmlns="http://schemas.openxmlformats.org/package/2006/relationships"><Relationship Id="rId2" Type="http://schemas.openxmlformats.org/officeDocument/2006/relationships/hyperlink" Target="http://www.alcaldiabogota.gov.co/sisjur/normas/Norma1.jsp?i=4125" TargetMode="External"/><Relationship Id="rId1" Type="http://schemas.openxmlformats.org/officeDocument/2006/relationships/hyperlink" Target="http://www.alcaldiabogota.gov.co/sisjur/normas/Norma1.jsp?i=412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2017-10-15T00:00:00</PublishDate>
  <Abstract>El Marco Fiscal de Mediano Plazo (MFMP) es un instrumento de referencia que se realiza con el fin de tener una perspectiva en el tiempo para el establecimiento de políticas fiscales y financieras orientadas a garantizar la viabilidad, sostenibilidad de la deuda y las finanzas públicas departamentales; la cual permite proyectar y establecer compromisos por parte de la Administración orientados al cumplimiento de objetivos y obtención de resultados en concordancia con el Plan de Desarrollo 2016-2019 “En Defensa del Bien Común”.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032F2D-3023-432B-B599-64E30CCD2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22121</Words>
  <Characters>121671</Characters>
  <Application>Microsoft Office Word</Application>
  <DocSecurity>0</DocSecurity>
  <Lines>1013</Lines>
  <Paragraphs>287</Paragraphs>
  <ScaleCrop>false</ScaleCrop>
  <HeadingPairs>
    <vt:vector size="2" baseType="variant">
      <vt:variant>
        <vt:lpstr>Título</vt:lpstr>
      </vt:variant>
      <vt:variant>
        <vt:i4>1</vt:i4>
      </vt:variant>
    </vt:vector>
  </HeadingPairs>
  <TitlesOfParts>
    <vt:vector size="1" baseType="lpstr">
      <vt:lpstr>MARCO FISCAL DE MEDIANO PLAZO 2018-2027</vt:lpstr>
    </vt:vector>
  </TitlesOfParts>
  <Company>Hewlett-Packard Company</Company>
  <LinksUpToDate>false</LinksUpToDate>
  <CharactersWithSpaces>143505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MARCO FISCAL DE MEDIANO PLAZO 2018-2027</dc:title>
  <dc:creator>AUXHACIENDA29</dc:creator>
  <cp:lastModifiedBy>Financiera</cp:lastModifiedBy>
  <cp:revision>4</cp:revision>
  <cp:lastPrinted>2017-10-11T19:50:00Z</cp:lastPrinted>
  <dcterms:created xsi:type="dcterms:W3CDTF">2017-10-11T19:30:00Z</dcterms:created>
  <dcterms:modified xsi:type="dcterms:W3CDTF">2017-10-11T19:50:00Z</dcterms:modified>
</cp:coreProperties>
</file>